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DC66" w14:textId="7AF4CE3E" w:rsidR="004C2197" w:rsidRDefault="00863B83">
      <w:pPr>
        <w:rPr>
          <w:vanish/>
        </w:rPr>
      </w:pPr>
      <w:r>
        <w:rPr>
          <w:rFonts w:ascii="宋体" w:eastAsia="宋体" w:hAnsi="宋体" w:cs="宋体"/>
        </w:rPr>
        <w:t xml:space="preserve"> </w:t>
      </w:r>
      <w:r>
        <w:rPr>
          <w:rFonts w:ascii="宋体" w:eastAsia="宋体" w:hAnsi="宋体" w:cs="宋体"/>
          <w:vanish/>
        </w:rPr>
        <w:t>00010458101/312020Q2FALSE00010458102020-01-272020-07-26xbrli:shares00010458102020-08-14iso4217:USD00010458102020-04-272020-07-2600010458102019-04-292019-07-2800010458102019-01-282019-07-28iso4217:USDxbrli:shares00010458102020-07-2600010458102020-01-2600010</w:t>
      </w:r>
      <w:r>
        <w:rPr>
          <w:rFonts w:ascii="宋体" w:eastAsia="宋体" w:hAnsi="宋体" w:cs="宋体"/>
          <w:vanish/>
        </w:rPr>
        <w:t>45810us-gaap:CommonStockMember2020-04-260001045810us-gaap:AdditionalPaidInCapitalMember2020-04-260001045810us-gaap:TreasuryStockMember2020-04-260001045810us-gaap:AccumulatedOtherComprehensiveIncomeMember2020-04-260001045810us-gaap:RetainedEarningsMember202</w:t>
      </w:r>
      <w:r>
        <w:rPr>
          <w:rFonts w:ascii="宋体" w:eastAsia="宋体" w:hAnsi="宋体" w:cs="宋体"/>
          <w:vanish/>
        </w:rPr>
        <w:t>0-04-2600010458102020-04-260001045810us-gaap:RetainedEarningsMember2020-04-272020-07-260001045810us-gaap:AccumulatedOtherComprehensiveIncomeMember2020-04-272020-07-260001045810us-gaap:CommonStockMember2020-04-272020-07-260001045810us-gaap:AdditionalPaidInC</w:t>
      </w:r>
      <w:r>
        <w:rPr>
          <w:rFonts w:ascii="宋体" w:eastAsia="宋体" w:hAnsi="宋体" w:cs="宋体"/>
          <w:vanish/>
        </w:rPr>
        <w:t>apitalMember2020-04-272020-07-260001045810us-gaap:TreasuryStockMember2020-04-272020-07-260001045810us-gaap:CommonStockMember2020-07-260001045810us-gaap:AdditionalPaidInCapitalMember2020-07-260001045810us-gaap:TreasuryStockMember2020-07-260001045810us-gaap:</w:t>
      </w:r>
      <w:r>
        <w:rPr>
          <w:rFonts w:ascii="宋体" w:eastAsia="宋体" w:hAnsi="宋体" w:cs="宋体"/>
          <w:vanish/>
        </w:rPr>
        <w:t>AccumulatedOtherComprehensiveIncomeMember2020-07-260001045810us-gaap:RetainedEarningsMember2020-07-260001045810us-gaap:CommonStockMember2019-04-280001045810us-gaap:AdditionalPaidInCapitalMember2019-04-280001045810us-gaap:TreasuryStockMember2019-04-28000104</w:t>
      </w:r>
      <w:r>
        <w:rPr>
          <w:rFonts w:ascii="宋体" w:eastAsia="宋体" w:hAnsi="宋体" w:cs="宋体"/>
          <w:vanish/>
        </w:rPr>
        <w:t>5810us-gaap:AccumulatedOtherComprehensiveIncomeMember2019-04-280001045810us-gaap:RetainedEarningsMember2019-04-2800010458102019-04-280001045810us-gaap:RetainedEarningsMember2019-04-292019-07-280001045810us-gaap:AccumulatedOtherComprehensiveIncomeMember2019</w:t>
      </w:r>
      <w:r>
        <w:rPr>
          <w:rFonts w:ascii="宋体" w:eastAsia="宋体" w:hAnsi="宋体" w:cs="宋体"/>
          <w:vanish/>
        </w:rPr>
        <w:t>-04-292019-07-280001045810us-gaap:TreasuryStockMember2019-04-292019-07-280001045810us-gaap:AdditionalPaidInCapitalMember2019-04-292019-07-280001045810us-gaap:CommonStockMember2019-07-280001045810us-gaap:AdditionalPaidInCapitalMember2019-07-280001045810us-g</w:t>
      </w:r>
      <w:r>
        <w:rPr>
          <w:rFonts w:ascii="宋体" w:eastAsia="宋体" w:hAnsi="宋体" w:cs="宋体"/>
          <w:vanish/>
        </w:rPr>
        <w:t>aap:TreasuryStockMember2019-07-280001045810us-gaap:AccumulatedOtherComprehensiveIncomeMember2019-07-280001045810us-gaap:RetainedEarningsMember2019-07-2800010458102019-07-280001045810us-gaap:CommonStockMember2020-01-260001045810us-gaap:AdditionalPaidInCapit</w:t>
      </w:r>
      <w:r>
        <w:rPr>
          <w:rFonts w:ascii="宋体" w:eastAsia="宋体" w:hAnsi="宋体" w:cs="宋体"/>
          <w:vanish/>
        </w:rPr>
        <w:t>alMember2020-01-260001045810us-gaap:TreasuryStockMember2020-01-260001045810us-gaap:AccumulatedOtherComprehensiveIncomeMember2020-01-260001045810us-gaap:RetainedEarningsMember2020-01-260001045810us-gaap:RetainedEarningsMember2020-01-272020-07-260001045810us</w:t>
      </w:r>
      <w:r>
        <w:rPr>
          <w:rFonts w:ascii="宋体" w:eastAsia="宋体" w:hAnsi="宋体" w:cs="宋体"/>
          <w:vanish/>
        </w:rPr>
        <w:t>-gaap:AccumulatedOtherComprehensiveIncomeMember2020-01-272020-07-260001045810us-gaap:CommonStockMember2020-01-272020-07-260001045810us-gaap:AdditionalPaidInCapitalMember2020-01-272020-07-260001045810us-gaap:TreasuryStockMember2020-01-272020-07-260001045810</w:t>
      </w:r>
      <w:r>
        <w:rPr>
          <w:rFonts w:ascii="宋体" w:eastAsia="宋体" w:hAnsi="宋体" w:cs="宋体"/>
          <w:vanish/>
        </w:rPr>
        <w:t>us-gaap:CommonStockMember2019-01-270001045810us-gaap:AdditionalPaidInCapitalMember2019-01-270001045810us-gaap:TreasuryStockMember2019-01-270001045810us-gaap:AccumulatedOtherComprehensiveIncomeMember2019-01-270001045810us-gaap:RetainedEarningsMember2019-01-</w:t>
      </w:r>
      <w:r>
        <w:rPr>
          <w:rFonts w:ascii="宋体" w:eastAsia="宋体" w:hAnsi="宋体" w:cs="宋体"/>
          <w:vanish/>
        </w:rPr>
        <w:t>2700010458102019-01-270001045810us-gaap:RetainedEarningsMember2019-01-282019-07-280001045810us-gaap:AccumulatedOtherComprehensiveIncomeMember2019-01-282019-07-280001045810us-gaap:CommonStockMember2019-01-282019-07-280001045810us-gaap:AdditionalPaidInCapita</w:t>
      </w:r>
      <w:r>
        <w:rPr>
          <w:rFonts w:ascii="宋体" w:eastAsia="宋体" w:hAnsi="宋体" w:cs="宋体"/>
          <w:vanish/>
        </w:rPr>
        <w:t>lMember2019-01-282019-07-280001045810us-gaap:TreasuryStockMember2019-01-282019-07-280001045810nvda:MellanoxTechnologiesLtdMember2020-04-272020-04-270001045810us-gaap:CommonStockMembernvda:MellanoxTechnologiesLtdMember2020-04-272020-04-270001045810us-gaap:S</w:t>
      </w:r>
      <w:r>
        <w:rPr>
          <w:rFonts w:ascii="宋体" w:eastAsia="宋体" w:hAnsi="宋体" w:cs="宋体"/>
          <w:vanish/>
        </w:rPr>
        <w:t>tockCompensationPlanMembernvda:MellanoxTechnologiesLtdMember2020-04-272020-04-270001045810nvda:MellanoxTechnologiesLtdMember2020-04-270001045810nvda:MellanoxTechnologiesLtdMembernvda:MellanoxTechnologiesLtdMember2020-04-272020-04-270001045810us-gaap:Employ</w:t>
      </w:r>
      <w:r>
        <w:rPr>
          <w:rFonts w:ascii="宋体" w:eastAsia="宋体" w:hAnsi="宋体" w:cs="宋体"/>
          <w:vanish/>
        </w:rPr>
        <w:t>eeStockOptionMembernvda:MellanoxTechnologiesLtdMembernvda:MellanoxTechnologiesLtdMember2020-04-272020-04-27xbrli:pure0001045810us-gaap:SalesRevenueNetMembernvda:MellanoxTechnologiesLtdMember2020-04-272020-07-260001045810nvda:MellanoxTechnologiesLtdMember20</w:t>
      </w:r>
      <w:r>
        <w:rPr>
          <w:rFonts w:ascii="宋体" w:eastAsia="宋体" w:hAnsi="宋体" w:cs="宋体"/>
          <w:vanish/>
        </w:rPr>
        <w:t>20-01-272020-07-260001045810us-gaap:DevelopedTechnologyRightsMembernvda:MellanoxTechnologiesLtdMember2020-04-270001045810us-gaap:DevelopedTechnologyRightsMembernvda:MellanoxTechnologiesLtdMember2020-04-272020-04-270001045810us-gaap:CustomerRelationshipsMem</w:t>
      </w:r>
      <w:r>
        <w:rPr>
          <w:rFonts w:ascii="宋体" w:eastAsia="宋体" w:hAnsi="宋体" w:cs="宋体"/>
          <w:vanish/>
        </w:rPr>
        <w:t>bernvda:MellanoxTechnologiesLtdMember2020-04-270001045810us-gaap:CustomerRelationshipsMembernvda:MellanoxTechnologiesLtdMember2020-04-272020-04-270001045810nvda:MellanoxTechnologiesLtdMemberus-gaap:OrderOrProductionBacklogMember2020-04-270001045810us-gaap:</w:t>
      </w:r>
      <w:r>
        <w:rPr>
          <w:rFonts w:ascii="宋体" w:eastAsia="宋体" w:hAnsi="宋体" w:cs="宋体"/>
          <w:vanish/>
        </w:rPr>
        <w:t>TradeNamesMembernvda:MellanoxTechnologiesLtdMember2020-04-270001045810us-gaap:TradeNamesMembernvda:MellanoxTechnologiesLtdMember2020-04-272020-04-270001045810nvda:MellanoxTechnologiesLtdMember2020-04-272020-07-260001045810us-gaap:CostOfSalesMember2020-04-2</w:t>
      </w:r>
      <w:r>
        <w:rPr>
          <w:rFonts w:ascii="宋体" w:eastAsia="宋体" w:hAnsi="宋体" w:cs="宋体"/>
          <w:vanish/>
        </w:rPr>
        <w:t>72020-07-260001045810us-gaap:CostOfSalesMember2019-04-292019-07-280001045810us-gaap:CostOfSalesMember2020-01-272020-07-260001045810us-gaap:CostOfSalesMember2019-01-282019-07-280001045810us-gaap:ResearchAndDevelopmentExpenseMember2020-04-272020-07-260001045</w:t>
      </w:r>
      <w:r>
        <w:rPr>
          <w:rFonts w:ascii="宋体" w:eastAsia="宋体" w:hAnsi="宋体" w:cs="宋体"/>
          <w:vanish/>
        </w:rPr>
        <w:t>810us-gaap:ResearchAndDevelopmentExpenseMember2019-04-292019-07-280001045810us-gaap:ResearchAndDevelopmentExpenseMember2020-01-272020-07-260001045810us-gaap:ResearchAndDevelopmentExpenseMember2019-01-282019-07-280001045810us-gaap:SellingGeneralAndAdministr</w:t>
      </w:r>
      <w:r>
        <w:rPr>
          <w:rFonts w:ascii="宋体" w:eastAsia="宋体" w:hAnsi="宋体" w:cs="宋体"/>
          <w:vanish/>
        </w:rPr>
        <w:t>ativeExpensesMember2020-04-272020-07-260001045810us-gaap:SellingGeneralAndAdministrativeExpensesMember2019-04-292019-07-280001045810us-gaap:SellingGeneralAndAdministrativeExpensesMember2020-01-272020-07-260001045810us-gaap:SellingGeneralAndAdministrativeEx</w:t>
      </w:r>
      <w:r>
        <w:rPr>
          <w:rFonts w:ascii="宋体" w:eastAsia="宋体" w:hAnsi="宋体" w:cs="宋体"/>
          <w:vanish/>
        </w:rPr>
        <w:t>pensesMember2019-01-282019-07-280001045810nvda:RSUsPSUsandMarketbasedPSUsMember2020-01-260001045810nvda:RSUsPSUsandMarketbasedPSUsMember2020-01-272020-07-260001045810nvda:RSUsPSUsandMarketbasedPSUsMember2020-07-260001045810nvda:ShareBasedCompensationArrang</w:t>
      </w:r>
      <w:r>
        <w:rPr>
          <w:rFonts w:ascii="宋体" w:eastAsia="宋体" w:hAnsi="宋体" w:cs="宋体"/>
          <w:vanish/>
        </w:rPr>
        <w:t>ementsByShareBasedPaymentAwardEmployeeStockPurchasePlanMember2020-01-272020-07-260001045810nvda:MellanoxTechnologiesLtdMember2020-07-260001045810us-gaap:CorporateDebtSecuritiesMember2020-07-260001045810us-gaap:USGovernmentAgenciesDebtSecuritiesMember2020-0</w:t>
      </w:r>
      <w:r>
        <w:rPr>
          <w:rFonts w:ascii="宋体" w:eastAsia="宋体" w:hAnsi="宋体" w:cs="宋体"/>
          <w:vanish/>
        </w:rPr>
        <w:t>7-260001045810us-gaap:MoneyMarketFundsMember2020-07-260001045810us-gaap:USTreasurySecuritiesMember2020-07-260001045810us-gaap:CertificatesOfDepositMember2020-07-260001045810us-gaap:ForeignGovernmentDebtMember2020-07-260001045810us-gaap:MoneyMarketFundsMemb</w:t>
      </w:r>
      <w:r>
        <w:rPr>
          <w:rFonts w:ascii="宋体" w:eastAsia="宋体" w:hAnsi="宋体" w:cs="宋体"/>
          <w:vanish/>
        </w:rPr>
        <w:t>er2020-01-260001045810us-gaap:USTreasurySecuritiesMember2020-01-260001045810us-gaap:USGovernmentAgenciesDebtSecuritiesMember2020-01-260001045810us-gaap:CorporateDebtSecuritiesMember2020-01-260001045810us-gaap:ForeignGovernmentDebtMember2020-01-260001045810</w:t>
      </w:r>
      <w:r>
        <w:rPr>
          <w:rFonts w:ascii="宋体" w:eastAsia="宋体" w:hAnsi="宋体" w:cs="宋体"/>
          <w:vanish/>
        </w:rPr>
        <w:t>us-gaap:CertificatesOfDepositMember2020-01-260001045810us-gaap:AssetBackedSecuritiesMember2020-01-260001045810us-gaap:FairValueInputsLevel1Memberus-gaap:MoneyMarketFundsMember2020-07-260001045810us-gaap:FairValueInputsLevel1Memberus-gaap:MoneyMarketFundsMe</w:t>
      </w:r>
      <w:r>
        <w:rPr>
          <w:rFonts w:ascii="宋体" w:eastAsia="宋体" w:hAnsi="宋体" w:cs="宋体"/>
          <w:vanish/>
        </w:rPr>
        <w:t>mber2020-01-260001045810us-gaap:CorporateDebtSecuritiesMemberus-gaap:FairValueInputsLevel2Member2020-07-260001045810us-gaap:CorporateDebtSecuritiesMemberus-gaap:FairValueInputsLevel2Member2020-01-260001045810us-gaap:USGovernmentAgenciesDebtSecuritiesMember</w:t>
      </w:r>
      <w:r>
        <w:rPr>
          <w:rFonts w:ascii="宋体" w:eastAsia="宋体" w:hAnsi="宋体" w:cs="宋体"/>
          <w:vanish/>
        </w:rPr>
        <w:t>us-gaap:FairValueInputsLevel2Member2020-07-260001045810us-gaap:USGovernmentAgenciesDebtSecuritiesMemberus-gaap:FairValueInputsLevel2Member2020-01-260001045810us-gaap:USTreasurySecuritiesMemberus-gaap:FairValueInputsLevel2Member2020-07-260001045810us-gaap:U</w:t>
      </w:r>
      <w:r>
        <w:rPr>
          <w:rFonts w:ascii="宋体" w:eastAsia="宋体" w:hAnsi="宋体" w:cs="宋体"/>
          <w:vanish/>
        </w:rPr>
        <w:t>STreasurySecuritiesMemberus-gaap:FairValueInputsLevel2Member2020-01-260001045810us-gaap:FairValueInputsLevel2Memberus-gaap:CertificatesOfDepositMember2020-07-260001045810us-gaap:FairValueInputsLevel2Memberus-gaap:CertificatesOfDepositMember2020-01-26000104</w:t>
      </w:r>
      <w:r>
        <w:rPr>
          <w:rFonts w:ascii="宋体" w:eastAsia="宋体" w:hAnsi="宋体" w:cs="宋体"/>
          <w:vanish/>
        </w:rPr>
        <w:t>5810us-gaap:FairValueInputsLevel2Memberus-gaap:ForeignGovernmentDebtMember2020-07-260001045810us-gaap:FairValueInputsLevel2Memberus-gaap:ForeignGovernmentDebtMember2020-01-260001045810us-gaap:FairValueInputsLevel3Member2020-07-260001045810us-gaap:FairValue</w:t>
      </w:r>
      <w:r>
        <w:rPr>
          <w:rFonts w:ascii="宋体" w:eastAsia="宋体" w:hAnsi="宋体" w:cs="宋体"/>
          <w:vanish/>
        </w:rPr>
        <w:t>InputsLevel3Member2020-01-260001045810nvda:A2021NotesMember2020-07-260001045810us-gaap:FairValueInputsLevel2Membernvda:A2021NotesMember2020-07-260001045810us-gaap:FairValueInputsLevel2Membernvda:A2021NotesMember2020-01-260001045810nvda:A2026NotesMember2020</w:t>
      </w:r>
      <w:r>
        <w:rPr>
          <w:rFonts w:ascii="宋体" w:eastAsia="宋体" w:hAnsi="宋体" w:cs="宋体"/>
          <w:vanish/>
        </w:rPr>
        <w:t>-07-260001045810nvda:A2026NotesMemberus-gaap:FairValueInputsLevel2Member2020-07-260001045810nvda:A2026NotesMemberus-gaap:FairValueInputsLevel2Member2020-01-260001045810nvda:A2030NotesMember2020-07-260001045810nvda:A2030NotesMemberus-gaap:FairValueInputsLev</w:t>
      </w:r>
      <w:r>
        <w:rPr>
          <w:rFonts w:ascii="宋体" w:eastAsia="宋体" w:hAnsi="宋体" w:cs="宋体"/>
          <w:vanish/>
        </w:rPr>
        <w:t>el2Member2020-07-260001045810nvda:A2030NotesMemberus-gaap:FairValueInputsLevel2Member2020-01-260001045810nvda:A2040NotesMember2020-07-260001045810nvda:A2040NotesMemberus-gaap:FairValueInputsLevel2Member2020-07-260001045810nvda:A2040NotesMemberus-gaap:FairV</w:t>
      </w:r>
      <w:r>
        <w:rPr>
          <w:rFonts w:ascii="宋体" w:eastAsia="宋体" w:hAnsi="宋体" w:cs="宋体"/>
          <w:vanish/>
        </w:rPr>
        <w:t>alueInputsLevel2Member2020-01-260001045810nvda:A2050NotesMember2020-07-260001045810nvda:A2050NotesMemberus-gaap:FairValueInputsLevel2Member2020-07-260001045810nvda:A2050NotesMemberus-gaap:FairValueInputsLevel2Member2020-01-260001045810nvda:A2060NotesMember</w:t>
      </w:r>
      <w:r>
        <w:rPr>
          <w:rFonts w:ascii="宋体" w:eastAsia="宋体" w:hAnsi="宋体" w:cs="宋体"/>
          <w:vanish/>
        </w:rPr>
        <w:t>2020-07-260001045810nvda:A2060NotesMemberus-gaap:FairValueInputsLevel2Member2020-07-260001045810nvda:A2060NotesMemberus-gaap:FairValueInputsLevel2Member2020-01-260001045810us-gaap:DevelopedTechnologyRightsMember2020-07-260001045810us-gaap:DevelopedTechnolo</w:t>
      </w:r>
      <w:r>
        <w:rPr>
          <w:rFonts w:ascii="宋体" w:eastAsia="宋体" w:hAnsi="宋体" w:cs="宋体"/>
          <w:vanish/>
        </w:rPr>
        <w:t>gyRightsMember2020-01-260001045810nvda:PatentsAndLicensedTechnologyMember2020-07-260001045810nvda:PatentsAndLicensedTechnologyMember2020-01-260001045810us-gaap:FiniteLivedIntangibleAssetsMember2020-07-260001045810us-gaap:FiniteLivedIntangibleAssetsMember20</w:t>
      </w:r>
      <w:r>
        <w:rPr>
          <w:rFonts w:ascii="宋体" w:eastAsia="宋体" w:hAnsi="宋体" w:cs="宋体"/>
          <w:vanish/>
        </w:rPr>
        <w:t>20-01-2600010458102020-07-272020-07-260001045810us-gaap:ForeignExchangeForwardMember2020-01-272020-07-260001045810nvda:A2030NotesMember2020-03-310001045810nvda:A2040NotesMember2020-03-310001045810nvda:A2050NotesMember2020-03-310001045810nvda:A2060NotesMemb</w:t>
      </w:r>
      <w:r>
        <w:rPr>
          <w:rFonts w:ascii="宋体" w:eastAsia="宋体" w:hAnsi="宋体" w:cs="宋体"/>
          <w:vanish/>
        </w:rPr>
        <w:t>er2020-03-310001045810nvda:March2020NotesMember2020-03-012020-03-310001045810nvda:A2021NotesMember2016-09-300001045810nvda:A2026NotesMember2016-09-300001045810nvda:September2016NotesMember2016-09-012016-09-300001045810nvda:A2021NotesMember2020-01-272020-07</w:t>
      </w:r>
      <w:r>
        <w:rPr>
          <w:rFonts w:ascii="宋体" w:eastAsia="宋体" w:hAnsi="宋体" w:cs="宋体"/>
          <w:vanish/>
        </w:rPr>
        <w:t>-260001045810nvda:A2021NotesMember2020-01-260001045810nvda:A2026NotesMember2020-01-272020-07-260001045810nvda:A2026NotesMember2020-01-260001045810nvda:A2030NotesMember2020-01-272020-07-260001045810nvda:A2030NotesMember2020-01-260001045810nvda:A2040NotesMem</w:t>
      </w:r>
      <w:r>
        <w:rPr>
          <w:rFonts w:ascii="宋体" w:eastAsia="宋体" w:hAnsi="宋体" w:cs="宋体"/>
          <w:vanish/>
        </w:rPr>
        <w:t>ber2020-01-272020-07-260001045810nvda:A2040NotesMember2020-01-260001045810nvda:A2050NotesMember2020-01-272020-07-260001045810nvda:A2050NotesMember2020-01-260001045810nvda:A2060NotesMember2020-01-272020-07-260001045810nvda:A2060NotesMember2020-01-2600010458</w:t>
      </w:r>
      <w:r>
        <w:rPr>
          <w:rFonts w:ascii="宋体" w:eastAsia="宋体" w:hAnsi="宋体" w:cs="宋体"/>
          <w:vanish/>
        </w:rPr>
        <w:t>10us-gaap:RevolvingCreditFacilityMember2020-07-260001045810us-gaap:CommercialPaperMember2020-07-26nvda:segment0001045810nvda:GraphicsMemberus-gaap:OperatingSegmentsMember2020-04-272020-07-260001045810nvda:ComputeAndNetworkingMemberus-gaap:OperatingSegments</w:t>
      </w:r>
      <w:r>
        <w:rPr>
          <w:rFonts w:ascii="宋体" w:eastAsia="宋体" w:hAnsi="宋体" w:cs="宋体"/>
          <w:vanish/>
        </w:rPr>
        <w:t>Member2020-04-272020-07-260001045810us-gaap:CorporateNonSegmentMember2020-04-272020-07-260001045810nvda:GraphicsMemberus-gaap:OperatingSegmentsMember2019-04-292019-07-280001045810nvda:ComputeAndNetworkingMemberus-gaap:OperatingSegmentsMember2019-04-292019-</w:t>
      </w:r>
      <w:r>
        <w:rPr>
          <w:rFonts w:ascii="宋体" w:eastAsia="宋体" w:hAnsi="宋体" w:cs="宋体"/>
          <w:vanish/>
        </w:rPr>
        <w:t>07-280001045810us-gaap:CorporateNonSegmentMember2019-04-292019-07-280001045810nvda:GraphicsMemberus-gaap:OperatingSegmentsMember2020-01-272020-07-260001045810nvda:ComputeAndNetworkingMemberus-gaap:OperatingSegmentsMember2020-01-272020-07-260001045810us-gaa</w:t>
      </w:r>
      <w:r>
        <w:rPr>
          <w:rFonts w:ascii="宋体" w:eastAsia="宋体" w:hAnsi="宋体" w:cs="宋体"/>
          <w:vanish/>
        </w:rPr>
        <w:t>p:CorporateNonSegmentMember2020-01-272020-07-260001045810nvda:GraphicsMemberus-gaap:OperatingSegmentsMember2019-01-282019-07-280001045810nvda:ComputeAndNetworkingMemberus-gaap:OperatingSegmentsMember2019-01-282019-07-280001045810us-gaap:CorporateNonSegment</w:t>
      </w:r>
      <w:r>
        <w:rPr>
          <w:rFonts w:ascii="宋体" w:eastAsia="宋体" w:hAnsi="宋体" w:cs="宋体"/>
          <w:vanish/>
        </w:rPr>
        <w:t>Member2019-01-282019-07-280001045810country:TW2020-04-272020-07-260001045810country:TW2019-04-292019-07-280001045810country:TW2020-01-272020-07-260001045810country:TW2019-01-282019-07-280001045810country:US2020-04-272020-07-260001045810country:US2019-04-29</w:t>
      </w:r>
      <w:r>
        <w:rPr>
          <w:rFonts w:ascii="宋体" w:eastAsia="宋体" w:hAnsi="宋体" w:cs="宋体"/>
          <w:vanish/>
        </w:rPr>
        <w:t>2019-07-280001045810country:US2020-01-272020-07-260001045810country:US2019-01-282019-07-280001045810nvda:ChinaIncludingHongKongMember2020-04-272020-07-260001045810nvda:ChinaIncludingHongKongMember2019-04-292019-07-280001045810nvda:ChinaIncludingHongKongMem</w:t>
      </w:r>
      <w:r>
        <w:rPr>
          <w:rFonts w:ascii="宋体" w:eastAsia="宋体" w:hAnsi="宋体" w:cs="宋体"/>
          <w:vanish/>
        </w:rPr>
        <w:t>ber2020-01-272020-07-260001045810nvda:ChinaIncludingHongKongMember2019-01-282019-07-280001045810nvda:OtherAsiaPacificMember2020-04-272020-07-260001045810nvda:OtherAsiaPacificMember2019-04-292019-07-280001045810nvda:OtherAsiaPacificMember2020-01-272020-07-2</w:t>
      </w:r>
      <w:r>
        <w:rPr>
          <w:rFonts w:ascii="宋体" w:eastAsia="宋体" w:hAnsi="宋体" w:cs="宋体"/>
          <w:vanish/>
        </w:rPr>
        <w:t>60001045810nvda:OtherAsiaPacificMember2019-01-282019-07-280001045810srt:EuropeMember2020-04-272020-07-260001045810srt:EuropeMember2019-04-292019-07-280001045810srt:EuropeMember2020-01-272020-07-260001045810srt:EuropeMember2019-01-282019-07-280001045810nvda</w:t>
      </w:r>
      <w:r>
        <w:rPr>
          <w:rFonts w:ascii="宋体" w:eastAsia="宋体" w:hAnsi="宋体" w:cs="宋体"/>
          <w:vanish/>
        </w:rPr>
        <w:t>:AllOtherCountriesNotSeparatelyDisclosedMember2020-04-272020-07-260001045810nvda:AllOtherCountriesNotSeparatelyDisclosedMember2019-04-292019-07-280001045810nvda:AllOtherCountriesNotSeparatelyDisclosedMember2020-01-272020-07-260001045810nvda:AllOtherCountri</w:t>
      </w:r>
      <w:r>
        <w:rPr>
          <w:rFonts w:ascii="宋体" w:eastAsia="宋体" w:hAnsi="宋体" w:cs="宋体"/>
          <w:vanish/>
        </w:rPr>
        <w:t>esNotSeparatelyDisclosedMember2019-01-282019-07-280001045810nvda:GamingMember2020-04-272020-07-260001045810nvda:GamingMember2019-04-292019-07-280001045810nvda:GamingMember2020-01-272020-07-260001045810nvda:GamingMember2019-01-282019-07-280001045810nvda:Pro</w:t>
      </w:r>
      <w:r>
        <w:rPr>
          <w:rFonts w:ascii="宋体" w:eastAsia="宋体" w:hAnsi="宋体" w:cs="宋体"/>
          <w:vanish/>
        </w:rPr>
        <w:t>fessionalVisualizationMember2020-04-272020-07-260001045810nvda:ProfessionalVisualizationMember2019-04-292019-07-280001045810nvda:ProfessionalVisualizationMember2020-01-272020-07-260001045810nvda:ProfessionalVisualizationMember2019-01-282019-07-280001045810</w:t>
      </w:r>
      <w:r>
        <w:rPr>
          <w:rFonts w:ascii="宋体" w:eastAsia="宋体" w:hAnsi="宋体" w:cs="宋体"/>
          <w:vanish/>
        </w:rPr>
        <w:t>nvda:DataCenterMember2020-04-272020-07-260001045810nvda:DataCenterMember2019-04-292019-07-280001045810nvda:DataCenterMember2020-01-272020-07-260001045810nvda:DataCenterMember2019-01-282019-07-280001045810nvda:AutomotiveMember2020-04-272020-07-260001045810n</w:t>
      </w:r>
      <w:r>
        <w:rPr>
          <w:rFonts w:ascii="宋体" w:eastAsia="宋体" w:hAnsi="宋体" w:cs="宋体"/>
          <w:vanish/>
        </w:rPr>
        <w:t>vda:AutomotiveMember2019-04-292019-07-280001045810nvda:AutomotiveMember2020-01-272020-07-260001045810nvda:AutomotiveMember2019-01-282019-07-280001045810nvda:OEMAndOtherMember2020-04-272020-07-260001045810nvda:OEMAndOtherMember2019-04-292019-07-280001045810</w:t>
      </w:r>
      <w:r>
        <w:rPr>
          <w:rFonts w:ascii="宋体" w:eastAsia="宋体" w:hAnsi="宋体" w:cs="宋体"/>
          <w:vanish/>
        </w:rPr>
        <w:t>nvda:OEMAndOtherMember2020-01-272020-07-260001045810nvda:OEMAndOtherMember2019-01-282019-07-280001045810nvda:CustomerOneMemberus-gaap:CustomerConcentrationRiskMembernvda:GraphicsMemberus-gaap:SalesRevenueNetMember2019-04-292019-07-280001045810nvda:Customer</w:t>
      </w:r>
      <w:r>
        <w:rPr>
          <w:rFonts w:ascii="宋体" w:eastAsia="宋体" w:hAnsi="宋体" w:cs="宋体"/>
          <w:vanish/>
        </w:rPr>
        <w:t>OneMemberus-gaap:CustomerConcentrationRiskMembernvda:GraphicsMemberus-gaap:SalesRevenueNetMember2019-01-282019-07-280001045810nvda:CustomerOneMemberus-gaap:CustomerConcentrationRiskMemberus-gaap:AccountsReceivableMember2020-01-272020-07-260001045810nvda:Cu</w:t>
      </w:r>
      <w:r>
        <w:rPr>
          <w:rFonts w:ascii="宋体" w:eastAsia="宋体" w:hAnsi="宋体" w:cs="宋体"/>
          <w:vanish/>
        </w:rPr>
        <w:t>stomerOneMemberus-gaap:CustomerConcentrationRiskMemberus-gaap:AccountsReceivableMember2019-01-282020-01-2600010458102019-01-282020-01-260001045810nvda:GraphicsMember2020-07-260001045810nvda:ComputeAndNetworkingMember2020-07-260001045810nvda:ComputeAndNetwo</w:t>
      </w:r>
      <w:r>
        <w:rPr>
          <w:rFonts w:ascii="宋体" w:eastAsia="宋体" w:hAnsi="宋体" w:cs="宋体"/>
          <w:vanish/>
        </w:rPr>
        <w:t>rkingMemberus-gaap:SeriesOfIndividuallyImmaterialBusinessAcquisitionsMember2020-04-272020-07-26</w:t>
      </w:r>
    </w:p>
    <w:p w14:paraId="0D8DDC67" w14:textId="77777777" w:rsidR="004C2197" w:rsidRDefault="004C2197">
      <w:pPr>
        <w:spacing w:after="180"/>
        <w:jc w:val="both"/>
      </w:pPr>
    </w:p>
    <w:p w14:paraId="0D8DDC68" w14:textId="77777777" w:rsidR="004C2197" w:rsidRDefault="00863B83">
      <w:pPr>
        <w:jc w:val="center"/>
      </w:pPr>
      <w:r>
        <w:rPr>
          <w:rFonts w:ascii="sans-serif" w:eastAsia="sans-serif" w:hAnsi="sans-serif" w:cs="sans-serif"/>
          <w:b/>
          <w:bCs/>
          <w:color w:val="000000"/>
          <w:sz w:val="18"/>
          <w:szCs w:val="18"/>
        </w:rPr>
        <w:t>UNITED STATES</w:t>
      </w:r>
    </w:p>
    <w:p w14:paraId="0D8DDC69" w14:textId="77777777" w:rsidR="004C2197" w:rsidRDefault="00863B83">
      <w:pPr>
        <w:jc w:val="center"/>
      </w:pPr>
      <w:r>
        <w:rPr>
          <w:rFonts w:ascii="sans-serif" w:eastAsia="sans-serif" w:hAnsi="sans-serif" w:cs="sans-serif"/>
          <w:b/>
          <w:bCs/>
          <w:color w:val="000000"/>
          <w:sz w:val="18"/>
          <w:szCs w:val="18"/>
        </w:rPr>
        <w:t>SECURITIES AND EXCHANGE COMMISSION</w:t>
      </w:r>
    </w:p>
    <w:p w14:paraId="0D8DDC6A" w14:textId="77777777" w:rsidR="004C2197" w:rsidRDefault="00863B83">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4C2197" w14:paraId="0D8DDC6E" w14:textId="77777777">
        <w:trPr>
          <w:jc w:val="center"/>
        </w:trPr>
        <w:tc>
          <w:tcPr>
            <w:tcW w:w="50" w:type="pct"/>
            <w:shd w:val="clear" w:color="auto" w:fill="auto"/>
          </w:tcPr>
          <w:p w14:paraId="0D8DDC6B" w14:textId="77777777" w:rsidR="004C2197" w:rsidRDefault="004C2197">
            <w:pPr>
              <w:rPr>
                <w:rFonts w:ascii="宋体"/>
              </w:rPr>
            </w:pPr>
          </w:p>
        </w:tc>
        <w:tc>
          <w:tcPr>
            <w:tcW w:w="4945" w:type="pct"/>
            <w:shd w:val="clear" w:color="auto" w:fill="auto"/>
          </w:tcPr>
          <w:p w14:paraId="0D8DDC6C" w14:textId="77777777" w:rsidR="004C2197" w:rsidRDefault="004C2197">
            <w:pPr>
              <w:rPr>
                <w:rFonts w:ascii="宋体"/>
              </w:rPr>
            </w:pPr>
          </w:p>
        </w:tc>
        <w:tc>
          <w:tcPr>
            <w:tcW w:w="5" w:type="pct"/>
            <w:shd w:val="clear" w:color="auto" w:fill="auto"/>
          </w:tcPr>
          <w:p w14:paraId="0D8DDC6D" w14:textId="77777777" w:rsidR="004C2197" w:rsidRDefault="004C2197">
            <w:pPr>
              <w:rPr>
                <w:rFonts w:ascii="宋体"/>
              </w:rPr>
            </w:pPr>
          </w:p>
        </w:tc>
      </w:tr>
      <w:tr w:rsidR="004C2197" w14:paraId="0D8DDC70" w14:textId="77777777">
        <w:trPr>
          <w:trHeight w:val="60"/>
          <w:jc w:val="center"/>
        </w:trPr>
        <w:tc>
          <w:tcPr>
            <w:tcW w:w="0" w:type="auto"/>
            <w:gridSpan w:val="3"/>
            <w:tcBorders>
              <w:bottom w:val="single" w:sz="8" w:space="0" w:color="000000"/>
            </w:tcBorders>
            <w:shd w:val="clear" w:color="auto" w:fill="auto"/>
            <w:tcMar>
              <w:left w:w="20" w:type="dxa"/>
              <w:right w:w="20" w:type="dxa"/>
            </w:tcMar>
            <w:vAlign w:val="bottom"/>
          </w:tcPr>
          <w:p w14:paraId="0D8DDC6F" w14:textId="77777777" w:rsidR="004C2197" w:rsidRDefault="004C2197">
            <w:pPr>
              <w:rPr>
                <w:rFonts w:ascii="宋体"/>
              </w:rPr>
            </w:pPr>
          </w:p>
        </w:tc>
      </w:tr>
    </w:tbl>
    <w:p w14:paraId="0D8DDC71" w14:textId="77777777" w:rsidR="004C2197" w:rsidRDefault="00863B83">
      <w:pPr>
        <w:jc w:val="center"/>
      </w:pPr>
      <w:r>
        <w:rPr>
          <w:rFonts w:ascii="sans-serif" w:eastAsia="sans-serif" w:hAnsi="sans-serif" w:cs="sans-serif"/>
          <w:b/>
          <w:bCs/>
          <w:color w:val="000000"/>
          <w:sz w:val="28"/>
          <w:szCs w:val="28"/>
        </w:rPr>
        <w:t xml:space="preserve">FORM 10-Q </w:t>
      </w:r>
    </w:p>
    <w:tbl>
      <w:tblPr>
        <w:tblW w:w="4743" w:type="pct"/>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4C2197" w14:paraId="0D8DDC78" w14:textId="77777777">
        <w:tc>
          <w:tcPr>
            <w:tcW w:w="50" w:type="pct"/>
            <w:shd w:val="clear" w:color="auto" w:fill="auto"/>
          </w:tcPr>
          <w:p w14:paraId="0D8DDC72" w14:textId="77777777" w:rsidR="004C2197" w:rsidRDefault="004C2197">
            <w:pPr>
              <w:rPr>
                <w:rFonts w:ascii="宋体"/>
              </w:rPr>
            </w:pPr>
          </w:p>
        </w:tc>
        <w:tc>
          <w:tcPr>
            <w:tcW w:w="120" w:type="pct"/>
            <w:shd w:val="clear" w:color="auto" w:fill="auto"/>
          </w:tcPr>
          <w:p w14:paraId="0D8DDC73" w14:textId="77777777" w:rsidR="004C2197" w:rsidRDefault="004C2197">
            <w:pPr>
              <w:rPr>
                <w:rFonts w:ascii="宋体"/>
              </w:rPr>
            </w:pPr>
          </w:p>
        </w:tc>
        <w:tc>
          <w:tcPr>
            <w:tcW w:w="5" w:type="pct"/>
            <w:shd w:val="clear" w:color="auto" w:fill="auto"/>
          </w:tcPr>
          <w:p w14:paraId="0D8DDC74" w14:textId="77777777" w:rsidR="004C2197" w:rsidRDefault="004C2197">
            <w:pPr>
              <w:rPr>
                <w:rFonts w:ascii="宋体"/>
              </w:rPr>
            </w:pPr>
          </w:p>
        </w:tc>
        <w:tc>
          <w:tcPr>
            <w:tcW w:w="50" w:type="pct"/>
            <w:shd w:val="clear" w:color="auto" w:fill="auto"/>
          </w:tcPr>
          <w:p w14:paraId="0D8DDC75" w14:textId="77777777" w:rsidR="004C2197" w:rsidRDefault="004C2197">
            <w:pPr>
              <w:rPr>
                <w:rFonts w:ascii="宋体"/>
              </w:rPr>
            </w:pPr>
          </w:p>
        </w:tc>
        <w:tc>
          <w:tcPr>
            <w:tcW w:w="4769" w:type="pct"/>
            <w:shd w:val="clear" w:color="auto" w:fill="auto"/>
          </w:tcPr>
          <w:p w14:paraId="0D8DDC76" w14:textId="77777777" w:rsidR="004C2197" w:rsidRDefault="004C2197">
            <w:pPr>
              <w:rPr>
                <w:rFonts w:ascii="宋体"/>
              </w:rPr>
            </w:pPr>
          </w:p>
        </w:tc>
        <w:tc>
          <w:tcPr>
            <w:tcW w:w="5" w:type="pct"/>
            <w:shd w:val="clear" w:color="auto" w:fill="auto"/>
          </w:tcPr>
          <w:p w14:paraId="0D8DDC77" w14:textId="77777777" w:rsidR="004C2197" w:rsidRDefault="004C2197">
            <w:pPr>
              <w:rPr>
                <w:rFonts w:ascii="宋体"/>
              </w:rPr>
            </w:pPr>
          </w:p>
        </w:tc>
      </w:tr>
      <w:tr w:rsidR="004C2197" w14:paraId="0D8DDC7B" w14:textId="77777777">
        <w:tc>
          <w:tcPr>
            <w:tcW w:w="0" w:type="auto"/>
            <w:gridSpan w:val="3"/>
            <w:shd w:val="clear" w:color="auto" w:fill="auto"/>
            <w:tcMar>
              <w:top w:w="40" w:type="dxa"/>
              <w:left w:w="20" w:type="dxa"/>
              <w:bottom w:w="40" w:type="dxa"/>
              <w:right w:w="20" w:type="dxa"/>
            </w:tcMar>
          </w:tcPr>
          <w:p w14:paraId="0D8DDC79" w14:textId="77777777" w:rsidR="004C2197" w:rsidRDefault="00863B83">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0D8DDC7A" w14:textId="77777777" w:rsidR="004C2197" w:rsidRDefault="00863B83">
            <w:pPr>
              <w:textAlignment w:val="top"/>
            </w:pPr>
            <w:r>
              <w:rPr>
                <w:rFonts w:ascii="sans-serif" w:eastAsia="sans-serif" w:hAnsi="sans-serif" w:cs="sans-serif"/>
                <w:b/>
                <w:bCs/>
                <w:color w:val="000000"/>
                <w:sz w:val="18"/>
                <w:szCs w:val="18"/>
              </w:rPr>
              <w:t xml:space="preserve">QUARTERLY REPORT PURSUANT TO SECTION 13 OR 15(d) OF THE </w:t>
            </w:r>
            <w:r>
              <w:rPr>
                <w:rFonts w:ascii="sans-serif" w:eastAsia="sans-serif" w:hAnsi="sans-serif" w:cs="sans-serif"/>
                <w:b/>
                <w:bCs/>
                <w:color w:val="000000"/>
                <w:sz w:val="18"/>
                <w:szCs w:val="18"/>
              </w:rPr>
              <w:t>SECURITIES EXCHANGE ACT OF 1934</w:t>
            </w:r>
          </w:p>
        </w:tc>
      </w:tr>
    </w:tbl>
    <w:p w14:paraId="0D8DDC7C" w14:textId="77777777" w:rsidR="004C2197" w:rsidRDefault="00863B83">
      <w:pPr>
        <w:ind w:firstLine="450"/>
        <w:jc w:val="both"/>
      </w:pPr>
      <w:r>
        <w:rPr>
          <w:rFonts w:ascii="sans-serif" w:eastAsia="sans-serif" w:hAnsi="sans-serif" w:cs="sans-serif"/>
          <w:b/>
          <w:bCs/>
          <w:color w:val="000000"/>
          <w:sz w:val="18"/>
          <w:szCs w:val="18"/>
        </w:rPr>
        <w:t xml:space="preserve">For the quarterly period ended July 26, 2020 </w:t>
      </w:r>
    </w:p>
    <w:p w14:paraId="0D8DDC7D" w14:textId="77777777" w:rsidR="004C2197" w:rsidRDefault="00863B83">
      <w:pPr>
        <w:jc w:val="center"/>
      </w:pPr>
      <w:r>
        <w:rPr>
          <w:rFonts w:ascii="sans-serif" w:eastAsia="sans-serif" w:hAnsi="sans-serif" w:cs="sans-serif"/>
          <w:b/>
          <w:bCs/>
          <w:color w:val="000000"/>
          <w:sz w:val="18"/>
          <w:szCs w:val="18"/>
        </w:rPr>
        <w:t>OR</w:t>
      </w:r>
    </w:p>
    <w:tbl>
      <w:tblPr>
        <w:tblW w:w="4743" w:type="pct"/>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4C2197" w14:paraId="0D8DDC84" w14:textId="77777777">
        <w:tc>
          <w:tcPr>
            <w:tcW w:w="50" w:type="pct"/>
            <w:shd w:val="clear" w:color="auto" w:fill="auto"/>
          </w:tcPr>
          <w:p w14:paraId="0D8DDC7E" w14:textId="77777777" w:rsidR="004C2197" w:rsidRDefault="004C2197">
            <w:pPr>
              <w:rPr>
                <w:rFonts w:ascii="宋体"/>
              </w:rPr>
            </w:pPr>
          </w:p>
        </w:tc>
        <w:tc>
          <w:tcPr>
            <w:tcW w:w="120" w:type="pct"/>
            <w:shd w:val="clear" w:color="auto" w:fill="auto"/>
          </w:tcPr>
          <w:p w14:paraId="0D8DDC7F" w14:textId="77777777" w:rsidR="004C2197" w:rsidRDefault="004C2197">
            <w:pPr>
              <w:rPr>
                <w:rFonts w:ascii="宋体"/>
              </w:rPr>
            </w:pPr>
          </w:p>
        </w:tc>
        <w:tc>
          <w:tcPr>
            <w:tcW w:w="5" w:type="pct"/>
            <w:shd w:val="clear" w:color="auto" w:fill="auto"/>
          </w:tcPr>
          <w:p w14:paraId="0D8DDC80" w14:textId="77777777" w:rsidR="004C2197" w:rsidRDefault="004C2197">
            <w:pPr>
              <w:rPr>
                <w:rFonts w:ascii="宋体"/>
              </w:rPr>
            </w:pPr>
          </w:p>
        </w:tc>
        <w:tc>
          <w:tcPr>
            <w:tcW w:w="50" w:type="pct"/>
            <w:shd w:val="clear" w:color="auto" w:fill="auto"/>
          </w:tcPr>
          <w:p w14:paraId="0D8DDC81" w14:textId="77777777" w:rsidR="004C2197" w:rsidRDefault="004C2197">
            <w:pPr>
              <w:rPr>
                <w:rFonts w:ascii="宋体"/>
              </w:rPr>
            </w:pPr>
          </w:p>
        </w:tc>
        <w:tc>
          <w:tcPr>
            <w:tcW w:w="4769" w:type="pct"/>
            <w:shd w:val="clear" w:color="auto" w:fill="auto"/>
          </w:tcPr>
          <w:p w14:paraId="0D8DDC82" w14:textId="77777777" w:rsidR="004C2197" w:rsidRDefault="004C2197">
            <w:pPr>
              <w:rPr>
                <w:rFonts w:ascii="宋体"/>
              </w:rPr>
            </w:pPr>
          </w:p>
        </w:tc>
        <w:tc>
          <w:tcPr>
            <w:tcW w:w="5" w:type="pct"/>
            <w:shd w:val="clear" w:color="auto" w:fill="auto"/>
          </w:tcPr>
          <w:p w14:paraId="0D8DDC83" w14:textId="77777777" w:rsidR="004C2197" w:rsidRDefault="004C2197">
            <w:pPr>
              <w:rPr>
                <w:rFonts w:ascii="宋体"/>
              </w:rPr>
            </w:pPr>
          </w:p>
        </w:tc>
      </w:tr>
      <w:tr w:rsidR="004C2197" w14:paraId="0D8DDC87" w14:textId="77777777">
        <w:tc>
          <w:tcPr>
            <w:tcW w:w="0" w:type="auto"/>
            <w:gridSpan w:val="3"/>
            <w:shd w:val="clear" w:color="auto" w:fill="auto"/>
            <w:tcMar>
              <w:top w:w="40" w:type="dxa"/>
              <w:left w:w="20" w:type="dxa"/>
              <w:bottom w:w="40" w:type="dxa"/>
              <w:right w:w="20" w:type="dxa"/>
            </w:tcMar>
          </w:tcPr>
          <w:p w14:paraId="0D8DDC85" w14:textId="77777777" w:rsidR="004C2197" w:rsidRDefault="00863B83">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0D8DDC86" w14:textId="77777777" w:rsidR="004C2197" w:rsidRDefault="00863B83">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0D8DDC88" w14:textId="77777777" w:rsidR="004C2197" w:rsidRDefault="00863B83">
      <w:pPr>
        <w:jc w:val="center"/>
      </w:pPr>
      <w:r>
        <w:rPr>
          <w:rFonts w:ascii="sans-serif" w:eastAsia="sans-serif" w:hAnsi="sans-serif" w:cs="sans-serif"/>
          <w:b/>
          <w:bCs/>
          <w:color w:val="000000"/>
          <w:sz w:val="16"/>
          <w:szCs w:val="16"/>
        </w:rPr>
        <w:t xml:space="preserve">Commission file number: 0-23985 </w:t>
      </w:r>
    </w:p>
    <w:p w14:paraId="0D8DDC89" w14:textId="77777777" w:rsidR="004C2197" w:rsidRDefault="00863B83">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Viewer9_files/nvda-20200726_g1.jpg"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8E0CA3" wp14:editId="0D8E0CA4">
            <wp:extent cx="304800" cy="304800"/>
            <wp:effectExtent l="0" t="0" r="0" b="0"/>
            <wp:docPr id="2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8DDC8A" w14:textId="77777777" w:rsidR="004C2197" w:rsidRDefault="004C2197">
      <w:pPr>
        <w:jc w:val="center"/>
      </w:pPr>
    </w:p>
    <w:p w14:paraId="0D8DDC8B" w14:textId="77777777" w:rsidR="004C2197" w:rsidRDefault="00863B83">
      <w:pPr>
        <w:jc w:val="center"/>
      </w:pPr>
      <w:r>
        <w:rPr>
          <w:rFonts w:ascii="sans-serif" w:eastAsia="sans-serif" w:hAnsi="sans-serif" w:cs="sans-serif"/>
          <w:b/>
          <w:bCs/>
          <w:color w:val="000000"/>
          <w:sz w:val="28"/>
          <w:szCs w:val="28"/>
        </w:rPr>
        <w:t>NVIDIA CORPORATION</w:t>
      </w:r>
    </w:p>
    <w:p w14:paraId="0D8DDC8C" w14:textId="77777777" w:rsidR="004C2197" w:rsidRDefault="00863B83">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4C2197" w14:paraId="0D8DDC93" w14:textId="77777777">
        <w:trPr>
          <w:jc w:val="center"/>
        </w:trPr>
        <w:tc>
          <w:tcPr>
            <w:tcW w:w="50" w:type="pct"/>
            <w:shd w:val="clear" w:color="auto" w:fill="auto"/>
          </w:tcPr>
          <w:p w14:paraId="0D8DDC8D" w14:textId="77777777" w:rsidR="004C2197" w:rsidRDefault="004C2197">
            <w:pPr>
              <w:rPr>
                <w:rFonts w:ascii="宋体"/>
              </w:rPr>
            </w:pPr>
          </w:p>
        </w:tc>
        <w:tc>
          <w:tcPr>
            <w:tcW w:w="2445" w:type="pct"/>
            <w:shd w:val="clear" w:color="auto" w:fill="auto"/>
          </w:tcPr>
          <w:p w14:paraId="0D8DDC8E" w14:textId="77777777" w:rsidR="004C2197" w:rsidRDefault="004C2197">
            <w:pPr>
              <w:rPr>
                <w:rFonts w:ascii="宋体"/>
              </w:rPr>
            </w:pPr>
          </w:p>
        </w:tc>
        <w:tc>
          <w:tcPr>
            <w:tcW w:w="5" w:type="pct"/>
            <w:shd w:val="clear" w:color="auto" w:fill="auto"/>
          </w:tcPr>
          <w:p w14:paraId="0D8DDC8F" w14:textId="77777777" w:rsidR="004C2197" w:rsidRDefault="004C2197">
            <w:pPr>
              <w:rPr>
                <w:rFonts w:ascii="宋体"/>
              </w:rPr>
            </w:pPr>
          </w:p>
        </w:tc>
        <w:tc>
          <w:tcPr>
            <w:tcW w:w="50" w:type="pct"/>
            <w:shd w:val="clear" w:color="auto" w:fill="auto"/>
          </w:tcPr>
          <w:p w14:paraId="0D8DDC90" w14:textId="77777777" w:rsidR="004C2197" w:rsidRDefault="004C2197">
            <w:pPr>
              <w:rPr>
                <w:rFonts w:ascii="宋体"/>
              </w:rPr>
            </w:pPr>
          </w:p>
        </w:tc>
        <w:tc>
          <w:tcPr>
            <w:tcW w:w="2445" w:type="pct"/>
            <w:shd w:val="clear" w:color="auto" w:fill="auto"/>
          </w:tcPr>
          <w:p w14:paraId="0D8DDC91" w14:textId="77777777" w:rsidR="004C2197" w:rsidRDefault="004C2197">
            <w:pPr>
              <w:rPr>
                <w:rFonts w:ascii="宋体"/>
              </w:rPr>
            </w:pPr>
          </w:p>
        </w:tc>
        <w:tc>
          <w:tcPr>
            <w:tcW w:w="5" w:type="pct"/>
            <w:shd w:val="clear" w:color="auto" w:fill="auto"/>
          </w:tcPr>
          <w:p w14:paraId="0D8DDC92" w14:textId="77777777" w:rsidR="004C2197" w:rsidRDefault="004C2197">
            <w:pPr>
              <w:rPr>
                <w:rFonts w:ascii="宋体"/>
              </w:rPr>
            </w:pPr>
          </w:p>
        </w:tc>
      </w:tr>
      <w:tr w:rsidR="004C2197" w14:paraId="0D8DDC96" w14:textId="77777777">
        <w:trPr>
          <w:jc w:val="center"/>
        </w:trPr>
        <w:tc>
          <w:tcPr>
            <w:tcW w:w="0" w:type="auto"/>
            <w:gridSpan w:val="3"/>
            <w:shd w:val="clear" w:color="auto" w:fill="auto"/>
            <w:tcMar>
              <w:top w:w="40" w:type="dxa"/>
              <w:left w:w="20" w:type="dxa"/>
              <w:bottom w:w="40" w:type="dxa"/>
              <w:right w:w="20" w:type="dxa"/>
            </w:tcMar>
          </w:tcPr>
          <w:p w14:paraId="0D8DDC94" w14:textId="77777777" w:rsidR="004C2197" w:rsidRDefault="00863B83">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0D8DDC95" w14:textId="77777777" w:rsidR="004C2197" w:rsidRDefault="00863B83">
            <w:pPr>
              <w:jc w:val="center"/>
              <w:textAlignment w:val="top"/>
            </w:pPr>
            <w:r>
              <w:rPr>
                <w:rFonts w:ascii="sans-serif" w:eastAsia="sans-serif" w:hAnsi="sans-serif" w:cs="sans-serif"/>
                <w:b/>
                <w:bCs/>
                <w:color w:val="000000"/>
                <w:sz w:val="18"/>
                <w:szCs w:val="18"/>
              </w:rPr>
              <w:t>94-3177549</w:t>
            </w:r>
          </w:p>
        </w:tc>
      </w:tr>
      <w:tr w:rsidR="004C2197" w14:paraId="0D8DDC99" w14:textId="77777777">
        <w:trPr>
          <w:jc w:val="center"/>
        </w:trPr>
        <w:tc>
          <w:tcPr>
            <w:tcW w:w="0" w:type="auto"/>
            <w:gridSpan w:val="3"/>
            <w:shd w:val="clear" w:color="auto" w:fill="auto"/>
            <w:tcMar>
              <w:top w:w="40" w:type="dxa"/>
              <w:left w:w="20" w:type="dxa"/>
              <w:bottom w:w="40" w:type="dxa"/>
              <w:right w:w="20" w:type="dxa"/>
            </w:tcMar>
          </w:tcPr>
          <w:p w14:paraId="0D8DDC97" w14:textId="77777777" w:rsidR="004C2197" w:rsidRDefault="00863B83">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0D8DDC98" w14:textId="77777777" w:rsidR="004C2197" w:rsidRDefault="00863B83">
            <w:pPr>
              <w:jc w:val="center"/>
              <w:textAlignment w:val="top"/>
            </w:pPr>
            <w:r>
              <w:rPr>
                <w:rFonts w:ascii="sans-serif" w:eastAsia="sans-serif" w:hAnsi="sans-serif" w:cs="sans-serif"/>
                <w:b/>
                <w:bCs/>
                <w:color w:val="000000"/>
                <w:sz w:val="18"/>
                <w:szCs w:val="18"/>
              </w:rPr>
              <w:t>(I.R.S. Employer</w:t>
            </w:r>
          </w:p>
        </w:tc>
      </w:tr>
      <w:tr w:rsidR="004C2197" w14:paraId="0D8DDC9C" w14:textId="77777777">
        <w:trPr>
          <w:jc w:val="center"/>
        </w:trPr>
        <w:tc>
          <w:tcPr>
            <w:tcW w:w="0" w:type="auto"/>
            <w:gridSpan w:val="3"/>
            <w:shd w:val="clear" w:color="auto" w:fill="auto"/>
            <w:tcMar>
              <w:top w:w="40" w:type="dxa"/>
              <w:left w:w="20" w:type="dxa"/>
              <w:bottom w:w="40" w:type="dxa"/>
              <w:right w:w="20" w:type="dxa"/>
            </w:tcMar>
          </w:tcPr>
          <w:p w14:paraId="0D8DDC9A" w14:textId="77777777" w:rsidR="004C2197" w:rsidRDefault="00863B83">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0D8DDC9B" w14:textId="77777777" w:rsidR="004C2197" w:rsidRDefault="00863B83">
            <w:pPr>
              <w:jc w:val="center"/>
              <w:textAlignment w:val="top"/>
            </w:pPr>
            <w:r>
              <w:rPr>
                <w:rFonts w:ascii="sans-serif" w:eastAsia="sans-serif" w:hAnsi="sans-serif" w:cs="sans-serif"/>
                <w:b/>
                <w:bCs/>
                <w:color w:val="000000"/>
                <w:sz w:val="18"/>
                <w:szCs w:val="18"/>
              </w:rPr>
              <w:t>Identification No.)</w:t>
            </w:r>
          </w:p>
        </w:tc>
      </w:tr>
    </w:tbl>
    <w:p w14:paraId="0D8DDC9D" w14:textId="77777777" w:rsidR="004C2197" w:rsidRDefault="00863B83">
      <w:pPr>
        <w:jc w:val="center"/>
      </w:pPr>
      <w:r>
        <w:rPr>
          <w:rFonts w:ascii="sans-serif" w:eastAsia="sans-serif" w:hAnsi="sans-serif" w:cs="sans-serif"/>
          <w:b/>
          <w:bCs/>
          <w:color w:val="000000"/>
          <w:sz w:val="18"/>
          <w:szCs w:val="18"/>
        </w:rPr>
        <w:t xml:space="preserve">2788 San Tomas Expressway </w:t>
      </w:r>
    </w:p>
    <w:p w14:paraId="0D8DDC9E" w14:textId="77777777" w:rsidR="004C2197" w:rsidRDefault="00863B83">
      <w:pPr>
        <w:jc w:val="center"/>
      </w:pPr>
      <w:r>
        <w:rPr>
          <w:rFonts w:ascii="sans-serif" w:eastAsia="sans-serif" w:hAnsi="sans-serif" w:cs="sans-serif"/>
          <w:b/>
          <w:bCs/>
          <w:color w:val="000000"/>
          <w:sz w:val="18"/>
          <w:szCs w:val="18"/>
        </w:rPr>
        <w:t xml:space="preserve">Santa Clara, California 95051 </w:t>
      </w:r>
    </w:p>
    <w:p w14:paraId="0D8DDC9F" w14:textId="77777777" w:rsidR="004C2197" w:rsidRDefault="00863B83">
      <w:pPr>
        <w:jc w:val="center"/>
      </w:pPr>
      <w:r>
        <w:rPr>
          <w:rFonts w:ascii="sans-serif" w:eastAsia="sans-serif" w:hAnsi="sans-serif" w:cs="sans-serif"/>
          <w:b/>
          <w:bCs/>
          <w:color w:val="000000"/>
          <w:sz w:val="18"/>
          <w:szCs w:val="18"/>
        </w:rPr>
        <w:t xml:space="preserve">(408) 486-2000 </w:t>
      </w:r>
    </w:p>
    <w:p w14:paraId="0D8DDCA0" w14:textId="77777777" w:rsidR="004C2197" w:rsidRDefault="00863B83">
      <w:pPr>
        <w:jc w:val="center"/>
      </w:pPr>
      <w:r>
        <w:rPr>
          <w:rFonts w:ascii="sans-serif" w:eastAsia="sans-serif" w:hAnsi="sans-serif" w:cs="sans-serif"/>
          <w:b/>
          <w:bCs/>
          <w:color w:val="000000"/>
          <w:sz w:val="16"/>
          <w:szCs w:val="16"/>
        </w:rPr>
        <w:t>(Address, including zip code, and telephone number,</w:t>
      </w:r>
    </w:p>
    <w:p w14:paraId="0D8DDCA1" w14:textId="77777777" w:rsidR="004C2197" w:rsidRDefault="00863B83">
      <w:pPr>
        <w:spacing w:after="180"/>
        <w:jc w:val="center"/>
      </w:pPr>
      <w:r>
        <w:rPr>
          <w:rFonts w:ascii="sans-serif" w:eastAsia="sans-serif" w:hAnsi="sans-serif" w:cs="sans-serif"/>
          <w:b/>
          <w:bCs/>
          <w:color w:val="000000"/>
          <w:sz w:val="16"/>
          <w:szCs w:val="16"/>
        </w:rPr>
        <w:t>including area code, of principal executive offices)</w:t>
      </w:r>
    </w:p>
    <w:p w14:paraId="0D8DDCA2" w14:textId="77777777" w:rsidR="004C2197" w:rsidRDefault="00863B83">
      <w:pPr>
        <w:jc w:val="center"/>
      </w:pPr>
      <w:r>
        <w:rPr>
          <w:rFonts w:ascii="sans-serif" w:eastAsia="sans-serif" w:hAnsi="sans-serif" w:cs="sans-serif"/>
          <w:b/>
          <w:bCs/>
          <w:color w:val="000000"/>
          <w:sz w:val="16"/>
          <w:szCs w:val="16"/>
        </w:rPr>
        <w:t>N/A</w:t>
      </w:r>
    </w:p>
    <w:p w14:paraId="0D8DDCA3" w14:textId="77777777" w:rsidR="004C2197" w:rsidRDefault="00863B83">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0D8DDCA4" w14:textId="77777777" w:rsidR="004C2197" w:rsidRDefault="00863B83">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4C2197" w14:paraId="0D8DDCAE" w14:textId="77777777">
        <w:trPr>
          <w:jc w:val="center"/>
        </w:trPr>
        <w:tc>
          <w:tcPr>
            <w:tcW w:w="50" w:type="pct"/>
            <w:shd w:val="clear" w:color="auto" w:fill="auto"/>
          </w:tcPr>
          <w:p w14:paraId="0D8DDCA5" w14:textId="77777777" w:rsidR="004C2197" w:rsidRDefault="004C2197">
            <w:pPr>
              <w:rPr>
                <w:rFonts w:ascii="宋体"/>
              </w:rPr>
            </w:pPr>
          </w:p>
        </w:tc>
        <w:tc>
          <w:tcPr>
            <w:tcW w:w="1611" w:type="pct"/>
            <w:shd w:val="clear" w:color="auto" w:fill="auto"/>
          </w:tcPr>
          <w:p w14:paraId="0D8DDCA6" w14:textId="77777777" w:rsidR="004C2197" w:rsidRDefault="004C2197">
            <w:pPr>
              <w:rPr>
                <w:rFonts w:ascii="宋体"/>
              </w:rPr>
            </w:pPr>
          </w:p>
        </w:tc>
        <w:tc>
          <w:tcPr>
            <w:tcW w:w="5" w:type="pct"/>
            <w:shd w:val="clear" w:color="auto" w:fill="auto"/>
          </w:tcPr>
          <w:p w14:paraId="0D8DDCA7" w14:textId="77777777" w:rsidR="004C2197" w:rsidRDefault="004C2197">
            <w:pPr>
              <w:rPr>
                <w:rFonts w:ascii="宋体"/>
              </w:rPr>
            </w:pPr>
          </w:p>
        </w:tc>
        <w:tc>
          <w:tcPr>
            <w:tcW w:w="50" w:type="pct"/>
            <w:shd w:val="clear" w:color="auto" w:fill="auto"/>
          </w:tcPr>
          <w:p w14:paraId="0D8DDCA8" w14:textId="77777777" w:rsidR="004C2197" w:rsidRDefault="004C2197">
            <w:pPr>
              <w:rPr>
                <w:rFonts w:ascii="宋体"/>
              </w:rPr>
            </w:pPr>
          </w:p>
        </w:tc>
        <w:tc>
          <w:tcPr>
            <w:tcW w:w="1535" w:type="pct"/>
            <w:shd w:val="clear" w:color="auto" w:fill="auto"/>
          </w:tcPr>
          <w:p w14:paraId="0D8DDCA9" w14:textId="77777777" w:rsidR="004C2197" w:rsidRDefault="004C2197">
            <w:pPr>
              <w:rPr>
                <w:rFonts w:ascii="宋体"/>
              </w:rPr>
            </w:pPr>
          </w:p>
        </w:tc>
        <w:tc>
          <w:tcPr>
            <w:tcW w:w="5" w:type="pct"/>
            <w:shd w:val="clear" w:color="auto" w:fill="auto"/>
          </w:tcPr>
          <w:p w14:paraId="0D8DDCAA" w14:textId="77777777" w:rsidR="004C2197" w:rsidRDefault="004C2197">
            <w:pPr>
              <w:rPr>
                <w:rFonts w:ascii="宋体"/>
              </w:rPr>
            </w:pPr>
          </w:p>
        </w:tc>
        <w:tc>
          <w:tcPr>
            <w:tcW w:w="50" w:type="pct"/>
            <w:shd w:val="clear" w:color="auto" w:fill="auto"/>
          </w:tcPr>
          <w:p w14:paraId="0D8DDCAB" w14:textId="77777777" w:rsidR="004C2197" w:rsidRDefault="004C2197">
            <w:pPr>
              <w:rPr>
                <w:rFonts w:ascii="宋体"/>
              </w:rPr>
            </w:pPr>
          </w:p>
        </w:tc>
        <w:tc>
          <w:tcPr>
            <w:tcW w:w="1688" w:type="pct"/>
            <w:shd w:val="clear" w:color="auto" w:fill="auto"/>
          </w:tcPr>
          <w:p w14:paraId="0D8DDCAC" w14:textId="77777777" w:rsidR="004C2197" w:rsidRDefault="004C2197">
            <w:pPr>
              <w:rPr>
                <w:rFonts w:ascii="宋体"/>
              </w:rPr>
            </w:pPr>
          </w:p>
        </w:tc>
        <w:tc>
          <w:tcPr>
            <w:tcW w:w="5" w:type="pct"/>
            <w:shd w:val="clear" w:color="auto" w:fill="auto"/>
          </w:tcPr>
          <w:p w14:paraId="0D8DDCAD" w14:textId="77777777" w:rsidR="004C2197" w:rsidRDefault="004C2197">
            <w:pPr>
              <w:rPr>
                <w:rFonts w:ascii="宋体"/>
              </w:rPr>
            </w:pPr>
          </w:p>
        </w:tc>
      </w:tr>
      <w:tr w:rsidR="004C2197" w14:paraId="0D8DDCB2" w14:textId="77777777">
        <w:trPr>
          <w:jc w:val="center"/>
        </w:trPr>
        <w:tc>
          <w:tcPr>
            <w:tcW w:w="0" w:type="auto"/>
            <w:gridSpan w:val="3"/>
            <w:shd w:val="clear" w:color="auto" w:fill="auto"/>
            <w:tcMar>
              <w:top w:w="40" w:type="dxa"/>
              <w:left w:w="20" w:type="dxa"/>
              <w:bottom w:w="40" w:type="dxa"/>
              <w:right w:w="20" w:type="dxa"/>
            </w:tcMar>
            <w:vAlign w:val="bottom"/>
          </w:tcPr>
          <w:p w14:paraId="0D8DDCAF" w14:textId="77777777" w:rsidR="004C2197" w:rsidRDefault="00863B83">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0D8DDCB0" w14:textId="77777777" w:rsidR="004C2197" w:rsidRDefault="00863B83">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0D8DDCB1" w14:textId="77777777" w:rsidR="004C2197" w:rsidRDefault="00863B83">
            <w:pPr>
              <w:jc w:val="center"/>
              <w:textAlignment w:val="bottom"/>
            </w:pPr>
            <w:r>
              <w:rPr>
                <w:rFonts w:ascii="sans-serif" w:eastAsia="sans-serif" w:hAnsi="sans-serif" w:cs="sans-serif"/>
                <w:b/>
                <w:bCs/>
                <w:color w:val="000000"/>
                <w:sz w:val="18"/>
                <w:szCs w:val="18"/>
              </w:rPr>
              <w:t>Name of each exchange on which registered</w:t>
            </w:r>
          </w:p>
        </w:tc>
      </w:tr>
      <w:tr w:rsidR="004C2197" w14:paraId="0D8DDCB6" w14:textId="77777777">
        <w:trPr>
          <w:jc w:val="center"/>
        </w:trPr>
        <w:tc>
          <w:tcPr>
            <w:tcW w:w="0" w:type="auto"/>
            <w:gridSpan w:val="3"/>
            <w:shd w:val="clear" w:color="auto" w:fill="auto"/>
            <w:tcMar>
              <w:top w:w="40" w:type="dxa"/>
              <w:left w:w="20" w:type="dxa"/>
              <w:bottom w:w="40" w:type="dxa"/>
              <w:right w:w="20" w:type="dxa"/>
            </w:tcMar>
            <w:vAlign w:val="bottom"/>
          </w:tcPr>
          <w:p w14:paraId="0D8DDCB3" w14:textId="77777777" w:rsidR="004C2197" w:rsidRDefault="00863B83">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0D8DDCB4" w14:textId="77777777" w:rsidR="004C2197" w:rsidRDefault="00863B83">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0D8DDCB5" w14:textId="77777777" w:rsidR="004C2197" w:rsidRDefault="00863B83">
            <w:pPr>
              <w:jc w:val="center"/>
              <w:textAlignment w:val="bottom"/>
            </w:pPr>
            <w:r>
              <w:rPr>
                <w:rFonts w:ascii="sans-serif" w:eastAsia="sans-serif" w:hAnsi="sans-serif" w:cs="sans-serif"/>
                <w:color w:val="000000"/>
                <w:sz w:val="18"/>
                <w:szCs w:val="18"/>
              </w:rPr>
              <w:t>The Nasdaq Global Select Market</w:t>
            </w:r>
          </w:p>
        </w:tc>
      </w:tr>
    </w:tbl>
    <w:p w14:paraId="0D8DDCB7" w14:textId="77777777" w:rsidR="004C2197" w:rsidRDefault="00863B83">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0D8DDCB8" w14:textId="77777777" w:rsidR="004C2197" w:rsidRDefault="00863B83">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0D8DDCB9" w14:textId="77777777" w:rsidR="004C2197" w:rsidRDefault="00863B83">
      <w:pPr>
        <w:jc w:val="both"/>
      </w:pPr>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4C2197" w14:paraId="0D8DDCD8" w14:textId="77777777">
        <w:tc>
          <w:tcPr>
            <w:tcW w:w="50" w:type="pct"/>
            <w:shd w:val="clear" w:color="auto" w:fill="auto"/>
          </w:tcPr>
          <w:p w14:paraId="0D8DDCBA" w14:textId="77777777" w:rsidR="004C2197" w:rsidRDefault="004C2197">
            <w:pPr>
              <w:rPr>
                <w:rFonts w:ascii="宋体"/>
              </w:rPr>
            </w:pPr>
          </w:p>
        </w:tc>
        <w:tc>
          <w:tcPr>
            <w:tcW w:w="777" w:type="pct"/>
            <w:shd w:val="clear" w:color="auto" w:fill="auto"/>
          </w:tcPr>
          <w:p w14:paraId="0D8DDCBB" w14:textId="77777777" w:rsidR="004C2197" w:rsidRDefault="004C2197">
            <w:pPr>
              <w:rPr>
                <w:rFonts w:ascii="宋体"/>
              </w:rPr>
            </w:pPr>
          </w:p>
        </w:tc>
        <w:tc>
          <w:tcPr>
            <w:tcW w:w="5" w:type="pct"/>
            <w:shd w:val="clear" w:color="auto" w:fill="auto"/>
          </w:tcPr>
          <w:p w14:paraId="0D8DDCBC" w14:textId="77777777" w:rsidR="004C2197" w:rsidRDefault="004C2197">
            <w:pPr>
              <w:rPr>
                <w:rFonts w:ascii="宋体"/>
              </w:rPr>
            </w:pPr>
          </w:p>
        </w:tc>
        <w:tc>
          <w:tcPr>
            <w:tcW w:w="5" w:type="pct"/>
            <w:shd w:val="clear" w:color="auto" w:fill="auto"/>
          </w:tcPr>
          <w:p w14:paraId="0D8DDCBD" w14:textId="77777777" w:rsidR="004C2197" w:rsidRDefault="004C2197">
            <w:pPr>
              <w:rPr>
                <w:rFonts w:ascii="宋体"/>
              </w:rPr>
            </w:pPr>
          </w:p>
        </w:tc>
        <w:tc>
          <w:tcPr>
            <w:tcW w:w="121" w:type="pct"/>
            <w:shd w:val="clear" w:color="auto" w:fill="auto"/>
          </w:tcPr>
          <w:p w14:paraId="0D8DDCBE" w14:textId="77777777" w:rsidR="004C2197" w:rsidRDefault="004C2197">
            <w:pPr>
              <w:rPr>
                <w:rFonts w:ascii="宋体"/>
              </w:rPr>
            </w:pPr>
          </w:p>
        </w:tc>
        <w:tc>
          <w:tcPr>
            <w:tcW w:w="5" w:type="pct"/>
            <w:shd w:val="clear" w:color="auto" w:fill="auto"/>
          </w:tcPr>
          <w:p w14:paraId="0D8DDCBF" w14:textId="77777777" w:rsidR="004C2197" w:rsidRDefault="004C2197">
            <w:pPr>
              <w:rPr>
                <w:rFonts w:ascii="宋体"/>
              </w:rPr>
            </w:pPr>
          </w:p>
        </w:tc>
        <w:tc>
          <w:tcPr>
            <w:tcW w:w="50" w:type="pct"/>
            <w:shd w:val="clear" w:color="auto" w:fill="auto"/>
          </w:tcPr>
          <w:p w14:paraId="0D8DDCC0" w14:textId="77777777" w:rsidR="004C2197" w:rsidRDefault="004C2197">
            <w:pPr>
              <w:rPr>
                <w:rFonts w:ascii="宋体"/>
              </w:rPr>
            </w:pPr>
          </w:p>
        </w:tc>
        <w:tc>
          <w:tcPr>
            <w:tcW w:w="777" w:type="pct"/>
            <w:shd w:val="clear" w:color="auto" w:fill="auto"/>
          </w:tcPr>
          <w:p w14:paraId="0D8DDCC1" w14:textId="77777777" w:rsidR="004C2197" w:rsidRDefault="004C2197">
            <w:pPr>
              <w:rPr>
                <w:rFonts w:ascii="宋体"/>
              </w:rPr>
            </w:pPr>
          </w:p>
        </w:tc>
        <w:tc>
          <w:tcPr>
            <w:tcW w:w="5" w:type="pct"/>
            <w:shd w:val="clear" w:color="auto" w:fill="auto"/>
          </w:tcPr>
          <w:p w14:paraId="0D8DDCC2" w14:textId="77777777" w:rsidR="004C2197" w:rsidRDefault="004C2197">
            <w:pPr>
              <w:rPr>
                <w:rFonts w:ascii="宋体"/>
              </w:rPr>
            </w:pPr>
          </w:p>
        </w:tc>
        <w:tc>
          <w:tcPr>
            <w:tcW w:w="5" w:type="pct"/>
            <w:shd w:val="clear" w:color="auto" w:fill="auto"/>
          </w:tcPr>
          <w:p w14:paraId="0D8DDCC3" w14:textId="77777777" w:rsidR="004C2197" w:rsidRDefault="004C2197">
            <w:pPr>
              <w:rPr>
                <w:rFonts w:ascii="宋体"/>
              </w:rPr>
            </w:pPr>
          </w:p>
        </w:tc>
        <w:tc>
          <w:tcPr>
            <w:tcW w:w="121" w:type="pct"/>
            <w:shd w:val="clear" w:color="auto" w:fill="auto"/>
          </w:tcPr>
          <w:p w14:paraId="0D8DDCC4" w14:textId="77777777" w:rsidR="004C2197" w:rsidRDefault="004C2197">
            <w:pPr>
              <w:rPr>
                <w:rFonts w:ascii="宋体"/>
              </w:rPr>
            </w:pPr>
          </w:p>
        </w:tc>
        <w:tc>
          <w:tcPr>
            <w:tcW w:w="5" w:type="pct"/>
            <w:shd w:val="clear" w:color="auto" w:fill="auto"/>
          </w:tcPr>
          <w:p w14:paraId="0D8DDCC5" w14:textId="77777777" w:rsidR="004C2197" w:rsidRDefault="004C2197">
            <w:pPr>
              <w:rPr>
                <w:rFonts w:ascii="宋体"/>
              </w:rPr>
            </w:pPr>
          </w:p>
        </w:tc>
        <w:tc>
          <w:tcPr>
            <w:tcW w:w="50" w:type="pct"/>
            <w:shd w:val="clear" w:color="auto" w:fill="auto"/>
          </w:tcPr>
          <w:p w14:paraId="0D8DDCC6" w14:textId="77777777" w:rsidR="004C2197" w:rsidRDefault="004C2197">
            <w:pPr>
              <w:rPr>
                <w:rFonts w:ascii="宋体"/>
              </w:rPr>
            </w:pPr>
          </w:p>
        </w:tc>
        <w:tc>
          <w:tcPr>
            <w:tcW w:w="777" w:type="pct"/>
            <w:shd w:val="clear" w:color="auto" w:fill="auto"/>
          </w:tcPr>
          <w:p w14:paraId="0D8DDCC7" w14:textId="77777777" w:rsidR="004C2197" w:rsidRDefault="004C2197">
            <w:pPr>
              <w:rPr>
                <w:rFonts w:ascii="宋体"/>
              </w:rPr>
            </w:pPr>
          </w:p>
        </w:tc>
        <w:tc>
          <w:tcPr>
            <w:tcW w:w="5" w:type="pct"/>
            <w:shd w:val="clear" w:color="auto" w:fill="auto"/>
          </w:tcPr>
          <w:p w14:paraId="0D8DDCC8" w14:textId="77777777" w:rsidR="004C2197" w:rsidRDefault="004C2197">
            <w:pPr>
              <w:rPr>
                <w:rFonts w:ascii="宋体"/>
              </w:rPr>
            </w:pPr>
          </w:p>
        </w:tc>
        <w:tc>
          <w:tcPr>
            <w:tcW w:w="5" w:type="pct"/>
            <w:shd w:val="clear" w:color="auto" w:fill="auto"/>
          </w:tcPr>
          <w:p w14:paraId="0D8DDCC9" w14:textId="77777777" w:rsidR="004C2197" w:rsidRDefault="004C2197">
            <w:pPr>
              <w:rPr>
                <w:rFonts w:ascii="宋体"/>
              </w:rPr>
            </w:pPr>
          </w:p>
        </w:tc>
        <w:tc>
          <w:tcPr>
            <w:tcW w:w="121" w:type="pct"/>
            <w:shd w:val="clear" w:color="auto" w:fill="auto"/>
          </w:tcPr>
          <w:p w14:paraId="0D8DDCCA" w14:textId="77777777" w:rsidR="004C2197" w:rsidRDefault="004C2197">
            <w:pPr>
              <w:rPr>
                <w:rFonts w:ascii="宋体"/>
              </w:rPr>
            </w:pPr>
          </w:p>
        </w:tc>
        <w:tc>
          <w:tcPr>
            <w:tcW w:w="5" w:type="pct"/>
            <w:shd w:val="clear" w:color="auto" w:fill="auto"/>
          </w:tcPr>
          <w:p w14:paraId="0D8DDCCB" w14:textId="77777777" w:rsidR="004C2197" w:rsidRDefault="004C2197">
            <w:pPr>
              <w:rPr>
                <w:rFonts w:ascii="宋体"/>
              </w:rPr>
            </w:pPr>
          </w:p>
        </w:tc>
        <w:tc>
          <w:tcPr>
            <w:tcW w:w="50" w:type="pct"/>
            <w:shd w:val="clear" w:color="auto" w:fill="auto"/>
          </w:tcPr>
          <w:p w14:paraId="0D8DDCCC" w14:textId="77777777" w:rsidR="004C2197" w:rsidRDefault="004C2197">
            <w:pPr>
              <w:rPr>
                <w:rFonts w:ascii="宋体"/>
              </w:rPr>
            </w:pPr>
          </w:p>
        </w:tc>
        <w:tc>
          <w:tcPr>
            <w:tcW w:w="867" w:type="pct"/>
            <w:shd w:val="clear" w:color="auto" w:fill="auto"/>
          </w:tcPr>
          <w:p w14:paraId="0D8DDCCD" w14:textId="77777777" w:rsidR="004C2197" w:rsidRDefault="004C2197">
            <w:pPr>
              <w:rPr>
                <w:rFonts w:ascii="宋体"/>
              </w:rPr>
            </w:pPr>
          </w:p>
        </w:tc>
        <w:tc>
          <w:tcPr>
            <w:tcW w:w="5" w:type="pct"/>
            <w:shd w:val="clear" w:color="auto" w:fill="auto"/>
          </w:tcPr>
          <w:p w14:paraId="0D8DDCCE" w14:textId="77777777" w:rsidR="004C2197" w:rsidRDefault="004C2197">
            <w:pPr>
              <w:rPr>
                <w:rFonts w:ascii="宋体"/>
              </w:rPr>
            </w:pPr>
          </w:p>
        </w:tc>
        <w:tc>
          <w:tcPr>
            <w:tcW w:w="5" w:type="pct"/>
            <w:shd w:val="clear" w:color="auto" w:fill="auto"/>
          </w:tcPr>
          <w:p w14:paraId="0D8DDCCF" w14:textId="77777777" w:rsidR="004C2197" w:rsidRDefault="004C2197">
            <w:pPr>
              <w:rPr>
                <w:rFonts w:ascii="宋体"/>
              </w:rPr>
            </w:pPr>
          </w:p>
        </w:tc>
        <w:tc>
          <w:tcPr>
            <w:tcW w:w="121" w:type="pct"/>
            <w:shd w:val="clear" w:color="auto" w:fill="auto"/>
          </w:tcPr>
          <w:p w14:paraId="0D8DDCD0" w14:textId="77777777" w:rsidR="004C2197" w:rsidRDefault="004C2197">
            <w:pPr>
              <w:rPr>
                <w:rFonts w:ascii="宋体"/>
              </w:rPr>
            </w:pPr>
          </w:p>
        </w:tc>
        <w:tc>
          <w:tcPr>
            <w:tcW w:w="5" w:type="pct"/>
            <w:shd w:val="clear" w:color="auto" w:fill="auto"/>
          </w:tcPr>
          <w:p w14:paraId="0D8DDCD1" w14:textId="77777777" w:rsidR="004C2197" w:rsidRDefault="004C2197">
            <w:pPr>
              <w:rPr>
                <w:rFonts w:ascii="宋体"/>
              </w:rPr>
            </w:pPr>
          </w:p>
        </w:tc>
        <w:tc>
          <w:tcPr>
            <w:tcW w:w="50" w:type="pct"/>
            <w:shd w:val="clear" w:color="auto" w:fill="auto"/>
          </w:tcPr>
          <w:p w14:paraId="0D8DDCD2" w14:textId="77777777" w:rsidR="004C2197" w:rsidRDefault="004C2197">
            <w:pPr>
              <w:rPr>
                <w:rFonts w:ascii="宋体"/>
              </w:rPr>
            </w:pPr>
          </w:p>
        </w:tc>
        <w:tc>
          <w:tcPr>
            <w:tcW w:w="867" w:type="pct"/>
            <w:shd w:val="clear" w:color="auto" w:fill="auto"/>
          </w:tcPr>
          <w:p w14:paraId="0D8DDCD3" w14:textId="77777777" w:rsidR="004C2197" w:rsidRDefault="004C2197">
            <w:pPr>
              <w:rPr>
                <w:rFonts w:ascii="宋体"/>
              </w:rPr>
            </w:pPr>
          </w:p>
        </w:tc>
        <w:tc>
          <w:tcPr>
            <w:tcW w:w="5" w:type="pct"/>
            <w:shd w:val="clear" w:color="auto" w:fill="auto"/>
          </w:tcPr>
          <w:p w14:paraId="0D8DDCD4" w14:textId="77777777" w:rsidR="004C2197" w:rsidRDefault="004C2197">
            <w:pPr>
              <w:rPr>
                <w:rFonts w:ascii="宋体"/>
              </w:rPr>
            </w:pPr>
          </w:p>
        </w:tc>
        <w:tc>
          <w:tcPr>
            <w:tcW w:w="5" w:type="pct"/>
            <w:shd w:val="clear" w:color="auto" w:fill="auto"/>
          </w:tcPr>
          <w:p w14:paraId="0D8DDCD5" w14:textId="77777777" w:rsidR="004C2197" w:rsidRDefault="004C2197">
            <w:pPr>
              <w:rPr>
                <w:rFonts w:ascii="宋体"/>
              </w:rPr>
            </w:pPr>
          </w:p>
        </w:tc>
        <w:tc>
          <w:tcPr>
            <w:tcW w:w="121" w:type="pct"/>
            <w:shd w:val="clear" w:color="auto" w:fill="auto"/>
          </w:tcPr>
          <w:p w14:paraId="0D8DDCD6" w14:textId="77777777" w:rsidR="004C2197" w:rsidRDefault="004C2197">
            <w:pPr>
              <w:rPr>
                <w:rFonts w:ascii="宋体"/>
              </w:rPr>
            </w:pPr>
          </w:p>
        </w:tc>
        <w:tc>
          <w:tcPr>
            <w:tcW w:w="5" w:type="pct"/>
            <w:shd w:val="clear" w:color="auto" w:fill="auto"/>
          </w:tcPr>
          <w:p w14:paraId="0D8DDCD7" w14:textId="77777777" w:rsidR="004C2197" w:rsidRDefault="004C2197">
            <w:pPr>
              <w:rPr>
                <w:rFonts w:ascii="宋体"/>
              </w:rPr>
            </w:pPr>
          </w:p>
        </w:tc>
      </w:tr>
      <w:tr w:rsidR="004C2197" w14:paraId="0D8DDCE3" w14:textId="77777777">
        <w:tc>
          <w:tcPr>
            <w:tcW w:w="0" w:type="auto"/>
            <w:gridSpan w:val="3"/>
            <w:shd w:val="clear" w:color="auto" w:fill="auto"/>
            <w:tcMar>
              <w:top w:w="40" w:type="dxa"/>
              <w:left w:w="20" w:type="dxa"/>
              <w:bottom w:w="40" w:type="dxa"/>
              <w:right w:w="20" w:type="dxa"/>
            </w:tcMar>
            <w:vAlign w:val="bottom"/>
          </w:tcPr>
          <w:p w14:paraId="0D8DDCD9" w14:textId="77777777" w:rsidR="004C2197" w:rsidRDefault="00863B83">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0D8DDCDA" w14:textId="77777777" w:rsidR="004C2197" w:rsidRDefault="00863B83">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0D8DDCDB" w14:textId="77777777" w:rsidR="004C2197" w:rsidRDefault="00863B83">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0D8DDCDC" w14:textId="77777777" w:rsidR="004C2197" w:rsidRDefault="00863B83">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0D8DDCDD" w14:textId="77777777" w:rsidR="004C2197" w:rsidRDefault="00863B83">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0D8DDCDE" w14:textId="77777777" w:rsidR="004C2197" w:rsidRDefault="00863B83">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0D8DDCDF" w14:textId="77777777" w:rsidR="004C2197" w:rsidRDefault="00863B83">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0D8DDCE0" w14:textId="77777777" w:rsidR="004C2197" w:rsidRDefault="00863B83">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0D8DDCE1" w14:textId="77777777" w:rsidR="004C2197" w:rsidRDefault="00863B83">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0D8DDCE2" w14:textId="77777777" w:rsidR="004C2197" w:rsidRDefault="00863B83">
            <w:pPr>
              <w:jc w:val="center"/>
              <w:textAlignment w:val="bottom"/>
            </w:pPr>
            <w:r>
              <w:rPr>
                <w:rFonts w:ascii="Times New Roman" w:eastAsia="宋体" w:hAnsi="Times New Roman"/>
                <w:color w:val="000000"/>
                <w:sz w:val="20"/>
                <w:szCs w:val="20"/>
              </w:rPr>
              <w:t>☐</w:t>
            </w:r>
          </w:p>
        </w:tc>
      </w:tr>
    </w:tbl>
    <w:p w14:paraId="0D8DDCE4" w14:textId="77777777" w:rsidR="004C2197" w:rsidRDefault="00863B83">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0D8DDCE5" w14:textId="77777777" w:rsidR="004C2197" w:rsidRDefault="00863B83">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0D8DDCE6" w14:textId="77777777" w:rsidR="004C2197" w:rsidRDefault="00863B83">
      <w:pPr>
        <w:jc w:val="both"/>
      </w:pPr>
      <w:r>
        <w:rPr>
          <w:rFonts w:ascii="sans-serif" w:eastAsia="sans-serif" w:hAnsi="sans-serif" w:cs="sans-serif"/>
          <w:color w:val="000000"/>
          <w:sz w:val="18"/>
          <w:szCs w:val="18"/>
        </w:rPr>
        <w:t>The number of shares of common stock, $0.001 par value, outstanding as of August 14, 2020, was 617 million.</w:t>
      </w:r>
    </w:p>
    <w:p w14:paraId="0D8DDCE7" w14:textId="77777777" w:rsidR="004C2197" w:rsidRDefault="004C2197">
      <w:pPr>
        <w:spacing w:after="180"/>
        <w:jc w:val="both"/>
      </w:pPr>
    </w:p>
    <w:p w14:paraId="0D8DDCE8" w14:textId="77777777" w:rsidR="004C2197" w:rsidRDefault="00863B83">
      <w:r>
        <w:pict w14:anchorId="0D8E0CA5">
          <v:rect id="_x0000_i1025" style="width:415.3pt;height:1.5pt" o:hralign="center" o:hrstd="t" o:hr="t" fillcolor="#a0a0a0" stroked="f"/>
        </w:pict>
      </w:r>
    </w:p>
    <w:p w14:paraId="0D8DDCE9" w14:textId="77777777" w:rsidR="004C2197" w:rsidRDefault="004C2197">
      <w:pPr>
        <w:spacing w:after="180"/>
        <w:jc w:val="both"/>
      </w:pPr>
    </w:p>
    <w:p w14:paraId="0D8DDCEA" w14:textId="77777777" w:rsidR="004C2197" w:rsidRDefault="00863B83">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0D8DDCEB" w14:textId="77777777" w:rsidR="004C2197" w:rsidRDefault="00863B83">
      <w:pPr>
        <w:jc w:val="center"/>
      </w:pPr>
      <w:r>
        <w:rPr>
          <w:rFonts w:ascii="sans-serif" w:eastAsia="sans-serif" w:hAnsi="sans-serif" w:cs="sans-serif"/>
          <w:b/>
          <w:bCs/>
          <w:color w:val="000000"/>
          <w:sz w:val="20"/>
          <w:szCs w:val="20"/>
        </w:rPr>
        <w:t>FORM 10-Q</w:t>
      </w:r>
    </w:p>
    <w:p w14:paraId="0D8DDCEC" w14:textId="77777777" w:rsidR="004C2197" w:rsidRDefault="00863B83">
      <w:pPr>
        <w:spacing w:after="180"/>
        <w:jc w:val="center"/>
      </w:pPr>
      <w:r>
        <w:rPr>
          <w:rFonts w:ascii="sans-serif" w:eastAsia="sans-serif" w:hAnsi="sans-serif" w:cs="sans-serif"/>
          <w:b/>
          <w:bCs/>
          <w:color w:val="000000"/>
          <w:sz w:val="20"/>
          <w:szCs w:val="20"/>
        </w:rPr>
        <w:t xml:space="preserve">FOR THE QUARTER ENDED July 26, 2020 </w:t>
      </w:r>
    </w:p>
    <w:p w14:paraId="0D8DDCED" w14:textId="77777777" w:rsidR="004C2197" w:rsidRDefault="00863B83">
      <w:pPr>
        <w:jc w:val="center"/>
      </w:pPr>
      <w:r>
        <w:rPr>
          <w:rFonts w:ascii="sans-serif" w:eastAsia="sans-serif" w:hAnsi="sans-serif" w:cs="sans-serif"/>
          <w:b/>
          <w:bCs/>
          <w:color w:val="000000"/>
          <w:sz w:val="20"/>
          <w:szCs w:val="20"/>
        </w:rPr>
        <w:t>TABLE OF CONTENTS</w:t>
      </w:r>
    </w:p>
    <w:tbl>
      <w:tblPr>
        <w:tblW w:w="4920" w:type="pct"/>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4C2197" w14:paraId="0D8DDCF7" w14:textId="77777777">
        <w:tc>
          <w:tcPr>
            <w:tcW w:w="50" w:type="pct"/>
            <w:shd w:val="clear" w:color="auto" w:fill="auto"/>
          </w:tcPr>
          <w:p w14:paraId="0D8DDCEE" w14:textId="77777777" w:rsidR="004C2197" w:rsidRDefault="004C2197">
            <w:pPr>
              <w:rPr>
                <w:rFonts w:ascii="宋体"/>
              </w:rPr>
            </w:pPr>
          </w:p>
        </w:tc>
        <w:tc>
          <w:tcPr>
            <w:tcW w:w="442" w:type="pct"/>
            <w:shd w:val="clear" w:color="auto" w:fill="auto"/>
          </w:tcPr>
          <w:p w14:paraId="0D8DDCEF" w14:textId="77777777" w:rsidR="004C2197" w:rsidRDefault="004C2197">
            <w:pPr>
              <w:rPr>
                <w:rFonts w:ascii="宋体"/>
              </w:rPr>
            </w:pPr>
          </w:p>
        </w:tc>
        <w:tc>
          <w:tcPr>
            <w:tcW w:w="5" w:type="pct"/>
            <w:shd w:val="clear" w:color="auto" w:fill="auto"/>
          </w:tcPr>
          <w:p w14:paraId="0D8DDCF0" w14:textId="77777777" w:rsidR="004C2197" w:rsidRDefault="004C2197">
            <w:pPr>
              <w:rPr>
                <w:rFonts w:ascii="宋体"/>
              </w:rPr>
            </w:pPr>
          </w:p>
        </w:tc>
        <w:tc>
          <w:tcPr>
            <w:tcW w:w="50" w:type="pct"/>
            <w:shd w:val="clear" w:color="auto" w:fill="auto"/>
          </w:tcPr>
          <w:p w14:paraId="0D8DDCF1" w14:textId="77777777" w:rsidR="004C2197" w:rsidRDefault="004C2197">
            <w:pPr>
              <w:rPr>
                <w:rFonts w:ascii="宋体"/>
              </w:rPr>
            </w:pPr>
          </w:p>
        </w:tc>
        <w:tc>
          <w:tcPr>
            <w:tcW w:w="4053" w:type="pct"/>
            <w:shd w:val="clear" w:color="auto" w:fill="auto"/>
          </w:tcPr>
          <w:p w14:paraId="0D8DDCF2" w14:textId="77777777" w:rsidR="004C2197" w:rsidRDefault="004C2197">
            <w:pPr>
              <w:rPr>
                <w:rFonts w:ascii="宋体"/>
              </w:rPr>
            </w:pPr>
          </w:p>
        </w:tc>
        <w:tc>
          <w:tcPr>
            <w:tcW w:w="5" w:type="pct"/>
            <w:shd w:val="clear" w:color="auto" w:fill="auto"/>
          </w:tcPr>
          <w:p w14:paraId="0D8DDCF3" w14:textId="77777777" w:rsidR="004C2197" w:rsidRDefault="004C2197">
            <w:pPr>
              <w:rPr>
                <w:rFonts w:ascii="宋体"/>
              </w:rPr>
            </w:pPr>
          </w:p>
        </w:tc>
        <w:tc>
          <w:tcPr>
            <w:tcW w:w="50" w:type="pct"/>
            <w:shd w:val="clear" w:color="auto" w:fill="auto"/>
          </w:tcPr>
          <w:p w14:paraId="0D8DDCF4" w14:textId="77777777" w:rsidR="004C2197" w:rsidRDefault="004C2197">
            <w:pPr>
              <w:rPr>
                <w:rFonts w:ascii="宋体"/>
              </w:rPr>
            </w:pPr>
          </w:p>
        </w:tc>
        <w:tc>
          <w:tcPr>
            <w:tcW w:w="338" w:type="pct"/>
            <w:shd w:val="clear" w:color="auto" w:fill="auto"/>
          </w:tcPr>
          <w:p w14:paraId="0D8DDCF5" w14:textId="77777777" w:rsidR="004C2197" w:rsidRDefault="004C2197">
            <w:pPr>
              <w:rPr>
                <w:rFonts w:ascii="宋体"/>
              </w:rPr>
            </w:pPr>
          </w:p>
        </w:tc>
        <w:tc>
          <w:tcPr>
            <w:tcW w:w="5" w:type="pct"/>
            <w:shd w:val="clear" w:color="auto" w:fill="auto"/>
          </w:tcPr>
          <w:p w14:paraId="0D8DDCF6" w14:textId="77777777" w:rsidR="004C2197" w:rsidRDefault="004C2197">
            <w:pPr>
              <w:rPr>
                <w:rFonts w:ascii="宋体"/>
              </w:rPr>
            </w:pPr>
          </w:p>
        </w:tc>
      </w:tr>
      <w:tr w:rsidR="004C2197" w14:paraId="0D8DDCFB" w14:textId="77777777">
        <w:tc>
          <w:tcPr>
            <w:tcW w:w="0" w:type="auto"/>
            <w:gridSpan w:val="3"/>
            <w:shd w:val="clear" w:color="auto" w:fill="auto"/>
            <w:tcMar>
              <w:top w:w="40" w:type="dxa"/>
              <w:left w:w="20" w:type="dxa"/>
              <w:bottom w:w="40" w:type="dxa"/>
              <w:right w:w="20" w:type="dxa"/>
            </w:tcMar>
            <w:vAlign w:val="bottom"/>
          </w:tcPr>
          <w:p w14:paraId="0D8DDCF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CF9"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CFA" w14:textId="77777777" w:rsidR="004C2197" w:rsidRDefault="00863B83">
            <w:pPr>
              <w:jc w:val="right"/>
              <w:textAlignment w:val="bottom"/>
            </w:pPr>
            <w:r>
              <w:rPr>
                <w:rFonts w:ascii="sans-serif" w:eastAsia="sans-serif" w:hAnsi="sans-serif" w:cs="sans-serif"/>
                <w:b/>
                <w:bCs/>
                <w:color w:val="000000"/>
                <w:sz w:val="20"/>
                <w:szCs w:val="20"/>
              </w:rPr>
              <w:t>Page</w:t>
            </w:r>
          </w:p>
        </w:tc>
      </w:tr>
      <w:tr w:rsidR="004C2197" w14:paraId="0D8DDCFF" w14:textId="77777777">
        <w:tc>
          <w:tcPr>
            <w:tcW w:w="0" w:type="auto"/>
            <w:gridSpan w:val="3"/>
            <w:shd w:val="clear" w:color="auto" w:fill="auto"/>
            <w:tcMar>
              <w:top w:w="40" w:type="dxa"/>
              <w:left w:w="20" w:type="dxa"/>
              <w:bottom w:w="40" w:type="dxa"/>
              <w:right w:w="20" w:type="dxa"/>
            </w:tcMar>
            <w:vAlign w:val="bottom"/>
          </w:tcPr>
          <w:p w14:paraId="0D8DDCF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CFD" w14:textId="77777777" w:rsidR="004C2197" w:rsidRDefault="00863B83">
            <w:pPr>
              <w:jc w:val="center"/>
              <w:textAlignment w:val="bottom"/>
            </w:pPr>
            <w:hyperlink r:id="rId7" w:anchor="i116773f8099847a38bd3a8e824aa5f0f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0D8DDCFE" w14:textId="77777777" w:rsidR="004C2197" w:rsidRDefault="00863B83">
            <w:pPr>
              <w:jc w:val="right"/>
              <w:textAlignment w:val="bottom"/>
            </w:pPr>
            <w:r>
              <w:rPr>
                <w:rFonts w:ascii="sans-serif" w:eastAsia="sans-serif" w:hAnsi="sans-serif" w:cs="sans-serif"/>
                <w:color w:val="000000"/>
                <w:sz w:val="20"/>
                <w:szCs w:val="20"/>
              </w:rPr>
              <w:t> </w:t>
            </w:r>
          </w:p>
        </w:tc>
      </w:tr>
      <w:tr w:rsidR="004C2197" w14:paraId="0D8DDD03" w14:textId="77777777">
        <w:trPr>
          <w:trHeight w:val="60"/>
        </w:trPr>
        <w:tc>
          <w:tcPr>
            <w:tcW w:w="0" w:type="auto"/>
            <w:gridSpan w:val="3"/>
            <w:shd w:val="clear" w:color="auto" w:fill="auto"/>
            <w:tcMar>
              <w:left w:w="20" w:type="dxa"/>
              <w:right w:w="20" w:type="dxa"/>
            </w:tcMar>
            <w:vAlign w:val="bottom"/>
          </w:tcPr>
          <w:p w14:paraId="0D8DDD0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0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02" w14:textId="77777777" w:rsidR="004C2197" w:rsidRDefault="004C2197">
            <w:pPr>
              <w:rPr>
                <w:rFonts w:ascii="宋体"/>
              </w:rPr>
            </w:pPr>
          </w:p>
        </w:tc>
      </w:tr>
      <w:tr w:rsidR="004C2197" w14:paraId="0D8DDD07" w14:textId="77777777">
        <w:tc>
          <w:tcPr>
            <w:tcW w:w="0" w:type="auto"/>
            <w:gridSpan w:val="3"/>
            <w:shd w:val="clear" w:color="auto" w:fill="auto"/>
            <w:tcMar>
              <w:top w:w="40" w:type="dxa"/>
              <w:left w:w="20" w:type="dxa"/>
              <w:bottom w:w="40" w:type="dxa"/>
              <w:right w:w="20" w:type="dxa"/>
            </w:tcMar>
            <w:vAlign w:val="bottom"/>
          </w:tcPr>
          <w:p w14:paraId="0D8DDD04" w14:textId="77777777" w:rsidR="004C2197" w:rsidRDefault="00863B83">
            <w:pPr>
              <w:textAlignment w:val="bottom"/>
            </w:pPr>
            <w:hyperlink r:id="rId8" w:anchor="i116773f8099847a38bd3a8e824aa5f0f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0D8DDD05" w14:textId="77777777" w:rsidR="004C2197" w:rsidRDefault="00863B83">
            <w:pPr>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0D8DDD06" w14:textId="77777777" w:rsidR="004C2197" w:rsidRDefault="00863B83">
            <w:pPr>
              <w:textAlignment w:val="bottom"/>
            </w:pPr>
            <w:r>
              <w:rPr>
                <w:rFonts w:ascii="sans-serif" w:eastAsia="sans-serif" w:hAnsi="sans-serif" w:cs="sans-serif"/>
                <w:color w:val="000000"/>
                <w:sz w:val="20"/>
                <w:szCs w:val="20"/>
              </w:rPr>
              <w:t> </w:t>
            </w:r>
          </w:p>
        </w:tc>
      </w:tr>
      <w:tr w:rsidR="004C2197" w14:paraId="0D8DDD0B" w14:textId="77777777">
        <w:trPr>
          <w:trHeight w:val="60"/>
        </w:trPr>
        <w:tc>
          <w:tcPr>
            <w:tcW w:w="0" w:type="auto"/>
            <w:gridSpan w:val="3"/>
            <w:shd w:val="clear" w:color="auto" w:fill="auto"/>
            <w:tcMar>
              <w:left w:w="20" w:type="dxa"/>
              <w:right w:w="20" w:type="dxa"/>
            </w:tcMar>
            <w:vAlign w:val="bottom"/>
          </w:tcPr>
          <w:p w14:paraId="0D8DDD0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0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0A" w14:textId="77777777" w:rsidR="004C2197" w:rsidRDefault="004C2197">
            <w:pPr>
              <w:rPr>
                <w:rFonts w:ascii="宋体"/>
              </w:rPr>
            </w:pPr>
          </w:p>
        </w:tc>
      </w:tr>
      <w:tr w:rsidR="004C2197" w14:paraId="0D8DDD0F" w14:textId="77777777">
        <w:tc>
          <w:tcPr>
            <w:tcW w:w="0" w:type="auto"/>
            <w:gridSpan w:val="3"/>
            <w:shd w:val="clear" w:color="auto" w:fill="auto"/>
            <w:tcMar>
              <w:top w:w="40" w:type="dxa"/>
              <w:left w:w="20" w:type="dxa"/>
              <w:bottom w:w="40" w:type="dxa"/>
              <w:right w:w="20" w:type="dxa"/>
            </w:tcMar>
            <w:vAlign w:val="bottom"/>
          </w:tcPr>
          <w:p w14:paraId="0D8DDD0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0D" w14:textId="77777777" w:rsidR="004C2197" w:rsidRDefault="00863B83">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six months ended July 26, 2020 and July 28, 2019</w:t>
            </w:r>
          </w:p>
        </w:tc>
        <w:tc>
          <w:tcPr>
            <w:tcW w:w="0" w:type="auto"/>
            <w:gridSpan w:val="3"/>
            <w:shd w:val="clear" w:color="auto" w:fill="auto"/>
            <w:tcMar>
              <w:top w:w="40" w:type="dxa"/>
              <w:left w:w="20" w:type="dxa"/>
              <w:bottom w:w="40" w:type="dxa"/>
              <w:right w:w="20" w:type="dxa"/>
            </w:tcMar>
            <w:vAlign w:val="bottom"/>
          </w:tcPr>
          <w:p w14:paraId="0D8DDD0E" w14:textId="77777777" w:rsidR="004C2197" w:rsidRDefault="00863B83">
            <w:pPr>
              <w:jc w:val="right"/>
              <w:textAlignment w:val="bottom"/>
            </w:pPr>
            <w:hyperlink r:id="rId9" w:anchor="i116773f8099847a38bd3a8e824aa5f0f_16" w:history="1">
              <w:r>
                <w:rPr>
                  <w:rStyle w:val="a5"/>
                  <w:rFonts w:ascii="sans-serif" w:eastAsia="sans-serif" w:hAnsi="sans-serif" w:cs="sans-serif"/>
                  <w:sz w:val="20"/>
                  <w:szCs w:val="20"/>
                </w:rPr>
                <w:t>3</w:t>
              </w:r>
            </w:hyperlink>
          </w:p>
        </w:tc>
      </w:tr>
      <w:tr w:rsidR="004C2197" w14:paraId="0D8DDD13" w14:textId="77777777">
        <w:trPr>
          <w:hidden/>
        </w:trPr>
        <w:tc>
          <w:tcPr>
            <w:tcW w:w="0" w:type="auto"/>
            <w:gridSpan w:val="3"/>
            <w:shd w:val="clear" w:color="auto" w:fill="auto"/>
          </w:tcPr>
          <w:p w14:paraId="0D8DDD10" w14:textId="77777777" w:rsidR="004C2197" w:rsidRDefault="004C2197">
            <w:pPr>
              <w:rPr>
                <w:rFonts w:ascii="宋体"/>
                <w:vanish/>
              </w:rPr>
            </w:pPr>
          </w:p>
        </w:tc>
        <w:tc>
          <w:tcPr>
            <w:tcW w:w="0" w:type="auto"/>
            <w:gridSpan w:val="3"/>
            <w:shd w:val="clear" w:color="auto" w:fill="auto"/>
          </w:tcPr>
          <w:p w14:paraId="0D8DDD11" w14:textId="77777777" w:rsidR="004C2197" w:rsidRDefault="004C2197">
            <w:pPr>
              <w:rPr>
                <w:rFonts w:ascii="宋体"/>
                <w:vanish/>
              </w:rPr>
            </w:pPr>
          </w:p>
        </w:tc>
        <w:tc>
          <w:tcPr>
            <w:tcW w:w="0" w:type="auto"/>
            <w:gridSpan w:val="3"/>
            <w:shd w:val="clear" w:color="auto" w:fill="auto"/>
          </w:tcPr>
          <w:p w14:paraId="0D8DDD12" w14:textId="77777777" w:rsidR="004C2197" w:rsidRDefault="004C2197">
            <w:pPr>
              <w:rPr>
                <w:rFonts w:ascii="宋体"/>
                <w:vanish/>
              </w:rPr>
            </w:pPr>
          </w:p>
        </w:tc>
      </w:tr>
      <w:tr w:rsidR="004C2197" w14:paraId="0D8DDD17" w14:textId="77777777">
        <w:tc>
          <w:tcPr>
            <w:tcW w:w="0" w:type="auto"/>
            <w:gridSpan w:val="3"/>
            <w:shd w:val="clear" w:color="auto" w:fill="auto"/>
            <w:tcMar>
              <w:left w:w="20" w:type="dxa"/>
              <w:right w:w="20" w:type="dxa"/>
            </w:tcMar>
            <w:vAlign w:val="bottom"/>
          </w:tcPr>
          <w:p w14:paraId="0D8DDD14"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15" w14:textId="77777777" w:rsidR="004C2197" w:rsidRDefault="00863B83">
            <w:pPr>
              <w:textAlignment w:val="bottom"/>
            </w:pPr>
            <w:r>
              <w:rPr>
                <w:rFonts w:ascii="sans-serif" w:eastAsia="sans-serif" w:hAnsi="sans-serif" w:cs="sans-serif"/>
                <w:color w:val="000000"/>
                <w:sz w:val="20"/>
                <w:szCs w:val="20"/>
              </w:rPr>
              <w:t>b) Condensed Consolidated S</w:t>
            </w:r>
            <w:r>
              <w:rPr>
                <w:rFonts w:ascii="sans-serif" w:eastAsia="sans-serif" w:hAnsi="sans-serif" w:cs="sans-serif"/>
                <w:color w:val="000000"/>
                <w:sz w:val="20"/>
                <w:szCs w:val="20"/>
              </w:rPr>
              <w:t>tatements of Comprehensive Income for the three and six months ended July 26, 2020 and July 28, 2019</w:t>
            </w:r>
          </w:p>
        </w:tc>
        <w:tc>
          <w:tcPr>
            <w:tcW w:w="0" w:type="auto"/>
            <w:gridSpan w:val="3"/>
            <w:shd w:val="clear" w:color="auto" w:fill="auto"/>
            <w:tcMar>
              <w:top w:w="40" w:type="dxa"/>
              <w:left w:w="20" w:type="dxa"/>
              <w:bottom w:w="40" w:type="dxa"/>
              <w:right w:w="20" w:type="dxa"/>
            </w:tcMar>
            <w:vAlign w:val="bottom"/>
          </w:tcPr>
          <w:p w14:paraId="0D8DDD16" w14:textId="77777777" w:rsidR="004C2197" w:rsidRDefault="00863B83">
            <w:pPr>
              <w:jc w:val="right"/>
              <w:textAlignment w:val="bottom"/>
            </w:pPr>
            <w:hyperlink r:id="rId10" w:anchor="i116773f8099847a38bd3a8e824aa5f0f_19" w:history="1">
              <w:r>
                <w:rPr>
                  <w:rStyle w:val="a5"/>
                  <w:rFonts w:ascii="sans-serif" w:eastAsia="sans-serif" w:hAnsi="sans-serif" w:cs="sans-serif"/>
                  <w:sz w:val="20"/>
                  <w:szCs w:val="20"/>
                </w:rPr>
                <w:t>4</w:t>
              </w:r>
            </w:hyperlink>
          </w:p>
        </w:tc>
      </w:tr>
      <w:tr w:rsidR="004C2197" w14:paraId="0D8DDD1B" w14:textId="77777777">
        <w:trPr>
          <w:hidden/>
        </w:trPr>
        <w:tc>
          <w:tcPr>
            <w:tcW w:w="0" w:type="auto"/>
            <w:gridSpan w:val="3"/>
            <w:shd w:val="clear" w:color="auto" w:fill="auto"/>
          </w:tcPr>
          <w:p w14:paraId="0D8DDD18" w14:textId="77777777" w:rsidR="004C2197" w:rsidRDefault="004C2197">
            <w:pPr>
              <w:rPr>
                <w:rFonts w:ascii="宋体"/>
                <w:vanish/>
              </w:rPr>
            </w:pPr>
          </w:p>
        </w:tc>
        <w:tc>
          <w:tcPr>
            <w:tcW w:w="0" w:type="auto"/>
            <w:gridSpan w:val="3"/>
            <w:shd w:val="clear" w:color="auto" w:fill="auto"/>
          </w:tcPr>
          <w:p w14:paraId="0D8DDD19" w14:textId="77777777" w:rsidR="004C2197" w:rsidRDefault="004C2197">
            <w:pPr>
              <w:rPr>
                <w:rFonts w:ascii="宋体"/>
                <w:vanish/>
              </w:rPr>
            </w:pPr>
          </w:p>
        </w:tc>
        <w:tc>
          <w:tcPr>
            <w:tcW w:w="0" w:type="auto"/>
            <w:gridSpan w:val="3"/>
            <w:shd w:val="clear" w:color="auto" w:fill="auto"/>
          </w:tcPr>
          <w:p w14:paraId="0D8DDD1A" w14:textId="77777777" w:rsidR="004C2197" w:rsidRDefault="004C2197">
            <w:pPr>
              <w:rPr>
                <w:rFonts w:ascii="宋体"/>
                <w:vanish/>
              </w:rPr>
            </w:pPr>
          </w:p>
        </w:tc>
      </w:tr>
      <w:tr w:rsidR="004C2197" w14:paraId="0D8DDD1F" w14:textId="77777777">
        <w:tc>
          <w:tcPr>
            <w:tcW w:w="0" w:type="auto"/>
            <w:gridSpan w:val="3"/>
            <w:shd w:val="clear" w:color="auto" w:fill="auto"/>
            <w:tcMar>
              <w:top w:w="40" w:type="dxa"/>
              <w:left w:w="20" w:type="dxa"/>
              <w:bottom w:w="40" w:type="dxa"/>
              <w:right w:w="20" w:type="dxa"/>
            </w:tcMar>
            <w:vAlign w:val="bottom"/>
          </w:tcPr>
          <w:p w14:paraId="0D8DDD1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1D" w14:textId="77777777" w:rsidR="004C2197" w:rsidRDefault="00863B83">
            <w:pPr>
              <w:textAlignment w:val="bottom"/>
            </w:pPr>
            <w:r>
              <w:rPr>
                <w:rFonts w:ascii="sans-serif" w:eastAsia="sans-serif" w:hAnsi="sans-serif" w:cs="sans-serif"/>
                <w:color w:val="000000"/>
                <w:sz w:val="20"/>
                <w:szCs w:val="20"/>
              </w:rPr>
              <w:t>c) Condensed Consolidated Balance Sheets as of July 26, 2020 and January 26, 2020</w:t>
            </w:r>
          </w:p>
        </w:tc>
        <w:tc>
          <w:tcPr>
            <w:tcW w:w="0" w:type="auto"/>
            <w:gridSpan w:val="3"/>
            <w:shd w:val="clear" w:color="auto" w:fill="auto"/>
            <w:tcMar>
              <w:top w:w="40" w:type="dxa"/>
              <w:left w:w="20" w:type="dxa"/>
              <w:bottom w:w="40" w:type="dxa"/>
              <w:right w:w="20" w:type="dxa"/>
            </w:tcMar>
            <w:vAlign w:val="bottom"/>
          </w:tcPr>
          <w:p w14:paraId="0D8DDD1E" w14:textId="77777777" w:rsidR="004C2197" w:rsidRDefault="00863B83">
            <w:pPr>
              <w:jc w:val="right"/>
              <w:textAlignment w:val="bottom"/>
            </w:pPr>
            <w:hyperlink r:id="rId11" w:anchor="i116773f8099847a38bd3a8e824aa5f0f_22" w:history="1">
              <w:r>
                <w:rPr>
                  <w:rStyle w:val="a5"/>
                  <w:rFonts w:ascii="sans-serif" w:eastAsia="sans-serif" w:hAnsi="sans-serif" w:cs="sans-serif"/>
                  <w:sz w:val="20"/>
                  <w:szCs w:val="20"/>
                </w:rPr>
                <w:t>5</w:t>
              </w:r>
            </w:hyperlink>
          </w:p>
        </w:tc>
      </w:tr>
      <w:tr w:rsidR="004C2197" w14:paraId="0D8DDD23" w14:textId="77777777">
        <w:trPr>
          <w:hidden/>
        </w:trPr>
        <w:tc>
          <w:tcPr>
            <w:tcW w:w="0" w:type="auto"/>
            <w:gridSpan w:val="3"/>
            <w:shd w:val="clear" w:color="auto" w:fill="auto"/>
          </w:tcPr>
          <w:p w14:paraId="0D8DDD20" w14:textId="77777777" w:rsidR="004C2197" w:rsidRDefault="004C2197">
            <w:pPr>
              <w:rPr>
                <w:rFonts w:ascii="宋体"/>
                <w:vanish/>
              </w:rPr>
            </w:pPr>
          </w:p>
        </w:tc>
        <w:tc>
          <w:tcPr>
            <w:tcW w:w="0" w:type="auto"/>
            <w:gridSpan w:val="3"/>
            <w:shd w:val="clear" w:color="auto" w:fill="auto"/>
          </w:tcPr>
          <w:p w14:paraId="0D8DDD21" w14:textId="77777777" w:rsidR="004C2197" w:rsidRDefault="004C2197">
            <w:pPr>
              <w:rPr>
                <w:rFonts w:ascii="宋体"/>
                <w:vanish/>
              </w:rPr>
            </w:pPr>
          </w:p>
        </w:tc>
        <w:tc>
          <w:tcPr>
            <w:tcW w:w="0" w:type="auto"/>
            <w:gridSpan w:val="3"/>
            <w:shd w:val="clear" w:color="auto" w:fill="auto"/>
          </w:tcPr>
          <w:p w14:paraId="0D8DDD22" w14:textId="77777777" w:rsidR="004C2197" w:rsidRDefault="004C2197">
            <w:pPr>
              <w:rPr>
                <w:rFonts w:ascii="宋体"/>
                <w:vanish/>
              </w:rPr>
            </w:pPr>
          </w:p>
        </w:tc>
      </w:tr>
      <w:tr w:rsidR="004C2197" w14:paraId="0D8DDD27" w14:textId="77777777">
        <w:tc>
          <w:tcPr>
            <w:tcW w:w="0" w:type="auto"/>
            <w:gridSpan w:val="3"/>
            <w:shd w:val="clear" w:color="auto" w:fill="auto"/>
            <w:tcMar>
              <w:left w:w="20" w:type="dxa"/>
              <w:right w:w="20" w:type="dxa"/>
            </w:tcMar>
            <w:vAlign w:val="bottom"/>
          </w:tcPr>
          <w:p w14:paraId="0D8DDD24"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25" w14:textId="77777777" w:rsidR="004C2197" w:rsidRDefault="00863B83">
            <w:pPr>
              <w:textAlignment w:val="bottom"/>
            </w:pPr>
            <w:r>
              <w:rPr>
                <w:rFonts w:ascii="sans-serif" w:eastAsia="sans-serif" w:hAnsi="sans-serif" w:cs="sans-serif"/>
                <w:color w:val="000000"/>
                <w:sz w:val="20"/>
                <w:szCs w:val="20"/>
              </w:rPr>
              <w:t xml:space="preserve">d) Condensed Consolidated Statements of Shareholders' Equity for the three and six </w:t>
            </w:r>
            <w:r>
              <w:rPr>
                <w:rFonts w:ascii="sans-serif" w:eastAsia="sans-serif" w:hAnsi="sans-serif" w:cs="sans-serif"/>
                <w:color w:val="000000"/>
                <w:sz w:val="20"/>
                <w:szCs w:val="20"/>
              </w:rPr>
              <w:t>months ended July 26, 2020 and July 28, 2019</w:t>
            </w:r>
          </w:p>
        </w:tc>
        <w:tc>
          <w:tcPr>
            <w:tcW w:w="0" w:type="auto"/>
            <w:gridSpan w:val="3"/>
            <w:shd w:val="clear" w:color="auto" w:fill="auto"/>
            <w:tcMar>
              <w:top w:w="40" w:type="dxa"/>
              <w:left w:w="20" w:type="dxa"/>
              <w:bottom w:w="40" w:type="dxa"/>
              <w:right w:w="20" w:type="dxa"/>
            </w:tcMar>
            <w:vAlign w:val="bottom"/>
          </w:tcPr>
          <w:p w14:paraId="0D8DDD26" w14:textId="77777777" w:rsidR="004C2197" w:rsidRDefault="00863B83">
            <w:pPr>
              <w:jc w:val="right"/>
              <w:textAlignment w:val="bottom"/>
            </w:pPr>
            <w:hyperlink r:id="rId12" w:anchor="i116773f8099847a38bd3a8e824aa5f0f_25" w:history="1">
              <w:r>
                <w:rPr>
                  <w:rStyle w:val="a5"/>
                  <w:rFonts w:ascii="sans-serif" w:eastAsia="sans-serif" w:hAnsi="sans-serif" w:cs="sans-serif"/>
                  <w:sz w:val="20"/>
                  <w:szCs w:val="20"/>
                </w:rPr>
                <w:t>6</w:t>
              </w:r>
            </w:hyperlink>
          </w:p>
        </w:tc>
      </w:tr>
      <w:tr w:rsidR="004C2197" w14:paraId="0D8DDD2B" w14:textId="77777777">
        <w:trPr>
          <w:hidden/>
        </w:trPr>
        <w:tc>
          <w:tcPr>
            <w:tcW w:w="0" w:type="auto"/>
            <w:gridSpan w:val="3"/>
            <w:shd w:val="clear" w:color="auto" w:fill="auto"/>
          </w:tcPr>
          <w:p w14:paraId="0D8DDD28" w14:textId="77777777" w:rsidR="004C2197" w:rsidRDefault="004C2197">
            <w:pPr>
              <w:rPr>
                <w:rFonts w:ascii="宋体"/>
                <w:vanish/>
              </w:rPr>
            </w:pPr>
          </w:p>
        </w:tc>
        <w:tc>
          <w:tcPr>
            <w:tcW w:w="0" w:type="auto"/>
            <w:gridSpan w:val="3"/>
            <w:shd w:val="clear" w:color="auto" w:fill="auto"/>
          </w:tcPr>
          <w:p w14:paraId="0D8DDD29" w14:textId="77777777" w:rsidR="004C2197" w:rsidRDefault="004C2197">
            <w:pPr>
              <w:rPr>
                <w:rFonts w:ascii="宋体"/>
                <w:vanish/>
              </w:rPr>
            </w:pPr>
          </w:p>
        </w:tc>
        <w:tc>
          <w:tcPr>
            <w:tcW w:w="0" w:type="auto"/>
            <w:gridSpan w:val="3"/>
            <w:shd w:val="clear" w:color="auto" w:fill="auto"/>
          </w:tcPr>
          <w:p w14:paraId="0D8DDD2A" w14:textId="77777777" w:rsidR="004C2197" w:rsidRDefault="004C2197">
            <w:pPr>
              <w:rPr>
                <w:rFonts w:ascii="宋体"/>
                <w:vanish/>
              </w:rPr>
            </w:pPr>
          </w:p>
        </w:tc>
      </w:tr>
      <w:tr w:rsidR="004C2197" w14:paraId="0D8DDD2F" w14:textId="77777777">
        <w:tc>
          <w:tcPr>
            <w:tcW w:w="0" w:type="auto"/>
            <w:gridSpan w:val="3"/>
            <w:shd w:val="clear" w:color="auto" w:fill="auto"/>
            <w:tcMar>
              <w:top w:w="40" w:type="dxa"/>
              <w:left w:w="20" w:type="dxa"/>
              <w:bottom w:w="40" w:type="dxa"/>
              <w:right w:w="20" w:type="dxa"/>
            </w:tcMar>
            <w:vAlign w:val="bottom"/>
          </w:tcPr>
          <w:p w14:paraId="0D8DDD2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2D" w14:textId="77777777" w:rsidR="004C2197" w:rsidRDefault="00863B83">
            <w:pPr>
              <w:textAlignment w:val="bottom"/>
            </w:pPr>
            <w:r>
              <w:rPr>
                <w:rFonts w:ascii="sans-serif" w:eastAsia="sans-serif" w:hAnsi="sans-serif" w:cs="sans-serif"/>
                <w:color w:val="000000"/>
                <w:sz w:val="20"/>
                <w:szCs w:val="20"/>
              </w:rPr>
              <w:t xml:space="preserve">e) Condensed Consolidated Statements of Cash </w:t>
            </w:r>
            <w:r>
              <w:rPr>
                <w:rFonts w:ascii="sans-serif" w:eastAsia="sans-serif" w:hAnsi="sans-serif" w:cs="sans-serif"/>
                <w:color w:val="000000"/>
                <w:sz w:val="20"/>
                <w:szCs w:val="20"/>
              </w:rPr>
              <w:t>Flows for the six months ended July 26, 2020 and July 28, 2019</w:t>
            </w:r>
          </w:p>
        </w:tc>
        <w:tc>
          <w:tcPr>
            <w:tcW w:w="0" w:type="auto"/>
            <w:gridSpan w:val="3"/>
            <w:shd w:val="clear" w:color="auto" w:fill="auto"/>
            <w:tcMar>
              <w:top w:w="40" w:type="dxa"/>
              <w:left w:w="20" w:type="dxa"/>
              <w:bottom w:w="40" w:type="dxa"/>
              <w:right w:w="20" w:type="dxa"/>
            </w:tcMar>
            <w:vAlign w:val="bottom"/>
          </w:tcPr>
          <w:p w14:paraId="0D8DDD2E" w14:textId="77777777" w:rsidR="004C2197" w:rsidRDefault="00863B83">
            <w:pPr>
              <w:jc w:val="right"/>
              <w:textAlignment w:val="bottom"/>
            </w:pPr>
            <w:hyperlink r:id="rId13" w:anchor="i116773f8099847a38bd3a8e824aa5f0f_31" w:history="1">
              <w:r>
                <w:rPr>
                  <w:rStyle w:val="a5"/>
                  <w:rFonts w:ascii="sans-serif" w:eastAsia="sans-serif" w:hAnsi="sans-serif" w:cs="sans-serif"/>
                  <w:sz w:val="20"/>
                  <w:szCs w:val="20"/>
                </w:rPr>
                <w:t>8</w:t>
              </w:r>
            </w:hyperlink>
          </w:p>
        </w:tc>
      </w:tr>
      <w:tr w:rsidR="004C2197" w14:paraId="0D8DDD33" w14:textId="77777777">
        <w:trPr>
          <w:hidden/>
        </w:trPr>
        <w:tc>
          <w:tcPr>
            <w:tcW w:w="0" w:type="auto"/>
            <w:gridSpan w:val="3"/>
            <w:shd w:val="clear" w:color="auto" w:fill="auto"/>
          </w:tcPr>
          <w:p w14:paraId="0D8DDD30" w14:textId="77777777" w:rsidR="004C2197" w:rsidRDefault="004C2197">
            <w:pPr>
              <w:rPr>
                <w:rFonts w:ascii="宋体"/>
                <w:vanish/>
              </w:rPr>
            </w:pPr>
          </w:p>
        </w:tc>
        <w:tc>
          <w:tcPr>
            <w:tcW w:w="0" w:type="auto"/>
            <w:gridSpan w:val="3"/>
            <w:shd w:val="clear" w:color="auto" w:fill="auto"/>
          </w:tcPr>
          <w:p w14:paraId="0D8DDD31" w14:textId="77777777" w:rsidR="004C2197" w:rsidRDefault="004C2197">
            <w:pPr>
              <w:rPr>
                <w:rFonts w:ascii="宋体"/>
                <w:vanish/>
              </w:rPr>
            </w:pPr>
          </w:p>
        </w:tc>
        <w:tc>
          <w:tcPr>
            <w:tcW w:w="0" w:type="auto"/>
            <w:gridSpan w:val="3"/>
            <w:shd w:val="clear" w:color="auto" w:fill="auto"/>
          </w:tcPr>
          <w:p w14:paraId="0D8DDD32" w14:textId="77777777" w:rsidR="004C2197" w:rsidRDefault="004C2197">
            <w:pPr>
              <w:rPr>
                <w:rFonts w:ascii="宋体"/>
                <w:vanish/>
              </w:rPr>
            </w:pPr>
          </w:p>
        </w:tc>
      </w:tr>
      <w:tr w:rsidR="004C2197" w14:paraId="0D8DDD37" w14:textId="77777777">
        <w:tc>
          <w:tcPr>
            <w:tcW w:w="0" w:type="auto"/>
            <w:gridSpan w:val="3"/>
            <w:shd w:val="clear" w:color="auto" w:fill="auto"/>
            <w:tcMar>
              <w:top w:w="40" w:type="dxa"/>
              <w:left w:w="20" w:type="dxa"/>
              <w:bottom w:w="40" w:type="dxa"/>
              <w:right w:w="20" w:type="dxa"/>
            </w:tcMar>
            <w:vAlign w:val="bottom"/>
          </w:tcPr>
          <w:p w14:paraId="0D8DDD34"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35" w14:textId="77777777" w:rsidR="004C2197" w:rsidRDefault="00863B83">
            <w:pPr>
              <w:textAlignment w:val="bottom"/>
            </w:pPr>
            <w:r>
              <w:rPr>
                <w:rFonts w:ascii="sans-serif" w:eastAsia="sans-serif" w:hAnsi="sans-serif" w:cs="sans-serif"/>
                <w:color w:val="000000"/>
                <w:sz w:val="20"/>
                <w:szCs w:val="20"/>
              </w:rPr>
              <w:t xml:space="preserve">f) Notes to Condensed </w:t>
            </w:r>
            <w:r>
              <w:rPr>
                <w:rFonts w:ascii="sans-serif" w:eastAsia="sans-serif" w:hAnsi="sans-serif" w:cs="sans-serif"/>
                <w:color w:val="000000"/>
                <w:sz w:val="20"/>
                <w:szCs w:val="20"/>
              </w:rPr>
              <w:t>Consolidated Financial Statements</w:t>
            </w:r>
          </w:p>
        </w:tc>
        <w:tc>
          <w:tcPr>
            <w:tcW w:w="0" w:type="auto"/>
            <w:gridSpan w:val="3"/>
            <w:shd w:val="clear" w:color="auto" w:fill="auto"/>
            <w:tcMar>
              <w:top w:w="40" w:type="dxa"/>
              <w:left w:w="20" w:type="dxa"/>
              <w:bottom w:w="40" w:type="dxa"/>
              <w:right w:w="20" w:type="dxa"/>
            </w:tcMar>
            <w:vAlign w:val="bottom"/>
          </w:tcPr>
          <w:p w14:paraId="0D8DDD36" w14:textId="77777777" w:rsidR="004C2197" w:rsidRDefault="00863B83">
            <w:pPr>
              <w:jc w:val="right"/>
              <w:textAlignment w:val="bottom"/>
            </w:pPr>
            <w:hyperlink r:id="rId14" w:anchor="i116773f8099847a38bd3a8e824aa5f0f_34" w:history="1">
              <w:r>
                <w:rPr>
                  <w:rStyle w:val="a5"/>
                  <w:rFonts w:ascii="sans-serif" w:eastAsia="sans-serif" w:hAnsi="sans-serif" w:cs="sans-serif"/>
                  <w:sz w:val="20"/>
                  <w:szCs w:val="20"/>
                </w:rPr>
                <w:t>9</w:t>
              </w:r>
            </w:hyperlink>
          </w:p>
        </w:tc>
      </w:tr>
      <w:tr w:rsidR="004C2197" w14:paraId="0D8DDD3B" w14:textId="77777777">
        <w:trPr>
          <w:trHeight w:val="60"/>
        </w:trPr>
        <w:tc>
          <w:tcPr>
            <w:tcW w:w="0" w:type="auto"/>
            <w:gridSpan w:val="3"/>
            <w:shd w:val="clear" w:color="auto" w:fill="auto"/>
            <w:tcMar>
              <w:left w:w="20" w:type="dxa"/>
              <w:right w:w="20" w:type="dxa"/>
            </w:tcMar>
            <w:vAlign w:val="bottom"/>
          </w:tcPr>
          <w:p w14:paraId="0D8DDD3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3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3A" w14:textId="77777777" w:rsidR="004C2197" w:rsidRDefault="004C2197">
            <w:pPr>
              <w:rPr>
                <w:rFonts w:ascii="宋体"/>
              </w:rPr>
            </w:pPr>
          </w:p>
        </w:tc>
      </w:tr>
      <w:tr w:rsidR="004C2197" w14:paraId="0D8DDD3F" w14:textId="77777777">
        <w:tc>
          <w:tcPr>
            <w:tcW w:w="0" w:type="auto"/>
            <w:gridSpan w:val="3"/>
            <w:shd w:val="clear" w:color="auto" w:fill="auto"/>
            <w:tcMar>
              <w:top w:w="40" w:type="dxa"/>
              <w:left w:w="20" w:type="dxa"/>
              <w:bottom w:w="40" w:type="dxa"/>
              <w:right w:w="20" w:type="dxa"/>
            </w:tcMar>
            <w:vAlign w:val="bottom"/>
          </w:tcPr>
          <w:p w14:paraId="0D8DDD3C" w14:textId="77777777" w:rsidR="004C2197" w:rsidRDefault="00863B83">
            <w:pPr>
              <w:textAlignment w:val="bottom"/>
            </w:pPr>
            <w:hyperlink r:id="rId15" w:anchor="i116773f8099847a38bd3a8e824aa5f0f_97"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0D8DDD3D" w14:textId="77777777" w:rsidR="004C2197" w:rsidRDefault="00863B83">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0D8DDD3E" w14:textId="77777777" w:rsidR="004C2197" w:rsidRDefault="00863B83">
            <w:pPr>
              <w:jc w:val="right"/>
              <w:textAlignment w:val="bottom"/>
            </w:pPr>
            <w:hyperlink r:id="rId16" w:anchor="i116773f8099847a38bd3a8e824aa5f0f_97" w:history="1">
              <w:r>
                <w:rPr>
                  <w:rStyle w:val="a5"/>
                  <w:rFonts w:ascii="sans-serif" w:eastAsia="sans-serif" w:hAnsi="sans-serif" w:cs="sans-serif"/>
                  <w:sz w:val="20"/>
                  <w:szCs w:val="20"/>
                </w:rPr>
                <w:t>28</w:t>
              </w:r>
            </w:hyperlink>
          </w:p>
        </w:tc>
      </w:tr>
      <w:tr w:rsidR="004C2197" w14:paraId="0D8DDD43" w14:textId="77777777">
        <w:trPr>
          <w:trHeight w:val="60"/>
        </w:trPr>
        <w:tc>
          <w:tcPr>
            <w:tcW w:w="0" w:type="auto"/>
            <w:gridSpan w:val="3"/>
            <w:shd w:val="clear" w:color="auto" w:fill="auto"/>
            <w:tcMar>
              <w:left w:w="20" w:type="dxa"/>
              <w:right w:w="20" w:type="dxa"/>
            </w:tcMar>
            <w:vAlign w:val="bottom"/>
          </w:tcPr>
          <w:p w14:paraId="0D8DDD4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4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42" w14:textId="77777777" w:rsidR="004C2197" w:rsidRDefault="004C2197">
            <w:pPr>
              <w:rPr>
                <w:rFonts w:ascii="宋体"/>
              </w:rPr>
            </w:pPr>
          </w:p>
        </w:tc>
      </w:tr>
      <w:tr w:rsidR="004C2197" w14:paraId="0D8DDD47" w14:textId="77777777">
        <w:tc>
          <w:tcPr>
            <w:tcW w:w="0" w:type="auto"/>
            <w:gridSpan w:val="3"/>
            <w:shd w:val="clear" w:color="auto" w:fill="auto"/>
            <w:tcMar>
              <w:top w:w="40" w:type="dxa"/>
              <w:left w:w="20" w:type="dxa"/>
              <w:bottom w:w="40" w:type="dxa"/>
              <w:right w:w="20" w:type="dxa"/>
            </w:tcMar>
            <w:vAlign w:val="bottom"/>
          </w:tcPr>
          <w:p w14:paraId="0D8DDD44" w14:textId="77777777" w:rsidR="004C2197" w:rsidRDefault="00863B83">
            <w:pPr>
              <w:textAlignment w:val="bottom"/>
            </w:pPr>
            <w:hyperlink r:id="rId17" w:anchor="i116773f8099847a38bd3a8e824aa5f0f_109"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0D8DDD45" w14:textId="77777777" w:rsidR="004C2197" w:rsidRDefault="00863B83">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0D8DDD46" w14:textId="77777777" w:rsidR="004C2197" w:rsidRDefault="00863B83">
            <w:pPr>
              <w:jc w:val="right"/>
              <w:textAlignment w:val="bottom"/>
            </w:pPr>
            <w:hyperlink r:id="rId18" w:anchor="i116773f8099847a38bd3a8e824aa5f0f_109" w:history="1">
              <w:r>
                <w:rPr>
                  <w:rStyle w:val="a5"/>
                  <w:rFonts w:ascii="sans-serif" w:eastAsia="sans-serif" w:hAnsi="sans-serif" w:cs="sans-serif"/>
                  <w:sz w:val="20"/>
                  <w:szCs w:val="20"/>
                </w:rPr>
                <w:t>36</w:t>
              </w:r>
            </w:hyperlink>
          </w:p>
        </w:tc>
      </w:tr>
      <w:tr w:rsidR="004C2197" w14:paraId="0D8DDD4B" w14:textId="77777777">
        <w:trPr>
          <w:trHeight w:val="60"/>
        </w:trPr>
        <w:tc>
          <w:tcPr>
            <w:tcW w:w="0" w:type="auto"/>
            <w:gridSpan w:val="3"/>
            <w:shd w:val="clear" w:color="auto" w:fill="auto"/>
            <w:tcMar>
              <w:left w:w="20" w:type="dxa"/>
              <w:right w:w="20" w:type="dxa"/>
            </w:tcMar>
            <w:vAlign w:val="bottom"/>
          </w:tcPr>
          <w:p w14:paraId="0D8DDD4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4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4A" w14:textId="77777777" w:rsidR="004C2197" w:rsidRDefault="004C2197">
            <w:pPr>
              <w:rPr>
                <w:rFonts w:ascii="宋体"/>
              </w:rPr>
            </w:pPr>
          </w:p>
        </w:tc>
      </w:tr>
      <w:tr w:rsidR="004C2197" w14:paraId="0D8DDD4F" w14:textId="77777777">
        <w:tc>
          <w:tcPr>
            <w:tcW w:w="0" w:type="auto"/>
            <w:gridSpan w:val="3"/>
            <w:shd w:val="clear" w:color="auto" w:fill="auto"/>
            <w:tcMar>
              <w:top w:w="40" w:type="dxa"/>
              <w:left w:w="20" w:type="dxa"/>
              <w:bottom w:w="40" w:type="dxa"/>
              <w:right w:w="20" w:type="dxa"/>
            </w:tcMar>
            <w:vAlign w:val="bottom"/>
          </w:tcPr>
          <w:p w14:paraId="0D8DDD4C" w14:textId="77777777" w:rsidR="004C2197" w:rsidRDefault="00863B83">
            <w:pPr>
              <w:textAlignment w:val="bottom"/>
            </w:pPr>
            <w:hyperlink r:id="rId19" w:anchor="i116773f8099847a38bd3a8e824aa5f0f_112"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0D8DDD4D" w14:textId="77777777" w:rsidR="004C2197" w:rsidRDefault="00863B83">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0D8DDD4E" w14:textId="77777777" w:rsidR="004C2197" w:rsidRDefault="00863B83">
            <w:pPr>
              <w:jc w:val="right"/>
              <w:textAlignment w:val="bottom"/>
            </w:pPr>
            <w:hyperlink r:id="rId20" w:anchor="i116773f8099847a38bd3a8e824aa5f0f_112" w:history="1">
              <w:r>
                <w:rPr>
                  <w:rStyle w:val="a5"/>
                  <w:rFonts w:ascii="sans-serif" w:eastAsia="sans-serif" w:hAnsi="sans-serif" w:cs="sans-serif"/>
                  <w:sz w:val="20"/>
                  <w:szCs w:val="20"/>
                </w:rPr>
                <w:t>36</w:t>
              </w:r>
            </w:hyperlink>
          </w:p>
        </w:tc>
      </w:tr>
      <w:tr w:rsidR="004C2197" w14:paraId="0D8DDD53" w14:textId="77777777">
        <w:trPr>
          <w:trHeight w:val="60"/>
        </w:trPr>
        <w:tc>
          <w:tcPr>
            <w:tcW w:w="0" w:type="auto"/>
            <w:gridSpan w:val="3"/>
            <w:shd w:val="clear" w:color="auto" w:fill="auto"/>
            <w:tcMar>
              <w:left w:w="20" w:type="dxa"/>
              <w:right w:w="20" w:type="dxa"/>
            </w:tcMar>
            <w:vAlign w:val="bottom"/>
          </w:tcPr>
          <w:p w14:paraId="0D8DDD5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5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52" w14:textId="77777777" w:rsidR="004C2197" w:rsidRDefault="004C2197">
            <w:pPr>
              <w:rPr>
                <w:rFonts w:ascii="宋体"/>
              </w:rPr>
            </w:pPr>
          </w:p>
        </w:tc>
      </w:tr>
      <w:tr w:rsidR="004C2197" w14:paraId="0D8DDD57" w14:textId="77777777">
        <w:tc>
          <w:tcPr>
            <w:tcW w:w="0" w:type="auto"/>
            <w:gridSpan w:val="3"/>
            <w:shd w:val="clear" w:color="auto" w:fill="auto"/>
            <w:tcMar>
              <w:top w:w="40" w:type="dxa"/>
              <w:left w:w="20" w:type="dxa"/>
              <w:bottom w:w="40" w:type="dxa"/>
              <w:right w:w="20" w:type="dxa"/>
            </w:tcMar>
            <w:vAlign w:val="bottom"/>
          </w:tcPr>
          <w:p w14:paraId="0D8DDD54"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55" w14:textId="77777777" w:rsidR="004C2197" w:rsidRDefault="00863B83">
            <w:pPr>
              <w:jc w:val="center"/>
              <w:textAlignment w:val="bottom"/>
            </w:pPr>
            <w:hyperlink r:id="rId21" w:anchor="i116773f8099847a38bd3a8e824aa5f0f_115"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0D8DDD56" w14:textId="77777777" w:rsidR="004C2197" w:rsidRDefault="00863B83">
            <w:pPr>
              <w:jc w:val="right"/>
              <w:textAlignment w:val="bottom"/>
            </w:pPr>
            <w:r>
              <w:rPr>
                <w:rFonts w:ascii="sans-serif" w:eastAsia="sans-serif" w:hAnsi="sans-serif" w:cs="sans-serif"/>
                <w:color w:val="000000"/>
                <w:sz w:val="20"/>
                <w:szCs w:val="20"/>
              </w:rPr>
              <w:t> </w:t>
            </w:r>
          </w:p>
        </w:tc>
      </w:tr>
      <w:tr w:rsidR="004C2197" w14:paraId="0D8DDD5B" w14:textId="77777777">
        <w:trPr>
          <w:trHeight w:val="60"/>
        </w:trPr>
        <w:tc>
          <w:tcPr>
            <w:tcW w:w="0" w:type="auto"/>
            <w:gridSpan w:val="3"/>
            <w:shd w:val="clear" w:color="auto" w:fill="auto"/>
            <w:tcMar>
              <w:left w:w="20" w:type="dxa"/>
              <w:right w:w="20" w:type="dxa"/>
            </w:tcMar>
            <w:vAlign w:val="bottom"/>
          </w:tcPr>
          <w:p w14:paraId="0D8DDD5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5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5A" w14:textId="77777777" w:rsidR="004C2197" w:rsidRDefault="004C2197">
            <w:pPr>
              <w:rPr>
                <w:rFonts w:ascii="宋体"/>
              </w:rPr>
            </w:pPr>
          </w:p>
        </w:tc>
      </w:tr>
      <w:tr w:rsidR="004C2197" w14:paraId="0D8DDD5F" w14:textId="77777777">
        <w:tc>
          <w:tcPr>
            <w:tcW w:w="0" w:type="auto"/>
            <w:gridSpan w:val="3"/>
            <w:shd w:val="clear" w:color="auto" w:fill="auto"/>
            <w:tcMar>
              <w:top w:w="40" w:type="dxa"/>
              <w:left w:w="20" w:type="dxa"/>
              <w:bottom w:w="40" w:type="dxa"/>
              <w:right w:w="20" w:type="dxa"/>
            </w:tcMar>
            <w:vAlign w:val="bottom"/>
          </w:tcPr>
          <w:p w14:paraId="0D8DDD5C" w14:textId="77777777" w:rsidR="004C2197" w:rsidRDefault="00863B83">
            <w:pPr>
              <w:textAlignment w:val="bottom"/>
            </w:pPr>
            <w:hyperlink r:id="rId22" w:anchor="i116773f8099847a38bd3a8e824aa5f0f_118"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0D8DDD5D" w14:textId="77777777" w:rsidR="004C2197" w:rsidRDefault="00863B83">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0D8DDD5E" w14:textId="77777777" w:rsidR="004C2197" w:rsidRDefault="00863B83">
            <w:pPr>
              <w:jc w:val="right"/>
              <w:textAlignment w:val="bottom"/>
            </w:pPr>
            <w:hyperlink r:id="rId23" w:anchor="i116773f8099847a38bd3a8e824aa5f0f_118" w:history="1">
              <w:r>
                <w:rPr>
                  <w:rStyle w:val="a5"/>
                  <w:rFonts w:ascii="sans-serif" w:eastAsia="sans-serif" w:hAnsi="sans-serif" w:cs="sans-serif"/>
                  <w:sz w:val="20"/>
                  <w:szCs w:val="20"/>
                </w:rPr>
                <w:t>37</w:t>
              </w:r>
            </w:hyperlink>
          </w:p>
        </w:tc>
      </w:tr>
      <w:tr w:rsidR="004C2197" w14:paraId="0D8DDD63" w14:textId="77777777">
        <w:trPr>
          <w:trHeight w:val="60"/>
        </w:trPr>
        <w:tc>
          <w:tcPr>
            <w:tcW w:w="0" w:type="auto"/>
            <w:gridSpan w:val="3"/>
            <w:shd w:val="clear" w:color="auto" w:fill="auto"/>
            <w:tcMar>
              <w:left w:w="20" w:type="dxa"/>
              <w:right w:w="20" w:type="dxa"/>
            </w:tcMar>
            <w:vAlign w:val="bottom"/>
          </w:tcPr>
          <w:p w14:paraId="0D8DDD6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6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62" w14:textId="77777777" w:rsidR="004C2197" w:rsidRDefault="004C2197">
            <w:pPr>
              <w:rPr>
                <w:rFonts w:ascii="宋体"/>
              </w:rPr>
            </w:pPr>
          </w:p>
        </w:tc>
      </w:tr>
      <w:tr w:rsidR="004C2197" w14:paraId="0D8DDD67" w14:textId="77777777">
        <w:tc>
          <w:tcPr>
            <w:tcW w:w="0" w:type="auto"/>
            <w:gridSpan w:val="3"/>
            <w:shd w:val="clear" w:color="auto" w:fill="auto"/>
            <w:tcMar>
              <w:top w:w="40" w:type="dxa"/>
              <w:left w:w="20" w:type="dxa"/>
              <w:bottom w:w="40" w:type="dxa"/>
              <w:right w:w="20" w:type="dxa"/>
            </w:tcMar>
            <w:vAlign w:val="bottom"/>
          </w:tcPr>
          <w:p w14:paraId="0D8DDD64" w14:textId="77777777" w:rsidR="004C2197" w:rsidRDefault="00863B83">
            <w:pPr>
              <w:textAlignment w:val="bottom"/>
            </w:pPr>
            <w:hyperlink r:id="rId24" w:anchor="i116773f8099847a38bd3a8e824aa5f0f_121"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0D8DDD65" w14:textId="77777777" w:rsidR="004C2197" w:rsidRDefault="00863B83">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0D8DDD66" w14:textId="77777777" w:rsidR="004C2197" w:rsidRDefault="00863B83">
            <w:pPr>
              <w:jc w:val="right"/>
              <w:textAlignment w:val="bottom"/>
            </w:pPr>
            <w:hyperlink r:id="rId25" w:anchor="i116773f8099847a38bd3a8e824aa5f0f_121" w:history="1">
              <w:r>
                <w:rPr>
                  <w:rStyle w:val="a5"/>
                  <w:rFonts w:ascii="sans-serif" w:eastAsia="sans-serif" w:hAnsi="sans-serif" w:cs="sans-serif"/>
                  <w:sz w:val="20"/>
                  <w:szCs w:val="20"/>
                </w:rPr>
                <w:t>37</w:t>
              </w:r>
            </w:hyperlink>
          </w:p>
        </w:tc>
      </w:tr>
      <w:tr w:rsidR="004C2197" w14:paraId="0D8DDD6B" w14:textId="77777777">
        <w:trPr>
          <w:trHeight w:val="60"/>
        </w:trPr>
        <w:tc>
          <w:tcPr>
            <w:tcW w:w="0" w:type="auto"/>
            <w:gridSpan w:val="3"/>
            <w:shd w:val="clear" w:color="auto" w:fill="auto"/>
            <w:tcMar>
              <w:left w:w="20" w:type="dxa"/>
              <w:right w:w="20" w:type="dxa"/>
            </w:tcMar>
            <w:vAlign w:val="bottom"/>
          </w:tcPr>
          <w:p w14:paraId="0D8DDD6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6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6A" w14:textId="77777777" w:rsidR="004C2197" w:rsidRDefault="004C2197">
            <w:pPr>
              <w:rPr>
                <w:rFonts w:ascii="宋体"/>
              </w:rPr>
            </w:pPr>
          </w:p>
        </w:tc>
      </w:tr>
      <w:tr w:rsidR="004C2197" w14:paraId="0D8DDD6F" w14:textId="77777777">
        <w:tc>
          <w:tcPr>
            <w:tcW w:w="0" w:type="auto"/>
            <w:gridSpan w:val="3"/>
            <w:shd w:val="clear" w:color="auto" w:fill="auto"/>
            <w:tcMar>
              <w:top w:w="40" w:type="dxa"/>
              <w:left w:w="20" w:type="dxa"/>
              <w:bottom w:w="40" w:type="dxa"/>
              <w:right w:w="20" w:type="dxa"/>
            </w:tcMar>
            <w:vAlign w:val="bottom"/>
          </w:tcPr>
          <w:p w14:paraId="0D8DDD6C" w14:textId="77777777" w:rsidR="004C2197" w:rsidRDefault="00863B83">
            <w:pPr>
              <w:textAlignment w:val="bottom"/>
            </w:pPr>
            <w:hyperlink r:id="rId26" w:anchor="i116773f8099847a38bd3a8e824aa5f0f_124"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0D8DDD6D" w14:textId="77777777" w:rsidR="004C2197" w:rsidRDefault="00863B83">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0D8DDD6E" w14:textId="77777777" w:rsidR="004C2197" w:rsidRDefault="00863B83">
            <w:pPr>
              <w:jc w:val="right"/>
              <w:textAlignment w:val="bottom"/>
            </w:pPr>
            <w:hyperlink r:id="rId27" w:anchor="i116773f8099847a38bd3a8e824aa5f0f_124" w:history="1">
              <w:r>
                <w:rPr>
                  <w:rStyle w:val="a5"/>
                  <w:rFonts w:ascii="sans-serif" w:eastAsia="sans-serif" w:hAnsi="sans-serif" w:cs="sans-serif"/>
                  <w:sz w:val="20"/>
                  <w:szCs w:val="20"/>
                </w:rPr>
                <w:t>38</w:t>
              </w:r>
            </w:hyperlink>
          </w:p>
        </w:tc>
      </w:tr>
      <w:tr w:rsidR="004C2197" w14:paraId="0D8DDD73" w14:textId="77777777">
        <w:trPr>
          <w:trHeight w:val="60"/>
        </w:trPr>
        <w:tc>
          <w:tcPr>
            <w:tcW w:w="0" w:type="auto"/>
            <w:gridSpan w:val="3"/>
            <w:shd w:val="clear" w:color="auto" w:fill="auto"/>
            <w:tcMar>
              <w:left w:w="20" w:type="dxa"/>
              <w:right w:w="20" w:type="dxa"/>
            </w:tcMar>
            <w:vAlign w:val="bottom"/>
          </w:tcPr>
          <w:p w14:paraId="0D8DDD7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7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72" w14:textId="77777777" w:rsidR="004C2197" w:rsidRDefault="004C2197">
            <w:pPr>
              <w:rPr>
                <w:rFonts w:ascii="宋体"/>
              </w:rPr>
            </w:pPr>
          </w:p>
        </w:tc>
      </w:tr>
      <w:tr w:rsidR="004C2197" w14:paraId="0D8DDD77" w14:textId="77777777">
        <w:tc>
          <w:tcPr>
            <w:tcW w:w="0" w:type="auto"/>
            <w:gridSpan w:val="3"/>
            <w:shd w:val="clear" w:color="auto" w:fill="auto"/>
            <w:tcMar>
              <w:top w:w="40" w:type="dxa"/>
              <w:left w:w="20" w:type="dxa"/>
              <w:bottom w:w="40" w:type="dxa"/>
              <w:right w:w="20" w:type="dxa"/>
            </w:tcMar>
            <w:vAlign w:val="bottom"/>
          </w:tcPr>
          <w:p w14:paraId="0D8DDD74" w14:textId="77777777" w:rsidR="004C2197" w:rsidRDefault="00863B83">
            <w:pPr>
              <w:textAlignment w:val="bottom"/>
            </w:pPr>
            <w:hyperlink r:id="rId28" w:anchor="i116773f8099847a38bd3a8e824aa5f0f_127"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0D8DDD75" w14:textId="77777777" w:rsidR="004C2197" w:rsidRDefault="00863B83">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0D8DDD76" w14:textId="77777777" w:rsidR="004C2197" w:rsidRDefault="00863B83">
            <w:pPr>
              <w:jc w:val="right"/>
              <w:textAlignment w:val="bottom"/>
            </w:pPr>
            <w:hyperlink r:id="rId29" w:anchor="i116773f8099847a38bd3a8e824aa5f0f_127" w:history="1">
              <w:r>
                <w:rPr>
                  <w:rStyle w:val="a5"/>
                  <w:rFonts w:ascii="sans-serif" w:eastAsia="sans-serif" w:hAnsi="sans-serif" w:cs="sans-serif"/>
                  <w:sz w:val="20"/>
                  <w:szCs w:val="20"/>
                </w:rPr>
                <w:t>40</w:t>
              </w:r>
            </w:hyperlink>
          </w:p>
        </w:tc>
      </w:tr>
      <w:tr w:rsidR="004C2197" w14:paraId="0D8DDD7B" w14:textId="77777777">
        <w:trPr>
          <w:trHeight w:val="60"/>
        </w:trPr>
        <w:tc>
          <w:tcPr>
            <w:tcW w:w="0" w:type="auto"/>
            <w:gridSpan w:val="3"/>
            <w:shd w:val="clear" w:color="auto" w:fill="auto"/>
            <w:tcMar>
              <w:left w:w="20" w:type="dxa"/>
              <w:right w:w="20" w:type="dxa"/>
            </w:tcMar>
            <w:vAlign w:val="bottom"/>
          </w:tcPr>
          <w:p w14:paraId="0D8DDD7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7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7A" w14:textId="77777777" w:rsidR="004C2197" w:rsidRDefault="004C2197">
            <w:pPr>
              <w:rPr>
                <w:rFonts w:ascii="宋体"/>
              </w:rPr>
            </w:pPr>
          </w:p>
        </w:tc>
      </w:tr>
      <w:tr w:rsidR="004C2197" w14:paraId="0D8DDD7F" w14:textId="77777777">
        <w:tc>
          <w:tcPr>
            <w:tcW w:w="0" w:type="auto"/>
            <w:gridSpan w:val="3"/>
            <w:shd w:val="clear" w:color="auto" w:fill="auto"/>
            <w:tcMar>
              <w:top w:w="40" w:type="dxa"/>
              <w:left w:w="20" w:type="dxa"/>
              <w:bottom w:w="40" w:type="dxa"/>
              <w:right w:w="20" w:type="dxa"/>
            </w:tcMar>
            <w:vAlign w:val="bottom"/>
          </w:tcPr>
          <w:p w14:paraId="0D8DDD7C" w14:textId="77777777" w:rsidR="004C2197" w:rsidRDefault="00863B83">
            <w:pPr>
              <w:textAlignment w:val="bottom"/>
            </w:pPr>
            <w:hyperlink r:id="rId30" w:anchor="i116773f8099847a38bd3a8e824aa5f0f_130"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0D8DDD7D"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DD7E" w14:textId="77777777" w:rsidR="004C2197" w:rsidRDefault="00863B83">
            <w:pPr>
              <w:jc w:val="right"/>
              <w:textAlignment w:val="bottom"/>
            </w:pPr>
            <w:hyperlink r:id="rId31" w:anchor="i116773f8099847a38bd3a8e824aa5f0f_130" w:history="1">
              <w:r>
                <w:rPr>
                  <w:rStyle w:val="a5"/>
                  <w:rFonts w:ascii="sans-serif" w:eastAsia="sans-serif" w:hAnsi="sans-serif" w:cs="sans-serif"/>
                  <w:sz w:val="20"/>
                  <w:szCs w:val="20"/>
                </w:rPr>
                <w:t>41</w:t>
              </w:r>
            </w:hyperlink>
          </w:p>
        </w:tc>
      </w:tr>
    </w:tbl>
    <w:p w14:paraId="0D8DDD80" w14:textId="77777777" w:rsidR="004C2197" w:rsidRDefault="00863B83">
      <w:pPr>
        <w:spacing w:before="240" w:after="120"/>
        <w:jc w:val="both"/>
      </w:pPr>
      <w:r>
        <w:rPr>
          <w:rFonts w:ascii="sans-serif" w:eastAsia="sans-serif" w:hAnsi="sans-serif" w:cs="sans-serif"/>
          <w:b/>
          <w:bCs/>
          <w:color w:val="76B900"/>
          <w:sz w:val="22"/>
          <w:szCs w:val="22"/>
        </w:rPr>
        <w:t>WHERE YOU CAN FIND MORE INFORMATION</w:t>
      </w:r>
    </w:p>
    <w:p w14:paraId="0D8DDD81" w14:textId="77777777" w:rsidR="004C2197" w:rsidRDefault="00863B83">
      <w:pPr>
        <w:spacing w:after="180"/>
        <w:jc w:val="both"/>
      </w:pPr>
      <w:r>
        <w:rPr>
          <w:rFonts w:ascii="sans-serif" w:eastAsia="sans-serif" w:hAnsi="sans-serif" w:cs="sans-serif"/>
          <w:color w:val="000000"/>
          <w:sz w:val="20"/>
          <w:szCs w:val="20"/>
        </w:rPr>
        <w:t xml:space="preserve">Investors and others should note that we announce material financial information to our investors using our investor relations website, press </w:t>
      </w:r>
      <w:r>
        <w:rPr>
          <w:rFonts w:ascii="sans-serif" w:eastAsia="sans-serif" w:hAnsi="sans-serif" w:cs="sans-serif"/>
          <w:color w:val="000000"/>
          <w:sz w:val="20"/>
          <w:szCs w:val="20"/>
        </w:rPr>
        <w:t>releases, SEC filings and public conference calls and webcasts. We also use the following social media channels as a means of disclosing information about the company, our products, our planned financial and other announcements and attendance at upcoming i</w:t>
      </w:r>
      <w:r>
        <w:rPr>
          <w:rFonts w:ascii="sans-serif" w:eastAsia="sans-serif" w:hAnsi="sans-serif" w:cs="sans-serif"/>
          <w:color w:val="000000"/>
          <w:sz w:val="20"/>
          <w:szCs w:val="20"/>
        </w:rPr>
        <w:t>nvestor and industry conferences, and other matters and for complying with our disclosure obligations under Regulation FD: </w:t>
      </w:r>
    </w:p>
    <w:p w14:paraId="0D8DDD82" w14:textId="77777777" w:rsidR="004C2197" w:rsidRDefault="00863B83">
      <w:pPr>
        <w:spacing w:after="180"/>
        <w:ind w:firstLine="360"/>
        <w:jc w:val="both"/>
      </w:pPr>
      <w:r>
        <w:rPr>
          <w:rFonts w:ascii="sans-serif" w:eastAsia="sans-serif" w:hAnsi="sans-serif" w:cs="sans-serif"/>
          <w:color w:val="000000"/>
          <w:sz w:val="20"/>
          <w:szCs w:val="20"/>
        </w:rPr>
        <w:t>NVIDIA Twitter Account (https://twitter.com/nvidia)</w:t>
      </w:r>
    </w:p>
    <w:p w14:paraId="0D8DDD83" w14:textId="77777777" w:rsidR="004C2197" w:rsidRDefault="00863B83">
      <w:pPr>
        <w:spacing w:after="180"/>
        <w:ind w:firstLine="360"/>
        <w:jc w:val="both"/>
      </w:pPr>
      <w:r>
        <w:rPr>
          <w:rFonts w:ascii="sans-serif" w:eastAsia="sans-serif" w:hAnsi="sans-serif" w:cs="sans-serif"/>
          <w:color w:val="000000"/>
          <w:sz w:val="20"/>
          <w:szCs w:val="20"/>
        </w:rPr>
        <w:t xml:space="preserve">NVIDIA Company Blog (http://blogs.nvidia.com) </w:t>
      </w:r>
    </w:p>
    <w:p w14:paraId="0D8DDD84" w14:textId="77777777" w:rsidR="004C2197" w:rsidRDefault="00863B83">
      <w:pPr>
        <w:spacing w:after="180"/>
        <w:ind w:firstLine="360"/>
        <w:jc w:val="both"/>
      </w:pPr>
      <w:r>
        <w:rPr>
          <w:rFonts w:ascii="sans-serif" w:eastAsia="sans-serif" w:hAnsi="sans-serif" w:cs="sans-serif"/>
          <w:color w:val="000000"/>
          <w:sz w:val="20"/>
          <w:szCs w:val="20"/>
        </w:rPr>
        <w:t>NVIDIA Facebook Page (https://www</w:t>
      </w:r>
      <w:r>
        <w:rPr>
          <w:rFonts w:ascii="sans-serif" w:eastAsia="sans-serif" w:hAnsi="sans-serif" w:cs="sans-serif"/>
          <w:color w:val="000000"/>
          <w:sz w:val="20"/>
          <w:szCs w:val="20"/>
        </w:rPr>
        <w:t xml:space="preserve">.facebook.com/nvidia) </w:t>
      </w:r>
    </w:p>
    <w:p w14:paraId="0D8DDD85" w14:textId="77777777" w:rsidR="004C2197" w:rsidRDefault="00863B83">
      <w:pPr>
        <w:spacing w:after="180"/>
        <w:ind w:firstLine="360"/>
        <w:jc w:val="both"/>
      </w:pPr>
      <w:r>
        <w:rPr>
          <w:rFonts w:ascii="sans-serif" w:eastAsia="sans-serif" w:hAnsi="sans-serif" w:cs="sans-serif"/>
          <w:color w:val="000000"/>
          <w:sz w:val="20"/>
          <w:szCs w:val="20"/>
        </w:rPr>
        <w:t>NVIDIA LinkedIn Page (http://www.linkedin.com/company/nvidia)</w:t>
      </w:r>
    </w:p>
    <w:p w14:paraId="0D8DDD86" w14:textId="77777777" w:rsidR="004C2197" w:rsidRDefault="00863B83">
      <w:pPr>
        <w:spacing w:after="180"/>
        <w:ind w:firstLine="360"/>
        <w:jc w:val="both"/>
      </w:pPr>
      <w:r>
        <w:rPr>
          <w:rFonts w:ascii="sans-serif" w:eastAsia="sans-serif" w:hAnsi="sans-serif" w:cs="sans-serif"/>
          <w:color w:val="000000"/>
          <w:sz w:val="20"/>
          <w:szCs w:val="20"/>
        </w:rPr>
        <w:t>NVIDIA Instagram Page (https://www.instagram.com/nvidia)</w:t>
      </w:r>
    </w:p>
    <w:p w14:paraId="0D8DDD87" w14:textId="77777777" w:rsidR="004C2197" w:rsidRDefault="00863B83">
      <w:pPr>
        <w:spacing w:after="180"/>
        <w:jc w:val="both"/>
      </w:pPr>
      <w:r>
        <w:rPr>
          <w:rFonts w:ascii="sans-serif" w:eastAsia="sans-serif" w:hAnsi="sans-serif" w:cs="sans-serif"/>
          <w:color w:val="000000"/>
          <w:sz w:val="20"/>
          <w:szCs w:val="20"/>
        </w:rPr>
        <w:t>In addition, investors and others can view NVIDIA videos on YouTube.</w:t>
      </w:r>
    </w:p>
    <w:p w14:paraId="0D8DDD88" w14:textId="77777777" w:rsidR="004C2197" w:rsidRDefault="00863B83">
      <w:pPr>
        <w:spacing w:after="180"/>
        <w:jc w:val="both"/>
      </w:pPr>
      <w:r>
        <w:rPr>
          <w:rFonts w:ascii="sans-serif" w:eastAsia="sans-serif" w:hAnsi="sans-serif" w:cs="sans-serif"/>
          <w:color w:val="000000"/>
          <w:sz w:val="20"/>
          <w:szCs w:val="20"/>
        </w:rPr>
        <w:t xml:space="preserve">The information we post through these social </w:t>
      </w:r>
      <w:r>
        <w:rPr>
          <w:rFonts w:ascii="sans-serif" w:eastAsia="sans-serif" w:hAnsi="sans-serif" w:cs="sans-serif"/>
          <w:color w:val="000000"/>
          <w:sz w:val="20"/>
          <w:szCs w:val="20"/>
        </w:rPr>
        <w:t>media channels may be deemed material. Accordingly, investors should monitor these accounts and the blog, in addition to following our press releases, SEC filings and public conference calls and webcasts. This list may be updated from time to time. The inf</w:t>
      </w:r>
      <w:r>
        <w:rPr>
          <w:rFonts w:ascii="sans-serif" w:eastAsia="sans-serif" w:hAnsi="sans-serif" w:cs="sans-serif"/>
          <w:color w:val="000000"/>
          <w:sz w:val="20"/>
          <w:szCs w:val="20"/>
        </w:rPr>
        <w:t>ormation we post through these channels is not a part of this quarterly report on Form 10-Q. These channels may be updated from time to time on NVIDIA's investor relations website.</w:t>
      </w:r>
    </w:p>
    <w:p w14:paraId="0D8DDD89" w14:textId="77777777" w:rsidR="004C2197" w:rsidRDefault="00863B83">
      <w:pPr>
        <w:spacing w:after="180"/>
        <w:jc w:val="center"/>
      </w:pPr>
      <w:r>
        <w:rPr>
          <w:rFonts w:ascii="sans-serif" w:eastAsia="sans-serif" w:hAnsi="sans-serif" w:cs="sans-serif"/>
          <w:color w:val="000000"/>
          <w:sz w:val="20"/>
          <w:szCs w:val="20"/>
        </w:rPr>
        <w:t>2</w:t>
      </w:r>
    </w:p>
    <w:p w14:paraId="0D8DDD8A" w14:textId="77777777" w:rsidR="004C2197" w:rsidRDefault="00863B83">
      <w:r>
        <w:pict w14:anchorId="0D8E0CA6">
          <v:rect id="_x0000_i1026" style="width:415.3pt;height:1.5pt" o:hralign="center" o:hrstd="t" o:hr="t" fillcolor="#a0a0a0" stroked="f"/>
        </w:pict>
      </w:r>
    </w:p>
    <w:p w14:paraId="0D8DDD8B" w14:textId="77777777" w:rsidR="004C2197" w:rsidRDefault="004C2197">
      <w:pPr>
        <w:spacing w:after="180"/>
        <w:jc w:val="both"/>
      </w:pPr>
    </w:p>
    <w:p w14:paraId="0D8DDD8C" w14:textId="77777777" w:rsidR="004C2197" w:rsidRDefault="00863B83">
      <w:pPr>
        <w:spacing w:before="240" w:after="120"/>
        <w:jc w:val="both"/>
      </w:pPr>
      <w:r>
        <w:rPr>
          <w:rFonts w:ascii="sans-serif" w:eastAsia="sans-serif" w:hAnsi="sans-serif" w:cs="sans-serif"/>
          <w:b/>
          <w:bCs/>
          <w:color w:val="76B900"/>
          <w:sz w:val="22"/>
          <w:szCs w:val="22"/>
        </w:rPr>
        <w:t>PART I. FINANCIAL INFORMATION</w:t>
      </w:r>
    </w:p>
    <w:p w14:paraId="0D8DDD8D" w14:textId="77777777" w:rsidR="004C2197" w:rsidRDefault="00863B83">
      <w:pPr>
        <w:spacing w:before="240" w:after="120"/>
        <w:jc w:val="both"/>
      </w:pPr>
      <w:r>
        <w:rPr>
          <w:rFonts w:ascii="sans-serif" w:eastAsia="sans-serif" w:hAnsi="sans-serif" w:cs="sans-serif"/>
          <w:b/>
          <w:bCs/>
          <w:color w:val="76B900"/>
          <w:sz w:val="22"/>
          <w:szCs w:val="22"/>
        </w:rPr>
        <w:t xml:space="preserve">ITEM 1.  FINANCIAL STATEMENTS </w:t>
      </w:r>
      <w:r>
        <w:rPr>
          <w:rFonts w:ascii="sans-serif" w:eastAsia="sans-serif" w:hAnsi="sans-serif" w:cs="sans-serif"/>
          <w:b/>
          <w:bCs/>
          <w:color w:val="76B900"/>
          <w:sz w:val="22"/>
          <w:szCs w:val="22"/>
        </w:rPr>
        <w:t>(UNAUDITED)</w:t>
      </w:r>
    </w:p>
    <w:p w14:paraId="0D8DDD8E" w14:textId="77777777" w:rsidR="004C2197" w:rsidRDefault="00863B83">
      <w:pPr>
        <w:jc w:val="center"/>
      </w:pPr>
      <w:r>
        <w:rPr>
          <w:rFonts w:ascii="sans-serif" w:eastAsia="sans-serif" w:hAnsi="sans-serif" w:cs="sans-serif"/>
          <w:b/>
          <w:bCs/>
          <w:color w:val="000000"/>
          <w:sz w:val="20"/>
          <w:szCs w:val="20"/>
        </w:rPr>
        <w:t>NVIDIA CORPORATION AND SUBSIDIARIES</w:t>
      </w:r>
    </w:p>
    <w:p w14:paraId="0D8DDD8F" w14:textId="77777777" w:rsidR="004C2197" w:rsidRDefault="00863B83">
      <w:pPr>
        <w:jc w:val="center"/>
      </w:pPr>
      <w:r>
        <w:rPr>
          <w:rFonts w:ascii="sans-serif" w:eastAsia="sans-serif" w:hAnsi="sans-serif" w:cs="sans-serif"/>
          <w:b/>
          <w:bCs/>
          <w:color w:val="000000"/>
          <w:sz w:val="20"/>
          <w:szCs w:val="20"/>
        </w:rPr>
        <w:t>CONDENSED CONSOLIDATED STATEMENTS OF INCOME</w:t>
      </w:r>
    </w:p>
    <w:p w14:paraId="0D8DDD90" w14:textId="77777777" w:rsidR="004C2197" w:rsidRDefault="00863B83">
      <w:pPr>
        <w:jc w:val="center"/>
      </w:pPr>
      <w:r>
        <w:rPr>
          <w:rFonts w:ascii="sans-serif" w:eastAsia="sans-serif" w:hAnsi="sans-serif" w:cs="sans-serif"/>
          <w:b/>
          <w:bCs/>
          <w:color w:val="000000"/>
          <w:sz w:val="20"/>
          <w:szCs w:val="20"/>
        </w:rPr>
        <w:t>(In millions, except per share data)</w:t>
      </w:r>
    </w:p>
    <w:p w14:paraId="0D8DDD91" w14:textId="77777777" w:rsidR="004C2197" w:rsidRDefault="00863B83">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562"/>
        <w:gridCol w:w="38"/>
        <w:gridCol w:w="137"/>
        <w:gridCol w:w="856"/>
        <w:gridCol w:w="41"/>
        <w:gridCol w:w="36"/>
        <w:gridCol w:w="36"/>
        <w:gridCol w:w="36"/>
        <w:gridCol w:w="137"/>
        <w:gridCol w:w="799"/>
        <w:gridCol w:w="41"/>
        <w:gridCol w:w="36"/>
        <w:gridCol w:w="36"/>
        <w:gridCol w:w="36"/>
        <w:gridCol w:w="137"/>
        <w:gridCol w:w="775"/>
        <w:gridCol w:w="41"/>
        <w:gridCol w:w="36"/>
        <w:gridCol w:w="36"/>
        <w:gridCol w:w="36"/>
        <w:gridCol w:w="137"/>
        <w:gridCol w:w="798"/>
        <w:gridCol w:w="41"/>
        <w:gridCol w:w="36"/>
        <w:gridCol w:w="36"/>
        <w:gridCol w:w="36"/>
        <w:gridCol w:w="36"/>
        <w:gridCol w:w="36"/>
        <w:gridCol w:w="36"/>
        <w:gridCol w:w="36"/>
        <w:gridCol w:w="36"/>
        <w:gridCol w:w="36"/>
        <w:gridCol w:w="36"/>
        <w:gridCol w:w="36"/>
        <w:gridCol w:w="36"/>
      </w:tblGrid>
      <w:tr w:rsidR="004C2197" w14:paraId="0D8DDDAA" w14:textId="77777777">
        <w:trPr>
          <w:gridAfter w:val="12"/>
        </w:trPr>
        <w:tc>
          <w:tcPr>
            <w:tcW w:w="50" w:type="pct"/>
            <w:shd w:val="clear" w:color="auto" w:fill="auto"/>
          </w:tcPr>
          <w:p w14:paraId="0D8DDD92" w14:textId="77777777" w:rsidR="004C2197" w:rsidRDefault="004C2197">
            <w:pPr>
              <w:rPr>
                <w:rFonts w:ascii="宋体"/>
              </w:rPr>
            </w:pPr>
          </w:p>
        </w:tc>
        <w:tc>
          <w:tcPr>
            <w:tcW w:w="2306" w:type="pct"/>
            <w:shd w:val="clear" w:color="auto" w:fill="auto"/>
          </w:tcPr>
          <w:p w14:paraId="0D8DDD93" w14:textId="77777777" w:rsidR="004C2197" w:rsidRDefault="004C2197">
            <w:pPr>
              <w:rPr>
                <w:rFonts w:ascii="宋体"/>
              </w:rPr>
            </w:pPr>
          </w:p>
        </w:tc>
        <w:tc>
          <w:tcPr>
            <w:tcW w:w="5" w:type="pct"/>
            <w:shd w:val="clear" w:color="auto" w:fill="auto"/>
          </w:tcPr>
          <w:p w14:paraId="0D8DDD94" w14:textId="77777777" w:rsidR="004C2197" w:rsidRDefault="004C2197">
            <w:pPr>
              <w:rPr>
                <w:rFonts w:ascii="宋体"/>
              </w:rPr>
            </w:pPr>
          </w:p>
        </w:tc>
        <w:tc>
          <w:tcPr>
            <w:tcW w:w="50" w:type="pct"/>
            <w:shd w:val="clear" w:color="auto" w:fill="auto"/>
          </w:tcPr>
          <w:p w14:paraId="0D8DDD95" w14:textId="77777777" w:rsidR="004C2197" w:rsidRDefault="004C2197">
            <w:pPr>
              <w:rPr>
                <w:rFonts w:ascii="宋体"/>
              </w:rPr>
            </w:pPr>
          </w:p>
        </w:tc>
        <w:tc>
          <w:tcPr>
            <w:tcW w:w="580" w:type="pct"/>
            <w:shd w:val="clear" w:color="auto" w:fill="auto"/>
          </w:tcPr>
          <w:p w14:paraId="0D8DDD96" w14:textId="77777777" w:rsidR="004C2197" w:rsidRDefault="004C2197">
            <w:pPr>
              <w:rPr>
                <w:rFonts w:ascii="宋体"/>
              </w:rPr>
            </w:pPr>
          </w:p>
        </w:tc>
        <w:tc>
          <w:tcPr>
            <w:tcW w:w="5" w:type="pct"/>
            <w:shd w:val="clear" w:color="auto" w:fill="auto"/>
          </w:tcPr>
          <w:p w14:paraId="0D8DDD97" w14:textId="77777777" w:rsidR="004C2197" w:rsidRDefault="004C2197">
            <w:pPr>
              <w:rPr>
                <w:rFonts w:ascii="宋体"/>
              </w:rPr>
            </w:pPr>
          </w:p>
        </w:tc>
        <w:tc>
          <w:tcPr>
            <w:tcW w:w="5" w:type="pct"/>
            <w:shd w:val="clear" w:color="auto" w:fill="auto"/>
          </w:tcPr>
          <w:p w14:paraId="0D8DDD98" w14:textId="77777777" w:rsidR="004C2197" w:rsidRDefault="004C2197">
            <w:pPr>
              <w:rPr>
                <w:rFonts w:ascii="宋体"/>
              </w:rPr>
            </w:pPr>
          </w:p>
        </w:tc>
        <w:tc>
          <w:tcPr>
            <w:tcW w:w="26" w:type="pct"/>
            <w:shd w:val="clear" w:color="auto" w:fill="auto"/>
          </w:tcPr>
          <w:p w14:paraId="0D8DDD99" w14:textId="77777777" w:rsidR="004C2197" w:rsidRDefault="004C2197">
            <w:pPr>
              <w:rPr>
                <w:rFonts w:ascii="宋体"/>
              </w:rPr>
            </w:pPr>
          </w:p>
        </w:tc>
        <w:tc>
          <w:tcPr>
            <w:tcW w:w="5" w:type="pct"/>
            <w:shd w:val="clear" w:color="auto" w:fill="auto"/>
          </w:tcPr>
          <w:p w14:paraId="0D8DDD9A" w14:textId="77777777" w:rsidR="004C2197" w:rsidRDefault="004C2197">
            <w:pPr>
              <w:rPr>
                <w:rFonts w:ascii="宋体"/>
              </w:rPr>
            </w:pPr>
          </w:p>
        </w:tc>
        <w:tc>
          <w:tcPr>
            <w:tcW w:w="50" w:type="pct"/>
            <w:shd w:val="clear" w:color="auto" w:fill="auto"/>
          </w:tcPr>
          <w:p w14:paraId="0D8DDD9B" w14:textId="77777777" w:rsidR="004C2197" w:rsidRDefault="004C2197">
            <w:pPr>
              <w:rPr>
                <w:rFonts w:ascii="宋体"/>
              </w:rPr>
            </w:pPr>
          </w:p>
        </w:tc>
        <w:tc>
          <w:tcPr>
            <w:tcW w:w="580" w:type="pct"/>
            <w:shd w:val="clear" w:color="auto" w:fill="auto"/>
          </w:tcPr>
          <w:p w14:paraId="0D8DDD9C" w14:textId="77777777" w:rsidR="004C2197" w:rsidRDefault="004C2197">
            <w:pPr>
              <w:rPr>
                <w:rFonts w:ascii="宋体"/>
              </w:rPr>
            </w:pPr>
          </w:p>
        </w:tc>
        <w:tc>
          <w:tcPr>
            <w:tcW w:w="5" w:type="pct"/>
            <w:shd w:val="clear" w:color="auto" w:fill="auto"/>
          </w:tcPr>
          <w:p w14:paraId="0D8DDD9D" w14:textId="77777777" w:rsidR="004C2197" w:rsidRDefault="004C2197">
            <w:pPr>
              <w:rPr>
                <w:rFonts w:ascii="宋体"/>
              </w:rPr>
            </w:pPr>
          </w:p>
        </w:tc>
        <w:tc>
          <w:tcPr>
            <w:tcW w:w="5" w:type="pct"/>
            <w:shd w:val="clear" w:color="auto" w:fill="auto"/>
          </w:tcPr>
          <w:p w14:paraId="0D8DDD9E" w14:textId="77777777" w:rsidR="004C2197" w:rsidRDefault="004C2197">
            <w:pPr>
              <w:rPr>
                <w:rFonts w:ascii="宋体"/>
              </w:rPr>
            </w:pPr>
          </w:p>
        </w:tc>
        <w:tc>
          <w:tcPr>
            <w:tcW w:w="55" w:type="pct"/>
            <w:shd w:val="clear" w:color="auto" w:fill="auto"/>
          </w:tcPr>
          <w:p w14:paraId="0D8DDD9F" w14:textId="77777777" w:rsidR="004C2197" w:rsidRDefault="004C2197">
            <w:pPr>
              <w:rPr>
                <w:rFonts w:ascii="宋体"/>
              </w:rPr>
            </w:pPr>
          </w:p>
        </w:tc>
        <w:tc>
          <w:tcPr>
            <w:tcW w:w="5" w:type="pct"/>
            <w:shd w:val="clear" w:color="auto" w:fill="auto"/>
          </w:tcPr>
          <w:p w14:paraId="0D8DDDA0" w14:textId="77777777" w:rsidR="004C2197" w:rsidRDefault="004C2197">
            <w:pPr>
              <w:rPr>
                <w:rFonts w:ascii="宋体"/>
              </w:rPr>
            </w:pPr>
          </w:p>
        </w:tc>
        <w:tc>
          <w:tcPr>
            <w:tcW w:w="50" w:type="pct"/>
            <w:shd w:val="clear" w:color="auto" w:fill="auto"/>
          </w:tcPr>
          <w:p w14:paraId="0D8DDDA1" w14:textId="77777777" w:rsidR="004C2197" w:rsidRDefault="004C2197">
            <w:pPr>
              <w:rPr>
                <w:rFonts w:ascii="宋体"/>
              </w:rPr>
            </w:pPr>
          </w:p>
        </w:tc>
        <w:tc>
          <w:tcPr>
            <w:tcW w:w="537" w:type="pct"/>
            <w:shd w:val="clear" w:color="auto" w:fill="auto"/>
          </w:tcPr>
          <w:p w14:paraId="0D8DDDA2" w14:textId="77777777" w:rsidR="004C2197" w:rsidRDefault="004C2197">
            <w:pPr>
              <w:rPr>
                <w:rFonts w:ascii="宋体"/>
              </w:rPr>
            </w:pPr>
          </w:p>
        </w:tc>
        <w:tc>
          <w:tcPr>
            <w:tcW w:w="5" w:type="pct"/>
            <w:shd w:val="clear" w:color="auto" w:fill="auto"/>
          </w:tcPr>
          <w:p w14:paraId="0D8DDDA3" w14:textId="77777777" w:rsidR="004C2197" w:rsidRDefault="004C2197">
            <w:pPr>
              <w:rPr>
                <w:rFonts w:ascii="宋体"/>
              </w:rPr>
            </w:pPr>
          </w:p>
        </w:tc>
        <w:tc>
          <w:tcPr>
            <w:tcW w:w="5" w:type="pct"/>
            <w:shd w:val="clear" w:color="auto" w:fill="auto"/>
          </w:tcPr>
          <w:p w14:paraId="0D8DDDA4" w14:textId="77777777" w:rsidR="004C2197" w:rsidRDefault="004C2197">
            <w:pPr>
              <w:rPr>
                <w:rFonts w:ascii="宋体"/>
              </w:rPr>
            </w:pPr>
          </w:p>
        </w:tc>
        <w:tc>
          <w:tcPr>
            <w:tcW w:w="55" w:type="pct"/>
            <w:shd w:val="clear" w:color="auto" w:fill="auto"/>
          </w:tcPr>
          <w:p w14:paraId="0D8DDDA5" w14:textId="77777777" w:rsidR="004C2197" w:rsidRDefault="004C2197">
            <w:pPr>
              <w:rPr>
                <w:rFonts w:ascii="宋体"/>
              </w:rPr>
            </w:pPr>
          </w:p>
        </w:tc>
        <w:tc>
          <w:tcPr>
            <w:tcW w:w="5" w:type="pct"/>
            <w:shd w:val="clear" w:color="auto" w:fill="auto"/>
          </w:tcPr>
          <w:p w14:paraId="0D8DDDA6" w14:textId="77777777" w:rsidR="004C2197" w:rsidRDefault="004C2197">
            <w:pPr>
              <w:rPr>
                <w:rFonts w:ascii="宋体"/>
              </w:rPr>
            </w:pPr>
          </w:p>
        </w:tc>
        <w:tc>
          <w:tcPr>
            <w:tcW w:w="50" w:type="pct"/>
            <w:shd w:val="clear" w:color="auto" w:fill="auto"/>
          </w:tcPr>
          <w:p w14:paraId="0D8DDDA7" w14:textId="77777777" w:rsidR="004C2197" w:rsidRDefault="004C2197">
            <w:pPr>
              <w:rPr>
                <w:rFonts w:ascii="宋体"/>
              </w:rPr>
            </w:pPr>
          </w:p>
        </w:tc>
        <w:tc>
          <w:tcPr>
            <w:tcW w:w="551" w:type="pct"/>
            <w:shd w:val="clear" w:color="auto" w:fill="auto"/>
          </w:tcPr>
          <w:p w14:paraId="0D8DDDA8" w14:textId="77777777" w:rsidR="004C2197" w:rsidRDefault="004C2197">
            <w:pPr>
              <w:rPr>
                <w:rFonts w:ascii="宋体"/>
              </w:rPr>
            </w:pPr>
          </w:p>
        </w:tc>
        <w:tc>
          <w:tcPr>
            <w:tcW w:w="5" w:type="pct"/>
            <w:shd w:val="clear" w:color="auto" w:fill="auto"/>
          </w:tcPr>
          <w:p w14:paraId="0D8DDDA9" w14:textId="77777777" w:rsidR="004C2197" w:rsidRDefault="004C2197">
            <w:pPr>
              <w:rPr>
                <w:rFonts w:ascii="宋体"/>
              </w:rPr>
            </w:pPr>
          </w:p>
        </w:tc>
      </w:tr>
      <w:tr w:rsidR="004C2197" w14:paraId="0D8DDDB3" w14:textId="77777777">
        <w:tc>
          <w:tcPr>
            <w:tcW w:w="0" w:type="auto"/>
            <w:gridSpan w:val="3"/>
            <w:shd w:val="clear" w:color="auto" w:fill="auto"/>
            <w:tcMar>
              <w:top w:w="40" w:type="dxa"/>
              <w:left w:w="20" w:type="dxa"/>
              <w:bottom w:w="40" w:type="dxa"/>
              <w:right w:w="20" w:type="dxa"/>
            </w:tcMar>
            <w:vAlign w:val="bottom"/>
          </w:tcPr>
          <w:p w14:paraId="0D8DDDAB"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DDDAC"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DDDAD" w14:textId="77777777" w:rsidR="004C2197" w:rsidRDefault="004C2197">
            <w:pPr>
              <w:rPr>
                <w:rFonts w:ascii="宋体"/>
                <w:vanish/>
              </w:rPr>
            </w:pPr>
          </w:p>
        </w:tc>
        <w:tc>
          <w:tcPr>
            <w:tcW w:w="0" w:type="auto"/>
            <w:gridSpan w:val="3"/>
            <w:shd w:val="clear" w:color="auto" w:fill="auto"/>
          </w:tcPr>
          <w:p w14:paraId="0D8DDDAE"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DDAF"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DDB0"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DDB1" w14:textId="77777777" w:rsidR="004C2197" w:rsidRDefault="004C2197">
            <w:pPr>
              <w:rPr>
                <w:rFonts w:ascii="宋体"/>
                <w:vanish/>
              </w:rPr>
            </w:pPr>
          </w:p>
        </w:tc>
        <w:tc>
          <w:tcPr>
            <w:tcW w:w="0" w:type="auto"/>
            <w:gridSpan w:val="3"/>
            <w:shd w:val="clear" w:color="auto" w:fill="auto"/>
          </w:tcPr>
          <w:p w14:paraId="0D8DDDB2" w14:textId="77777777" w:rsidR="004C2197" w:rsidRDefault="004C2197">
            <w:pPr>
              <w:rPr>
                <w:rFonts w:ascii="宋体"/>
                <w:vanish/>
              </w:rPr>
            </w:pPr>
          </w:p>
        </w:tc>
      </w:tr>
      <w:tr w:rsidR="004C2197" w14:paraId="0D8DDDC8" w14:textId="77777777">
        <w:tc>
          <w:tcPr>
            <w:tcW w:w="0" w:type="auto"/>
            <w:gridSpan w:val="3"/>
            <w:shd w:val="clear" w:color="auto" w:fill="auto"/>
            <w:tcMar>
              <w:top w:w="40" w:type="dxa"/>
              <w:left w:w="20" w:type="dxa"/>
              <w:bottom w:w="40" w:type="dxa"/>
              <w:right w:w="20" w:type="dxa"/>
            </w:tcMar>
            <w:vAlign w:val="bottom"/>
          </w:tcPr>
          <w:p w14:paraId="0D8DDDB4"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DDB5"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DDB6"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DDB7"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gridSpan w:val="3"/>
            <w:shd w:val="clear" w:color="auto" w:fill="auto"/>
            <w:tcMar>
              <w:left w:w="20" w:type="dxa"/>
              <w:right w:w="20" w:type="dxa"/>
            </w:tcMar>
            <w:vAlign w:val="bottom"/>
          </w:tcPr>
          <w:p w14:paraId="0D8DDDB8"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DDB9"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DDB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DDBB"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shd w:val="clear" w:color="auto" w:fill="auto"/>
          </w:tcPr>
          <w:p w14:paraId="0D8DDDBC" w14:textId="77777777" w:rsidR="004C2197" w:rsidRDefault="004C2197">
            <w:pPr>
              <w:rPr>
                <w:rFonts w:ascii="宋体"/>
              </w:rPr>
            </w:pPr>
          </w:p>
        </w:tc>
        <w:tc>
          <w:tcPr>
            <w:tcW w:w="0" w:type="auto"/>
            <w:shd w:val="clear" w:color="auto" w:fill="auto"/>
          </w:tcPr>
          <w:p w14:paraId="0D8DDDBD" w14:textId="77777777" w:rsidR="004C2197" w:rsidRDefault="004C2197">
            <w:pPr>
              <w:rPr>
                <w:rFonts w:ascii="宋体"/>
              </w:rPr>
            </w:pPr>
          </w:p>
        </w:tc>
        <w:tc>
          <w:tcPr>
            <w:tcW w:w="0" w:type="auto"/>
            <w:shd w:val="clear" w:color="auto" w:fill="auto"/>
          </w:tcPr>
          <w:p w14:paraId="0D8DDDBE" w14:textId="77777777" w:rsidR="004C2197" w:rsidRDefault="004C2197">
            <w:pPr>
              <w:rPr>
                <w:rFonts w:ascii="宋体"/>
              </w:rPr>
            </w:pPr>
          </w:p>
        </w:tc>
        <w:tc>
          <w:tcPr>
            <w:tcW w:w="0" w:type="auto"/>
            <w:shd w:val="clear" w:color="auto" w:fill="auto"/>
          </w:tcPr>
          <w:p w14:paraId="0D8DDDBF" w14:textId="77777777" w:rsidR="004C2197" w:rsidRDefault="004C2197">
            <w:pPr>
              <w:rPr>
                <w:rFonts w:ascii="宋体"/>
              </w:rPr>
            </w:pPr>
          </w:p>
        </w:tc>
        <w:tc>
          <w:tcPr>
            <w:tcW w:w="0" w:type="auto"/>
            <w:shd w:val="clear" w:color="auto" w:fill="auto"/>
          </w:tcPr>
          <w:p w14:paraId="0D8DDDC0" w14:textId="77777777" w:rsidR="004C2197" w:rsidRDefault="004C2197">
            <w:pPr>
              <w:rPr>
                <w:rFonts w:ascii="宋体"/>
              </w:rPr>
            </w:pPr>
          </w:p>
        </w:tc>
        <w:tc>
          <w:tcPr>
            <w:tcW w:w="0" w:type="auto"/>
            <w:shd w:val="clear" w:color="auto" w:fill="auto"/>
          </w:tcPr>
          <w:p w14:paraId="0D8DDDC1" w14:textId="77777777" w:rsidR="004C2197" w:rsidRDefault="004C2197">
            <w:pPr>
              <w:rPr>
                <w:rFonts w:ascii="宋体"/>
              </w:rPr>
            </w:pPr>
          </w:p>
        </w:tc>
        <w:tc>
          <w:tcPr>
            <w:tcW w:w="0" w:type="auto"/>
            <w:shd w:val="clear" w:color="auto" w:fill="auto"/>
          </w:tcPr>
          <w:p w14:paraId="0D8DDDC2" w14:textId="77777777" w:rsidR="004C2197" w:rsidRDefault="004C2197">
            <w:pPr>
              <w:rPr>
                <w:rFonts w:ascii="宋体"/>
              </w:rPr>
            </w:pPr>
          </w:p>
        </w:tc>
        <w:tc>
          <w:tcPr>
            <w:tcW w:w="0" w:type="auto"/>
            <w:shd w:val="clear" w:color="auto" w:fill="auto"/>
          </w:tcPr>
          <w:p w14:paraId="0D8DDDC3" w14:textId="77777777" w:rsidR="004C2197" w:rsidRDefault="004C2197">
            <w:pPr>
              <w:rPr>
                <w:rFonts w:ascii="宋体"/>
              </w:rPr>
            </w:pPr>
          </w:p>
        </w:tc>
        <w:tc>
          <w:tcPr>
            <w:tcW w:w="0" w:type="auto"/>
            <w:shd w:val="clear" w:color="auto" w:fill="auto"/>
          </w:tcPr>
          <w:p w14:paraId="0D8DDDC4" w14:textId="77777777" w:rsidR="004C2197" w:rsidRDefault="004C2197">
            <w:pPr>
              <w:rPr>
                <w:rFonts w:ascii="宋体"/>
              </w:rPr>
            </w:pPr>
          </w:p>
        </w:tc>
        <w:tc>
          <w:tcPr>
            <w:tcW w:w="0" w:type="auto"/>
            <w:shd w:val="clear" w:color="auto" w:fill="auto"/>
          </w:tcPr>
          <w:p w14:paraId="0D8DDDC5" w14:textId="77777777" w:rsidR="004C2197" w:rsidRDefault="004C2197">
            <w:pPr>
              <w:rPr>
                <w:rFonts w:ascii="宋体"/>
              </w:rPr>
            </w:pPr>
          </w:p>
        </w:tc>
        <w:tc>
          <w:tcPr>
            <w:tcW w:w="0" w:type="auto"/>
            <w:shd w:val="clear" w:color="auto" w:fill="auto"/>
          </w:tcPr>
          <w:p w14:paraId="0D8DDDC6" w14:textId="77777777" w:rsidR="004C2197" w:rsidRDefault="004C2197">
            <w:pPr>
              <w:rPr>
                <w:rFonts w:ascii="宋体"/>
              </w:rPr>
            </w:pPr>
          </w:p>
        </w:tc>
        <w:tc>
          <w:tcPr>
            <w:tcW w:w="0" w:type="auto"/>
            <w:shd w:val="clear" w:color="auto" w:fill="auto"/>
          </w:tcPr>
          <w:p w14:paraId="0D8DDDC7" w14:textId="77777777" w:rsidR="004C2197" w:rsidRDefault="004C2197">
            <w:pPr>
              <w:rPr>
                <w:rFonts w:ascii="宋体"/>
              </w:rPr>
            </w:pPr>
          </w:p>
        </w:tc>
      </w:tr>
      <w:tr w:rsidR="004C2197" w14:paraId="0D8DDDDD" w14:textId="77777777">
        <w:tc>
          <w:tcPr>
            <w:tcW w:w="0" w:type="auto"/>
            <w:gridSpan w:val="3"/>
            <w:shd w:val="clear" w:color="auto" w:fill="auto"/>
            <w:tcMar>
              <w:left w:w="20" w:type="dxa"/>
              <w:right w:w="20" w:type="dxa"/>
            </w:tcMar>
            <w:vAlign w:val="bottom"/>
          </w:tcPr>
          <w:p w14:paraId="0D8DDDC9"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CA"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DDCB"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CC"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left w:w="20" w:type="dxa"/>
              <w:right w:w="20" w:type="dxa"/>
            </w:tcMar>
            <w:vAlign w:val="bottom"/>
          </w:tcPr>
          <w:p w14:paraId="0D8DDDCD"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CE"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DDCF"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DDD0"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shd w:val="clear" w:color="auto" w:fill="auto"/>
          </w:tcPr>
          <w:p w14:paraId="0D8DDDD1" w14:textId="77777777" w:rsidR="004C2197" w:rsidRDefault="004C2197">
            <w:pPr>
              <w:rPr>
                <w:rFonts w:ascii="宋体"/>
              </w:rPr>
            </w:pPr>
          </w:p>
        </w:tc>
        <w:tc>
          <w:tcPr>
            <w:tcW w:w="0" w:type="auto"/>
            <w:shd w:val="clear" w:color="auto" w:fill="auto"/>
          </w:tcPr>
          <w:p w14:paraId="0D8DDDD2" w14:textId="77777777" w:rsidR="004C2197" w:rsidRDefault="004C2197">
            <w:pPr>
              <w:rPr>
                <w:rFonts w:ascii="宋体"/>
              </w:rPr>
            </w:pPr>
          </w:p>
        </w:tc>
        <w:tc>
          <w:tcPr>
            <w:tcW w:w="0" w:type="auto"/>
            <w:shd w:val="clear" w:color="auto" w:fill="auto"/>
          </w:tcPr>
          <w:p w14:paraId="0D8DDDD3" w14:textId="77777777" w:rsidR="004C2197" w:rsidRDefault="004C2197">
            <w:pPr>
              <w:rPr>
                <w:rFonts w:ascii="宋体"/>
              </w:rPr>
            </w:pPr>
          </w:p>
        </w:tc>
        <w:tc>
          <w:tcPr>
            <w:tcW w:w="0" w:type="auto"/>
            <w:shd w:val="clear" w:color="auto" w:fill="auto"/>
          </w:tcPr>
          <w:p w14:paraId="0D8DDDD4" w14:textId="77777777" w:rsidR="004C2197" w:rsidRDefault="004C2197">
            <w:pPr>
              <w:rPr>
                <w:rFonts w:ascii="宋体"/>
              </w:rPr>
            </w:pPr>
          </w:p>
        </w:tc>
        <w:tc>
          <w:tcPr>
            <w:tcW w:w="0" w:type="auto"/>
            <w:shd w:val="clear" w:color="auto" w:fill="auto"/>
          </w:tcPr>
          <w:p w14:paraId="0D8DDDD5" w14:textId="77777777" w:rsidR="004C2197" w:rsidRDefault="004C2197">
            <w:pPr>
              <w:rPr>
                <w:rFonts w:ascii="宋体"/>
              </w:rPr>
            </w:pPr>
          </w:p>
        </w:tc>
        <w:tc>
          <w:tcPr>
            <w:tcW w:w="0" w:type="auto"/>
            <w:shd w:val="clear" w:color="auto" w:fill="auto"/>
          </w:tcPr>
          <w:p w14:paraId="0D8DDDD6" w14:textId="77777777" w:rsidR="004C2197" w:rsidRDefault="004C2197">
            <w:pPr>
              <w:rPr>
                <w:rFonts w:ascii="宋体"/>
              </w:rPr>
            </w:pPr>
          </w:p>
        </w:tc>
        <w:tc>
          <w:tcPr>
            <w:tcW w:w="0" w:type="auto"/>
            <w:shd w:val="clear" w:color="auto" w:fill="auto"/>
          </w:tcPr>
          <w:p w14:paraId="0D8DDDD7" w14:textId="77777777" w:rsidR="004C2197" w:rsidRDefault="004C2197">
            <w:pPr>
              <w:rPr>
                <w:rFonts w:ascii="宋体"/>
              </w:rPr>
            </w:pPr>
          </w:p>
        </w:tc>
        <w:tc>
          <w:tcPr>
            <w:tcW w:w="0" w:type="auto"/>
            <w:shd w:val="clear" w:color="auto" w:fill="auto"/>
          </w:tcPr>
          <w:p w14:paraId="0D8DDDD8" w14:textId="77777777" w:rsidR="004C2197" w:rsidRDefault="004C2197">
            <w:pPr>
              <w:rPr>
                <w:rFonts w:ascii="宋体"/>
              </w:rPr>
            </w:pPr>
          </w:p>
        </w:tc>
        <w:tc>
          <w:tcPr>
            <w:tcW w:w="0" w:type="auto"/>
            <w:shd w:val="clear" w:color="auto" w:fill="auto"/>
          </w:tcPr>
          <w:p w14:paraId="0D8DDDD9" w14:textId="77777777" w:rsidR="004C2197" w:rsidRDefault="004C2197">
            <w:pPr>
              <w:rPr>
                <w:rFonts w:ascii="宋体"/>
              </w:rPr>
            </w:pPr>
          </w:p>
        </w:tc>
        <w:tc>
          <w:tcPr>
            <w:tcW w:w="0" w:type="auto"/>
            <w:shd w:val="clear" w:color="auto" w:fill="auto"/>
          </w:tcPr>
          <w:p w14:paraId="0D8DDDDA" w14:textId="77777777" w:rsidR="004C2197" w:rsidRDefault="004C2197">
            <w:pPr>
              <w:rPr>
                <w:rFonts w:ascii="宋体"/>
              </w:rPr>
            </w:pPr>
          </w:p>
        </w:tc>
        <w:tc>
          <w:tcPr>
            <w:tcW w:w="0" w:type="auto"/>
            <w:shd w:val="clear" w:color="auto" w:fill="auto"/>
          </w:tcPr>
          <w:p w14:paraId="0D8DDDDB" w14:textId="77777777" w:rsidR="004C2197" w:rsidRDefault="004C2197">
            <w:pPr>
              <w:rPr>
                <w:rFonts w:ascii="宋体"/>
              </w:rPr>
            </w:pPr>
          </w:p>
        </w:tc>
        <w:tc>
          <w:tcPr>
            <w:tcW w:w="0" w:type="auto"/>
            <w:shd w:val="clear" w:color="auto" w:fill="auto"/>
          </w:tcPr>
          <w:p w14:paraId="0D8DDDDC" w14:textId="77777777" w:rsidR="004C2197" w:rsidRDefault="004C2197">
            <w:pPr>
              <w:rPr>
                <w:rFonts w:ascii="宋体"/>
              </w:rPr>
            </w:pPr>
          </w:p>
        </w:tc>
      </w:tr>
      <w:tr w:rsidR="004C2197" w14:paraId="0D8DDDF2" w14:textId="77777777">
        <w:trPr>
          <w:trHeight w:val="300"/>
        </w:trPr>
        <w:tc>
          <w:tcPr>
            <w:tcW w:w="0" w:type="auto"/>
            <w:gridSpan w:val="3"/>
            <w:shd w:val="clear" w:color="auto" w:fill="auto"/>
            <w:tcMar>
              <w:left w:w="20" w:type="dxa"/>
              <w:right w:w="20" w:type="dxa"/>
            </w:tcMar>
            <w:vAlign w:val="bottom"/>
          </w:tcPr>
          <w:p w14:paraId="0D8DDDDE"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DDD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E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DDE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E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DDE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DDE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DDE5" w14:textId="77777777" w:rsidR="004C2197" w:rsidRDefault="004C2197">
            <w:pPr>
              <w:rPr>
                <w:rFonts w:ascii="宋体"/>
              </w:rPr>
            </w:pPr>
          </w:p>
        </w:tc>
        <w:tc>
          <w:tcPr>
            <w:tcW w:w="0" w:type="auto"/>
            <w:shd w:val="clear" w:color="auto" w:fill="auto"/>
          </w:tcPr>
          <w:p w14:paraId="0D8DDDE6" w14:textId="77777777" w:rsidR="004C2197" w:rsidRDefault="004C2197">
            <w:pPr>
              <w:rPr>
                <w:rFonts w:ascii="宋体"/>
              </w:rPr>
            </w:pPr>
          </w:p>
        </w:tc>
        <w:tc>
          <w:tcPr>
            <w:tcW w:w="0" w:type="auto"/>
            <w:shd w:val="clear" w:color="auto" w:fill="auto"/>
          </w:tcPr>
          <w:p w14:paraId="0D8DDDE7" w14:textId="77777777" w:rsidR="004C2197" w:rsidRDefault="004C2197">
            <w:pPr>
              <w:rPr>
                <w:rFonts w:ascii="宋体"/>
              </w:rPr>
            </w:pPr>
          </w:p>
        </w:tc>
        <w:tc>
          <w:tcPr>
            <w:tcW w:w="0" w:type="auto"/>
            <w:shd w:val="clear" w:color="auto" w:fill="auto"/>
          </w:tcPr>
          <w:p w14:paraId="0D8DDDE8" w14:textId="77777777" w:rsidR="004C2197" w:rsidRDefault="004C2197">
            <w:pPr>
              <w:rPr>
                <w:rFonts w:ascii="宋体"/>
              </w:rPr>
            </w:pPr>
          </w:p>
        </w:tc>
        <w:tc>
          <w:tcPr>
            <w:tcW w:w="0" w:type="auto"/>
            <w:shd w:val="clear" w:color="auto" w:fill="auto"/>
          </w:tcPr>
          <w:p w14:paraId="0D8DDDE9" w14:textId="77777777" w:rsidR="004C2197" w:rsidRDefault="004C2197">
            <w:pPr>
              <w:rPr>
                <w:rFonts w:ascii="宋体"/>
              </w:rPr>
            </w:pPr>
          </w:p>
        </w:tc>
        <w:tc>
          <w:tcPr>
            <w:tcW w:w="0" w:type="auto"/>
            <w:shd w:val="clear" w:color="auto" w:fill="auto"/>
          </w:tcPr>
          <w:p w14:paraId="0D8DDDEA" w14:textId="77777777" w:rsidR="004C2197" w:rsidRDefault="004C2197">
            <w:pPr>
              <w:rPr>
                <w:rFonts w:ascii="宋体"/>
              </w:rPr>
            </w:pPr>
          </w:p>
        </w:tc>
        <w:tc>
          <w:tcPr>
            <w:tcW w:w="0" w:type="auto"/>
            <w:shd w:val="clear" w:color="auto" w:fill="auto"/>
          </w:tcPr>
          <w:p w14:paraId="0D8DDDEB" w14:textId="77777777" w:rsidR="004C2197" w:rsidRDefault="004C2197">
            <w:pPr>
              <w:rPr>
                <w:rFonts w:ascii="宋体"/>
              </w:rPr>
            </w:pPr>
          </w:p>
        </w:tc>
        <w:tc>
          <w:tcPr>
            <w:tcW w:w="0" w:type="auto"/>
            <w:shd w:val="clear" w:color="auto" w:fill="auto"/>
          </w:tcPr>
          <w:p w14:paraId="0D8DDDEC" w14:textId="77777777" w:rsidR="004C2197" w:rsidRDefault="004C2197">
            <w:pPr>
              <w:rPr>
                <w:rFonts w:ascii="宋体"/>
              </w:rPr>
            </w:pPr>
          </w:p>
        </w:tc>
        <w:tc>
          <w:tcPr>
            <w:tcW w:w="0" w:type="auto"/>
            <w:shd w:val="clear" w:color="auto" w:fill="auto"/>
          </w:tcPr>
          <w:p w14:paraId="0D8DDDED" w14:textId="77777777" w:rsidR="004C2197" w:rsidRDefault="004C2197">
            <w:pPr>
              <w:rPr>
                <w:rFonts w:ascii="宋体"/>
              </w:rPr>
            </w:pPr>
          </w:p>
        </w:tc>
        <w:tc>
          <w:tcPr>
            <w:tcW w:w="0" w:type="auto"/>
            <w:shd w:val="clear" w:color="auto" w:fill="auto"/>
          </w:tcPr>
          <w:p w14:paraId="0D8DDDEE" w14:textId="77777777" w:rsidR="004C2197" w:rsidRDefault="004C2197">
            <w:pPr>
              <w:rPr>
                <w:rFonts w:ascii="宋体"/>
              </w:rPr>
            </w:pPr>
          </w:p>
        </w:tc>
        <w:tc>
          <w:tcPr>
            <w:tcW w:w="0" w:type="auto"/>
            <w:shd w:val="clear" w:color="auto" w:fill="auto"/>
          </w:tcPr>
          <w:p w14:paraId="0D8DDDEF" w14:textId="77777777" w:rsidR="004C2197" w:rsidRDefault="004C2197">
            <w:pPr>
              <w:rPr>
                <w:rFonts w:ascii="宋体"/>
              </w:rPr>
            </w:pPr>
          </w:p>
        </w:tc>
        <w:tc>
          <w:tcPr>
            <w:tcW w:w="0" w:type="auto"/>
            <w:shd w:val="clear" w:color="auto" w:fill="auto"/>
          </w:tcPr>
          <w:p w14:paraId="0D8DDDF0" w14:textId="77777777" w:rsidR="004C2197" w:rsidRDefault="004C2197">
            <w:pPr>
              <w:rPr>
                <w:rFonts w:ascii="宋体"/>
              </w:rPr>
            </w:pPr>
          </w:p>
        </w:tc>
        <w:tc>
          <w:tcPr>
            <w:tcW w:w="0" w:type="auto"/>
            <w:shd w:val="clear" w:color="auto" w:fill="auto"/>
          </w:tcPr>
          <w:p w14:paraId="0D8DDDF1" w14:textId="77777777" w:rsidR="004C2197" w:rsidRDefault="004C2197">
            <w:pPr>
              <w:rPr>
                <w:rFonts w:ascii="宋体"/>
              </w:rPr>
            </w:pPr>
          </w:p>
        </w:tc>
      </w:tr>
      <w:tr w:rsidR="004C2197" w14:paraId="0D8DDE0F" w14:textId="77777777">
        <w:tc>
          <w:tcPr>
            <w:tcW w:w="0" w:type="auto"/>
            <w:gridSpan w:val="3"/>
            <w:shd w:val="clear" w:color="auto" w:fill="E2EFD9"/>
            <w:tcMar>
              <w:top w:w="40" w:type="dxa"/>
              <w:left w:w="20" w:type="dxa"/>
              <w:bottom w:w="40" w:type="dxa"/>
              <w:right w:w="20" w:type="dxa"/>
            </w:tcMar>
            <w:vAlign w:val="bottom"/>
          </w:tcPr>
          <w:p w14:paraId="0D8DDDF3"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tcMar>
            <w:vAlign w:val="bottom"/>
          </w:tcPr>
          <w:p w14:paraId="0D8DDDF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DDF5"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bottom w:w="40" w:type="dxa"/>
              <w:right w:w="20" w:type="dxa"/>
            </w:tcMar>
            <w:vAlign w:val="bottom"/>
          </w:tcPr>
          <w:p w14:paraId="0D8DDDF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DF7"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DDF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DDF9"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shd w:val="clear" w:color="auto" w:fill="E2EFD9"/>
            <w:tcMar>
              <w:top w:w="40" w:type="dxa"/>
              <w:bottom w:w="40" w:type="dxa"/>
              <w:right w:w="20" w:type="dxa"/>
            </w:tcMar>
            <w:vAlign w:val="bottom"/>
          </w:tcPr>
          <w:p w14:paraId="0D8DDDF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DFB"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DDF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DDFD" w14:textId="77777777" w:rsidR="004C2197" w:rsidRDefault="00863B83">
            <w:pPr>
              <w:jc w:val="right"/>
              <w:textAlignment w:val="bottom"/>
            </w:pPr>
            <w:r>
              <w:rPr>
                <w:rFonts w:ascii="sans-serif" w:eastAsia="sans-serif" w:hAnsi="sans-serif" w:cs="sans-serif"/>
                <w:color w:val="000000"/>
                <w:sz w:val="20"/>
                <w:szCs w:val="20"/>
              </w:rPr>
              <w:t>6,946 </w:t>
            </w:r>
          </w:p>
        </w:tc>
        <w:tc>
          <w:tcPr>
            <w:tcW w:w="0" w:type="auto"/>
            <w:shd w:val="clear" w:color="auto" w:fill="E2EFD9"/>
            <w:tcMar>
              <w:top w:w="40" w:type="dxa"/>
              <w:bottom w:w="40" w:type="dxa"/>
              <w:right w:w="20" w:type="dxa"/>
            </w:tcMar>
            <w:vAlign w:val="bottom"/>
          </w:tcPr>
          <w:p w14:paraId="0D8DDDF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DF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DE0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DE01" w14:textId="77777777" w:rsidR="004C2197" w:rsidRDefault="00863B83">
            <w:pPr>
              <w:jc w:val="right"/>
              <w:textAlignment w:val="bottom"/>
            </w:pPr>
            <w:r>
              <w:rPr>
                <w:rFonts w:ascii="sans-serif" w:eastAsia="sans-serif" w:hAnsi="sans-serif" w:cs="sans-serif"/>
                <w:color w:val="000000"/>
                <w:sz w:val="20"/>
                <w:szCs w:val="20"/>
              </w:rPr>
              <w:t>4,799 </w:t>
            </w:r>
          </w:p>
        </w:tc>
        <w:tc>
          <w:tcPr>
            <w:tcW w:w="0" w:type="auto"/>
            <w:shd w:val="clear" w:color="auto" w:fill="E2EFD9"/>
            <w:tcMar>
              <w:top w:w="40" w:type="dxa"/>
              <w:bottom w:w="40" w:type="dxa"/>
              <w:right w:w="20" w:type="dxa"/>
            </w:tcMar>
            <w:vAlign w:val="bottom"/>
          </w:tcPr>
          <w:p w14:paraId="0D8DDE02" w14:textId="77777777" w:rsidR="004C2197" w:rsidRDefault="004C2197">
            <w:pPr>
              <w:jc w:val="right"/>
              <w:rPr>
                <w:rFonts w:ascii="宋体"/>
              </w:rPr>
            </w:pPr>
          </w:p>
        </w:tc>
        <w:tc>
          <w:tcPr>
            <w:tcW w:w="0" w:type="auto"/>
            <w:shd w:val="clear" w:color="auto" w:fill="auto"/>
          </w:tcPr>
          <w:p w14:paraId="0D8DDE03" w14:textId="77777777" w:rsidR="004C2197" w:rsidRDefault="004C2197">
            <w:pPr>
              <w:rPr>
                <w:rFonts w:ascii="宋体"/>
              </w:rPr>
            </w:pPr>
          </w:p>
        </w:tc>
        <w:tc>
          <w:tcPr>
            <w:tcW w:w="0" w:type="auto"/>
            <w:shd w:val="clear" w:color="auto" w:fill="auto"/>
          </w:tcPr>
          <w:p w14:paraId="0D8DDE04" w14:textId="77777777" w:rsidR="004C2197" w:rsidRDefault="004C2197">
            <w:pPr>
              <w:rPr>
                <w:rFonts w:ascii="宋体"/>
              </w:rPr>
            </w:pPr>
          </w:p>
        </w:tc>
        <w:tc>
          <w:tcPr>
            <w:tcW w:w="0" w:type="auto"/>
            <w:shd w:val="clear" w:color="auto" w:fill="auto"/>
          </w:tcPr>
          <w:p w14:paraId="0D8DDE05" w14:textId="77777777" w:rsidR="004C2197" w:rsidRDefault="004C2197">
            <w:pPr>
              <w:rPr>
                <w:rFonts w:ascii="宋体"/>
              </w:rPr>
            </w:pPr>
          </w:p>
        </w:tc>
        <w:tc>
          <w:tcPr>
            <w:tcW w:w="0" w:type="auto"/>
            <w:shd w:val="clear" w:color="auto" w:fill="auto"/>
          </w:tcPr>
          <w:p w14:paraId="0D8DDE06" w14:textId="77777777" w:rsidR="004C2197" w:rsidRDefault="004C2197">
            <w:pPr>
              <w:rPr>
                <w:rFonts w:ascii="宋体"/>
              </w:rPr>
            </w:pPr>
          </w:p>
        </w:tc>
        <w:tc>
          <w:tcPr>
            <w:tcW w:w="0" w:type="auto"/>
            <w:shd w:val="clear" w:color="auto" w:fill="auto"/>
          </w:tcPr>
          <w:p w14:paraId="0D8DDE07" w14:textId="77777777" w:rsidR="004C2197" w:rsidRDefault="004C2197">
            <w:pPr>
              <w:rPr>
                <w:rFonts w:ascii="宋体"/>
              </w:rPr>
            </w:pPr>
          </w:p>
        </w:tc>
        <w:tc>
          <w:tcPr>
            <w:tcW w:w="0" w:type="auto"/>
            <w:shd w:val="clear" w:color="auto" w:fill="auto"/>
          </w:tcPr>
          <w:p w14:paraId="0D8DDE08" w14:textId="77777777" w:rsidR="004C2197" w:rsidRDefault="004C2197">
            <w:pPr>
              <w:rPr>
                <w:rFonts w:ascii="宋体"/>
              </w:rPr>
            </w:pPr>
          </w:p>
        </w:tc>
        <w:tc>
          <w:tcPr>
            <w:tcW w:w="0" w:type="auto"/>
            <w:shd w:val="clear" w:color="auto" w:fill="auto"/>
          </w:tcPr>
          <w:p w14:paraId="0D8DDE09" w14:textId="77777777" w:rsidR="004C2197" w:rsidRDefault="004C2197">
            <w:pPr>
              <w:rPr>
                <w:rFonts w:ascii="宋体"/>
              </w:rPr>
            </w:pPr>
          </w:p>
        </w:tc>
        <w:tc>
          <w:tcPr>
            <w:tcW w:w="0" w:type="auto"/>
            <w:shd w:val="clear" w:color="auto" w:fill="auto"/>
          </w:tcPr>
          <w:p w14:paraId="0D8DDE0A" w14:textId="77777777" w:rsidR="004C2197" w:rsidRDefault="004C2197">
            <w:pPr>
              <w:rPr>
                <w:rFonts w:ascii="宋体"/>
              </w:rPr>
            </w:pPr>
          </w:p>
        </w:tc>
        <w:tc>
          <w:tcPr>
            <w:tcW w:w="0" w:type="auto"/>
            <w:shd w:val="clear" w:color="auto" w:fill="auto"/>
          </w:tcPr>
          <w:p w14:paraId="0D8DDE0B" w14:textId="77777777" w:rsidR="004C2197" w:rsidRDefault="004C2197">
            <w:pPr>
              <w:rPr>
                <w:rFonts w:ascii="宋体"/>
              </w:rPr>
            </w:pPr>
          </w:p>
        </w:tc>
        <w:tc>
          <w:tcPr>
            <w:tcW w:w="0" w:type="auto"/>
            <w:shd w:val="clear" w:color="auto" w:fill="auto"/>
          </w:tcPr>
          <w:p w14:paraId="0D8DDE0C" w14:textId="77777777" w:rsidR="004C2197" w:rsidRDefault="004C2197">
            <w:pPr>
              <w:rPr>
                <w:rFonts w:ascii="宋体"/>
              </w:rPr>
            </w:pPr>
          </w:p>
        </w:tc>
        <w:tc>
          <w:tcPr>
            <w:tcW w:w="0" w:type="auto"/>
            <w:shd w:val="clear" w:color="auto" w:fill="auto"/>
          </w:tcPr>
          <w:p w14:paraId="0D8DDE0D" w14:textId="77777777" w:rsidR="004C2197" w:rsidRDefault="004C2197">
            <w:pPr>
              <w:rPr>
                <w:rFonts w:ascii="宋体"/>
              </w:rPr>
            </w:pPr>
          </w:p>
        </w:tc>
        <w:tc>
          <w:tcPr>
            <w:tcW w:w="0" w:type="auto"/>
            <w:shd w:val="clear" w:color="auto" w:fill="auto"/>
          </w:tcPr>
          <w:p w14:paraId="0D8DDE0E" w14:textId="77777777" w:rsidR="004C2197" w:rsidRDefault="004C2197">
            <w:pPr>
              <w:rPr>
                <w:rFonts w:ascii="宋体"/>
              </w:rPr>
            </w:pPr>
          </w:p>
        </w:tc>
      </w:tr>
      <w:tr w:rsidR="004C2197" w14:paraId="0D8DDE28" w14:textId="77777777">
        <w:tc>
          <w:tcPr>
            <w:tcW w:w="0" w:type="auto"/>
            <w:gridSpan w:val="3"/>
            <w:shd w:val="clear" w:color="auto" w:fill="FFFFFF"/>
            <w:tcMar>
              <w:top w:w="40" w:type="dxa"/>
              <w:left w:w="495" w:type="dxa"/>
              <w:bottom w:w="40" w:type="dxa"/>
              <w:right w:w="20" w:type="dxa"/>
            </w:tcMar>
            <w:vAlign w:val="bottom"/>
          </w:tcPr>
          <w:p w14:paraId="0D8DDE10" w14:textId="77777777" w:rsidR="004C2197" w:rsidRDefault="00863B83">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0D8DDE11" w14:textId="77777777" w:rsidR="004C2197" w:rsidRDefault="00863B83">
            <w:pPr>
              <w:jc w:val="right"/>
              <w:textAlignment w:val="bottom"/>
            </w:pPr>
            <w:r>
              <w:rPr>
                <w:rFonts w:ascii="sans-serif" w:eastAsia="sans-serif" w:hAnsi="sans-serif" w:cs="sans-serif"/>
                <w:color w:val="000000"/>
                <w:sz w:val="20"/>
                <w:szCs w:val="20"/>
              </w:rPr>
              <w:t>1,591 </w:t>
            </w:r>
          </w:p>
        </w:tc>
        <w:tc>
          <w:tcPr>
            <w:tcW w:w="0" w:type="auto"/>
            <w:shd w:val="clear" w:color="auto" w:fill="FFFFFF"/>
            <w:tcMar>
              <w:top w:w="40" w:type="dxa"/>
              <w:bottom w:w="40" w:type="dxa"/>
              <w:right w:w="20" w:type="dxa"/>
            </w:tcMar>
            <w:vAlign w:val="bottom"/>
          </w:tcPr>
          <w:p w14:paraId="0D8DDE1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1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14" w14:textId="77777777" w:rsidR="004C2197" w:rsidRDefault="00863B83">
            <w:pPr>
              <w:jc w:val="right"/>
              <w:textAlignment w:val="bottom"/>
            </w:pPr>
            <w:r>
              <w:rPr>
                <w:rFonts w:ascii="sans-serif" w:eastAsia="sans-serif" w:hAnsi="sans-serif" w:cs="sans-serif"/>
                <w:color w:val="000000"/>
                <w:sz w:val="20"/>
                <w:szCs w:val="20"/>
              </w:rPr>
              <w:t>1,038 </w:t>
            </w:r>
          </w:p>
        </w:tc>
        <w:tc>
          <w:tcPr>
            <w:tcW w:w="0" w:type="auto"/>
            <w:shd w:val="clear" w:color="auto" w:fill="FFFFFF"/>
            <w:tcMar>
              <w:top w:w="40" w:type="dxa"/>
              <w:bottom w:w="40" w:type="dxa"/>
              <w:right w:w="20" w:type="dxa"/>
            </w:tcMar>
            <w:vAlign w:val="bottom"/>
          </w:tcPr>
          <w:p w14:paraId="0D8DDE1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1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17" w14:textId="77777777" w:rsidR="004C2197" w:rsidRDefault="00863B83">
            <w:pPr>
              <w:jc w:val="right"/>
              <w:textAlignment w:val="bottom"/>
            </w:pPr>
            <w:r>
              <w:rPr>
                <w:rFonts w:ascii="sans-serif" w:eastAsia="sans-serif" w:hAnsi="sans-serif" w:cs="sans-serif"/>
                <w:color w:val="000000"/>
                <w:sz w:val="20"/>
                <w:szCs w:val="20"/>
              </w:rPr>
              <w:t>2,667 </w:t>
            </w:r>
          </w:p>
        </w:tc>
        <w:tc>
          <w:tcPr>
            <w:tcW w:w="0" w:type="auto"/>
            <w:shd w:val="clear" w:color="auto" w:fill="FFFFFF"/>
            <w:tcMar>
              <w:top w:w="40" w:type="dxa"/>
              <w:bottom w:w="40" w:type="dxa"/>
              <w:right w:w="20" w:type="dxa"/>
            </w:tcMar>
            <w:vAlign w:val="bottom"/>
          </w:tcPr>
          <w:p w14:paraId="0D8DDE1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1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1A" w14:textId="77777777" w:rsidR="004C2197" w:rsidRDefault="00863B83">
            <w:pPr>
              <w:jc w:val="right"/>
              <w:textAlignment w:val="bottom"/>
            </w:pPr>
            <w:r>
              <w:rPr>
                <w:rFonts w:ascii="sans-serif" w:eastAsia="sans-serif" w:hAnsi="sans-serif" w:cs="sans-serif"/>
                <w:color w:val="000000"/>
                <w:sz w:val="20"/>
                <w:szCs w:val="20"/>
              </w:rPr>
              <w:t>1,962 </w:t>
            </w:r>
          </w:p>
        </w:tc>
        <w:tc>
          <w:tcPr>
            <w:tcW w:w="0" w:type="auto"/>
            <w:shd w:val="clear" w:color="auto" w:fill="FFFFFF"/>
            <w:tcMar>
              <w:top w:w="40" w:type="dxa"/>
              <w:bottom w:w="40" w:type="dxa"/>
              <w:right w:w="20" w:type="dxa"/>
            </w:tcMar>
            <w:vAlign w:val="bottom"/>
          </w:tcPr>
          <w:p w14:paraId="0D8DDE1B" w14:textId="77777777" w:rsidR="004C2197" w:rsidRDefault="004C2197">
            <w:pPr>
              <w:jc w:val="right"/>
              <w:rPr>
                <w:rFonts w:ascii="宋体"/>
              </w:rPr>
            </w:pPr>
          </w:p>
        </w:tc>
        <w:tc>
          <w:tcPr>
            <w:tcW w:w="0" w:type="auto"/>
            <w:shd w:val="clear" w:color="auto" w:fill="auto"/>
          </w:tcPr>
          <w:p w14:paraId="0D8DDE1C" w14:textId="77777777" w:rsidR="004C2197" w:rsidRDefault="004C2197">
            <w:pPr>
              <w:rPr>
                <w:rFonts w:ascii="宋体"/>
              </w:rPr>
            </w:pPr>
          </w:p>
        </w:tc>
        <w:tc>
          <w:tcPr>
            <w:tcW w:w="0" w:type="auto"/>
            <w:shd w:val="clear" w:color="auto" w:fill="auto"/>
          </w:tcPr>
          <w:p w14:paraId="0D8DDE1D" w14:textId="77777777" w:rsidR="004C2197" w:rsidRDefault="004C2197">
            <w:pPr>
              <w:rPr>
                <w:rFonts w:ascii="宋体"/>
              </w:rPr>
            </w:pPr>
          </w:p>
        </w:tc>
        <w:tc>
          <w:tcPr>
            <w:tcW w:w="0" w:type="auto"/>
            <w:shd w:val="clear" w:color="auto" w:fill="auto"/>
          </w:tcPr>
          <w:p w14:paraId="0D8DDE1E" w14:textId="77777777" w:rsidR="004C2197" w:rsidRDefault="004C2197">
            <w:pPr>
              <w:rPr>
                <w:rFonts w:ascii="宋体"/>
              </w:rPr>
            </w:pPr>
          </w:p>
        </w:tc>
        <w:tc>
          <w:tcPr>
            <w:tcW w:w="0" w:type="auto"/>
            <w:shd w:val="clear" w:color="auto" w:fill="auto"/>
          </w:tcPr>
          <w:p w14:paraId="0D8DDE1F" w14:textId="77777777" w:rsidR="004C2197" w:rsidRDefault="004C2197">
            <w:pPr>
              <w:rPr>
                <w:rFonts w:ascii="宋体"/>
              </w:rPr>
            </w:pPr>
          </w:p>
        </w:tc>
        <w:tc>
          <w:tcPr>
            <w:tcW w:w="0" w:type="auto"/>
            <w:shd w:val="clear" w:color="auto" w:fill="auto"/>
          </w:tcPr>
          <w:p w14:paraId="0D8DDE20" w14:textId="77777777" w:rsidR="004C2197" w:rsidRDefault="004C2197">
            <w:pPr>
              <w:rPr>
                <w:rFonts w:ascii="宋体"/>
              </w:rPr>
            </w:pPr>
          </w:p>
        </w:tc>
        <w:tc>
          <w:tcPr>
            <w:tcW w:w="0" w:type="auto"/>
            <w:shd w:val="clear" w:color="auto" w:fill="auto"/>
          </w:tcPr>
          <w:p w14:paraId="0D8DDE21" w14:textId="77777777" w:rsidR="004C2197" w:rsidRDefault="004C2197">
            <w:pPr>
              <w:rPr>
                <w:rFonts w:ascii="宋体"/>
              </w:rPr>
            </w:pPr>
          </w:p>
        </w:tc>
        <w:tc>
          <w:tcPr>
            <w:tcW w:w="0" w:type="auto"/>
            <w:shd w:val="clear" w:color="auto" w:fill="auto"/>
          </w:tcPr>
          <w:p w14:paraId="0D8DDE22" w14:textId="77777777" w:rsidR="004C2197" w:rsidRDefault="004C2197">
            <w:pPr>
              <w:rPr>
                <w:rFonts w:ascii="宋体"/>
              </w:rPr>
            </w:pPr>
          </w:p>
        </w:tc>
        <w:tc>
          <w:tcPr>
            <w:tcW w:w="0" w:type="auto"/>
            <w:shd w:val="clear" w:color="auto" w:fill="auto"/>
          </w:tcPr>
          <w:p w14:paraId="0D8DDE23" w14:textId="77777777" w:rsidR="004C2197" w:rsidRDefault="004C2197">
            <w:pPr>
              <w:rPr>
                <w:rFonts w:ascii="宋体"/>
              </w:rPr>
            </w:pPr>
          </w:p>
        </w:tc>
        <w:tc>
          <w:tcPr>
            <w:tcW w:w="0" w:type="auto"/>
            <w:shd w:val="clear" w:color="auto" w:fill="auto"/>
          </w:tcPr>
          <w:p w14:paraId="0D8DDE24" w14:textId="77777777" w:rsidR="004C2197" w:rsidRDefault="004C2197">
            <w:pPr>
              <w:rPr>
                <w:rFonts w:ascii="宋体"/>
              </w:rPr>
            </w:pPr>
          </w:p>
        </w:tc>
        <w:tc>
          <w:tcPr>
            <w:tcW w:w="0" w:type="auto"/>
            <w:shd w:val="clear" w:color="auto" w:fill="auto"/>
          </w:tcPr>
          <w:p w14:paraId="0D8DDE25" w14:textId="77777777" w:rsidR="004C2197" w:rsidRDefault="004C2197">
            <w:pPr>
              <w:rPr>
                <w:rFonts w:ascii="宋体"/>
              </w:rPr>
            </w:pPr>
          </w:p>
        </w:tc>
        <w:tc>
          <w:tcPr>
            <w:tcW w:w="0" w:type="auto"/>
            <w:shd w:val="clear" w:color="auto" w:fill="auto"/>
          </w:tcPr>
          <w:p w14:paraId="0D8DDE26" w14:textId="77777777" w:rsidR="004C2197" w:rsidRDefault="004C2197">
            <w:pPr>
              <w:rPr>
                <w:rFonts w:ascii="宋体"/>
              </w:rPr>
            </w:pPr>
          </w:p>
        </w:tc>
        <w:tc>
          <w:tcPr>
            <w:tcW w:w="0" w:type="auto"/>
            <w:shd w:val="clear" w:color="auto" w:fill="auto"/>
          </w:tcPr>
          <w:p w14:paraId="0D8DDE27" w14:textId="77777777" w:rsidR="004C2197" w:rsidRDefault="004C2197">
            <w:pPr>
              <w:rPr>
                <w:rFonts w:ascii="宋体"/>
              </w:rPr>
            </w:pPr>
          </w:p>
        </w:tc>
      </w:tr>
      <w:tr w:rsidR="004C2197" w14:paraId="0D8DDE41" w14:textId="77777777">
        <w:tc>
          <w:tcPr>
            <w:tcW w:w="0" w:type="auto"/>
            <w:gridSpan w:val="3"/>
            <w:shd w:val="clear" w:color="auto" w:fill="E2EFD9"/>
            <w:tcMar>
              <w:top w:w="40" w:type="dxa"/>
              <w:left w:w="20" w:type="dxa"/>
              <w:bottom w:w="40" w:type="dxa"/>
              <w:right w:w="20" w:type="dxa"/>
            </w:tcMar>
            <w:vAlign w:val="bottom"/>
          </w:tcPr>
          <w:p w14:paraId="0D8DDE29" w14:textId="77777777" w:rsidR="004C2197" w:rsidRDefault="00863B83">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2A" w14:textId="77777777" w:rsidR="004C2197" w:rsidRDefault="00863B83">
            <w:pPr>
              <w:jc w:val="right"/>
              <w:textAlignment w:val="bottom"/>
            </w:pPr>
            <w:r>
              <w:rPr>
                <w:rFonts w:ascii="sans-serif" w:eastAsia="sans-serif" w:hAnsi="sans-serif" w:cs="sans-serif"/>
                <w:color w:val="000000"/>
                <w:sz w:val="20"/>
                <w:szCs w:val="20"/>
              </w:rPr>
              <w:t>2,275 </w:t>
            </w:r>
          </w:p>
        </w:tc>
        <w:tc>
          <w:tcPr>
            <w:tcW w:w="0" w:type="auto"/>
            <w:tcBorders>
              <w:top w:val="single" w:sz="8" w:space="0" w:color="000000"/>
            </w:tcBorders>
            <w:shd w:val="clear" w:color="auto" w:fill="E2EFD9"/>
            <w:tcMar>
              <w:top w:w="40" w:type="dxa"/>
              <w:bottom w:w="40" w:type="dxa"/>
              <w:right w:w="20" w:type="dxa"/>
            </w:tcMar>
            <w:vAlign w:val="bottom"/>
          </w:tcPr>
          <w:p w14:paraId="0D8DDE2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2C"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2D" w14:textId="77777777" w:rsidR="004C2197" w:rsidRDefault="00863B83">
            <w:pPr>
              <w:jc w:val="right"/>
              <w:textAlignment w:val="bottom"/>
            </w:pPr>
            <w:r>
              <w:rPr>
                <w:rFonts w:ascii="sans-serif" w:eastAsia="sans-serif" w:hAnsi="sans-serif" w:cs="sans-serif"/>
                <w:color w:val="000000"/>
                <w:sz w:val="20"/>
                <w:szCs w:val="20"/>
              </w:rPr>
              <w:t>1,541 </w:t>
            </w:r>
          </w:p>
        </w:tc>
        <w:tc>
          <w:tcPr>
            <w:tcW w:w="0" w:type="auto"/>
            <w:tcBorders>
              <w:top w:val="single" w:sz="8" w:space="0" w:color="000000"/>
            </w:tcBorders>
            <w:shd w:val="clear" w:color="auto" w:fill="E2EFD9"/>
            <w:tcMar>
              <w:top w:w="40" w:type="dxa"/>
              <w:bottom w:w="40" w:type="dxa"/>
              <w:right w:w="20" w:type="dxa"/>
            </w:tcMar>
            <w:vAlign w:val="bottom"/>
          </w:tcPr>
          <w:p w14:paraId="0D8DDE2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2F"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30" w14:textId="77777777" w:rsidR="004C2197" w:rsidRDefault="00863B83">
            <w:pPr>
              <w:jc w:val="right"/>
              <w:textAlignment w:val="bottom"/>
            </w:pPr>
            <w:r>
              <w:rPr>
                <w:rFonts w:ascii="sans-serif" w:eastAsia="sans-serif" w:hAnsi="sans-serif" w:cs="sans-serif"/>
                <w:color w:val="000000"/>
                <w:sz w:val="20"/>
                <w:szCs w:val="20"/>
              </w:rPr>
              <w:t>4,279 </w:t>
            </w:r>
          </w:p>
        </w:tc>
        <w:tc>
          <w:tcPr>
            <w:tcW w:w="0" w:type="auto"/>
            <w:tcBorders>
              <w:top w:val="single" w:sz="8" w:space="0" w:color="000000"/>
            </w:tcBorders>
            <w:shd w:val="clear" w:color="auto" w:fill="E2EFD9"/>
            <w:tcMar>
              <w:top w:w="40" w:type="dxa"/>
              <w:bottom w:w="40" w:type="dxa"/>
              <w:right w:w="20" w:type="dxa"/>
            </w:tcMar>
            <w:vAlign w:val="bottom"/>
          </w:tcPr>
          <w:p w14:paraId="0D8DDE3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32"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33" w14:textId="77777777" w:rsidR="004C2197" w:rsidRDefault="00863B83">
            <w:pPr>
              <w:jc w:val="right"/>
              <w:textAlignment w:val="bottom"/>
            </w:pPr>
            <w:r>
              <w:rPr>
                <w:rFonts w:ascii="sans-serif" w:eastAsia="sans-serif" w:hAnsi="sans-serif" w:cs="sans-serif"/>
                <w:color w:val="000000"/>
                <w:sz w:val="20"/>
                <w:szCs w:val="20"/>
              </w:rPr>
              <w:t>2,837 </w:t>
            </w:r>
          </w:p>
        </w:tc>
        <w:tc>
          <w:tcPr>
            <w:tcW w:w="0" w:type="auto"/>
            <w:tcBorders>
              <w:top w:val="single" w:sz="8" w:space="0" w:color="000000"/>
            </w:tcBorders>
            <w:shd w:val="clear" w:color="auto" w:fill="E2EFD9"/>
            <w:tcMar>
              <w:top w:w="40" w:type="dxa"/>
              <w:bottom w:w="40" w:type="dxa"/>
              <w:right w:w="20" w:type="dxa"/>
            </w:tcMar>
            <w:vAlign w:val="bottom"/>
          </w:tcPr>
          <w:p w14:paraId="0D8DDE34" w14:textId="77777777" w:rsidR="004C2197" w:rsidRDefault="004C2197">
            <w:pPr>
              <w:jc w:val="right"/>
              <w:rPr>
                <w:rFonts w:ascii="宋体"/>
              </w:rPr>
            </w:pPr>
          </w:p>
        </w:tc>
        <w:tc>
          <w:tcPr>
            <w:tcW w:w="0" w:type="auto"/>
            <w:shd w:val="clear" w:color="auto" w:fill="auto"/>
          </w:tcPr>
          <w:p w14:paraId="0D8DDE35" w14:textId="77777777" w:rsidR="004C2197" w:rsidRDefault="004C2197">
            <w:pPr>
              <w:rPr>
                <w:rFonts w:ascii="宋体"/>
              </w:rPr>
            </w:pPr>
          </w:p>
        </w:tc>
        <w:tc>
          <w:tcPr>
            <w:tcW w:w="0" w:type="auto"/>
            <w:shd w:val="clear" w:color="auto" w:fill="auto"/>
          </w:tcPr>
          <w:p w14:paraId="0D8DDE36" w14:textId="77777777" w:rsidR="004C2197" w:rsidRDefault="004C2197">
            <w:pPr>
              <w:rPr>
                <w:rFonts w:ascii="宋体"/>
              </w:rPr>
            </w:pPr>
          </w:p>
        </w:tc>
        <w:tc>
          <w:tcPr>
            <w:tcW w:w="0" w:type="auto"/>
            <w:shd w:val="clear" w:color="auto" w:fill="auto"/>
          </w:tcPr>
          <w:p w14:paraId="0D8DDE37" w14:textId="77777777" w:rsidR="004C2197" w:rsidRDefault="004C2197">
            <w:pPr>
              <w:rPr>
                <w:rFonts w:ascii="宋体"/>
              </w:rPr>
            </w:pPr>
          </w:p>
        </w:tc>
        <w:tc>
          <w:tcPr>
            <w:tcW w:w="0" w:type="auto"/>
            <w:shd w:val="clear" w:color="auto" w:fill="auto"/>
          </w:tcPr>
          <w:p w14:paraId="0D8DDE38" w14:textId="77777777" w:rsidR="004C2197" w:rsidRDefault="004C2197">
            <w:pPr>
              <w:rPr>
                <w:rFonts w:ascii="宋体"/>
              </w:rPr>
            </w:pPr>
          </w:p>
        </w:tc>
        <w:tc>
          <w:tcPr>
            <w:tcW w:w="0" w:type="auto"/>
            <w:shd w:val="clear" w:color="auto" w:fill="auto"/>
          </w:tcPr>
          <w:p w14:paraId="0D8DDE39" w14:textId="77777777" w:rsidR="004C2197" w:rsidRDefault="004C2197">
            <w:pPr>
              <w:rPr>
                <w:rFonts w:ascii="宋体"/>
              </w:rPr>
            </w:pPr>
          </w:p>
        </w:tc>
        <w:tc>
          <w:tcPr>
            <w:tcW w:w="0" w:type="auto"/>
            <w:shd w:val="clear" w:color="auto" w:fill="auto"/>
          </w:tcPr>
          <w:p w14:paraId="0D8DDE3A" w14:textId="77777777" w:rsidR="004C2197" w:rsidRDefault="004C2197">
            <w:pPr>
              <w:rPr>
                <w:rFonts w:ascii="宋体"/>
              </w:rPr>
            </w:pPr>
          </w:p>
        </w:tc>
        <w:tc>
          <w:tcPr>
            <w:tcW w:w="0" w:type="auto"/>
            <w:shd w:val="clear" w:color="auto" w:fill="auto"/>
          </w:tcPr>
          <w:p w14:paraId="0D8DDE3B" w14:textId="77777777" w:rsidR="004C2197" w:rsidRDefault="004C2197">
            <w:pPr>
              <w:rPr>
                <w:rFonts w:ascii="宋体"/>
              </w:rPr>
            </w:pPr>
          </w:p>
        </w:tc>
        <w:tc>
          <w:tcPr>
            <w:tcW w:w="0" w:type="auto"/>
            <w:shd w:val="clear" w:color="auto" w:fill="auto"/>
          </w:tcPr>
          <w:p w14:paraId="0D8DDE3C" w14:textId="77777777" w:rsidR="004C2197" w:rsidRDefault="004C2197">
            <w:pPr>
              <w:rPr>
                <w:rFonts w:ascii="宋体"/>
              </w:rPr>
            </w:pPr>
          </w:p>
        </w:tc>
        <w:tc>
          <w:tcPr>
            <w:tcW w:w="0" w:type="auto"/>
            <w:shd w:val="clear" w:color="auto" w:fill="auto"/>
          </w:tcPr>
          <w:p w14:paraId="0D8DDE3D" w14:textId="77777777" w:rsidR="004C2197" w:rsidRDefault="004C2197">
            <w:pPr>
              <w:rPr>
                <w:rFonts w:ascii="宋体"/>
              </w:rPr>
            </w:pPr>
          </w:p>
        </w:tc>
        <w:tc>
          <w:tcPr>
            <w:tcW w:w="0" w:type="auto"/>
            <w:shd w:val="clear" w:color="auto" w:fill="auto"/>
          </w:tcPr>
          <w:p w14:paraId="0D8DDE3E" w14:textId="77777777" w:rsidR="004C2197" w:rsidRDefault="004C2197">
            <w:pPr>
              <w:rPr>
                <w:rFonts w:ascii="宋体"/>
              </w:rPr>
            </w:pPr>
          </w:p>
        </w:tc>
        <w:tc>
          <w:tcPr>
            <w:tcW w:w="0" w:type="auto"/>
            <w:shd w:val="clear" w:color="auto" w:fill="auto"/>
          </w:tcPr>
          <w:p w14:paraId="0D8DDE3F" w14:textId="77777777" w:rsidR="004C2197" w:rsidRDefault="004C2197">
            <w:pPr>
              <w:rPr>
                <w:rFonts w:ascii="宋体"/>
              </w:rPr>
            </w:pPr>
          </w:p>
        </w:tc>
        <w:tc>
          <w:tcPr>
            <w:tcW w:w="0" w:type="auto"/>
            <w:shd w:val="clear" w:color="auto" w:fill="auto"/>
          </w:tcPr>
          <w:p w14:paraId="0D8DDE40" w14:textId="77777777" w:rsidR="004C2197" w:rsidRDefault="004C2197">
            <w:pPr>
              <w:rPr>
                <w:rFonts w:ascii="宋体"/>
              </w:rPr>
            </w:pPr>
          </w:p>
        </w:tc>
      </w:tr>
      <w:tr w:rsidR="004C2197" w14:paraId="0D8DDE56" w14:textId="77777777">
        <w:tc>
          <w:tcPr>
            <w:tcW w:w="0" w:type="auto"/>
            <w:gridSpan w:val="3"/>
            <w:shd w:val="clear" w:color="auto" w:fill="FFFFFF"/>
            <w:tcMar>
              <w:top w:w="40" w:type="dxa"/>
              <w:left w:w="20" w:type="dxa"/>
              <w:bottom w:w="40" w:type="dxa"/>
              <w:right w:w="20" w:type="dxa"/>
            </w:tcMar>
            <w:vAlign w:val="bottom"/>
          </w:tcPr>
          <w:p w14:paraId="0D8DDE42" w14:textId="77777777" w:rsidR="004C2197" w:rsidRDefault="00863B83">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0D8DDE43" w14:textId="77777777" w:rsidR="004C2197" w:rsidRDefault="00863B83">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0D8DDE44"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DE45"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0D8DDE4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E4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E4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E49" w14:textId="77777777" w:rsidR="004C2197" w:rsidRDefault="004C2197">
            <w:pPr>
              <w:rPr>
                <w:rFonts w:ascii="宋体"/>
              </w:rPr>
            </w:pPr>
          </w:p>
        </w:tc>
        <w:tc>
          <w:tcPr>
            <w:tcW w:w="0" w:type="auto"/>
            <w:shd w:val="clear" w:color="auto" w:fill="auto"/>
          </w:tcPr>
          <w:p w14:paraId="0D8DDE4A" w14:textId="77777777" w:rsidR="004C2197" w:rsidRDefault="004C2197">
            <w:pPr>
              <w:rPr>
                <w:rFonts w:ascii="宋体"/>
              </w:rPr>
            </w:pPr>
          </w:p>
        </w:tc>
        <w:tc>
          <w:tcPr>
            <w:tcW w:w="0" w:type="auto"/>
            <w:shd w:val="clear" w:color="auto" w:fill="auto"/>
          </w:tcPr>
          <w:p w14:paraId="0D8DDE4B" w14:textId="77777777" w:rsidR="004C2197" w:rsidRDefault="004C2197">
            <w:pPr>
              <w:rPr>
                <w:rFonts w:ascii="宋体"/>
              </w:rPr>
            </w:pPr>
          </w:p>
        </w:tc>
        <w:tc>
          <w:tcPr>
            <w:tcW w:w="0" w:type="auto"/>
            <w:shd w:val="clear" w:color="auto" w:fill="auto"/>
          </w:tcPr>
          <w:p w14:paraId="0D8DDE4C" w14:textId="77777777" w:rsidR="004C2197" w:rsidRDefault="004C2197">
            <w:pPr>
              <w:rPr>
                <w:rFonts w:ascii="宋体"/>
              </w:rPr>
            </w:pPr>
          </w:p>
        </w:tc>
        <w:tc>
          <w:tcPr>
            <w:tcW w:w="0" w:type="auto"/>
            <w:shd w:val="clear" w:color="auto" w:fill="auto"/>
          </w:tcPr>
          <w:p w14:paraId="0D8DDE4D" w14:textId="77777777" w:rsidR="004C2197" w:rsidRDefault="004C2197">
            <w:pPr>
              <w:rPr>
                <w:rFonts w:ascii="宋体"/>
              </w:rPr>
            </w:pPr>
          </w:p>
        </w:tc>
        <w:tc>
          <w:tcPr>
            <w:tcW w:w="0" w:type="auto"/>
            <w:shd w:val="clear" w:color="auto" w:fill="auto"/>
          </w:tcPr>
          <w:p w14:paraId="0D8DDE4E" w14:textId="77777777" w:rsidR="004C2197" w:rsidRDefault="004C2197">
            <w:pPr>
              <w:rPr>
                <w:rFonts w:ascii="宋体"/>
              </w:rPr>
            </w:pPr>
          </w:p>
        </w:tc>
        <w:tc>
          <w:tcPr>
            <w:tcW w:w="0" w:type="auto"/>
            <w:shd w:val="clear" w:color="auto" w:fill="auto"/>
          </w:tcPr>
          <w:p w14:paraId="0D8DDE4F" w14:textId="77777777" w:rsidR="004C2197" w:rsidRDefault="004C2197">
            <w:pPr>
              <w:rPr>
                <w:rFonts w:ascii="宋体"/>
              </w:rPr>
            </w:pPr>
          </w:p>
        </w:tc>
        <w:tc>
          <w:tcPr>
            <w:tcW w:w="0" w:type="auto"/>
            <w:shd w:val="clear" w:color="auto" w:fill="auto"/>
          </w:tcPr>
          <w:p w14:paraId="0D8DDE50" w14:textId="77777777" w:rsidR="004C2197" w:rsidRDefault="004C2197">
            <w:pPr>
              <w:rPr>
                <w:rFonts w:ascii="宋体"/>
              </w:rPr>
            </w:pPr>
          </w:p>
        </w:tc>
        <w:tc>
          <w:tcPr>
            <w:tcW w:w="0" w:type="auto"/>
            <w:shd w:val="clear" w:color="auto" w:fill="auto"/>
          </w:tcPr>
          <w:p w14:paraId="0D8DDE51" w14:textId="77777777" w:rsidR="004C2197" w:rsidRDefault="004C2197">
            <w:pPr>
              <w:rPr>
                <w:rFonts w:ascii="宋体"/>
              </w:rPr>
            </w:pPr>
          </w:p>
        </w:tc>
        <w:tc>
          <w:tcPr>
            <w:tcW w:w="0" w:type="auto"/>
            <w:shd w:val="clear" w:color="auto" w:fill="auto"/>
          </w:tcPr>
          <w:p w14:paraId="0D8DDE52" w14:textId="77777777" w:rsidR="004C2197" w:rsidRDefault="004C2197">
            <w:pPr>
              <w:rPr>
                <w:rFonts w:ascii="宋体"/>
              </w:rPr>
            </w:pPr>
          </w:p>
        </w:tc>
        <w:tc>
          <w:tcPr>
            <w:tcW w:w="0" w:type="auto"/>
            <w:shd w:val="clear" w:color="auto" w:fill="auto"/>
          </w:tcPr>
          <w:p w14:paraId="0D8DDE53" w14:textId="77777777" w:rsidR="004C2197" w:rsidRDefault="004C2197">
            <w:pPr>
              <w:rPr>
                <w:rFonts w:ascii="宋体"/>
              </w:rPr>
            </w:pPr>
          </w:p>
        </w:tc>
        <w:tc>
          <w:tcPr>
            <w:tcW w:w="0" w:type="auto"/>
            <w:shd w:val="clear" w:color="auto" w:fill="auto"/>
          </w:tcPr>
          <w:p w14:paraId="0D8DDE54" w14:textId="77777777" w:rsidR="004C2197" w:rsidRDefault="004C2197">
            <w:pPr>
              <w:rPr>
                <w:rFonts w:ascii="宋体"/>
              </w:rPr>
            </w:pPr>
          </w:p>
        </w:tc>
        <w:tc>
          <w:tcPr>
            <w:tcW w:w="0" w:type="auto"/>
            <w:shd w:val="clear" w:color="auto" w:fill="auto"/>
          </w:tcPr>
          <w:p w14:paraId="0D8DDE55" w14:textId="77777777" w:rsidR="004C2197" w:rsidRDefault="004C2197">
            <w:pPr>
              <w:rPr>
                <w:rFonts w:ascii="宋体"/>
              </w:rPr>
            </w:pPr>
          </w:p>
        </w:tc>
      </w:tr>
      <w:tr w:rsidR="004C2197" w14:paraId="0D8DDE6F" w14:textId="77777777">
        <w:tc>
          <w:tcPr>
            <w:tcW w:w="0" w:type="auto"/>
            <w:gridSpan w:val="3"/>
            <w:shd w:val="clear" w:color="auto" w:fill="E2EFD9"/>
            <w:tcMar>
              <w:top w:w="40" w:type="dxa"/>
              <w:left w:w="495" w:type="dxa"/>
              <w:bottom w:w="40" w:type="dxa"/>
              <w:right w:w="20" w:type="dxa"/>
            </w:tcMar>
            <w:vAlign w:val="bottom"/>
          </w:tcPr>
          <w:p w14:paraId="0D8DDE57" w14:textId="77777777" w:rsidR="004C2197" w:rsidRDefault="00863B83">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0D8DDE58" w14:textId="77777777" w:rsidR="004C2197" w:rsidRDefault="00863B83">
            <w:pPr>
              <w:jc w:val="right"/>
              <w:textAlignment w:val="bottom"/>
            </w:pPr>
            <w:r>
              <w:rPr>
                <w:rFonts w:ascii="sans-serif" w:eastAsia="sans-serif" w:hAnsi="sans-serif" w:cs="sans-serif"/>
                <w:color w:val="000000"/>
                <w:sz w:val="20"/>
                <w:szCs w:val="20"/>
              </w:rPr>
              <w:t>997 </w:t>
            </w:r>
          </w:p>
        </w:tc>
        <w:tc>
          <w:tcPr>
            <w:tcW w:w="0" w:type="auto"/>
            <w:shd w:val="clear" w:color="auto" w:fill="E2EFD9"/>
            <w:tcMar>
              <w:top w:w="40" w:type="dxa"/>
              <w:bottom w:w="40" w:type="dxa"/>
              <w:right w:w="20" w:type="dxa"/>
            </w:tcMar>
            <w:vAlign w:val="bottom"/>
          </w:tcPr>
          <w:p w14:paraId="0D8DDE5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5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5B" w14:textId="77777777" w:rsidR="004C2197" w:rsidRDefault="00863B83">
            <w:pPr>
              <w:jc w:val="right"/>
              <w:textAlignment w:val="bottom"/>
            </w:pPr>
            <w:r>
              <w:rPr>
                <w:rFonts w:ascii="sans-serif" w:eastAsia="sans-serif" w:hAnsi="sans-serif" w:cs="sans-serif"/>
                <w:color w:val="000000"/>
                <w:sz w:val="20"/>
                <w:szCs w:val="20"/>
              </w:rPr>
              <w:t>704 </w:t>
            </w:r>
          </w:p>
        </w:tc>
        <w:tc>
          <w:tcPr>
            <w:tcW w:w="0" w:type="auto"/>
            <w:shd w:val="clear" w:color="auto" w:fill="E2EFD9"/>
            <w:tcMar>
              <w:top w:w="40" w:type="dxa"/>
              <w:bottom w:w="40" w:type="dxa"/>
              <w:right w:w="20" w:type="dxa"/>
            </w:tcMar>
            <w:vAlign w:val="bottom"/>
          </w:tcPr>
          <w:p w14:paraId="0D8DDE5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5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5E" w14:textId="77777777" w:rsidR="004C2197" w:rsidRDefault="00863B83">
            <w:pPr>
              <w:jc w:val="right"/>
              <w:textAlignment w:val="bottom"/>
            </w:pPr>
            <w:r>
              <w:rPr>
                <w:rFonts w:ascii="sans-serif" w:eastAsia="sans-serif" w:hAnsi="sans-serif" w:cs="sans-serif"/>
                <w:color w:val="000000"/>
                <w:sz w:val="20"/>
                <w:szCs w:val="20"/>
              </w:rPr>
              <w:t>1,732 </w:t>
            </w:r>
          </w:p>
        </w:tc>
        <w:tc>
          <w:tcPr>
            <w:tcW w:w="0" w:type="auto"/>
            <w:shd w:val="clear" w:color="auto" w:fill="E2EFD9"/>
            <w:tcMar>
              <w:top w:w="40" w:type="dxa"/>
              <w:bottom w:w="40" w:type="dxa"/>
              <w:right w:w="20" w:type="dxa"/>
            </w:tcMar>
            <w:vAlign w:val="bottom"/>
          </w:tcPr>
          <w:p w14:paraId="0D8DDE5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6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61" w14:textId="77777777" w:rsidR="004C2197" w:rsidRDefault="00863B83">
            <w:pPr>
              <w:jc w:val="right"/>
              <w:textAlignment w:val="bottom"/>
            </w:pPr>
            <w:r>
              <w:rPr>
                <w:rFonts w:ascii="sans-serif" w:eastAsia="sans-serif" w:hAnsi="sans-serif" w:cs="sans-serif"/>
                <w:color w:val="000000"/>
                <w:sz w:val="20"/>
                <w:szCs w:val="20"/>
              </w:rPr>
              <w:t>1,379 </w:t>
            </w:r>
          </w:p>
        </w:tc>
        <w:tc>
          <w:tcPr>
            <w:tcW w:w="0" w:type="auto"/>
            <w:shd w:val="clear" w:color="auto" w:fill="E2EFD9"/>
            <w:tcMar>
              <w:top w:w="40" w:type="dxa"/>
              <w:bottom w:w="40" w:type="dxa"/>
              <w:right w:w="20" w:type="dxa"/>
            </w:tcMar>
            <w:vAlign w:val="bottom"/>
          </w:tcPr>
          <w:p w14:paraId="0D8DDE62" w14:textId="77777777" w:rsidR="004C2197" w:rsidRDefault="004C2197">
            <w:pPr>
              <w:jc w:val="right"/>
              <w:rPr>
                <w:rFonts w:ascii="宋体"/>
              </w:rPr>
            </w:pPr>
          </w:p>
        </w:tc>
        <w:tc>
          <w:tcPr>
            <w:tcW w:w="0" w:type="auto"/>
            <w:shd w:val="clear" w:color="auto" w:fill="auto"/>
          </w:tcPr>
          <w:p w14:paraId="0D8DDE63" w14:textId="77777777" w:rsidR="004C2197" w:rsidRDefault="004C2197">
            <w:pPr>
              <w:rPr>
                <w:rFonts w:ascii="宋体"/>
              </w:rPr>
            </w:pPr>
          </w:p>
        </w:tc>
        <w:tc>
          <w:tcPr>
            <w:tcW w:w="0" w:type="auto"/>
            <w:shd w:val="clear" w:color="auto" w:fill="auto"/>
          </w:tcPr>
          <w:p w14:paraId="0D8DDE64" w14:textId="77777777" w:rsidR="004C2197" w:rsidRDefault="004C2197">
            <w:pPr>
              <w:rPr>
                <w:rFonts w:ascii="宋体"/>
              </w:rPr>
            </w:pPr>
          </w:p>
        </w:tc>
        <w:tc>
          <w:tcPr>
            <w:tcW w:w="0" w:type="auto"/>
            <w:shd w:val="clear" w:color="auto" w:fill="auto"/>
          </w:tcPr>
          <w:p w14:paraId="0D8DDE65" w14:textId="77777777" w:rsidR="004C2197" w:rsidRDefault="004C2197">
            <w:pPr>
              <w:rPr>
                <w:rFonts w:ascii="宋体"/>
              </w:rPr>
            </w:pPr>
          </w:p>
        </w:tc>
        <w:tc>
          <w:tcPr>
            <w:tcW w:w="0" w:type="auto"/>
            <w:shd w:val="clear" w:color="auto" w:fill="auto"/>
          </w:tcPr>
          <w:p w14:paraId="0D8DDE66" w14:textId="77777777" w:rsidR="004C2197" w:rsidRDefault="004C2197">
            <w:pPr>
              <w:rPr>
                <w:rFonts w:ascii="宋体"/>
              </w:rPr>
            </w:pPr>
          </w:p>
        </w:tc>
        <w:tc>
          <w:tcPr>
            <w:tcW w:w="0" w:type="auto"/>
            <w:shd w:val="clear" w:color="auto" w:fill="auto"/>
          </w:tcPr>
          <w:p w14:paraId="0D8DDE67" w14:textId="77777777" w:rsidR="004C2197" w:rsidRDefault="004C2197">
            <w:pPr>
              <w:rPr>
                <w:rFonts w:ascii="宋体"/>
              </w:rPr>
            </w:pPr>
          </w:p>
        </w:tc>
        <w:tc>
          <w:tcPr>
            <w:tcW w:w="0" w:type="auto"/>
            <w:shd w:val="clear" w:color="auto" w:fill="auto"/>
          </w:tcPr>
          <w:p w14:paraId="0D8DDE68" w14:textId="77777777" w:rsidR="004C2197" w:rsidRDefault="004C2197">
            <w:pPr>
              <w:rPr>
                <w:rFonts w:ascii="宋体"/>
              </w:rPr>
            </w:pPr>
          </w:p>
        </w:tc>
        <w:tc>
          <w:tcPr>
            <w:tcW w:w="0" w:type="auto"/>
            <w:shd w:val="clear" w:color="auto" w:fill="auto"/>
          </w:tcPr>
          <w:p w14:paraId="0D8DDE69" w14:textId="77777777" w:rsidR="004C2197" w:rsidRDefault="004C2197">
            <w:pPr>
              <w:rPr>
                <w:rFonts w:ascii="宋体"/>
              </w:rPr>
            </w:pPr>
          </w:p>
        </w:tc>
        <w:tc>
          <w:tcPr>
            <w:tcW w:w="0" w:type="auto"/>
            <w:shd w:val="clear" w:color="auto" w:fill="auto"/>
          </w:tcPr>
          <w:p w14:paraId="0D8DDE6A" w14:textId="77777777" w:rsidR="004C2197" w:rsidRDefault="004C2197">
            <w:pPr>
              <w:rPr>
                <w:rFonts w:ascii="宋体"/>
              </w:rPr>
            </w:pPr>
          </w:p>
        </w:tc>
        <w:tc>
          <w:tcPr>
            <w:tcW w:w="0" w:type="auto"/>
            <w:shd w:val="clear" w:color="auto" w:fill="auto"/>
          </w:tcPr>
          <w:p w14:paraId="0D8DDE6B" w14:textId="77777777" w:rsidR="004C2197" w:rsidRDefault="004C2197">
            <w:pPr>
              <w:rPr>
                <w:rFonts w:ascii="宋体"/>
              </w:rPr>
            </w:pPr>
          </w:p>
        </w:tc>
        <w:tc>
          <w:tcPr>
            <w:tcW w:w="0" w:type="auto"/>
            <w:shd w:val="clear" w:color="auto" w:fill="auto"/>
          </w:tcPr>
          <w:p w14:paraId="0D8DDE6C" w14:textId="77777777" w:rsidR="004C2197" w:rsidRDefault="004C2197">
            <w:pPr>
              <w:rPr>
                <w:rFonts w:ascii="宋体"/>
              </w:rPr>
            </w:pPr>
          </w:p>
        </w:tc>
        <w:tc>
          <w:tcPr>
            <w:tcW w:w="0" w:type="auto"/>
            <w:shd w:val="clear" w:color="auto" w:fill="auto"/>
          </w:tcPr>
          <w:p w14:paraId="0D8DDE6D" w14:textId="77777777" w:rsidR="004C2197" w:rsidRDefault="004C2197">
            <w:pPr>
              <w:rPr>
                <w:rFonts w:ascii="宋体"/>
              </w:rPr>
            </w:pPr>
          </w:p>
        </w:tc>
        <w:tc>
          <w:tcPr>
            <w:tcW w:w="0" w:type="auto"/>
            <w:shd w:val="clear" w:color="auto" w:fill="auto"/>
          </w:tcPr>
          <w:p w14:paraId="0D8DDE6E" w14:textId="77777777" w:rsidR="004C2197" w:rsidRDefault="004C2197">
            <w:pPr>
              <w:rPr>
                <w:rFonts w:ascii="宋体"/>
              </w:rPr>
            </w:pPr>
          </w:p>
        </w:tc>
      </w:tr>
      <w:tr w:rsidR="004C2197" w14:paraId="0D8DDE88" w14:textId="77777777">
        <w:tc>
          <w:tcPr>
            <w:tcW w:w="0" w:type="auto"/>
            <w:gridSpan w:val="3"/>
            <w:shd w:val="clear" w:color="auto" w:fill="FFFFFF"/>
            <w:tcMar>
              <w:top w:w="40" w:type="dxa"/>
              <w:left w:w="495" w:type="dxa"/>
              <w:bottom w:w="40" w:type="dxa"/>
              <w:right w:w="20" w:type="dxa"/>
            </w:tcMar>
            <w:vAlign w:val="bottom"/>
          </w:tcPr>
          <w:p w14:paraId="0D8DDE70" w14:textId="77777777" w:rsidR="004C2197" w:rsidRDefault="00863B83">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0D8DDE71" w14:textId="77777777" w:rsidR="004C2197" w:rsidRDefault="00863B83">
            <w:pPr>
              <w:jc w:val="right"/>
              <w:textAlignment w:val="bottom"/>
            </w:pPr>
            <w:r>
              <w:rPr>
                <w:rFonts w:ascii="sans-serif" w:eastAsia="sans-serif" w:hAnsi="sans-serif" w:cs="sans-serif"/>
                <w:color w:val="000000"/>
                <w:sz w:val="20"/>
                <w:szCs w:val="20"/>
              </w:rPr>
              <w:t>627 </w:t>
            </w:r>
          </w:p>
        </w:tc>
        <w:tc>
          <w:tcPr>
            <w:tcW w:w="0" w:type="auto"/>
            <w:shd w:val="clear" w:color="auto" w:fill="FFFFFF"/>
            <w:tcMar>
              <w:top w:w="40" w:type="dxa"/>
              <w:bottom w:w="40" w:type="dxa"/>
              <w:right w:w="20" w:type="dxa"/>
            </w:tcMar>
            <w:vAlign w:val="bottom"/>
          </w:tcPr>
          <w:p w14:paraId="0D8DDE7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7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74" w14:textId="77777777" w:rsidR="004C2197" w:rsidRDefault="00863B83">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bottom w:w="40" w:type="dxa"/>
              <w:right w:w="20" w:type="dxa"/>
            </w:tcMar>
            <w:vAlign w:val="bottom"/>
          </w:tcPr>
          <w:p w14:paraId="0D8DDE7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7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77" w14:textId="77777777" w:rsidR="004C2197" w:rsidRDefault="00863B83">
            <w:pPr>
              <w:jc w:val="right"/>
              <w:textAlignment w:val="bottom"/>
            </w:pPr>
            <w:r>
              <w:rPr>
                <w:rFonts w:ascii="sans-serif" w:eastAsia="sans-serif" w:hAnsi="sans-serif" w:cs="sans-serif"/>
                <w:color w:val="000000"/>
                <w:sz w:val="20"/>
                <w:szCs w:val="20"/>
              </w:rPr>
              <w:t>920 </w:t>
            </w:r>
          </w:p>
        </w:tc>
        <w:tc>
          <w:tcPr>
            <w:tcW w:w="0" w:type="auto"/>
            <w:shd w:val="clear" w:color="auto" w:fill="FFFFFF"/>
            <w:tcMar>
              <w:top w:w="40" w:type="dxa"/>
              <w:bottom w:w="40" w:type="dxa"/>
              <w:right w:w="20" w:type="dxa"/>
            </w:tcMar>
            <w:vAlign w:val="bottom"/>
          </w:tcPr>
          <w:p w14:paraId="0D8DDE7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7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7A" w14:textId="77777777" w:rsidR="004C2197" w:rsidRDefault="00863B83">
            <w:pPr>
              <w:jc w:val="right"/>
              <w:textAlignment w:val="bottom"/>
            </w:pPr>
            <w:r>
              <w:rPr>
                <w:rFonts w:ascii="sans-serif" w:eastAsia="sans-serif" w:hAnsi="sans-serif" w:cs="sans-serif"/>
                <w:color w:val="000000"/>
                <w:sz w:val="20"/>
                <w:szCs w:val="20"/>
              </w:rPr>
              <w:t>529 </w:t>
            </w:r>
          </w:p>
        </w:tc>
        <w:tc>
          <w:tcPr>
            <w:tcW w:w="0" w:type="auto"/>
            <w:shd w:val="clear" w:color="auto" w:fill="FFFFFF"/>
            <w:tcMar>
              <w:top w:w="40" w:type="dxa"/>
              <w:bottom w:w="40" w:type="dxa"/>
              <w:right w:w="20" w:type="dxa"/>
            </w:tcMar>
            <w:vAlign w:val="bottom"/>
          </w:tcPr>
          <w:p w14:paraId="0D8DDE7B" w14:textId="77777777" w:rsidR="004C2197" w:rsidRDefault="004C2197">
            <w:pPr>
              <w:jc w:val="right"/>
              <w:rPr>
                <w:rFonts w:ascii="宋体"/>
              </w:rPr>
            </w:pPr>
          </w:p>
        </w:tc>
        <w:tc>
          <w:tcPr>
            <w:tcW w:w="0" w:type="auto"/>
            <w:shd w:val="clear" w:color="auto" w:fill="auto"/>
          </w:tcPr>
          <w:p w14:paraId="0D8DDE7C" w14:textId="77777777" w:rsidR="004C2197" w:rsidRDefault="004C2197">
            <w:pPr>
              <w:rPr>
                <w:rFonts w:ascii="宋体"/>
              </w:rPr>
            </w:pPr>
          </w:p>
        </w:tc>
        <w:tc>
          <w:tcPr>
            <w:tcW w:w="0" w:type="auto"/>
            <w:shd w:val="clear" w:color="auto" w:fill="auto"/>
          </w:tcPr>
          <w:p w14:paraId="0D8DDE7D" w14:textId="77777777" w:rsidR="004C2197" w:rsidRDefault="004C2197">
            <w:pPr>
              <w:rPr>
                <w:rFonts w:ascii="宋体"/>
              </w:rPr>
            </w:pPr>
          </w:p>
        </w:tc>
        <w:tc>
          <w:tcPr>
            <w:tcW w:w="0" w:type="auto"/>
            <w:shd w:val="clear" w:color="auto" w:fill="auto"/>
          </w:tcPr>
          <w:p w14:paraId="0D8DDE7E" w14:textId="77777777" w:rsidR="004C2197" w:rsidRDefault="004C2197">
            <w:pPr>
              <w:rPr>
                <w:rFonts w:ascii="宋体"/>
              </w:rPr>
            </w:pPr>
          </w:p>
        </w:tc>
        <w:tc>
          <w:tcPr>
            <w:tcW w:w="0" w:type="auto"/>
            <w:shd w:val="clear" w:color="auto" w:fill="auto"/>
          </w:tcPr>
          <w:p w14:paraId="0D8DDE7F" w14:textId="77777777" w:rsidR="004C2197" w:rsidRDefault="004C2197">
            <w:pPr>
              <w:rPr>
                <w:rFonts w:ascii="宋体"/>
              </w:rPr>
            </w:pPr>
          </w:p>
        </w:tc>
        <w:tc>
          <w:tcPr>
            <w:tcW w:w="0" w:type="auto"/>
            <w:shd w:val="clear" w:color="auto" w:fill="auto"/>
          </w:tcPr>
          <w:p w14:paraId="0D8DDE80" w14:textId="77777777" w:rsidR="004C2197" w:rsidRDefault="004C2197">
            <w:pPr>
              <w:rPr>
                <w:rFonts w:ascii="宋体"/>
              </w:rPr>
            </w:pPr>
          </w:p>
        </w:tc>
        <w:tc>
          <w:tcPr>
            <w:tcW w:w="0" w:type="auto"/>
            <w:shd w:val="clear" w:color="auto" w:fill="auto"/>
          </w:tcPr>
          <w:p w14:paraId="0D8DDE81" w14:textId="77777777" w:rsidR="004C2197" w:rsidRDefault="004C2197">
            <w:pPr>
              <w:rPr>
                <w:rFonts w:ascii="宋体"/>
              </w:rPr>
            </w:pPr>
          </w:p>
        </w:tc>
        <w:tc>
          <w:tcPr>
            <w:tcW w:w="0" w:type="auto"/>
            <w:shd w:val="clear" w:color="auto" w:fill="auto"/>
          </w:tcPr>
          <w:p w14:paraId="0D8DDE82" w14:textId="77777777" w:rsidR="004C2197" w:rsidRDefault="004C2197">
            <w:pPr>
              <w:rPr>
                <w:rFonts w:ascii="宋体"/>
              </w:rPr>
            </w:pPr>
          </w:p>
        </w:tc>
        <w:tc>
          <w:tcPr>
            <w:tcW w:w="0" w:type="auto"/>
            <w:shd w:val="clear" w:color="auto" w:fill="auto"/>
          </w:tcPr>
          <w:p w14:paraId="0D8DDE83" w14:textId="77777777" w:rsidR="004C2197" w:rsidRDefault="004C2197">
            <w:pPr>
              <w:rPr>
                <w:rFonts w:ascii="宋体"/>
              </w:rPr>
            </w:pPr>
          </w:p>
        </w:tc>
        <w:tc>
          <w:tcPr>
            <w:tcW w:w="0" w:type="auto"/>
            <w:shd w:val="clear" w:color="auto" w:fill="auto"/>
          </w:tcPr>
          <w:p w14:paraId="0D8DDE84" w14:textId="77777777" w:rsidR="004C2197" w:rsidRDefault="004C2197">
            <w:pPr>
              <w:rPr>
                <w:rFonts w:ascii="宋体"/>
              </w:rPr>
            </w:pPr>
          </w:p>
        </w:tc>
        <w:tc>
          <w:tcPr>
            <w:tcW w:w="0" w:type="auto"/>
            <w:shd w:val="clear" w:color="auto" w:fill="auto"/>
          </w:tcPr>
          <w:p w14:paraId="0D8DDE85" w14:textId="77777777" w:rsidR="004C2197" w:rsidRDefault="004C2197">
            <w:pPr>
              <w:rPr>
                <w:rFonts w:ascii="宋体"/>
              </w:rPr>
            </w:pPr>
          </w:p>
        </w:tc>
        <w:tc>
          <w:tcPr>
            <w:tcW w:w="0" w:type="auto"/>
            <w:shd w:val="clear" w:color="auto" w:fill="auto"/>
          </w:tcPr>
          <w:p w14:paraId="0D8DDE86" w14:textId="77777777" w:rsidR="004C2197" w:rsidRDefault="004C2197">
            <w:pPr>
              <w:rPr>
                <w:rFonts w:ascii="宋体"/>
              </w:rPr>
            </w:pPr>
          </w:p>
        </w:tc>
        <w:tc>
          <w:tcPr>
            <w:tcW w:w="0" w:type="auto"/>
            <w:shd w:val="clear" w:color="auto" w:fill="auto"/>
          </w:tcPr>
          <w:p w14:paraId="0D8DDE87" w14:textId="77777777" w:rsidR="004C2197" w:rsidRDefault="004C2197">
            <w:pPr>
              <w:rPr>
                <w:rFonts w:ascii="宋体"/>
              </w:rPr>
            </w:pPr>
          </w:p>
        </w:tc>
      </w:tr>
      <w:tr w:rsidR="004C2197" w14:paraId="0D8DDE9D" w14:textId="77777777">
        <w:trPr>
          <w:hidden/>
        </w:trPr>
        <w:tc>
          <w:tcPr>
            <w:tcW w:w="0" w:type="auto"/>
            <w:gridSpan w:val="3"/>
            <w:shd w:val="clear" w:color="auto" w:fill="auto"/>
          </w:tcPr>
          <w:p w14:paraId="0D8DDE89" w14:textId="77777777" w:rsidR="004C2197" w:rsidRDefault="004C2197">
            <w:pPr>
              <w:rPr>
                <w:rFonts w:ascii="宋体"/>
                <w:vanish/>
              </w:rPr>
            </w:pPr>
          </w:p>
        </w:tc>
        <w:tc>
          <w:tcPr>
            <w:tcW w:w="0" w:type="auto"/>
            <w:gridSpan w:val="3"/>
            <w:shd w:val="clear" w:color="auto" w:fill="auto"/>
          </w:tcPr>
          <w:p w14:paraId="0D8DDE8A" w14:textId="77777777" w:rsidR="004C2197" w:rsidRDefault="004C2197">
            <w:pPr>
              <w:rPr>
                <w:rFonts w:ascii="宋体"/>
                <w:vanish/>
              </w:rPr>
            </w:pPr>
          </w:p>
        </w:tc>
        <w:tc>
          <w:tcPr>
            <w:tcW w:w="0" w:type="auto"/>
            <w:gridSpan w:val="3"/>
            <w:shd w:val="clear" w:color="auto" w:fill="auto"/>
          </w:tcPr>
          <w:p w14:paraId="0D8DDE8B" w14:textId="77777777" w:rsidR="004C2197" w:rsidRDefault="004C2197">
            <w:pPr>
              <w:rPr>
                <w:rFonts w:ascii="宋体"/>
                <w:vanish/>
              </w:rPr>
            </w:pPr>
          </w:p>
        </w:tc>
        <w:tc>
          <w:tcPr>
            <w:tcW w:w="0" w:type="auto"/>
            <w:gridSpan w:val="3"/>
            <w:shd w:val="clear" w:color="auto" w:fill="auto"/>
          </w:tcPr>
          <w:p w14:paraId="0D8DDE8C" w14:textId="77777777" w:rsidR="004C2197" w:rsidRDefault="004C2197">
            <w:pPr>
              <w:rPr>
                <w:rFonts w:ascii="宋体"/>
                <w:vanish/>
              </w:rPr>
            </w:pPr>
          </w:p>
        </w:tc>
        <w:tc>
          <w:tcPr>
            <w:tcW w:w="0" w:type="auto"/>
            <w:gridSpan w:val="3"/>
            <w:shd w:val="clear" w:color="auto" w:fill="auto"/>
          </w:tcPr>
          <w:p w14:paraId="0D8DDE8D" w14:textId="77777777" w:rsidR="004C2197" w:rsidRDefault="004C2197">
            <w:pPr>
              <w:rPr>
                <w:rFonts w:ascii="宋体"/>
                <w:vanish/>
              </w:rPr>
            </w:pPr>
          </w:p>
        </w:tc>
        <w:tc>
          <w:tcPr>
            <w:tcW w:w="0" w:type="auto"/>
            <w:gridSpan w:val="3"/>
            <w:shd w:val="clear" w:color="auto" w:fill="auto"/>
          </w:tcPr>
          <w:p w14:paraId="0D8DDE8E" w14:textId="77777777" w:rsidR="004C2197" w:rsidRDefault="004C2197">
            <w:pPr>
              <w:rPr>
                <w:rFonts w:ascii="宋体"/>
                <w:vanish/>
              </w:rPr>
            </w:pPr>
          </w:p>
        </w:tc>
        <w:tc>
          <w:tcPr>
            <w:tcW w:w="0" w:type="auto"/>
            <w:gridSpan w:val="3"/>
            <w:shd w:val="clear" w:color="auto" w:fill="auto"/>
          </w:tcPr>
          <w:p w14:paraId="0D8DDE8F" w14:textId="77777777" w:rsidR="004C2197" w:rsidRDefault="004C2197">
            <w:pPr>
              <w:rPr>
                <w:rFonts w:ascii="宋体"/>
                <w:vanish/>
              </w:rPr>
            </w:pPr>
          </w:p>
        </w:tc>
        <w:tc>
          <w:tcPr>
            <w:tcW w:w="0" w:type="auto"/>
            <w:gridSpan w:val="3"/>
            <w:shd w:val="clear" w:color="auto" w:fill="auto"/>
          </w:tcPr>
          <w:p w14:paraId="0D8DDE90" w14:textId="77777777" w:rsidR="004C2197" w:rsidRDefault="004C2197">
            <w:pPr>
              <w:rPr>
                <w:rFonts w:ascii="宋体"/>
                <w:vanish/>
              </w:rPr>
            </w:pPr>
          </w:p>
        </w:tc>
        <w:tc>
          <w:tcPr>
            <w:tcW w:w="0" w:type="auto"/>
            <w:shd w:val="clear" w:color="auto" w:fill="auto"/>
          </w:tcPr>
          <w:p w14:paraId="0D8DDE91" w14:textId="77777777" w:rsidR="004C2197" w:rsidRDefault="004C2197">
            <w:pPr>
              <w:rPr>
                <w:rFonts w:ascii="宋体"/>
              </w:rPr>
            </w:pPr>
          </w:p>
        </w:tc>
        <w:tc>
          <w:tcPr>
            <w:tcW w:w="0" w:type="auto"/>
            <w:shd w:val="clear" w:color="auto" w:fill="auto"/>
          </w:tcPr>
          <w:p w14:paraId="0D8DDE92" w14:textId="77777777" w:rsidR="004C2197" w:rsidRDefault="004C2197">
            <w:pPr>
              <w:rPr>
                <w:rFonts w:ascii="宋体"/>
              </w:rPr>
            </w:pPr>
          </w:p>
        </w:tc>
        <w:tc>
          <w:tcPr>
            <w:tcW w:w="0" w:type="auto"/>
            <w:shd w:val="clear" w:color="auto" w:fill="auto"/>
          </w:tcPr>
          <w:p w14:paraId="0D8DDE93" w14:textId="77777777" w:rsidR="004C2197" w:rsidRDefault="004C2197">
            <w:pPr>
              <w:rPr>
                <w:rFonts w:ascii="宋体"/>
              </w:rPr>
            </w:pPr>
          </w:p>
        </w:tc>
        <w:tc>
          <w:tcPr>
            <w:tcW w:w="0" w:type="auto"/>
            <w:shd w:val="clear" w:color="auto" w:fill="auto"/>
          </w:tcPr>
          <w:p w14:paraId="0D8DDE94" w14:textId="77777777" w:rsidR="004C2197" w:rsidRDefault="004C2197">
            <w:pPr>
              <w:rPr>
                <w:rFonts w:ascii="宋体"/>
              </w:rPr>
            </w:pPr>
          </w:p>
        </w:tc>
        <w:tc>
          <w:tcPr>
            <w:tcW w:w="0" w:type="auto"/>
            <w:shd w:val="clear" w:color="auto" w:fill="auto"/>
          </w:tcPr>
          <w:p w14:paraId="0D8DDE95" w14:textId="77777777" w:rsidR="004C2197" w:rsidRDefault="004C2197">
            <w:pPr>
              <w:rPr>
                <w:rFonts w:ascii="宋体"/>
              </w:rPr>
            </w:pPr>
          </w:p>
        </w:tc>
        <w:tc>
          <w:tcPr>
            <w:tcW w:w="0" w:type="auto"/>
            <w:shd w:val="clear" w:color="auto" w:fill="auto"/>
          </w:tcPr>
          <w:p w14:paraId="0D8DDE96" w14:textId="77777777" w:rsidR="004C2197" w:rsidRDefault="004C2197">
            <w:pPr>
              <w:rPr>
                <w:rFonts w:ascii="宋体"/>
              </w:rPr>
            </w:pPr>
          </w:p>
        </w:tc>
        <w:tc>
          <w:tcPr>
            <w:tcW w:w="0" w:type="auto"/>
            <w:shd w:val="clear" w:color="auto" w:fill="auto"/>
          </w:tcPr>
          <w:p w14:paraId="0D8DDE97" w14:textId="77777777" w:rsidR="004C2197" w:rsidRDefault="004C2197">
            <w:pPr>
              <w:rPr>
                <w:rFonts w:ascii="宋体"/>
              </w:rPr>
            </w:pPr>
          </w:p>
        </w:tc>
        <w:tc>
          <w:tcPr>
            <w:tcW w:w="0" w:type="auto"/>
            <w:shd w:val="clear" w:color="auto" w:fill="auto"/>
          </w:tcPr>
          <w:p w14:paraId="0D8DDE98" w14:textId="77777777" w:rsidR="004C2197" w:rsidRDefault="004C2197">
            <w:pPr>
              <w:rPr>
                <w:rFonts w:ascii="宋体"/>
              </w:rPr>
            </w:pPr>
          </w:p>
        </w:tc>
        <w:tc>
          <w:tcPr>
            <w:tcW w:w="0" w:type="auto"/>
            <w:shd w:val="clear" w:color="auto" w:fill="auto"/>
          </w:tcPr>
          <w:p w14:paraId="0D8DDE99" w14:textId="77777777" w:rsidR="004C2197" w:rsidRDefault="004C2197">
            <w:pPr>
              <w:rPr>
                <w:rFonts w:ascii="宋体"/>
              </w:rPr>
            </w:pPr>
          </w:p>
        </w:tc>
        <w:tc>
          <w:tcPr>
            <w:tcW w:w="0" w:type="auto"/>
            <w:shd w:val="clear" w:color="auto" w:fill="auto"/>
          </w:tcPr>
          <w:p w14:paraId="0D8DDE9A" w14:textId="77777777" w:rsidR="004C2197" w:rsidRDefault="004C2197">
            <w:pPr>
              <w:rPr>
                <w:rFonts w:ascii="宋体"/>
              </w:rPr>
            </w:pPr>
          </w:p>
        </w:tc>
        <w:tc>
          <w:tcPr>
            <w:tcW w:w="0" w:type="auto"/>
            <w:shd w:val="clear" w:color="auto" w:fill="auto"/>
          </w:tcPr>
          <w:p w14:paraId="0D8DDE9B" w14:textId="77777777" w:rsidR="004C2197" w:rsidRDefault="004C2197">
            <w:pPr>
              <w:rPr>
                <w:rFonts w:ascii="宋体"/>
              </w:rPr>
            </w:pPr>
          </w:p>
        </w:tc>
        <w:tc>
          <w:tcPr>
            <w:tcW w:w="0" w:type="auto"/>
            <w:shd w:val="clear" w:color="auto" w:fill="auto"/>
          </w:tcPr>
          <w:p w14:paraId="0D8DDE9C" w14:textId="77777777" w:rsidR="004C2197" w:rsidRDefault="004C2197">
            <w:pPr>
              <w:rPr>
                <w:rFonts w:ascii="宋体"/>
              </w:rPr>
            </w:pPr>
          </w:p>
        </w:tc>
      </w:tr>
      <w:tr w:rsidR="004C2197" w14:paraId="0D8DDEB6" w14:textId="77777777">
        <w:tc>
          <w:tcPr>
            <w:tcW w:w="0" w:type="auto"/>
            <w:gridSpan w:val="3"/>
            <w:shd w:val="clear" w:color="auto" w:fill="E2EFD9"/>
            <w:tcMar>
              <w:top w:w="40" w:type="dxa"/>
              <w:left w:w="855" w:type="dxa"/>
              <w:bottom w:w="40" w:type="dxa"/>
              <w:right w:w="20" w:type="dxa"/>
            </w:tcMar>
            <w:vAlign w:val="bottom"/>
          </w:tcPr>
          <w:p w14:paraId="0D8DDE9E" w14:textId="77777777" w:rsidR="004C2197" w:rsidRDefault="00863B83">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9F" w14:textId="77777777" w:rsidR="004C2197" w:rsidRDefault="00863B83">
            <w:pPr>
              <w:jc w:val="right"/>
              <w:textAlignment w:val="bottom"/>
            </w:pPr>
            <w:r>
              <w:rPr>
                <w:rFonts w:ascii="sans-serif" w:eastAsia="sans-serif" w:hAnsi="sans-serif" w:cs="sans-serif"/>
                <w:color w:val="000000"/>
                <w:sz w:val="20"/>
                <w:szCs w:val="20"/>
              </w:rPr>
              <w:t>1,624 </w:t>
            </w:r>
          </w:p>
        </w:tc>
        <w:tc>
          <w:tcPr>
            <w:tcW w:w="0" w:type="auto"/>
            <w:tcBorders>
              <w:top w:val="single" w:sz="8" w:space="0" w:color="000000"/>
            </w:tcBorders>
            <w:shd w:val="clear" w:color="auto" w:fill="E2EFD9"/>
            <w:tcMar>
              <w:top w:w="40" w:type="dxa"/>
              <w:bottom w:w="40" w:type="dxa"/>
              <w:right w:w="20" w:type="dxa"/>
            </w:tcMar>
            <w:vAlign w:val="bottom"/>
          </w:tcPr>
          <w:p w14:paraId="0D8DDEA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A1"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A2" w14:textId="77777777" w:rsidR="004C2197" w:rsidRDefault="00863B83">
            <w:pPr>
              <w:jc w:val="right"/>
              <w:textAlignment w:val="bottom"/>
            </w:pPr>
            <w:r>
              <w:rPr>
                <w:rFonts w:ascii="sans-serif" w:eastAsia="sans-serif" w:hAnsi="sans-serif" w:cs="sans-serif"/>
                <w:color w:val="000000"/>
                <w:sz w:val="20"/>
                <w:szCs w:val="20"/>
              </w:rPr>
              <w:t>970 </w:t>
            </w:r>
          </w:p>
        </w:tc>
        <w:tc>
          <w:tcPr>
            <w:tcW w:w="0" w:type="auto"/>
            <w:tcBorders>
              <w:top w:val="single" w:sz="8" w:space="0" w:color="000000"/>
            </w:tcBorders>
            <w:shd w:val="clear" w:color="auto" w:fill="E2EFD9"/>
            <w:tcMar>
              <w:top w:w="40" w:type="dxa"/>
              <w:bottom w:w="40" w:type="dxa"/>
              <w:right w:w="20" w:type="dxa"/>
            </w:tcMar>
            <w:vAlign w:val="bottom"/>
          </w:tcPr>
          <w:p w14:paraId="0D8DDEA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A4"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A5" w14:textId="77777777" w:rsidR="004C2197" w:rsidRDefault="00863B83">
            <w:pPr>
              <w:jc w:val="right"/>
              <w:textAlignment w:val="bottom"/>
            </w:pPr>
            <w:r>
              <w:rPr>
                <w:rFonts w:ascii="sans-serif" w:eastAsia="sans-serif" w:hAnsi="sans-serif" w:cs="sans-serif"/>
                <w:color w:val="000000"/>
                <w:sz w:val="20"/>
                <w:szCs w:val="20"/>
              </w:rPr>
              <w:t>2,652 </w:t>
            </w:r>
          </w:p>
        </w:tc>
        <w:tc>
          <w:tcPr>
            <w:tcW w:w="0" w:type="auto"/>
            <w:tcBorders>
              <w:top w:val="single" w:sz="8" w:space="0" w:color="000000"/>
            </w:tcBorders>
            <w:shd w:val="clear" w:color="auto" w:fill="E2EFD9"/>
            <w:tcMar>
              <w:top w:w="40" w:type="dxa"/>
              <w:bottom w:w="40" w:type="dxa"/>
              <w:right w:w="20" w:type="dxa"/>
            </w:tcMar>
            <w:vAlign w:val="bottom"/>
          </w:tcPr>
          <w:p w14:paraId="0D8DDEA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A7"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EA8" w14:textId="77777777" w:rsidR="004C2197" w:rsidRDefault="00863B83">
            <w:pPr>
              <w:jc w:val="right"/>
              <w:textAlignment w:val="bottom"/>
            </w:pPr>
            <w:r>
              <w:rPr>
                <w:rFonts w:ascii="sans-serif" w:eastAsia="sans-serif" w:hAnsi="sans-serif" w:cs="sans-serif"/>
                <w:color w:val="000000"/>
                <w:sz w:val="20"/>
                <w:szCs w:val="20"/>
              </w:rPr>
              <w:t>1,908 </w:t>
            </w:r>
          </w:p>
        </w:tc>
        <w:tc>
          <w:tcPr>
            <w:tcW w:w="0" w:type="auto"/>
            <w:tcBorders>
              <w:top w:val="single" w:sz="8" w:space="0" w:color="000000"/>
            </w:tcBorders>
            <w:shd w:val="clear" w:color="auto" w:fill="E2EFD9"/>
            <w:tcMar>
              <w:top w:w="40" w:type="dxa"/>
              <w:bottom w:w="40" w:type="dxa"/>
              <w:right w:w="20" w:type="dxa"/>
            </w:tcMar>
            <w:vAlign w:val="bottom"/>
          </w:tcPr>
          <w:p w14:paraId="0D8DDEA9" w14:textId="77777777" w:rsidR="004C2197" w:rsidRDefault="004C2197">
            <w:pPr>
              <w:jc w:val="right"/>
              <w:rPr>
                <w:rFonts w:ascii="宋体"/>
              </w:rPr>
            </w:pPr>
          </w:p>
        </w:tc>
        <w:tc>
          <w:tcPr>
            <w:tcW w:w="0" w:type="auto"/>
            <w:shd w:val="clear" w:color="auto" w:fill="auto"/>
          </w:tcPr>
          <w:p w14:paraId="0D8DDEAA" w14:textId="77777777" w:rsidR="004C2197" w:rsidRDefault="004C2197">
            <w:pPr>
              <w:rPr>
                <w:rFonts w:ascii="宋体"/>
              </w:rPr>
            </w:pPr>
          </w:p>
        </w:tc>
        <w:tc>
          <w:tcPr>
            <w:tcW w:w="0" w:type="auto"/>
            <w:shd w:val="clear" w:color="auto" w:fill="auto"/>
          </w:tcPr>
          <w:p w14:paraId="0D8DDEAB" w14:textId="77777777" w:rsidR="004C2197" w:rsidRDefault="004C2197">
            <w:pPr>
              <w:rPr>
                <w:rFonts w:ascii="宋体"/>
              </w:rPr>
            </w:pPr>
          </w:p>
        </w:tc>
        <w:tc>
          <w:tcPr>
            <w:tcW w:w="0" w:type="auto"/>
            <w:shd w:val="clear" w:color="auto" w:fill="auto"/>
          </w:tcPr>
          <w:p w14:paraId="0D8DDEAC" w14:textId="77777777" w:rsidR="004C2197" w:rsidRDefault="004C2197">
            <w:pPr>
              <w:rPr>
                <w:rFonts w:ascii="宋体"/>
              </w:rPr>
            </w:pPr>
          </w:p>
        </w:tc>
        <w:tc>
          <w:tcPr>
            <w:tcW w:w="0" w:type="auto"/>
            <w:shd w:val="clear" w:color="auto" w:fill="auto"/>
          </w:tcPr>
          <w:p w14:paraId="0D8DDEAD" w14:textId="77777777" w:rsidR="004C2197" w:rsidRDefault="004C2197">
            <w:pPr>
              <w:rPr>
                <w:rFonts w:ascii="宋体"/>
              </w:rPr>
            </w:pPr>
          </w:p>
        </w:tc>
        <w:tc>
          <w:tcPr>
            <w:tcW w:w="0" w:type="auto"/>
            <w:shd w:val="clear" w:color="auto" w:fill="auto"/>
          </w:tcPr>
          <w:p w14:paraId="0D8DDEAE" w14:textId="77777777" w:rsidR="004C2197" w:rsidRDefault="004C2197">
            <w:pPr>
              <w:rPr>
                <w:rFonts w:ascii="宋体"/>
              </w:rPr>
            </w:pPr>
          </w:p>
        </w:tc>
        <w:tc>
          <w:tcPr>
            <w:tcW w:w="0" w:type="auto"/>
            <w:shd w:val="clear" w:color="auto" w:fill="auto"/>
          </w:tcPr>
          <w:p w14:paraId="0D8DDEAF" w14:textId="77777777" w:rsidR="004C2197" w:rsidRDefault="004C2197">
            <w:pPr>
              <w:rPr>
                <w:rFonts w:ascii="宋体"/>
              </w:rPr>
            </w:pPr>
          </w:p>
        </w:tc>
        <w:tc>
          <w:tcPr>
            <w:tcW w:w="0" w:type="auto"/>
            <w:shd w:val="clear" w:color="auto" w:fill="auto"/>
          </w:tcPr>
          <w:p w14:paraId="0D8DDEB0" w14:textId="77777777" w:rsidR="004C2197" w:rsidRDefault="004C2197">
            <w:pPr>
              <w:rPr>
                <w:rFonts w:ascii="宋体"/>
              </w:rPr>
            </w:pPr>
          </w:p>
        </w:tc>
        <w:tc>
          <w:tcPr>
            <w:tcW w:w="0" w:type="auto"/>
            <w:shd w:val="clear" w:color="auto" w:fill="auto"/>
          </w:tcPr>
          <w:p w14:paraId="0D8DDEB1" w14:textId="77777777" w:rsidR="004C2197" w:rsidRDefault="004C2197">
            <w:pPr>
              <w:rPr>
                <w:rFonts w:ascii="宋体"/>
              </w:rPr>
            </w:pPr>
          </w:p>
        </w:tc>
        <w:tc>
          <w:tcPr>
            <w:tcW w:w="0" w:type="auto"/>
            <w:shd w:val="clear" w:color="auto" w:fill="auto"/>
          </w:tcPr>
          <w:p w14:paraId="0D8DDEB2" w14:textId="77777777" w:rsidR="004C2197" w:rsidRDefault="004C2197">
            <w:pPr>
              <w:rPr>
                <w:rFonts w:ascii="宋体"/>
              </w:rPr>
            </w:pPr>
          </w:p>
        </w:tc>
        <w:tc>
          <w:tcPr>
            <w:tcW w:w="0" w:type="auto"/>
            <w:shd w:val="clear" w:color="auto" w:fill="auto"/>
          </w:tcPr>
          <w:p w14:paraId="0D8DDEB3" w14:textId="77777777" w:rsidR="004C2197" w:rsidRDefault="004C2197">
            <w:pPr>
              <w:rPr>
                <w:rFonts w:ascii="宋体"/>
              </w:rPr>
            </w:pPr>
          </w:p>
        </w:tc>
        <w:tc>
          <w:tcPr>
            <w:tcW w:w="0" w:type="auto"/>
            <w:shd w:val="clear" w:color="auto" w:fill="auto"/>
          </w:tcPr>
          <w:p w14:paraId="0D8DDEB4" w14:textId="77777777" w:rsidR="004C2197" w:rsidRDefault="004C2197">
            <w:pPr>
              <w:rPr>
                <w:rFonts w:ascii="宋体"/>
              </w:rPr>
            </w:pPr>
          </w:p>
        </w:tc>
        <w:tc>
          <w:tcPr>
            <w:tcW w:w="0" w:type="auto"/>
            <w:shd w:val="clear" w:color="auto" w:fill="auto"/>
          </w:tcPr>
          <w:p w14:paraId="0D8DDEB5" w14:textId="77777777" w:rsidR="004C2197" w:rsidRDefault="004C2197">
            <w:pPr>
              <w:rPr>
                <w:rFonts w:ascii="宋体"/>
              </w:rPr>
            </w:pPr>
          </w:p>
        </w:tc>
      </w:tr>
      <w:tr w:rsidR="004C2197" w14:paraId="0D8DDECF" w14:textId="77777777">
        <w:tc>
          <w:tcPr>
            <w:tcW w:w="0" w:type="auto"/>
            <w:gridSpan w:val="3"/>
            <w:shd w:val="clear" w:color="auto" w:fill="FFFFFF"/>
            <w:tcMar>
              <w:top w:w="40" w:type="dxa"/>
              <w:left w:w="20" w:type="dxa"/>
              <w:bottom w:w="40" w:type="dxa"/>
              <w:right w:w="20" w:type="dxa"/>
            </w:tcMar>
            <w:vAlign w:val="bottom"/>
          </w:tcPr>
          <w:p w14:paraId="0D8DDEB7" w14:textId="77777777" w:rsidR="004C2197" w:rsidRDefault="00863B83">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EB8" w14:textId="77777777" w:rsidR="004C2197" w:rsidRDefault="00863B83">
            <w:pPr>
              <w:jc w:val="right"/>
              <w:textAlignment w:val="bottom"/>
            </w:pPr>
            <w:r>
              <w:rPr>
                <w:rFonts w:ascii="sans-serif" w:eastAsia="sans-serif" w:hAnsi="sans-serif" w:cs="sans-serif"/>
                <w:color w:val="000000"/>
                <w:sz w:val="20"/>
                <w:szCs w:val="20"/>
              </w:rPr>
              <w:t>651 </w:t>
            </w:r>
          </w:p>
        </w:tc>
        <w:tc>
          <w:tcPr>
            <w:tcW w:w="0" w:type="auto"/>
            <w:tcBorders>
              <w:top w:val="single" w:sz="8" w:space="0" w:color="000000"/>
            </w:tcBorders>
            <w:shd w:val="clear" w:color="auto" w:fill="FFFFFF"/>
            <w:tcMar>
              <w:top w:w="40" w:type="dxa"/>
              <w:bottom w:w="40" w:type="dxa"/>
              <w:right w:w="20" w:type="dxa"/>
            </w:tcMar>
            <w:vAlign w:val="bottom"/>
          </w:tcPr>
          <w:p w14:paraId="0D8DDEB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BA"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EBB" w14:textId="77777777" w:rsidR="004C2197" w:rsidRDefault="00863B83">
            <w:pPr>
              <w:jc w:val="right"/>
              <w:textAlignment w:val="bottom"/>
            </w:pPr>
            <w:r>
              <w:rPr>
                <w:rFonts w:ascii="sans-serif" w:eastAsia="sans-serif" w:hAnsi="sans-serif" w:cs="sans-serif"/>
                <w:color w:val="000000"/>
                <w:sz w:val="20"/>
                <w:szCs w:val="20"/>
              </w:rPr>
              <w:t>571 </w:t>
            </w:r>
          </w:p>
        </w:tc>
        <w:tc>
          <w:tcPr>
            <w:tcW w:w="0" w:type="auto"/>
            <w:tcBorders>
              <w:top w:val="single" w:sz="8" w:space="0" w:color="000000"/>
            </w:tcBorders>
            <w:shd w:val="clear" w:color="auto" w:fill="FFFFFF"/>
            <w:tcMar>
              <w:top w:w="40" w:type="dxa"/>
              <w:bottom w:w="40" w:type="dxa"/>
              <w:right w:w="20" w:type="dxa"/>
            </w:tcMar>
            <w:vAlign w:val="bottom"/>
          </w:tcPr>
          <w:p w14:paraId="0D8DDEB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BD"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EBE" w14:textId="77777777" w:rsidR="004C2197" w:rsidRDefault="00863B83">
            <w:pPr>
              <w:jc w:val="right"/>
              <w:textAlignment w:val="bottom"/>
            </w:pPr>
            <w:r>
              <w:rPr>
                <w:rFonts w:ascii="sans-serif" w:eastAsia="sans-serif" w:hAnsi="sans-serif" w:cs="sans-serif"/>
                <w:color w:val="000000"/>
                <w:sz w:val="20"/>
                <w:szCs w:val="20"/>
              </w:rPr>
              <w:t>1,627 </w:t>
            </w:r>
          </w:p>
        </w:tc>
        <w:tc>
          <w:tcPr>
            <w:tcW w:w="0" w:type="auto"/>
            <w:tcBorders>
              <w:top w:val="single" w:sz="8" w:space="0" w:color="000000"/>
            </w:tcBorders>
            <w:shd w:val="clear" w:color="auto" w:fill="FFFFFF"/>
            <w:tcMar>
              <w:top w:w="40" w:type="dxa"/>
              <w:bottom w:w="40" w:type="dxa"/>
              <w:right w:w="20" w:type="dxa"/>
            </w:tcMar>
            <w:vAlign w:val="bottom"/>
          </w:tcPr>
          <w:p w14:paraId="0D8DDEB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C0"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EC1" w14:textId="77777777" w:rsidR="004C2197" w:rsidRDefault="00863B83">
            <w:pPr>
              <w:jc w:val="right"/>
              <w:textAlignment w:val="bottom"/>
            </w:pPr>
            <w:r>
              <w:rPr>
                <w:rFonts w:ascii="sans-serif" w:eastAsia="sans-serif" w:hAnsi="sans-serif" w:cs="sans-serif"/>
                <w:color w:val="000000"/>
                <w:sz w:val="20"/>
                <w:szCs w:val="20"/>
              </w:rPr>
              <w:t>929 </w:t>
            </w:r>
          </w:p>
        </w:tc>
        <w:tc>
          <w:tcPr>
            <w:tcW w:w="0" w:type="auto"/>
            <w:tcBorders>
              <w:top w:val="single" w:sz="8" w:space="0" w:color="000000"/>
            </w:tcBorders>
            <w:shd w:val="clear" w:color="auto" w:fill="FFFFFF"/>
            <w:tcMar>
              <w:top w:w="40" w:type="dxa"/>
              <w:bottom w:w="40" w:type="dxa"/>
              <w:right w:w="20" w:type="dxa"/>
            </w:tcMar>
            <w:vAlign w:val="bottom"/>
          </w:tcPr>
          <w:p w14:paraId="0D8DDEC2" w14:textId="77777777" w:rsidR="004C2197" w:rsidRDefault="004C2197">
            <w:pPr>
              <w:jc w:val="right"/>
              <w:rPr>
                <w:rFonts w:ascii="宋体"/>
              </w:rPr>
            </w:pPr>
          </w:p>
        </w:tc>
        <w:tc>
          <w:tcPr>
            <w:tcW w:w="0" w:type="auto"/>
            <w:shd w:val="clear" w:color="auto" w:fill="auto"/>
          </w:tcPr>
          <w:p w14:paraId="0D8DDEC3" w14:textId="77777777" w:rsidR="004C2197" w:rsidRDefault="004C2197">
            <w:pPr>
              <w:rPr>
                <w:rFonts w:ascii="宋体"/>
              </w:rPr>
            </w:pPr>
          </w:p>
        </w:tc>
        <w:tc>
          <w:tcPr>
            <w:tcW w:w="0" w:type="auto"/>
            <w:shd w:val="clear" w:color="auto" w:fill="auto"/>
          </w:tcPr>
          <w:p w14:paraId="0D8DDEC4" w14:textId="77777777" w:rsidR="004C2197" w:rsidRDefault="004C2197">
            <w:pPr>
              <w:rPr>
                <w:rFonts w:ascii="宋体"/>
              </w:rPr>
            </w:pPr>
          </w:p>
        </w:tc>
        <w:tc>
          <w:tcPr>
            <w:tcW w:w="0" w:type="auto"/>
            <w:shd w:val="clear" w:color="auto" w:fill="auto"/>
          </w:tcPr>
          <w:p w14:paraId="0D8DDEC5" w14:textId="77777777" w:rsidR="004C2197" w:rsidRDefault="004C2197">
            <w:pPr>
              <w:rPr>
                <w:rFonts w:ascii="宋体"/>
              </w:rPr>
            </w:pPr>
          </w:p>
        </w:tc>
        <w:tc>
          <w:tcPr>
            <w:tcW w:w="0" w:type="auto"/>
            <w:shd w:val="clear" w:color="auto" w:fill="auto"/>
          </w:tcPr>
          <w:p w14:paraId="0D8DDEC6" w14:textId="77777777" w:rsidR="004C2197" w:rsidRDefault="004C2197">
            <w:pPr>
              <w:rPr>
                <w:rFonts w:ascii="宋体"/>
              </w:rPr>
            </w:pPr>
          </w:p>
        </w:tc>
        <w:tc>
          <w:tcPr>
            <w:tcW w:w="0" w:type="auto"/>
            <w:shd w:val="clear" w:color="auto" w:fill="auto"/>
          </w:tcPr>
          <w:p w14:paraId="0D8DDEC7" w14:textId="77777777" w:rsidR="004C2197" w:rsidRDefault="004C2197">
            <w:pPr>
              <w:rPr>
                <w:rFonts w:ascii="宋体"/>
              </w:rPr>
            </w:pPr>
          </w:p>
        </w:tc>
        <w:tc>
          <w:tcPr>
            <w:tcW w:w="0" w:type="auto"/>
            <w:shd w:val="clear" w:color="auto" w:fill="auto"/>
          </w:tcPr>
          <w:p w14:paraId="0D8DDEC8" w14:textId="77777777" w:rsidR="004C2197" w:rsidRDefault="004C2197">
            <w:pPr>
              <w:rPr>
                <w:rFonts w:ascii="宋体"/>
              </w:rPr>
            </w:pPr>
          </w:p>
        </w:tc>
        <w:tc>
          <w:tcPr>
            <w:tcW w:w="0" w:type="auto"/>
            <w:shd w:val="clear" w:color="auto" w:fill="auto"/>
          </w:tcPr>
          <w:p w14:paraId="0D8DDEC9" w14:textId="77777777" w:rsidR="004C2197" w:rsidRDefault="004C2197">
            <w:pPr>
              <w:rPr>
                <w:rFonts w:ascii="宋体"/>
              </w:rPr>
            </w:pPr>
          </w:p>
        </w:tc>
        <w:tc>
          <w:tcPr>
            <w:tcW w:w="0" w:type="auto"/>
            <w:shd w:val="clear" w:color="auto" w:fill="auto"/>
          </w:tcPr>
          <w:p w14:paraId="0D8DDECA" w14:textId="77777777" w:rsidR="004C2197" w:rsidRDefault="004C2197">
            <w:pPr>
              <w:rPr>
                <w:rFonts w:ascii="宋体"/>
              </w:rPr>
            </w:pPr>
          </w:p>
        </w:tc>
        <w:tc>
          <w:tcPr>
            <w:tcW w:w="0" w:type="auto"/>
            <w:shd w:val="clear" w:color="auto" w:fill="auto"/>
          </w:tcPr>
          <w:p w14:paraId="0D8DDECB" w14:textId="77777777" w:rsidR="004C2197" w:rsidRDefault="004C2197">
            <w:pPr>
              <w:rPr>
                <w:rFonts w:ascii="宋体"/>
              </w:rPr>
            </w:pPr>
          </w:p>
        </w:tc>
        <w:tc>
          <w:tcPr>
            <w:tcW w:w="0" w:type="auto"/>
            <w:shd w:val="clear" w:color="auto" w:fill="auto"/>
          </w:tcPr>
          <w:p w14:paraId="0D8DDECC" w14:textId="77777777" w:rsidR="004C2197" w:rsidRDefault="004C2197">
            <w:pPr>
              <w:rPr>
                <w:rFonts w:ascii="宋体"/>
              </w:rPr>
            </w:pPr>
          </w:p>
        </w:tc>
        <w:tc>
          <w:tcPr>
            <w:tcW w:w="0" w:type="auto"/>
            <w:shd w:val="clear" w:color="auto" w:fill="auto"/>
          </w:tcPr>
          <w:p w14:paraId="0D8DDECD" w14:textId="77777777" w:rsidR="004C2197" w:rsidRDefault="004C2197">
            <w:pPr>
              <w:rPr>
                <w:rFonts w:ascii="宋体"/>
              </w:rPr>
            </w:pPr>
          </w:p>
        </w:tc>
        <w:tc>
          <w:tcPr>
            <w:tcW w:w="0" w:type="auto"/>
            <w:shd w:val="clear" w:color="auto" w:fill="auto"/>
          </w:tcPr>
          <w:p w14:paraId="0D8DDECE" w14:textId="77777777" w:rsidR="004C2197" w:rsidRDefault="004C2197">
            <w:pPr>
              <w:rPr>
                <w:rFonts w:ascii="宋体"/>
              </w:rPr>
            </w:pPr>
          </w:p>
        </w:tc>
      </w:tr>
      <w:tr w:rsidR="004C2197" w14:paraId="0D8DDEE8" w14:textId="77777777">
        <w:tc>
          <w:tcPr>
            <w:tcW w:w="0" w:type="auto"/>
            <w:gridSpan w:val="3"/>
            <w:shd w:val="clear" w:color="auto" w:fill="E2EFD9"/>
            <w:tcMar>
              <w:top w:w="40" w:type="dxa"/>
              <w:left w:w="495" w:type="dxa"/>
              <w:bottom w:w="40" w:type="dxa"/>
              <w:right w:w="20" w:type="dxa"/>
            </w:tcMar>
            <w:vAlign w:val="bottom"/>
          </w:tcPr>
          <w:p w14:paraId="0D8DDED0" w14:textId="77777777" w:rsidR="004C2197" w:rsidRDefault="00863B83">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0D8DDED1" w14:textId="77777777" w:rsidR="004C2197" w:rsidRDefault="00863B83">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bottom w:w="40" w:type="dxa"/>
              <w:right w:w="20" w:type="dxa"/>
            </w:tcMar>
            <w:vAlign w:val="bottom"/>
          </w:tcPr>
          <w:p w14:paraId="0D8DDED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D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D4" w14:textId="77777777" w:rsidR="004C2197" w:rsidRDefault="00863B83">
            <w:pPr>
              <w:jc w:val="right"/>
              <w:textAlignment w:val="bottom"/>
            </w:pPr>
            <w:r>
              <w:rPr>
                <w:rFonts w:ascii="sans-serif" w:eastAsia="sans-serif" w:hAnsi="sans-serif" w:cs="sans-serif"/>
                <w:color w:val="000000"/>
                <w:sz w:val="20"/>
                <w:szCs w:val="20"/>
              </w:rPr>
              <w:t>47 </w:t>
            </w:r>
          </w:p>
        </w:tc>
        <w:tc>
          <w:tcPr>
            <w:tcW w:w="0" w:type="auto"/>
            <w:shd w:val="clear" w:color="auto" w:fill="E2EFD9"/>
            <w:tcMar>
              <w:top w:w="40" w:type="dxa"/>
              <w:bottom w:w="40" w:type="dxa"/>
              <w:right w:w="20" w:type="dxa"/>
            </w:tcMar>
            <w:vAlign w:val="bottom"/>
          </w:tcPr>
          <w:p w14:paraId="0D8DDED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D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D7" w14:textId="77777777" w:rsidR="004C2197" w:rsidRDefault="00863B83">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bottom w:w="40" w:type="dxa"/>
              <w:right w:w="20" w:type="dxa"/>
            </w:tcMar>
            <w:vAlign w:val="bottom"/>
          </w:tcPr>
          <w:p w14:paraId="0D8DDED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ED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EDA" w14:textId="77777777" w:rsidR="004C2197" w:rsidRDefault="00863B83">
            <w:pPr>
              <w:jc w:val="right"/>
              <w:textAlignment w:val="bottom"/>
            </w:pPr>
            <w:r>
              <w:rPr>
                <w:rFonts w:ascii="sans-serif" w:eastAsia="sans-serif" w:hAnsi="sans-serif" w:cs="sans-serif"/>
                <w:color w:val="000000"/>
                <w:sz w:val="20"/>
                <w:szCs w:val="20"/>
              </w:rPr>
              <w:t>92 </w:t>
            </w:r>
          </w:p>
        </w:tc>
        <w:tc>
          <w:tcPr>
            <w:tcW w:w="0" w:type="auto"/>
            <w:shd w:val="clear" w:color="auto" w:fill="E2EFD9"/>
            <w:tcMar>
              <w:top w:w="40" w:type="dxa"/>
              <w:bottom w:w="40" w:type="dxa"/>
              <w:right w:w="20" w:type="dxa"/>
            </w:tcMar>
            <w:vAlign w:val="bottom"/>
          </w:tcPr>
          <w:p w14:paraId="0D8DDEDB" w14:textId="77777777" w:rsidR="004C2197" w:rsidRDefault="004C2197">
            <w:pPr>
              <w:jc w:val="right"/>
              <w:rPr>
                <w:rFonts w:ascii="宋体"/>
              </w:rPr>
            </w:pPr>
          </w:p>
        </w:tc>
        <w:tc>
          <w:tcPr>
            <w:tcW w:w="0" w:type="auto"/>
            <w:shd w:val="clear" w:color="auto" w:fill="auto"/>
          </w:tcPr>
          <w:p w14:paraId="0D8DDEDC" w14:textId="77777777" w:rsidR="004C2197" w:rsidRDefault="004C2197">
            <w:pPr>
              <w:rPr>
                <w:rFonts w:ascii="宋体"/>
              </w:rPr>
            </w:pPr>
          </w:p>
        </w:tc>
        <w:tc>
          <w:tcPr>
            <w:tcW w:w="0" w:type="auto"/>
            <w:shd w:val="clear" w:color="auto" w:fill="auto"/>
          </w:tcPr>
          <w:p w14:paraId="0D8DDEDD" w14:textId="77777777" w:rsidR="004C2197" w:rsidRDefault="004C2197">
            <w:pPr>
              <w:rPr>
                <w:rFonts w:ascii="宋体"/>
              </w:rPr>
            </w:pPr>
          </w:p>
        </w:tc>
        <w:tc>
          <w:tcPr>
            <w:tcW w:w="0" w:type="auto"/>
            <w:shd w:val="clear" w:color="auto" w:fill="auto"/>
          </w:tcPr>
          <w:p w14:paraId="0D8DDEDE" w14:textId="77777777" w:rsidR="004C2197" w:rsidRDefault="004C2197">
            <w:pPr>
              <w:rPr>
                <w:rFonts w:ascii="宋体"/>
              </w:rPr>
            </w:pPr>
          </w:p>
        </w:tc>
        <w:tc>
          <w:tcPr>
            <w:tcW w:w="0" w:type="auto"/>
            <w:shd w:val="clear" w:color="auto" w:fill="auto"/>
          </w:tcPr>
          <w:p w14:paraId="0D8DDEDF" w14:textId="77777777" w:rsidR="004C2197" w:rsidRDefault="004C2197">
            <w:pPr>
              <w:rPr>
                <w:rFonts w:ascii="宋体"/>
              </w:rPr>
            </w:pPr>
          </w:p>
        </w:tc>
        <w:tc>
          <w:tcPr>
            <w:tcW w:w="0" w:type="auto"/>
            <w:shd w:val="clear" w:color="auto" w:fill="auto"/>
          </w:tcPr>
          <w:p w14:paraId="0D8DDEE0" w14:textId="77777777" w:rsidR="004C2197" w:rsidRDefault="004C2197">
            <w:pPr>
              <w:rPr>
                <w:rFonts w:ascii="宋体"/>
              </w:rPr>
            </w:pPr>
          </w:p>
        </w:tc>
        <w:tc>
          <w:tcPr>
            <w:tcW w:w="0" w:type="auto"/>
            <w:shd w:val="clear" w:color="auto" w:fill="auto"/>
          </w:tcPr>
          <w:p w14:paraId="0D8DDEE1" w14:textId="77777777" w:rsidR="004C2197" w:rsidRDefault="004C2197">
            <w:pPr>
              <w:rPr>
                <w:rFonts w:ascii="宋体"/>
              </w:rPr>
            </w:pPr>
          </w:p>
        </w:tc>
        <w:tc>
          <w:tcPr>
            <w:tcW w:w="0" w:type="auto"/>
            <w:shd w:val="clear" w:color="auto" w:fill="auto"/>
          </w:tcPr>
          <w:p w14:paraId="0D8DDEE2" w14:textId="77777777" w:rsidR="004C2197" w:rsidRDefault="004C2197">
            <w:pPr>
              <w:rPr>
                <w:rFonts w:ascii="宋体"/>
              </w:rPr>
            </w:pPr>
          </w:p>
        </w:tc>
        <w:tc>
          <w:tcPr>
            <w:tcW w:w="0" w:type="auto"/>
            <w:shd w:val="clear" w:color="auto" w:fill="auto"/>
          </w:tcPr>
          <w:p w14:paraId="0D8DDEE3" w14:textId="77777777" w:rsidR="004C2197" w:rsidRDefault="004C2197">
            <w:pPr>
              <w:rPr>
                <w:rFonts w:ascii="宋体"/>
              </w:rPr>
            </w:pPr>
          </w:p>
        </w:tc>
        <w:tc>
          <w:tcPr>
            <w:tcW w:w="0" w:type="auto"/>
            <w:shd w:val="clear" w:color="auto" w:fill="auto"/>
          </w:tcPr>
          <w:p w14:paraId="0D8DDEE4" w14:textId="77777777" w:rsidR="004C2197" w:rsidRDefault="004C2197">
            <w:pPr>
              <w:rPr>
                <w:rFonts w:ascii="宋体"/>
              </w:rPr>
            </w:pPr>
          </w:p>
        </w:tc>
        <w:tc>
          <w:tcPr>
            <w:tcW w:w="0" w:type="auto"/>
            <w:shd w:val="clear" w:color="auto" w:fill="auto"/>
          </w:tcPr>
          <w:p w14:paraId="0D8DDEE5" w14:textId="77777777" w:rsidR="004C2197" w:rsidRDefault="004C2197">
            <w:pPr>
              <w:rPr>
                <w:rFonts w:ascii="宋体"/>
              </w:rPr>
            </w:pPr>
          </w:p>
        </w:tc>
        <w:tc>
          <w:tcPr>
            <w:tcW w:w="0" w:type="auto"/>
            <w:shd w:val="clear" w:color="auto" w:fill="auto"/>
          </w:tcPr>
          <w:p w14:paraId="0D8DDEE6" w14:textId="77777777" w:rsidR="004C2197" w:rsidRDefault="004C2197">
            <w:pPr>
              <w:rPr>
                <w:rFonts w:ascii="宋体"/>
              </w:rPr>
            </w:pPr>
          </w:p>
        </w:tc>
        <w:tc>
          <w:tcPr>
            <w:tcW w:w="0" w:type="auto"/>
            <w:shd w:val="clear" w:color="auto" w:fill="auto"/>
          </w:tcPr>
          <w:p w14:paraId="0D8DDEE7" w14:textId="77777777" w:rsidR="004C2197" w:rsidRDefault="004C2197">
            <w:pPr>
              <w:rPr>
                <w:rFonts w:ascii="宋体"/>
              </w:rPr>
            </w:pPr>
          </w:p>
        </w:tc>
      </w:tr>
      <w:tr w:rsidR="004C2197" w14:paraId="0D8DDF01" w14:textId="77777777">
        <w:tc>
          <w:tcPr>
            <w:tcW w:w="0" w:type="auto"/>
            <w:gridSpan w:val="3"/>
            <w:shd w:val="clear" w:color="auto" w:fill="FFFFFF"/>
            <w:tcMar>
              <w:top w:w="40" w:type="dxa"/>
              <w:left w:w="495" w:type="dxa"/>
              <w:bottom w:w="40" w:type="dxa"/>
              <w:right w:w="20" w:type="dxa"/>
            </w:tcMar>
            <w:vAlign w:val="bottom"/>
          </w:tcPr>
          <w:p w14:paraId="0D8DDEE9" w14:textId="77777777" w:rsidR="004C2197" w:rsidRDefault="00863B83">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D8DDEEA" w14:textId="77777777" w:rsidR="004C2197" w:rsidRDefault="00863B83">
            <w:pPr>
              <w:jc w:val="right"/>
              <w:textAlignment w:val="bottom"/>
            </w:pPr>
            <w:r>
              <w:rPr>
                <w:rFonts w:ascii="sans-serif" w:eastAsia="sans-serif" w:hAnsi="sans-serif" w:cs="sans-serif"/>
                <w:color w:val="000000"/>
                <w:sz w:val="20"/>
                <w:szCs w:val="20"/>
              </w:rPr>
              <w:t>(54)</w:t>
            </w:r>
          </w:p>
        </w:tc>
        <w:tc>
          <w:tcPr>
            <w:tcW w:w="0" w:type="auto"/>
            <w:shd w:val="clear" w:color="auto" w:fill="FFFFFF"/>
            <w:tcMar>
              <w:top w:w="40" w:type="dxa"/>
              <w:bottom w:w="40" w:type="dxa"/>
              <w:right w:w="20" w:type="dxa"/>
            </w:tcMar>
            <w:vAlign w:val="bottom"/>
          </w:tcPr>
          <w:p w14:paraId="0D8DDEE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E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ED" w14:textId="77777777" w:rsidR="004C2197" w:rsidRDefault="00863B83">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bottom w:w="40" w:type="dxa"/>
              <w:right w:w="20" w:type="dxa"/>
            </w:tcMar>
            <w:vAlign w:val="bottom"/>
          </w:tcPr>
          <w:p w14:paraId="0D8DDEE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E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F0" w14:textId="77777777" w:rsidR="004C2197" w:rsidRDefault="00863B83">
            <w:pPr>
              <w:jc w:val="right"/>
              <w:textAlignment w:val="bottom"/>
            </w:pPr>
            <w:r>
              <w:rPr>
                <w:rFonts w:ascii="sans-serif" w:eastAsia="sans-serif" w:hAnsi="sans-serif" w:cs="sans-serif"/>
                <w:color w:val="000000"/>
                <w:sz w:val="20"/>
                <w:szCs w:val="20"/>
              </w:rPr>
              <w:t>(78)</w:t>
            </w:r>
          </w:p>
        </w:tc>
        <w:tc>
          <w:tcPr>
            <w:tcW w:w="0" w:type="auto"/>
            <w:shd w:val="clear" w:color="auto" w:fill="FFFFFF"/>
            <w:tcMar>
              <w:top w:w="40" w:type="dxa"/>
              <w:bottom w:w="40" w:type="dxa"/>
              <w:right w:w="20" w:type="dxa"/>
            </w:tcMar>
            <w:vAlign w:val="bottom"/>
          </w:tcPr>
          <w:p w14:paraId="0D8DDEF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EF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EF3" w14:textId="77777777" w:rsidR="004C2197" w:rsidRDefault="00863B83">
            <w:pPr>
              <w:jc w:val="right"/>
              <w:textAlignment w:val="bottom"/>
            </w:pPr>
            <w:r>
              <w:rPr>
                <w:rFonts w:ascii="sans-serif" w:eastAsia="sans-serif" w:hAnsi="sans-serif" w:cs="sans-serif"/>
                <w:color w:val="000000"/>
                <w:sz w:val="20"/>
                <w:szCs w:val="20"/>
              </w:rPr>
              <w:t>(27)</w:t>
            </w:r>
          </w:p>
        </w:tc>
        <w:tc>
          <w:tcPr>
            <w:tcW w:w="0" w:type="auto"/>
            <w:shd w:val="clear" w:color="auto" w:fill="FFFFFF"/>
            <w:tcMar>
              <w:top w:w="40" w:type="dxa"/>
              <w:bottom w:w="40" w:type="dxa"/>
              <w:right w:w="20" w:type="dxa"/>
            </w:tcMar>
            <w:vAlign w:val="bottom"/>
          </w:tcPr>
          <w:p w14:paraId="0D8DDEF4" w14:textId="77777777" w:rsidR="004C2197" w:rsidRDefault="004C2197">
            <w:pPr>
              <w:jc w:val="right"/>
              <w:rPr>
                <w:rFonts w:ascii="宋体"/>
              </w:rPr>
            </w:pPr>
          </w:p>
        </w:tc>
        <w:tc>
          <w:tcPr>
            <w:tcW w:w="0" w:type="auto"/>
            <w:shd w:val="clear" w:color="auto" w:fill="auto"/>
          </w:tcPr>
          <w:p w14:paraId="0D8DDEF5" w14:textId="77777777" w:rsidR="004C2197" w:rsidRDefault="004C2197">
            <w:pPr>
              <w:rPr>
                <w:rFonts w:ascii="宋体"/>
              </w:rPr>
            </w:pPr>
          </w:p>
        </w:tc>
        <w:tc>
          <w:tcPr>
            <w:tcW w:w="0" w:type="auto"/>
            <w:shd w:val="clear" w:color="auto" w:fill="auto"/>
          </w:tcPr>
          <w:p w14:paraId="0D8DDEF6" w14:textId="77777777" w:rsidR="004C2197" w:rsidRDefault="004C2197">
            <w:pPr>
              <w:rPr>
                <w:rFonts w:ascii="宋体"/>
              </w:rPr>
            </w:pPr>
          </w:p>
        </w:tc>
        <w:tc>
          <w:tcPr>
            <w:tcW w:w="0" w:type="auto"/>
            <w:shd w:val="clear" w:color="auto" w:fill="auto"/>
          </w:tcPr>
          <w:p w14:paraId="0D8DDEF7" w14:textId="77777777" w:rsidR="004C2197" w:rsidRDefault="004C2197">
            <w:pPr>
              <w:rPr>
                <w:rFonts w:ascii="宋体"/>
              </w:rPr>
            </w:pPr>
          </w:p>
        </w:tc>
        <w:tc>
          <w:tcPr>
            <w:tcW w:w="0" w:type="auto"/>
            <w:shd w:val="clear" w:color="auto" w:fill="auto"/>
          </w:tcPr>
          <w:p w14:paraId="0D8DDEF8" w14:textId="77777777" w:rsidR="004C2197" w:rsidRDefault="004C2197">
            <w:pPr>
              <w:rPr>
                <w:rFonts w:ascii="宋体"/>
              </w:rPr>
            </w:pPr>
          </w:p>
        </w:tc>
        <w:tc>
          <w:tcPr>
            <w:tcW w:w="0" w:type="auto"/>
            <w:shd w:val="clear" w:color="auto" w:fill="auto"/>
          </w:tcPr>
          <w:p w14:paraId="0D8DDEF9" w14:textId="77777777" w:rsidR="004C2197" w:rsidRDefault="004C2197">
            <w:pPr>
              <w:rPr>
                <w:rFonts w:ascii="宋体"/>
              </w:rPr>
            </w:pPr>
          </w:p>
        </w:tc>
        <w:tc>
          <w:tcPr>
            <w:tcW w:w="0" w:type="auto"/>
            <w:shd w:val="clear" w:color="auto" w:fill="auto"/>
          </w:tcPr>
          <w:p w14:paraId="0D8DDEFA" w14:textId="77777777" w:rsidR="004C2197" w:rsidRDefault="004C2197">
            <w:pPr>
              <w:rPr>
                <w:rFonts w:ascii="宋体"/>
              </w:rPr>
            </w:pPr>
          </w:p>
        </w:tc>
        <w:tc>
          <w:tcPr>
            <w:tcW w:w="0" w:type="auto"/>
            <w:shd w:val="clear" w:color="auto" w:fill="auto"/>
          </w:tcPr>
          <w:p w14:paraId="0D8DDEFB" w14:textId="77777777" w:rsidR="004C2197" w:rsidRDefault="004C2197">
            <w:pPr>
              <w:rPr>
                <w:rFonts w:ascii="宋体"/>
              </w:rPr>
            </w:pPr>
          </w:p>
        </w:tc>
        <w:tc>
          <w:tcPr>
            <w:tcW w:w="0" w:type="auto"/>
            <w:shd w:val="clear" w:color="auto" w:fill="auto"/>
          </w:tcPr>
          <w:p w14:paraId="0D8DDEFC" w14:textId="77777777" w:rsidR="004C2197" w:rsidRDefault="004C2197">
            <w:pPr>
              <w:rPr>
                <w:rFonts w:ascii="宋体"/>
              </w:rPr>
            </w:pPr>
          </w:p>
        </w:tc>
        <w:tc>
          <w:tcPr>
            <w:tcW w:w="0" w:type="auto"/>
            <w:shd w:val="clear" w:color="auto" w:fill="auto"/>
          </w:tcPr>
          <w:p w14:paraId="0D8DDEFD" w14:textId="77777777" w:rsidR="004C2197" w:rsidRDefault="004C2197">
            <w:pPr>
              <w:rPr>
                <w:rFonts w:ascii="宋体"/>
              </w:rPr>
            </w:pPr>
          </w:p>
        </w:tc>
        <w:tc>
          <w:tcPr>
            <w:tcW w:w="0" w:type="auto"/>
            <w:shd w:val="clear" w:color="auto" w:fill="auto"/>
          </w:tcPr>
          <w:p w14:paraId="0D8DDEFE" w14:textId="77777777" w:rsidR="004C2197" w:rsidRDefault="004C2197">
            <w:pPr>
              <w:rPr>
                <w:rFonts w:ascii="宋体"/>
              </w:rPr>
            </w:pPr>
          </w:p>
        </w:tc>
        <w:tc>
          <w:tcPr>
            <w:tcW w:w="0" w:type="auto"/>
            <w:shd w:val="clear" w:color="auto" w:fill="auto"/>
          </w:tcPr>
          <w:p w14:paraId="0D8DDEFF" w14:textId="77777777" w:rsidR="004C2197" w:rsidRDefault="004C2197">
            <w:pPr>
              <w:rPr>
                <w:rFonts w:ascii="宋体"/>
              </w:rPr>
            </w:pPr>
          </w:p>
        </w:tc>
        <w:tc>
          <w:tcPr>
            <w:tcW w:w="0" w:type="auto"/>
            <w:shd w:val="clear" w:color="auto" w:fill="auto"/>
          </w:tcPr>
          <w:p w14:paraId="0D8DDF00" w14:textId="77777777" w:rsidR="004C2197" w:rsidRDefault="004C2197">
            <w:pPr>
              <w:rPr>
                <w:rFonts w:ascii="宋体"/>
              </w:rPr>
            </w:pPr>
          </w:p>
        </w:tc>
      </w:tr>
      <w:tr w:rsidR="004C2197" w14:paraId="0D8DDF1A" w14:textId="77777777">
        <w:tc>
          <w:tcPr>
            <w:tcW w:w="0" w:type="auto"/>
            <w:gridSpan w:val="3"/>
            <w:shd w:val="clear" w:color="auto" w:fill="E2EFD9"/>
            <w:tcMar>
              <w:top w:w="40" w:type="dxa"/>
              <w:left w:w="495" w:type="dxa"/>
              <w:bottom w:w="40" w:type="dxa"/>
              <w:right w:w="20" w:type="dxa"/>
            </w:tcMar>
            <w:vAlign w:val="bottom"/>
          </w:tcPr>
          <w:p w14:paraId="0D8DDF02" w14:textId="77777777" w:rsidR="004C2197" w:rsidRDefault="00863B83">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0D8DDF03" w14:textId="77777777" w:rsidR="004C2197" w:rsidRDefault="00863B83">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bottom w:w="40" w:type="dxa"/>
              <w:right w:w="20" w:type="dxa"/>
            </w:tcMar>
            <w:vAlign w:val="bottom"/>
          </w:tcPr>
          <w:p w14:paraId="0D8DDF0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0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F06"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DF0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0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F09" w14:textId="77777777" w:rsidR="004C2197" w:rsidRDefault="00863B83">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bottom w:w="40" w:type="dxa"/>
              <w:right w:w="20" w:type="dxa"/>
            </w:tcMar>
            <w:vAlign w:val="bottom"/>
          </w:tcPr>
          <w:p w14:paraId="0D8DDF0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0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DF0C"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DF0D" w14:textId="77777777" w:rsidR="004C2197" w:rsidRDefault="004C2197">
            <w:pPr>
              <w:jc w:val="right"/>
              <w:rPr>
                <w:rFonts w:ascii="宋体"/>
              </w:rPr>
            </w:pPr>
          </w:p>
        </w:tc>
        <w:tc>
          <w:tcPr>
            <w:tcW w:w="0" w:type="auto"/>
            <w:shd w:val="clear" w:color="auto" w:fill="auto"/>
          </w:tcPr>
          <w:p w14:paraId="0D8DDF0E" w14:textId="77777777" w:rsidR="004C2197" w:rsidRDefault="004C2197">
            <w:pPr>
              <w:rPr>
                <w:rFonts w:ascii="宋体"/>
              </w:rPr>
            </w:pPr>
          </w:p>
        </w:tc>
        <w:tc>
          <w:tcPr>
            <w:tcW w:w="0" w:type="auto"/>
            <w:shd w:val="clear" w:color="auto" w:fill="auto"/>
          </w:tcPr>
          <w:p w14:paraId="0D8DDF0F" w14:textId="77777777" w:rsidR="004C2197" w:rsidRDefault="004C2197">
            <w:pPr>
              <w:rPr>
                <w:rFonts w:ascii="宋体"/>
              </w:rPr>
            </w:pPr>
          </w:p>
        </w:tc>
        <w:tc>
          <w:tcPr>
            <w:tcW w:w="0" w:type="auto"/>
            <w:shd w:val="clear" w:color="auto" w:fill="auto"/>
          </w:tcPr>
          <w:p w14:paraId="0D8DDF10" w14:textId="77777777" w:rsidR="004C2197" w:rsidRDefault="004C2197">
            <w:pPr>
              <w:rPr>
                <w:rFonts w:ascii="宋体"/>
              </w:rPr>
            </w:pPr>
          </w:p>
        </w:tc>
        <w:tc>
          <w:tcPr>
            <w:tcW w:w="0" w:type="auto"/>
            <w:shd w:val="clear" w:color="auto" w:fill="auto"/>
          </w:tcPr>
          <w:p w14:paraId="0D8DDF11" w14:textId="77777777" w:rsidR="004C2197" w:rsidRDefault="004C2197">
            <w:pPr>
              <w:rPr>
                <w:rFonts w:ascii="宋体"/>
              </w:rPr>
            </w:pPr>
          </w:p>
        </w:tc>
        <w:tc>
          <w:tcPr>
            <w:tcW w:w="0" w:type="auto"/>
            <w:shd w:val="clear" w:color="auto" w:fill="auto"/>
          </w:tcPr>
          <w:p w14:paraId="0D8DDF12" w14:textId="77777777" w:rsidR="004C2197" w:rsidRDefault="004C2197">
            <w:pPr>
              <w:rPr>
                <w:rFonts w:ascii="宋体"/>
              </w:rPr>
            </w:pPr>
          </w:p>
        </w:tc>
        <w:tc>
          <w:tcPr>
            <w:tcW w:w="0" w:type="auto"/>
            <w:shd w:val="clear" w:color="auto" w:fill="auto"/>
          </w:tcPr>
          <w:p w14:paraId="0D8DDF13" w14:textId="77777777" w:rsidR="004C2197" w:rsidRDefault="004C2197">
            <w:pPr>
              <w:rPr>
                <w:rFonts w:ascii="宋体"/>
              </w:rPr>
            </w:pPr>
          </w:p>
        </w:tc>
        <w:tc>
          <w:tcPr>
            <w:tcW w:w="0" w:type="auto"/>
            <w:shd w:val="clear" w:color="auto" w:fill="auto"/>
          </w:tcPr>
          <w:p w14:paraId="0D8DDF14" w14:textId="77777777" w:rsidR="004C2197" w:rsidRDefault="004C2197">
            <w:pPr>
              <w:rPr>
                <w:rFonts w:ascii="宋体"/>
              </w:rPr>
            </w:pPr>
          </w:p>
        </w:tc>
        <w:tc>
          <w:tcPr>
            <w:tcW w:w="0" w:type="auto"/>
            <w:shd w:val="clear" w:color="auto" w:fill="auto"/>
          </w:tcPr>
          <w:p w14:paraId="0D8DDF15" w14:textId="77777777" w:rsidR="004C2197" w:rsidRDefault="004C2197">
            <w:pPr>
              <w:rPr>
                <w:rFonts w:ascii="宋体"/>
              </w:rPr>
            </w:pPr>
          </w:p>
        </w:tc>
        <w:tc>
          <w:tcPr>
            <w:tcW w:w="0" w:type="auto"/>
            <w:shd w:val="clear" w:color="auto" w:fill="auto"/>
          </w:tcPr>
          <w:p w14:paraId="0D8DDF16" w14:textId="77777777" w:rsidR="004C2197" w:rsidRDefault="004C2197">
            <w:pPr>
              <w:rPr>
                <w:rFonts w:ascii="宋体"/>
              </w:rPr>
            </w:pPr>
          </w:p>
        </w:tc>
        <w:tc>
          <w:tcPr>
            <w:tcW w:w="0" w:type="auto"/>
            <w:shd w:val="clear" w:color="auto" w:fill="auto"/>
          </w:tcPr>
          <w:p w14:paraId="0D8DDF17" w14:textId="77777777" w:rsidR="004C2197" w:rsidRDefault="004C2197">
            <w:pPr>
              <w:rPr>
                <w:rFonts w:ascii="宋体"/>
              </w:rPr>
            </w:pPr>
          </w:p>
        </w:tc>
        <w:tc>
          <w:tcPr>
            <w:tcW w:w="0" w:type="auto"/>
            <w:shd w:val="clear" w:color="auto" w:fill="auto"/>
          </w:tcPr>
          <w:p w14:paraId="0D8DDF18" w14:textId="77777777" w:rsidR="004C2197" w:rsidRDefault="004C2197">
            <w:pPr>
              <w:rPr>
                <w:rFonts w:ascii="宋体"/>
              </w:rPr>
            </w:pPr>
          </w:p>
        </w:tc>
        <w:tc>
          <w:tcPr>
            <w:tcW w:w="0" w:type="auto"/>
            <w:shd w:val="clear" w:color="auto" w:fill="auto"/>
          </w:tcPr>
          <w:p w14:paraId="0D8DDF19" w14:textId="77777777" w:rsidR="004C2197" w:rsidRDefault="004C2197">
            <w:pPr>
              <w:rPr>
                <w:rFonts w:ascii="宋体"/>
              </w:rPr>
            </w:pPr>
          </w:p>
        </w:tc>
      </w:tr>
      <w:tr w:rsidR="004C2197" w14:paraId="0D8DDF33" w14:textId="77777777">
        <w:tc>
          <w:tcPr>
            <w:tcW w:w="0" w:type="auto"/>
            <w:gridSpan w:val="3"/>
            <w:shd w:val="clear" w:color="auto" w:fill="FFFFFF"/>
            <w:tcMar>
              <w:top w:w="40" w:type="dxa"/>
              <w:left w:w="20" w:type="dxa"/>
              <w:bottom w:w="40" w:type="dxa"/>
              <w:right w:w="20" w:type="dxa"/>
            </w:tcMar>
            <w:vAlign w:val="bottom"/>
          </w:tcPr>
          <w:p w14:paraId="0D8DDF1B" w14:textId="77777777" w:rsidR="004C2197" w:rsidRDefault="00863B83">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F1C" w14:textId="77777777" w:rsidR="004C2197" w:rsidRDefault="00863B83">
            <w:pPr>
              <w:jc w:val="right"/>
              <w:textAlignment w:val="bottom"/>
            </w:pPr>
            <w:r>
              <w:rPr>
                <w:rFonts w:ascii="sans-serif" w:eastAsia="sans-serif" w:hAnsi="sans-serif" w:cs="sans-serif"/>
                <w:color w:val="000000"/>
                <w:sz w:val="20"/>
                <w:szCs w:val="20"/>
              </w:rPr>
              <w:t>(42)</w:t>
            </w:r>
          </w:p>
        </w:tc>
        <w:tc>
          <w:tcPr>
            <w:tcW w:w="0" w:type="auto"/>
            <w:tcBorders>
              <w:top w:val="single" w:sz="8" w:space="0" w:color="000000"/>
            </w:tcBorders>
            <w:shd w:val="clear" w:color="auto" w:fill="FFFFFF"/>
            <w:tcMar>
              <w:top w:w="40" w:type="dxa"/>
              <w:bottom w:w="40" w:type="dxa"/>
              <w:right w:w="20" w:type="dxa"/>
            </w:tcMar>
            <w:vAlign w:val="bottom"/>
          </w:tcPr>
          <w:p w14:paraId="0D8DDF1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1E"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F1F" w14:textId="77777777" w:rsidR="004C2197" w:rsidRDefault="00863B83">
            <w:pPr>
              <w:jc w:val="right"/>
              <w:textAlignment w:val="bottom"/>
            </w:pPr>
            <w:r>
              <w:rPr>
                <w:rFonts w:ascii="sans-serif" w:eastAsia="sans-serif" w:hAnsi="sans-serif" w:cs="sans-serif"/>
                <w:color w:val="000000"/>
                <w:sz w:val="20"/>
                <w:szCs w:val="20"/>
              </w:rPr>
              <w:t>35 </w:t>
            </w:r>
          </w:p>
        </w:tc>
        <w:tc>
          <w:tcPr>
            <w:tcW w:w="0" w:type="auto"/>
            <w:tcBorders>
              <w:top w:val="single" w:sz="8" w:space="0" w:color="000000"/>
            </w:tcBorders>
            <w:shd w:val="clear" w:color="auto" w:fill="FFFFFF"/>
            <w:tcMar>
              <w:top w:w="40" w:type="dxa"/>
              <w:bottom w:w="40" w:type="dxa"/>
              <w:right w:w="20" w:type="dxa"/>
            </w:tcMar>
            <w:vAlign w:val="bottom"/>
          </w:tcPr>
          <w:p w14:paraId="0D8DDF2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21"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F22" w14:textId="77777777" w:rsidR="004C2197" w:rsidRDefault="00863B83">
            <w:pPr>
              <w:jc w:val="right"/>
              <w:textAlignment w:val="bottom"/>
            </w:pPr>
            <w:r>
              <w:rPr>
                <w:rFonts w:ascii="sans-serif" w:eastAsia="sans-serif" w:hAnsi="sans-serif" w:cs="sans-serif"/>
                <w:color w:val="000000"/>
                <w:sz w:val="20"/>
                <w:szCs w:val="20"/>
              </w:rPr>
              <w:t>(36)</w:t>
            </w:r>
          </w:p>
        </w:tc>
        <w:tc>
          <w:tcPr>
            <w:tcW w:w="0" w:type="auto"/>
            <w:tcBorders>
              <w:top w:val="single" w:sz="8" w:space="0" w:color="000000"/>
            </w:tcBorders>
            <w:shd w:val="clear" w:color="auto" w:fill="FFFFFF"/>
            <w:tcMar>
              <w:top w:w="40" w:type="dxa"/>
              <w:bottom w:w="40" w:type="dxa"/>
              <w:right w:w="20" w:type="dxa"/>
            </w:tcMar>
            <w:vAlign w:val="bottom"/>
          </w:tcPr>
          <w:p w14:paraId="0D8DDF2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24"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DF25" w14:textId="77777777" w:rsidR="004C2197" w:rsidRDefault="00863B83">
            <w:pPr>
              <w:jc w:val="right"/>
              <w:textAlignment w:val="bottom"/>
            </w:pPr>
            <w:r>
              <w:rPr>
                <w:rFonts w:ascii="sans-serif" w:eastAsia="sans-serif" w:hAnsi="sans-serif" w:cs="sans-serif"/>
                <w:color w:val="000000"/>
                <w:sz w:val="20"/>
                <w:szCs w:val="20"/>
              </w:rPr>
              <w:t>66 </w:t>
            </w:r>
          </w:p>
        </w:tc>
        <w:tc>
          <w:tcPr>
            <w:tcW w:w="0" w:type="auto"/>
            <w:tcBorders>
              <w:top w:val="single" w:sz="8" w:space="0" w:color="000000"/>
            </w:tcBorders>
            <w:shd w:val="clear" w:color="auto" w:fill="FFFFFF"/>
            <w:tcMar>
              <w:top w:w="40" w:type="dxa"/>
              <w:bottom w:w="40" w:type="dxa"/>
              <w:right w:w="20" w:type="dxa"/>
            </w:tcMar>
            <w:vAlign w:val="bottom"/>
          </w:tcPr>
          <w:p w14:paraId="0D8DDF26" w14:textId="77777777" w:rsidR="004C2197" w:rsidRDefault="004C2197">
            <w:pPr>
              <w:jc w:val="right"/>
              <w:rPr>
                <w:rFonts w:ascii="宋体"/>
              </w:rPr>
            </w:pPr>
          </w:p>
        </w:tc>
        <w:tc>
          <w:tcPr>
            <w:tcW w:w="0" w:type="auto"/>
            <w:shd w:val="clear" w:color="auto" w:fill="auto"/>
          </w:tcPr>
          <w:p w14:paraId="0D8DDF27" w14:textId="77777777" w:rsidR="004C2197" w:rsidRDefault="004C2197">
            <w:pPr>
              <w:rPr>
                <w:rFonts w:ascii="宋体"/>
              </w:rPr>
            </w:pPr>
          </w:p>
        </w:tc>
        <w:tc>
          <w:tcPr>
            <w:tcW w:w="0" w:type="auto"/>
            <w:shd w:val="clear" w:color="auto" w:fill="auto"/>
          </w:tcPr>
          <w:p w14:paraId="0D8DDF28" w14:textId="77777777" w:rsidR="004C2197" w:rsidRDefault="004C2197">
            <w:pPr>
              <w:rPr>
                <w:rFonts w:ascii="宋体"/>
              </w:rPr>
            </w:pPr>
          </w:p>
        </w:tc>
        <w:tc>
          <w:tcPr>
            <w:tcW w:w="0" w:type="auto"/>
            <w:shd w:val="clear" w:color="auto" w:fill="auto"/>
          </w:tcPr>
          <w:p w14:paraId="0D8DDF29" w14:textId="77777777" w:rsidR="004C2197" w:rsidRDefault="004C2197">
            <w:pPr>
              <w:rPr>
                <w:rFonts w:ascii="宋体"/>
              </w:rPr>
            </w:pPr>
          </w:p>
        </w:tc>
        <w:tc>
          <w:tcPr>
            <w:tcW w:w="0" w:type="auto"/>
            <w:shd w:val="clear" w:color="auto" w:fill="auto"/>
          </w:tcPr>
          <w:p w14:paraId="0D8DDF2A" w14:textId="77777777" w:rsidR="004C2197" w:rsidRDefault="004C2197">
            <w:pPr>
              <w:rPr>
                <w:rFonts w:ascii="宋体"/>
              </w:rPr>
            </w:pPr>
          </w:p>
        </w:tc>
        <w:tc>
          <w:tcPr>
            <w:tcW w:w="0" w:type="auto"/>
            <w:shd w:val="clear" w:color="auto" w:fill="auto"/>
          </w:tcPr>
          <w:p w14:paraId="0D8DDF2B" w14:textId="77777777" w:rsidR="004C2197" w:rsidRDefault="004C2197">
            <w:pPr>
              <w:rPr>
                <w:rFonts w:ascii="宋体"/>
              </w:rPr>
            </w:pPr>
          </w:p>
        </w:tc>
        <w:tc>
          <w:tcPr>
            <w:tcW w:w="0" w:type="auto"/>
            <w:shd w:val="clear" w:color="auto" w:fill="auto"/>
          </w:tcPr>
          <w:p w14:paraId="0D8DDF2C" w14:textId="77777777" w:rsidR="004C2197" w:rsidRDefault="004C2197">
            <w:pPr>
              <w:rPr>
                <w:rFonts w:ascii="宋体"/>
              </w:rPr>
            </w:pPr>
          </w:p>
        </w:tc>
        <w:tc>
          <w:tcPr>
            <w:tcW w:w="0" w:type="auto"/>
            <w:shd w:val="clear" w:color="auto" w:fill="auto"/>
          </w:tcPr>
          <w:p w14:paraId="0D8DDF2D" w14:textId="77777777" w:rsidR="004C2197" w:rsidRDefault="004C2197">
            <w:pPr>
              <w:rPr>
                <w:rFonts w:ascii="宋体"/>
              </w:rPr>
            </w:pPr>
          </w:p>
        </w:tc>
        <w:tc>
          <w:tcPr>
            <w:tcW w:w="0" w:type="auto"/>
            <w:shd w:val="clear" w:color="auto" w:fill="auto"/>
          </w:tcPr>
          <w:p w14:paraId="0D8DDF2E" w14:textId="77777777" w:rsidR="004C2197" w:rsidRDefault="004C2197">
            <w:pPr>
              <w:rPr>
                <w:rFonts w:ascii="宋体"/>
              </w:rPr>
            </w:pPr>
          </w:p>
        </w:tc>
        <w:tc>
          <w:tcPr>
            <w:tcW w:w="0" w:type="auto"/>
            <w:shd w:val="clear" w:color="auto" w:fill="auto"/>
          </w:tcPr>
          <w:p w14:paraId="0D8DDF2F" w14:textId="77777777" w:rsidR="004C2197" w:rsidRDefault="004C2197">
            <w:pPr>
              <w:rPr>
                <w:rFonts w:ascii="宋体"/>
              </w:rPr>
            </w:pPr>
          </w:p>
        </w:tc>
        <w:tc>
          <w:tcPr>
            <w:tcW w:w="0" w:type="auto"/>
            <w:shd w:val="clear" w:color="auto" w:fill="auto"/>
          </w:tcPr>
          <w:p w14:paraId="0D8DDF30" w14:textId="77777777" w:rsidR="004C2197" w:rsidRDefault="004C2197">
            <w:pPr>
              <w:rPr>
                <w:rFonts w:ascii="宋体"/>
              </w:rPr>
            </w:pPr>
          </w:p>
        </w:tc>
        <w:tc>
          <w:tcPr>
            <w:tcW w:w="0" w:type="auto"/>
            <w:shd w:val="clear" w:color="auto" w:fill="auto"/>
          </w:tcPr>
          <w:p w14:paraId="0D8DDF31" w14:textId="77777777" w:rsidR="004C2197" w:rsidRDefault="004C2197">
            <w:pPr>
              <w:rPr>
                <w:rFonts w:ascii="宋体"/>
              </w:rPr>
            </w:pPr>
          </w:p>
        </w:tc>
        <w:tc>
          <w:tcPr>
            <w:tcW w:w="0" w:type="auto"/>
            <w:shd w:val="clear" w:color="auto" w:fill="auto"/>
          </w:tcPr>
          <w:p w14:paraId="0D8DDF32" w14:textId="77777777" w:rsidR="004C2197" w:rsidRDefault="004C2197">
            <w:pPr>
              <w:rPr>
                <w:rFonts w:ascii="宋体"/>
              </w:rPr>
            </w:pPr>
          </w:p>
        </w:tc>
      </w:tr>
      <w:tr w:rsidR="004C2197" w14:paraId="0D8DDF4C" w14:textId="77777777">
        <w:tc>
          <w:tcPr>
            <w:tcW w:w="0" w:type="auto"/>
            <w:gridSpan w:val="3"/>
            <w:shd w:val="clear" w:color="auto" w:fill="E2EFD9"/>
            <w:tcMar>
              <w:top w:w="40" w:type="dxa"/>
              <w:left w:w="20" w:type="dxa"/>
              <w:bottom w:w="40" w:type="dxa"/>
              <w:right w:w="20" w:type="dxa"/>
            </w:tcMar>
            <w:vAlign w:val="bottom"/>
          </w:tcPr>
          <w:p w14:paraId="0D8DDF34" w14:textId="77777777" w:rsidR="004C2197" w:rsidRDefault="00863B83">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F35" w14:textId="77777777" w:rsidR="004C2197" w:rsidRDefault="00863B83">
            <w:pPr>
              <w:jc w:val="right"/>
              <w:textAlignment w:val="bottom"/>
            </w:pPr>
            <w:r>
              <w:rPr>
                <w:rFonts w:ascii="sans-serif" w:eastAsia="sans-serif" w:hAnsi="sans-serif" w:cs="sans-serif"/>
                <w:color w:val="000000"/>
                <w:sz w:val="20"/>
                <w:szCs w:val="20"/>
              </w:rPr>
              <w:t>609 </w:t>
            </w:r>
          </w:p>
        </w:tc>
        <w:tc>
          <w:tcPr>
            <w:tcW w:w="0" w:type="auto"/>
            <w:tcBorders>
              <w:top w:val="single" w:sz="8" w:space="0" w:color="000000"/>
            </w:tcBorders>
            <w:shd w:val="clear" w:color="auto" w:fill="E2EFD9"/>
            <w:tcMar>
              <w:top w:w="40" w:type="dxa"/>
              <w:bottom w:w="40" w:type="dxa"/>
              <w:right w:w="20" w:type="dxa"/>
            </w:tcMar>
            <w:vAlign w:val="bottom"/>
          </w:tcPr>
          <w:p w14:paraId="0D8DDF3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37"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F38" w14:textId="77777777" w:rsidR="004C2197" w:rsidRDefault="00863B83">
            <w:pPr>
              <w:jc w:val="right"/>
              <w:textAlignment w:val="bottom"/>
            </w:pPr>
            <w:r>
              <w:rPr>
                <w:rFonts w:ascii="sans-serif" w:eastAsia="sans-serif" w:hAnsi="sans-serif" w:cs="sans-serif"/>
                <w:color w:val="000000"/>
                <w:sz w:val="20"/>
                <w:szCs w:val="20"/>
              </w:rPr>
              <w:t>606 </w:t>
            </w:r>
          </w:p>
        </w:tc>
        <w:tc>
          <w:tcPr>
            <w:tcW w:w="0" w:type="auto"/>
            <w:tcBorders>
              <w:top w:val="single" w:sz="8" w:space="0" w:color="000000"/>
            </w:tcBorders>
            <w:shd w:val="clear" w:color="auto" w:fill="E2EFD9"/>
            <w:tcMar>
              <w:top w:w="40" w:type="dxa"/>
              <w:bottom w:w="40" w:type="dxa"/>
              <w:right w:w="20" w:type="dxa"/>
            </w:tcMar>
            <w:vAlign w:val="bottom"/>
          </w:tcPr>
          <w:p w14:paraId="0D8DDF3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3A"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F3B" w14:textId="77777777" w:rsidR="004C2197" w:rsidRDefault="00863B83">
            <w:pPr>
              <w:jc w:val="right"/>
              <w:textAlignment w:val="bottom"/>
            </w:pPr>
            <w:r>
              <w:rPr>
                <w:rFonts w:ascii="sans-serif" w:eastAsia="sans-serif" w:hAnsi="sans-serif" w:cs="sans-serif"/>
                <w:color w:val="000000"/>
                <w:sz w:val="20"/>
                <w:szCs w:val="20"/>
              </w:rPr>
              <w:t>1,591 </w:t>
            </w:r>
          </w:p>
        </w:tc>
        <w:tc>
          <w:tcPr>
            <w:tcW w:w="0" w:type="auto"/>
            <w:tcBorders>
              <w:top w:val="single" w:sz="8" w:space="0" w:color="000000"/>
            </w:tcBorders>
            <w:shd w:val="clear" w:color="auto" w:fill="E2EFD9"/>
            <w:tcMar>
              <w:top w:w="40" w:type="dxa"/>
              <w:bottom w:w="40" w:type="dxa"/>
              <w:right w:w="20" w:type="dxa"/>
            </w:tcMar>
            <w:vAlign w:val="bottom"/>
          </w:tcPr>
          <w:p w14:paraId="0D8DDF3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3D"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DF3E" w14:textId="77777777" w:rsidR="004C2197" w:rsidRDefault="00863B83">
            <w:pPr>
              <w:jc w:val="right"/>
              <w:textAlignment w:val="bottom"/>
            </w:pPr>
            <w:r>
              <w:rPr>
                <w:rFonts w:ascii="sans-serif" w:eastAsia="sans-serif" w:hAnsi="sans-serif" w:cs="sans-serif"/>
                <w:color w:val="000000"/>
                <w:sz w:val="20"/>
                <w:szCs w:val="20"/>
              </w:rPr>
              <w:t>995 </w:t>
            </w:r>
          </w:p>
        </w:tc>
        <w:tc>
          <w:tcPr>
            <w:tcW w:w="0" w:type="auto"/>
            <w:tcBorders>
              <w:top w:val="single" w:sz="8" w:space="0" w:color="000000"/>
            </w:tcBorders>
            <w:shd w:val="clear" w:color="auto" w:fill="E2EFD9"/>
            <w:tcMar>
              <w:top w:w="40" w:type="dxa"/>
              <w:bottom w:w="40" w:type="dxa"/>
              <w:right w:w="20" w:type="dxa"/>
            </w:tcMar>
            <w:vAlign w:val="bottom"/>
          </w:tcPr>
          <w:p w14:paraId="0D8DDF3F" w14:textId="77777777" w:rsidR="004C2197" w:rsidRDefault="004C2197">
            <w:pPr>
              <w:jc w:val="right"/>
              <w:rPr>
                <w:rFonts w:ascii="宋体"/>
              </w:rPr>
            </w:pPr>
          </w:p>
        </w:tc>
        <w:tc>
          <w:tcPr>
            <w:tcW w:w="0" w:type="auto"/>
            <w:shd w:val="clear" w:color="auto" w:fill="auto"/>
          </w:tcPr>
          <w:p w14:paraId="0D8DDF40" w14:textId="77777777" w:rsidR="004C2197" w:rsidRDefault="004C2197">
            <w:pPr>
              <w:rPr>
                <w:rFonts w:ascii="宋体"/>
              </w:rPr>
            </w:pPr>
          </w:p>
        </w:tc>
        <w:tc>
          <w:tcPr>
            <w:tcW w:w="0" w:type="auto"/>
            <w:shd w:val="clear" w:color="auto" w:fill="auto"/>
          </w:tcPr>
          <w:p w14:paraId="0D8DDF41" w14:textId="77777777" w:rsidR="004C2197" w:rsidRDefault="004C2197">
            <w:pPr>
              <w:rPr>
                <w:rFonts w:ascii="宋体"/>
              </w:rPr>
            </w:pPr>
          </w:p>
        </w:tc>
        <w:tc>
          <w:tcPr>
            <w:tcW w:w="0" w:type="auto"/>
            <w:shd w:val="clear" w:color="auto" w:fill="auto"/>
          </w:tcPr>
          <w:p w14:paraId="0D8DDF42" w14:textId="77777777" w:rsidR="004C2197" w:rsidRDefault="004C2197">
            <w:pPr>
              <w:rPr>
                <w:rFonts w:ascii="宋体"/>
              </w:rPr>
            </w:pPr>
          </w:p>
        </w:tc>
        <w:tc>
          <w:tcPr>
            <w:tcW w:w="0" w:type="auto"/>
            <w:shd w:val="clear" w:color="auto" w:fill="auto"/>
          </w:tcPr>
          <w:p w14:paraId="0D8DDF43" w14:textId="77777777" w:rsidR="004C2197" w:rsidRDefault="004C2197">
            <w:pPr>
              <w:rPr>
                <w:rFonts w:ascii="宋体"/>
              </w:rPr>
            </w:pPr>
          </w:p>
        </w:tc>
        <w:tc>
          <w:tcPr>
            <w:tcW w:w="0" w:type="auto"/>
            <w:shd w:val="clear" w:color="auto" w:fill="auto"/>
          </w:tcPr>
          <w:p w14:paraId="0D8DDF44" w14:textId="77777777" w:rsidR="004C2197" w:rsidRDefault="004C2197">
            <w:pPr>
              <w:rPr>
                <w:rFonts w:ascii="宋体"/>
              </w:rPr>
            </w:pPr>
          </w:p>
        </w:tc>
        <w:tc>
          <w:tcPr>
            <w:tcW w:w="0" w:type="auto"/>
            <w:shd w:val="clear" w:color="auto" w:fill="auto"/>
          </w:tcPr>
          <w:p w14:paraId="0D8DDF45" w14:textId="77777777" w:rsidR="004C2197" w:rsidRDefault="004C2197">
            <w:pPr>
              <w:rPr>
                <w:rFonts w:ascii="宋体"/>
              </w:rPr>
            </w:pPr>
          </w:p>
        </w:tc>
        <w:tc>
          <w:tcPr>
            <w:tcW w:w="0" w:type="auto"/>
            <w:shd w:val="clear" w:color="auto" w:fill="auto"/>
          </w:tcPr>
          <w:p w14:paraId="0D8DDF46" w14:textId="77777777" w:rsidR="004C2197" w:rsidRDefault="004C2197">
            <w:pPr>
              <w:rPr>
                <w:rFonts w:ascii="宋体"/>
              </w:rPr>
            </w:pPr>
          </w:p>
        </w:tc>
        <w:tc>
          <w:tcPr>
            <w:tcW w:w="0" w:type="auto"/>
            <w:shd w:val="clear" w:color="auto" w:fill="auto"/>
          </w:tcPr>
          <w:p w14:paraId="0D8DDF47" w14:textId="77777777" w:rsidR="004C2197" w:rsidRDefault="004C2197">
            <w:pPr>
              <w:rPr>
                <w:rFonts w:ascii="宋体"/>
              </w:rPr>
            </w:pPr>
          </w:p>
        </w:tc>
        <w:tc>
          <w:tcPr>
            <w:tcW w:w="0" w:type="auto"/>
            <w:shd w:val="clear" w:color="auto" w:fill="auto"/>
          </w:tcPr>
          <w:p w14:paraId="0D8DDF48" w14:textId="77777777" w:rsidR="004C2197" w:rsidRDefault="004C2197">
            <w:pPr>
              <w:rPr>
                <w:rFonts w:ascii="宋体"/>
              </w:rPr>
            </w:pPr>
          </w:p>
        </w:tc>
        <w:tc>
          <w:tcPr>
            <w:tcW w:w="0" w:type="auto"/>
            <w:shd w:val="clear" w:color="auto" w:fill="auto"/>
          </w:tcPr>
          <w:p w14:paraId="0D8DDF49" w14:textId="77777777" w:rsidR="004C2197" w:rsidRDefault="004C2197">
            <w:pPr>
              <w:rPr>
                <w:rFonts w:ascii="宋体"/>
              </w:rPr>
            </w:pPr>
          </w:p>
        </w:tc>
        <w:tc>
          <w:tcPr>
            <w:tcW w:w="0" w:type="auto"/>
            <w:shd w:val="clear" w:color="auto" w:fill="auto"/>
          </w:tcPr>
          <w:p w14:paraId="0D8DDF4A" w14:textId="77777777" w:rsidR="004C2197" w:rsidRDefault="004C2197">
            <w:pPr>
              <w:rPr>
                <w:rFonts w:ascii="宋体"/>
              </w:rPr>
            </w:pPr>
          </w:p>
        </w:tc>
        <w:tc>
          <w:tcPr>
            <w:tcW w:w="0" w:type="auto"/>
            <w:shd w:val="clear" w:color="auto" w:fill="auto"/>
          </w:tcPr>
          <w:p w14:paraId="0D8DDF4B" w14:textId="77777777" w:rsidR="004C2197" w:rsidRDefault="004C2197">
            <w:pPr>
              <w:rPr>
                <w:rFonts w:ascii="宋体"/>
              </w:rPr>
            </w:pPr>
          </w:p>
        </w:tc>
      </w:tr>
      <w:tr w:rsidR="004C2197" w14:paraId="0D8DDF65" w14:textId="77777777">
        <w:tc>
          <w:tcPr>
            <w:tcW w:w="0" w:type="auto"/>
            <w:gridSpan w:val="3"/>
            <w:shd w:val="clear" w:color="auto" w:fill="FFFFFF"/>
            <w:tcMar>
              <w:top w:w="40" w:type="dxa"/>
              <w:left w:w="20" w:type="dxa"/>
              <w:bottom w:w="40" w:type="dxa"/>
              <w:right w:w="20" w:type="dxa"/>
            </w:tcMar>
            <w:vAlign w:val="bottom"/>
          </w:tcPr>
          <w:p w14:paraId="0D8DDF4D" w14:textId="77777777" w:rsidR="004C2197" w:rsidRDefault="00863B83">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FFFFFF"/>
            <w:tcMar>
              <w:top w:w="40" w:type="dxa"/>
              <w:left w:w="20" w:type="dxa"/>
              <w:bottom w:w="40" w:type="dxa"/>
              <w:right w:w="0" w:type="dxa"/>
            </w:tcMar>
            <w:vAlign w:val="bottom"/>
          </w:tcPr>
          <w:p w14:paraId="0D8DDF4E" w14:textId="77777777" w:rsidR="004C2197" w:rsidRDefault="00863B83">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bottom w:w="40" w:type="dxa"/>
              <w:right w:w="20" w:type="dxa"/>
            </w:tcMar>
            <w:vAlign w:val="bottom"/>
          </w:tcPr>
          <w:p w14:paraId="0D8DDF4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5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F51" w14:textId="77777777" w:rsidR="004C2197" w:rsidRDefault="00863B83">
            <w:pPr>
              <w:jc w:val="right"/>
              <w:textAlignment w:val="bottom"/>
            </w:pPr>
            <w:r>
              <w:rPr>
                <w:rFonts w:ascii="sans-serif" w:eastAsia="sans-serif" w:hAnsi="sans-serif" w:cs="sans-serif"/>
                <w:color w:val="000000"/>
                <w:sz w:val="20"/>
                <w:szCs w:val="20"/>
              </w:rPr>
              <w:t>54 </w:t>
            </w:r>
          </w:p>
        </w:tc>
        <w:tc>
          <w:tcPr>
            <w:tcW w:w="0" w:type="auto"/>
            <w:shd w:val="clear" w:color="auto" w:fill="FFFFFF"/>
            <w:tcMar>
              <w:top w:w="40" w:type="dxa"/>
              <w:bottom w:w="40" w:type="dxa"/>
              <w:right w:w="20" w:type="dxa"/>
            </w:tcMar>
            <w:vAlign w:val="bottom"/>
          </w:tcPr>
          <w:p w14:paraId="0D8DDF5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5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F54" w14:textId="77777777" w:rsidR="004C2197" w:rsidRDefault="00863B83">
            <w:pPr>
              <w:jc w:val="right"/>
              <w:textAlignment w:val="bottom"/>
            </w:pPr>
            <w:r>
              <w:rPr>
                <w:rFonts w:ascii="sans-serif" w:eastAsia="sans-serif" w:hAnsi="sans-serif" w:cs="sans-serif"/>
                <w:color w:val="000000"/>
                <w:sz w:val="20"/>
                <w:szCs w:val="20"/>
              </w:rPr>
              <w:t>52 </w:t>
            </w:r>
          </w:p>
        </w:tc>
        <w:tc>
          <w:tcPr>
            <w:tcW w:w="0" w:type="auto"/>
            <w:shd w:val="clear" w:color="auto" w:fill="FFFFFF"/>
            <w:tcMar>
              <w:top w:w="40" w:type="dxa"/>
              <w:bottom w:w="40" w:type="dxa"/>
              <w:right w:w="20" w:type="dxa"/>
            </w:tcMar>
            <w:vAlign w:val="bottom"/>
          </w:tcPr>
          <w:p w14:paraId="0D8DDF5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5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DF57" w14:textId="77777777" w:rsidR="004C2197" w:rsidRDefault="00863B83">
            <w:pPr>
              <w:jc w:val="right"/>
              <w:textAlignment w:val="bottom"/>
            </w:pPr>
            <w:r>
              <w:rPr>
                <w:rFonts w:ascii="sans-serif" w:eastAsia="sans-serif" w:hAnsi="sans-serif" w:cs="sans-serif"/>
                <w:color w:val="000000"/>
                <w:sz w:val="20"/>
                <w:szCs w:val="20"/>
              </w:rPr>
              <w:t>48 </w:t>
            </w:r>
          </w:p>
        </w:tc>
        <w:tc>
          <w:tcPr>
            <w:tcW w:w="0" w:type="auto"/>
            <w:shd w:val="clear" w:color="auto" w:fill="FFFFFF"/>
            <w:tcMar>
              <w:top w:w="40" w:type="dxa"/>
              <w:bottom w:w="40" w:type="dxa"/>
              <w:right w:w="20" w:type="dxa"/>
            </w:tcMar>
            <w:vAlign w:val="bottom"/>
          </w:tcPr>
          <w:p w14:paraId="0D8DDF58" w14:textId="77777777" w:rsidR="004C2197" w:rsidRDefault="004C2197">
            <w:pPr>
              <w:jc w:val="right"/>
              <w:rPr>
                <w:rFonts w:ascii="宋体"/>
              </w:rPr>
            </w:pPr>
          </w:p>
        </w:tc>
        <w:tc>
          <w:tcPr>
            <w:tcW w:w="0" w:type="auto"/>
            <w:shd w:val="clear" w:color="auto" w:fill="auto"/>
          </w:tcPr>
          <w:p w14:paraId="0D8DDF59" w14:textId="77777777" w:rsidR="004C2197" w:rsidRDefault="004C2197">
            <w:pPr>
              <w:rPr>
                <w:rFonts w:ascii="宋体"/>
              </w:rPr>
            </w:pPr>
          </w:p>
        </w:tc>
        <w:tc>
          <w:tcPr>
            <w:tcW w:w="0" w:type="auto"/>
            <w:shd w:val="clear" w:color="auto" w:fill="auto"/>
          </w:tcPr>
          <w:p w14:paraId="0D8DDF5A" w14:textId="77777777" w:rsidR="004C2197" w:rsidRDefault="004C2197">
            <w:pPr>
              <w:rPr>
                <w:rFonts w:ascii="宋体"/>
              </w:rPr>
            </w:pPr>
          </w:p>
        </w:tc>
        <w:tc>
          <w:tcPr>
            <w:tcW w:w="0" w:type="auto"/>
            <w:shd w:val="clear" w:color="auto" w:fill="auto"/>
          </w:tcPr>
          <w:p w14:paraId="0D8DDF5B" w14:textId="77777777" w:rsidR="004C2197" w:rsidRDefault="004C2197">
            <w:pPr>
              <w:rPr>
                <w:rFonts w:ascii="宋体"/>
              </w:rPr>
            </w:pPr>
          </w:p>
        </w:tc>
        <w:tc>
          <w:tcPr>
            <w:tcW w:w="0" w:type="auto"/>
            <w:shd w:val="clear" w:color="auto" w:fill="auto"/>
          </w:tcPr>
          <w:p w14:paraId="0D8DDF5C" w14:textId="77777777" w:rsidR="004C2197" w:rsidRDefault="004C2197">
            <w:pPr>
              <w:rPr>
                <w:rFonts w:ascii="宋体"/>
              </w:rPr>
            </w:pPr>
          </w:p>
        </w:tc>
        <w:tc>
          <w:tcPr>
            <w:tcW w:w="0" w:type="auto"/>
            <w:shd w:val="clear" w:color="auto" w:fill="auto"/>
          </w:tcPr>
          <w:p w14:paraId="0D8DDF5D" w14:textId="77777777" w:rsidR="004C2197" w:rsidRDefault="004C2197">
            <w:pPr>
              <w:rPr>
                <w:rFonts w:ascii="宋体"/>
              </w:rPr>
            </w:pPr>
          </w:p>
        </w:tc>
        <w:tc>
          <w:tcPr>
            <w:tcW w:w="0" w:type="auto"/>
            <w:shd w:val="clear" w:color="auto" w:fill="auto"/>
          </w:tcPr>
          <w:p w14:paraId="0D8DDF5E" w14:textId="77777777" w:rsidR="004C2197" w:rsidRDefault="004C2197">
            <w:pPr>
              <w:rPr>
                <w:rFonts w:ascii="宋体"/>
              </w:rPr>
            </w:pPr>
          </w:p>
        </w:tc>
        <w:tc>
          <w:tcPr>
            <w:tcW w:w="0" w:type="auto"/>
            <w:shd w:val="clear" w:color="auto" w:fill="auto"/>
          </w:tcPr>
          <w:p w14:paraId="0D8DDF5F" w14:textId="77777777" w:rsidR="004C2197" w:rsidRDefault="004C2197">
            <w:pPr>
              <w:rPr>
                <w:rFonts w:ascii="宋体"/>
              </w:rPr>
            </w:pPr>
          </w:p>
        </w:tc>
        <w:tc>
          <w:tcPr>
            <w:tcW w:w="0" w:type="auto"/>
            <w:shd w:val="clear" w:color="auto" w:fill="auto"/>
          </w:tcPr>
          <w:p w14:paraId="0D8DDF60" w14:textId="77777777" w:rsidR="004C2197" w:rsidRDefault="004C2197">
            <w:pPr>
              <w:rPr>
                <w:rFonts w:ascii="宋体"/>
              </w:rPr>
            </w:pPr>
          </w:p>
        </w:tc>
        <w:tc>
          <w:tcPr>
            <w:tcW w:w="0" w:type="auto"/>
            <w:shd w:val="clear" w:color="auto" w:fill="auto"/>
          </w:tcPr>
          <w:p w14:paraId="0D8DDF61" w14:textId="77777777" w:rsidR="004C2197" w:rsidRDefault="004C2197">
            <w:pPr>
              <w:rPr>
                <w:rFonts w:ascii="宋体"/>
              </w:rPr>
            </w:pPr>
          </w:p>
        </w:tc>
        <w:tc>
          <w:tcPr>
            <w:tcW w:w="0" w:type="auto"/>
            <w:shd w:val="clear" w:color="auto" w:fill="auto"/>
          </w:tcPr>
          <w:p w14:paraId="0D8DDF62" w14:textId="77777777" w:rsidR="004C2197" w:rsidRDefault="004C2197">
            <w:pPr>
              <w:rPr>
                <w:rFonts w:ascii="宋体"/>
              </w:rPr>
            </w:pPr>
          </w:p>
        </w:tc>
        <w:tc>
          <w:tcPr>
            <w:tcW w:w="0" w:type="auto"/>
            <w:shd w:val="clear" w:color="auto" w:fill="auto"/>
          </w:tcPr>
          <w:p w14:paraId="0D8DDF63" w14:textId="77777777" w:rsidR="004C2197" w:rsidRDefault="004C2197">
            <w:pPr>
              <w:rPr>
                <w:rFonts w:ascii="宋体"/>
              </w:rPr>
            </w:pPr>
          </w:p>
        </w:tc>
        <w:tc>
          <w:tcPr>
            <w:tcW w:w="0" w:type="auto"/>
            <w:shd w:val="clear" w:color="auto" w:fill="auto"/>
          </w:tcPr>
          <w:p w14:paraId="0D8DDF64" w14:textId="77777777" w:rsidR="004C2197" w:rsidRDefault="004C2197">
            <w:pPr>
              <w:rPr>
                <w:rFonts w:ascii="宋体"/>
              </w:rPr>
            </w:pPr>
          </w:p>
        </w:tc>
      </w:tr>
      <w:tr w:rsidR="004C2197" w14:paraId="0D8DDF82" w14:textId="77777777">
        <w:tc>
          <w:tcPr>
            <w:tcW w:w="0" w:type="auto"/>
            <w:gridSpan w:val="3"/>
            <w:shd w:val="clear" w:color="auto" w:fill="E2EFD9"/>
            <w:tcMar>
              <w:top w:w="40" w:type="dxa"/>
              <w:left w:w="20" w:type="dxa"/>
              <w:bottom w:w="40" w:type="dxa"/>
              <w:right w:w="20" w:type="dxa"/>
            </w:tcMar>
            <w:vAlign w:val="bottom"/>
          </w:tcPr>
          <w:p w14:paraId="0D8DDF66" w14:textId="77777777" w:rsidR="004C2197" w:rsidRDefault="00863B83">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tcMar>
            <w:vAlign w:val="bottom"/>
          </w:tcPr>
          <w:p w14:paraId="0D8DDF6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DF68" w14:textId="77777777" w:rsidR="004C2197" w:rsidRDefault="00863B83">
            <w:pPr>
              <w:jc w:val="right"/>
              <w:textAlignment w:val="bottom"/>
            </w:pPr>
            <w:r>
              <w:rPr>
                <w:rFonts w:ascii="sans-serif" w:eastAsia="sans-serif" w:hAnsi="sans-serif" w:cs="sans-serif"/>
                <w:color w:val="000000"/>
                <w:sz w:val="20"/>
                <w:szCs w:val="20"/>
              </w:rPr>
              <w:t>622 </w:t>
            </w:r>
          </w:p>
        </w:tc>
        <w:tc>
          <w:tcPr>
            <w:tcW w:w="0" w:type="auto"/>
            <w:tcBorders>
              <w:top w:val="single" w:sz="8" w:space="0" w:color="000000"/>
            </w:tcBorders>
            <w:shd w:val="clear" w:color="auto" w:fill="E2EFD9"/>
            <w:tcMar>
              <w:top w:w="40" w:type="dxa"/>
              <w:bottom w:w="40" w:type="dxa"/>
              <w:right w:w="20" w:type="dxa"/>
            </w:tcMar>
            <w:vAlign w:val="bottom"/>
          </w:tcPr>
          <w:p w14:paraId="0D8DDF6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6A"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DF6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DF6C" w14:textId="77777777" w:rsidR="004C2197" w:rsidRDefault="00863B83">
            <w:pPr>
              <w:jc w:val="right"/>
              <w:textAlignment w:val="bottom"/>
            </w:pPr>
            <w:r>
              <w:rPr>
                <w:rFonts w:ascii="sans-serif" w:eastAsia="sans-serif" w:hAnsi="sans-serif" w:cs="sans-serif"/>
                <w:color w:val="000000"/>
                <w:sz w:val="20"/>
                <w:szCs w:val="20"/>
              </w:rPr>
              <w:t>552 </w:t>
            </w:r>
          </w:p>
        </w:tc>
        <w:tc>
          <w:tcPr>
            <w:tcW w:w="0" w:type="auto"/>
            <w:tcBorders>
              <w:top w:val="single" w:sz="8" w:space="0" w:color="000000"/>
            </w:tcBorders>
            <w:shd w:val="clear" w:color="auto" w:fill="E2EFD9"/>
            <w:tcMar>
              <w:top w:w="40" w:type="dxa"/>
              <w:bottom w:w="40" w:type="dxa"/>
              <w:right w:w="20" w:type="dxa"/>
            </w:tcMar>
            <w:vAlign w:val="bottom"/>
          </w:tcPr>
          <w:p w14:paraId="0D8DDF6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6E"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DF6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DF70" w14:textId="77777777" w:rsidR="004C2197" w:rsidRDefault="00863B83">
            <w:pPr>
              <w:jc w:val="right"/>
              <w:textAlignment w:val="bottom"/>
            </w:pPr>
            <w:r>
              <w:rPr>
                <w:rFonts w:ascii="sans-serif" w:eastAsia="sans-serif" w:hAnsi="sans-serif" w:cs="sans-serif"/>
                <w:color w:val="000000"/>
                <w:sz w:val="20"/>
                <w:szCs w:val="20"/>
              </w:rPr>
              <w:t>1,539 </w:t>
            </w:r>
          </w:p>
        </w:tc>
        <w:tc>
          <w:tcPr>
            <w:tcW w:w="0" w:type="auto"/>
            <w:tcBorders>
              <w:top w:val="single" w:sz="8" w:space="0" w:color="000000"/>
            </w:tcBorders>
            <w:shd w:val="clear" w:color="auto" w:fill="E2EFD9"/>
            <w:tcMar>
              <w:top w:w="40" w:type="dxa"/>
              <w:bottom w:w="40" w:type="dxa"/>
              <w:right w:w="20" w:type="dxa"/>
            </w:tcMar>
            <w:vAlign w:val="bottom"/>
          </w:tcPr>
          <w:p w14:paraId="0D8DDF7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72"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DF7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DF74" w14:textId="77777777" w:rsidR="004C2197" w:rsidRDefault="00863B83">
            <w:pPr>
              <w:jc w:val="right"/>
              <w:textAlignment w:val="bottom"/>
            </w:pPr>
            <w:r>
              <w:rPr>
                <w:rFonts w:ascii="sans-serif" w:eastAsia="sans-serif" w:hAnsi="sans-serif" w:cs="sans-serif"/>
                <w:color w:val="000000"/>
                <w:sz w:val="20"/>
                <w:szCs w:val="20"/>
              </w:rPr>
              <w:t>947 </w:t>
            </w:r>
          </w:p>
        </w:tc>
        <w:tc>
          <w:tcPr>
            <w:tcW w:w="0" w:type="auto"/>
            <w:tcBorders>
              <w:top w:val="single" w:sz="8" w:space="0" w:color="000000"/>
            </w:tcBorders>
            <w:shd w:val="clear" w:color="auto" w:fill="E2EFD9"/>
            <w:tcMar>
              <w:top w:w="40" w:type="dxa"/>
              <w:bottom w:w="40" w:type="dxa"/>
              <w:right w:w="20" w:type="dxa"/>
            </w:tcMar>
            <w:vAlign w:val="bottom"/>
          </w:tcPr>
          <w:p w14:paraId="0D8DDF75" w14:textId="77777777" w:rsidR="004C2197" w:rsidRDefault="004C2197">
            <w:pPr>
              <w:jc w:val="right"/>
              <w:rPr>
                <w:rFonts w:ascii="宋体"/>
              </w:rPr>
            </w:pPr>
          </w:p>
        </w:tc>
        <w:tc>
          <w:tcPr>
            <w:tcW w:w="0" w:type="auto"/>
            <w:shd w:val="clear" w:color="auto" w:fill="auto"/>
          </w:tcPr>
          <w:p w14:paraId="0D8DDF76" w14:textId="77777777" w:rsidR="004C2197" w:rsidRDefault="004C2197">
            <w:pPr>
              <w:rPr>
                <w:rFonts w:ascii="宋体"/>
              </w:rPr>
            </w:pPr>
          </w:p>
        </w:tc>
        <w:tc>
          <w:tcPr>
            <w:tcW w:w="0" w:type="auto"/>
            <w:shd w:val="clear" w:color="auto" w:fill="auto"/>
          </w:tcPr>
          <w:p w14:paraId="0D8DDF77" w14:textId="77777777" w:rsidR="004C2197" w:rsidRDefault="004C2197">
            <w:pPr>
              <w:rPr>
                <w:rFonts w:ascii="宋体"/>
              </w:rPr>
            </w:pPr>
          </w:p>
        </w:tc>
        <w:tc>
          <w:tcPr>
            <w:tcW w:w="0" w:type="auto"/>
            <w:shd w:val="clear" w:color="auto" w:fill="auto"/>
          </w:tcPr>
          <w:p w14:paraId="0D8DDF78" w14:textId="77777777" w:rsidR="004C2197" w:rsidRDefault="004C2197">
            <w:pPr>
              <w:rPr>
                <w:rFonts w:ascii="宋体"/>
              </w:rPr>
            </w:pPr>
          </w:p>
        </w:tc>
        <w:tc>
          <w:tcPr>
            <w:tcW w:w="0" w:type="auto"/>
            <w:shd w:val="clear" w:color="auto" w:fill="auto"/>
          </w:tcPr>
          <w:p w14:paraId="0D8DDF79" w14:textId="77777777" w:rsidR="004C2197" w:rsidRDefault="004C2197">
            <w:pPr>
              <w:rPr>
                <w:rFonts w:ascii="宋体"/>
              </w:rPr>
            </w:pPr>
          </w:p>
        </w:tc>
        <w:tc>
          <w:tcPr>
            <w:tcW w:w="0" w:type="auto"/>
            <w:shd w:val="clear" w:color="auto" w:fill="auto"/>
          </w:tcPr>
          <w:p w14:paraId="0D8DDF7A" w14:textId="77777777" w:rsidR="004C2197" w:rsidRDefault="004C2197">
            <w:pPr>
              <w:rPr>
                <w:rFonts w:ascii="宋体"/>
              </w:rPr>
            </w:pPr>
          </w:p>
        </w:tc>
        <w:tc>
          <w:tcPr>
            <w:tcW w:w="0" w:type="auto"/>
            <w:shd w:val="clear" w:color="auto" w:fill="auto"/>
          </w:tcPr>
          <w:p w14:paraId="0D8DDF7B" w14:textId="77777777" w:rsidR="004C2197" w:rsidRDefault="004C2197">
            <w:pPr>
              <w:rPr>
                <w:rFonts w:ascii="宋体"/>
              </w:rPr>
            </w:pPr>
          </w:p>
        </w:tc>
        <w:tc>
          <w:tcPr>
            <w:tcW w:w="0" w:type="auto"/>
            <w:shd w:val="clear" w:color="auto" w:fill="auto"/>
          </w:tcPr>
          <w:p w14:paraId="0D8DDF7C" w14:textId="77777777" w:rsidR="004C2197" w:rsidRDefault="004C2197">
            <w:pPr>
              <w:rPr>
                <w:rFonts w:ascii="宋体"/>
              </w:rPr>
            </w:pPr>
          </w:p>
        </w:tc>
        <w:tc>
          <w:tcPr>
            <w:tcW w:w="0" w:type="auto"/>
            <w:shd w:val="clear" w:color="auto" w:fill="auto"/>
          </w:tcPr>
          <w:p w14:paraId="0D8DDF7D" w14:textId="77777777" w:rsidR="004C2197" w:rsidRDefault="004C2197">
            <w:pPr>
              <w:rPr>
                <w:rFonts w:ascii="宋体"/>
              </w:rPr>
            </w:pPr>
          </w:p>
        </w:tc>
        <w:tc>
          <w:tcPr>
            <w:tcW w:w="0" w:type="auto"/>
            <w:shd w:val="clear" w:color="auto" w:fill="auto"/>
          </w:tcPr>
          <w:p w14:paraId="0D8DDF7E" w14:textId="77777777" w:rsidR="004C2197" w:rsidRDefault="004C2197">
            <w:pPr>
              <w:rPr>
                <w:rFonts w:ascii="宋体"/>
              </w:rPr>
            </w:pPr>
          </w:p>
        </w:tc>
        <w:tc>
          <w:tcPr>
            <w:tcW w:w="0" w:type="auto"/>
            <w:shd w:val="clear" w:color="auto" w:fill="auto"/>
          </w:tcPr>
          <w:p w14:paraId="0D8DDF7F" w14:textId="77777777" w:rsidR="004C2197" w:rsidRDefault="004C2197">
            <w:pPr>
              <w:rPr>
                <w:rFonts w:ascii="宋体"/>
              </w:rPr>
            </w:pPr>
          </w:p>
        </w:tc>
        <w:tc>
          <w:tcPr>
            <w:tcW w:w="0" w:type="auto"/>
            <w:shd w:val="clear" w:color="auto" w:fill="auto"/>
          </w:tcPr>
          <w:p w14:paraId="0D8DDF80" w14:textId="77777777" w:rsidR="004C2197" w:rsidRDefault="004C2197">
            <w:pPr>
              <w:rPr>
                <w:rFonts w:ascii="宋体"/>
              </w:rPr>
            </w:pPr>
          </w:p>
        </w:tc>
        <w:tc>
          <w:tcPr>
            <w:tcW w:w="0" w:type="auto"/>
            <w:shd w:val="clear" w:color="auto" w:fill="auto"/>
          </w:tcPr>
          <w:p w14:paraId="0D8DDF81" w14:textId="77777777" w:rsidR="004C2197" w:rsidRDefault="004C2197">
            <w:pPr>
              <w:rPr>
                <w:rFonts w:ascii="宋体"/>
              </w:rPr>
            </w:pPr>
          </w:p>
        </w:tc>
      </w:tr>
      <w:tr w:rsidR="004C2197" w14:paraId="0D8DDF97" w14:textId="77777777">
        <w:trPr>
          <w:trHeight w:val="300"/>
        </w:trPr>
        <w:tc>
          <w:tcPr>
            <w:tcW w:w="0" w:type="auto"/>
            <w:gridSpan w:val="3"/>
            <w:shd w:val="clear" w:color="auto" w:fill="FFFFFF"/>
            <w:tcMar>
              <w:left w:w="20" w:type="dxa"/>
              <w:right w:w="20" w:type="dxa"/>
            </w:tcMar>
            <w:vAlign w:val="bottom"/>
          </w:tcPr>
          <w:p w14:paraId="0D8DDF83"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84"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85"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8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87"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8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89"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8A" w14:textId="77777777" w:rsidR="004C2197" w:rsidRDefault="004C2197">
            <w:pPr>
              <w:rPr>
                <w:rFonts w:ascii="宋体"/>
              </w:rPr>
            </w:pPr>
          </w:p>
        </w:tc>
        <w:tc>
          <w:tcPr>
            <w:tcW w:w="0" w:type="auto"/>
            <w:shd w:val="clear" w:color="auto" w:fill="auto"/>
          </w:tcPr>
          <w:p w14:paraId="0D8DDF8B" w14:textId="77777777" w:rsidR="004C2197" w:rsidRDefault="004C2197">
            <w:pPr>
              <w:rPr>
                <w:rFonts w:ascii="宋体"/>
              </w:rPr>
            </w:pPr>
          </w:p>
        </w:tc>
        <w:tc>
          <w:tcPr>
            <w:tcW w:w="0" w:type="auto"/>
            <w:shd w:val="clear" w:color="auto" w:fill="auto"/>
          </w:tcPr>
          <w:p w14:paraId="0D8DDF8C" w14:textId="77777777" w:rsidR="004C2197" w:rsidRDefault="004C2197">
            <w:pPr>
              <w:rPr>
                <w:rFonts w:ascii="宋体"/>
              </w:rPr>
            </w:pPr>
          </w:p>
        </w:tc>
        <w:tc>
          <w:tcPr>
            <w:tcW w:w="0" w:type="auto"/>
            <w:shd w:val="clear" w:color="auto" w:fill="auto"/>
          </w:tcPr>
          <w:p w14:paraId="0D8DDF8D" w14:textId="77777777" w:rsidR="004C2197" w:rsidRDefault="004C2197">
            <w:pPr>
              <w:rPr>
                <w:rFonts w:ascii="宋体"/>
              </w:rPr>
            </w:pPr>
          </w:p>
        </w:tc>
        <w:tc>
          <w:tcPr>
            <w:tcW w:w="0" w:type="auto"/>
            <w:shd w:val="clear" w:color="auto" w:fill="auto"/>
          </w:tcPr>
          <w:p w14:paraId="0D8DDF8E" w14:textId="77777777" w:rsidR="004C2197" w:rsidRDefault="004C2197">
            <w:pPr>
              <w:rPr>
                <w:rFonts w:ascii="宋体"/>
              </w:rPr>
            </w:pPr>
          </w:p>
        </w:tc>
        <w:tc>
          <w:tcPr>
            <w:tcW w:w="0" w:type="auto"/>
            <w:shd w:val="clear" w:color="auto" w:fill="auto"/>
          </w:tcPr>
          <w:p w14:paraId="0D8DDF8F" w14:textId="77777777" w:rsidR="004C2197" w:rsidRDefault="004C2197">
            <w:pPr>
              <w:rPr>
                <w:rFonts w:ascii="宋体"/>
              </w:rPr>
            </w:pPr>
          </w:p>
        </w:tc>
        <w:tc>
          <w:tcPr>
            <w:tcW w:w="0" w:type="auto"/>
            <w:shd w:val="clear" w:color="auto" w:fill="auto"/>
          </w:tcPr>
          <w:p w14:paraId="0D8DDF90" w14:textId="77777777" w:rsidR="004C2197" w:rsidRDefault="004C2197">
            <w:pPr>
              <w:rPr>
                <w:rFonts w:ascii="宋体"/>
              </w:rPr>
            </w:pPr>
          </w:p>
        </w:tc>
        <w:tc>
          <w:tcPr>
            <w:tcW w:w="0" w:type="auto"/>
            <w:shd w:val="clear" w:color="auto" w:fill="auto"/>
          </w:tcPr>
          <w:p w14:paraId="0D8DDF91" w14:textId="77777777" w:rsidR="004C2197" w:rsidRDefault="004C2197">
            <w:pPr>
              <w:rPr>
                <w:rFonts w:ascii="宋体"/>
              </w:rPr>
            </w:pPr>
          </w:p>
        </w:tc>
        <w:tc>
          <w:tcPr>
            <w:tcW w:w="0" w:type="auto"/>
            <w:shd w:val="clear" w:color="auto" w:fill="auto"/>
          </w:tcPr>
          <w:p w14:paraId="0D8DDF92" w14:textId="77777777" w:rsidR="004C2197" w:rsidRDefault="004C2197">
            <w:pPr>
              <w:rPr>
                <w:rFonts w:ascii="宋体"/>
              </w:rPr>
            </w:pPr>
          </w:p>
        </w:tc>
        <w:tc>
          <w:tcPr>
            <w:tcW w:w="0" w:type="auto"/>
            <w:shd w:val="clear" w:color="auto" w:fill="auto"/>
          </w:tcPr>
          <w:p w14:paraId="0D8DDF93" w14:textId="77777777" w:rsidR="004C2197" w:rsidRDefault="004C2197">
            <w:pPr>
              <w:rPr>
                <w:rFonts w:ascii="宋体"/>
              </w:rPr>
            </w:pPr>
          </w:p>
        </w:tc>
        <w:tc>
          <w:tcPr>
            <w:tcW w:w="0" w:type="auto"/>
            <w:shd w:val="clear" w:color="auto" w:fill="auto"/>
          </w:tcPr>
          <w:p w14:paraId="0D8DDF94" w14:textId="77777777" w:rsidR="004C2197" w:rsidRDefault="004C2197">
            <w:pPr>
              <w:rPr>
                <w:rFonts w:ascii="宋体"/>
              </w:rPr>
            </w:pPr>
          </w:p>
        </w:tc>
        <w:tc>
          <w:tcPr>
            <w:tcW w:w="0" w:type="auto"/>
            <w:shd w:val="clear" w:color="auto" w:fill="auto"/>
          </w:tcPr>
          <w:p w14:paraId="0D8DDF95" w14:textId="77777777" w:rsidR="004C2197" w:rsidRDefault="004C2197">
            <w:pPr>
              <w:rPr>
                <w:rFonts w:ascii="宋体"/>
              </w:rPr>
            </w:pPr>
          </w:p>
        </w:tc>
        <w:tc>
          <w:tcPr>
            <w:tcW w:w="0" w:type="auto"/>
            <w:shd w:val="clear" w:color="auto" w:fill="auto"/>
          </w:tcPr>
          <w:p w14:paraId="0D8DDF96" w14:textId="77777777" w:rsidR="004C2197" w:rsidRDefault="004C2197">
            <w:pPr>
              <w:rPr>
                <w:rFonts w:ascii="宋体"/>
              </w:rPr>
            </w:pPr>
          </w:p>
        </w:tc>
      </w:tr>
      <w:tr w:rsidR="004C2197" w14:paraId="0D8DDFAC" w14:textId="77777777">
        <w:tc>
          <w:tcPr>
            <w:tcW w:w="0" w:type="auto"/>
            <w:gridSpan w:val="3"/>
            <w:shd w:val="clear" w:color="auto" w:fill="E2EFD9"/>
            <w:tcMar>
              <w:top w:w="40" w:type="dxa"/>
              <w:left w:w="20" w:type="dxa"/>
              <w:bottom w:w="40" w:type="dxa"/>
              <w:right w:w="20" w:type="dxa"/>
            </w:tcMar>
            <w:vAlign w:val="bottom"/>
          </w:tcPr>
          <w:p w14:paraId="0D8DDF98" w14:textId="77777777" w:rsidR="004C2197" w:rsidRDefault="00863B83">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left w:w="20" w:type="dxa"/>
              <w:right w:w="20" w:type="dxa"/>
            </w:tcMar>
            <w:vAlign w:val="bottom"/>
          </w:tcPr>
          <w:p w14:paraId="0D8DDF99"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A"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B"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D"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9F" w14:textId="77777777" w:rsidR="004C2197" w:rsidRDefault="004C2197">
            <w:pPr>
              <w:rPr>
                <w:rFonts w:ascii="宋体"/>
              </w:rPr>
            </w:pPr>
          </w:p>
        </w:tc>
        <w:tc>
          <w:tcPr>
            <w:tcW w:w="0" w:type="auto"/>
            <w:shd w:val="clear" w:color="auto" w:fill="auto"/>
          </w:tcPr>
          <w:p w14:paraId="0D8DDFA0" w14:textId="77777777" w:rsidR="004C2197" w:rsidRDefault="004C2197">
            <w:pPr>
              <w:rPr>
                <w:rFonts w:ascii="宋体"/>
              </w:rPr>
            </w:pPr>
          </w:p>
        </w:tc>
        <w:tc>
          <w:tcPr>
            <w:tcW w:w="0" w:type="auto"/>
            <w:shd w:val="clear" w:color="auto" w:fill="auto"/>
          </w:tcPr>
          <w:p w14:paraId="0D8DDFA1" w14:textId="77777777" w:rsidR="004C2197" w:rsidRDefault="004C2197">
            <w:pPr>
              <w:rPr>
                <w:rFonts w:ascii="宋体"/>
              </w:rPr>
            </w:pPr>
          </w:p>
        </w:tc>
        <w:tc>
          <w:tcPr>
            <w:tcW w:w="0" w:type="auto"/>
            <w:shd w:val="clear" w:color="auto" w:fill="auto"/>
          </w:tcPr>
          <w:p w14:paraId="0D8DDFA2" w14:textId="77777777" w:rsidR="004C2197" w:rsidRDefault="004C2197">
            <w:pPr>
              <w:rPr>
                <w:rFonts w:ascii="宋体"/>
              </w:rPr>
            </w:pPr>
          </w:p>
        </w:tc>
        <w:tc>
          <w:tcPr>
            <w:tcW w:w="0" w:type="auto"/>
            <w:shd w:val="clear" w:color="auto" w:fill="auto"/>
          </w:tcPr>
          <w:p w14:paraId="0D8DDFA3" w14:textId="77777777" w:rsidR="004C2197" w:rsidRDefault="004C2197">
            <w:pPr>
              <w:rPr>
                <w:rFonts w:ascii="宋体"/>
              </w:rPr>
            </w:pPr>
          </w:p>
        </w:tc>
        <w:tc>
          <w:tcPr>
            <w:tcW w:w="0" w:type="auto"/>
            <w:shd w:val="clear" w:color="auto" w:fill="auto"/>
          </w:tcPr>
          <w:p w14:paraId="0D8DDFA4" w14:textId="77777777" w:rsidR="004C2197" w:rsidRDefault="004C2197">
            <w:pPr>
              <w:rPr>
                <w:rFonts w:ascii="宋体"/>
              </w:rPr>
            </w:pPr>
          </w:p>
        </w:tc>
        <w:tc>
          <w:tcPr>
            <w:tcW w:w="0" w:type="auto"/>
            <w:shd w:val="clear" w:color="auto" w:fill="auto"/>
          </w:tcPr>
          <w:p w14:paraId="0D8DDFA5" w14:textId="77777777" w:rsidR="004C2197" w:rsidRDefault="004C2197">
            <w:pPr>
              <w:rPr>
                <w:rFonts w:ascii="宋体"/>
              </w:rPr>
            </w:pPr>
          </w:p>
        </w:tc>
        <w:tc>
          <w:tcPr>
            <w:tcW w:w="0" w:type="auto"/>
            <w:shd w:val="clear" w:color="auto" w:fill="auto"/>
          </w:tcPr>
          <w:p w14:paraId="0D8DDFA6" w14:textId="77777777" w:rsidR="004C2197" w:rsidRDefault="004C2197">
            <w:pPr>
              <w:rPr>
                <w:rFonts w:ascii="宋体"/>
              </w:rPr>
            </w:pPr>
          </w:p>
        </w:tc>
        <w:tc>
          <w:tcPr>
            <w:tcW w:w="0" w:type="auto"/>
            <w:shd w:val="clear" w:color="auto" w:fill="auto"/>
          </w:tcPr>
          <w:p w14:paraId="0D8DDFA7" w14:textId="77777777" w:rsidR="004C2197" w:rsidRDefault="004C2197">
            <w:pPr>
              <w:rPr>
                <w:rFonts w:ascii="宋体"/>
              </w:rPr>
            </w:pPr>
          </w:p>
        </w:tc>
        <w:tc>
          <w:tcPr>
            <w:tcW w:w="0" w:type="auto"/>
            <w:shd w:val="clear" w:color="auto" w:fill="auto"/>
          </w:tcPr>
          <w:p w14:paraId="0D8DDFA8" w14:textId="77777777" w:rsidR="004C2197" w:rsidRDefault="004C2197">
            <w:pPr>
              <w:rPr>
                <w:rFonts w:ascii="宋体"/>
              </w:rPr>
            </w:pPr>
          </w:p>
        </w:tc>
        <w:tc>
          <w:tcPr>
            <w:tcW w:w="0" w:type="auto"/>
            <w:shd w:val="clear" w:color="auto" w:fill="auto"/>
          </w:tcPr>
          <w:p w14:paraId="0D8DDFA9" w14:textId="77777777" w:rsidR="004C2197" w:rsidRDefault="004C2197">
            <w:pPr>
              <w:rPr>
                <w:rFonts w:ascii="宋体"/>
              </w:rPr>
            </w:pPr>
          </w:p>
        </w:tc>
        <w:tc>
          <w:tcPr>
            <w:tcW w:w="0" w:type="auto"/>
            <w:shd w:val="clear" w:color="auto" w:fill="auto"/>
          </w:tcPr>
          <w:p w14:paraId="0D8DDFAA" w14:textId="77777777" w:rsidR="004C2197" w:rsidRDefault="004C2197">
            <w:pPr>
              <w:rPr>
                <w:rFonts w:ascii="宋体"/>
              </w:rPr>
            </w:pPr>
          </w:p>
        </w:tc>
        <w:tc>
          <w:tcPr>
            <w:tcW w:w="0" w:type="auto"/>
            <w:shd w:val="clear" w:color="auto" w:fill="auto"/>
          </w:tcPr>
          <w:p w14:paraId="0D8DDFAB" w14:textId="77777777" w:rsidR="004C2197" w:rsidRDefault="004C2197">
            <w:pPr>
              <w:rPr>
                <w:rFonts w:ascii="宋体"/>
              </w:rPr>
            </w:pPr>
          </w:p>
        </w:tc>
      </w:tr>
      <w:tr w:rsidR="004C2197" w14:paraId="0D8DDFC9" w14:textId="77777777">
        <w:tc>
          <w:tcPr>
            <w:tcW w:w="0" w:type="auto"/>
            <w:gridSpan w:val="3"/>
            <w:shd w:val="clear" w:color="auto" w:fill="FFFFFF"/>
            <w:tcMar>
              <w:top w:w="40" w:type="dxa"/>
              <w:left w:w="495" w:type="dxa"/>
              <w:bottom w:w="40" w:type="dxa"/>
              <w:right w:w="20" w:type="dxa"/>
            </w:tcMar>
            <w:vAlign w:val="bottom"/>
          </w:tcPr>
          <w:p w14:paraId="0D8DDFAD" w14:textId="77777777" w:rsidR="004C2197" w:rsidRDefault="00863B83">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tcMar>
            <w:vAlign w:val="bottom"/>
          </w:tcPr>
          <w:p w14:paraId="0D8DDFA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DFAF" w14:textId="77777777" w:rsidR="004C2197" w:rsidRDefault="00863B83">
            <w:pPr>
              <w:jc w:val="right"/>
              <w:textAlignment w:val="bottom"/>
            </w:pPr>
            <w:r>
              <w:rPr>
                <w:rFonts w:ascii="sans-serif" w:eastAsia="sans-serif" w:hAnsi="sans-serif" w:cs="sans-serif"/>
                <w:color w:val="000000"/>
                <w:sz w:val="20"/>
                <w:szCs w:val="20"/>
              </w:rPr>
              <w:t>1.01 </w:t>
            </w:r>
          </w:p>
        </w:tc>
        <w:tc>
          <w:tcPr>
            <w:tcW w:w="0" w:type="auto"/>
            <w:shd w:val="clear" w:color="auto" w:fill="FFFFFF"/>
            <w:tcMar>
              <w:top w:w="40" w:type="dxa"/>
              <w:bottom w:w="40" w:type="dxa"/>
              <w:right w:w="20" w:type="dxa"/>
            </w:tcMar>
            <w:vAlign w:val="bottom"/>
          </w:tcPr>
          <w:p w14:paraId="0D8DDFB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B1"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DFB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DFB3" w14:textId="77777777" w:rsidR="004C2197" w:rsidRDefault="00863B83">
            <w:pPr>
              <w:jc w:val="right"/>
              <w:textAlignment w:val="bottom"/>
            </w:pPr>
            <w:r>
              <w:rPr>
                <w:rFonts w:ascii="sans-serif" w:eastAsia="sans-serif" w:hAnsi="sans-serif" w:cs="sans-serif"/>
                <w:color w:val="000000"/>
                <w:sz w:val="20"/>
                <w:szCs w:val="20"/>
              </w:rPr>
              <w:t>0.91 </w:t>
            </w:r>
          </w:p>
        </w:tc>
        <w:tc>
          <w:tcPr>
            <w:tcW w:w="0" w:type="auto"/>
            <w:shd w:val="clear" w:color="auto" w:fill="FFFFFF"/>
            <w:tcMar>
              <w:top w:w="40" w:type="dxa"/>
              <w:bottom w:w="40" w:type="dxa"/>
              <w:right w:w="20" w:type="dxa"/>
            </w:tcMar>
            <w:vAlign w:val="bottom"/>
          </w:tcPr>
          <w:p w14:paraId="0D8DDFB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B5"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DFB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DFB7" w14:textId="77777777" w:rsidR="004C2197" w:rsidRDefault="00863B83">
            <w:pPr>
              <w:jc w:val="right"/>
              <w:textAlignment w:val="bottom"/>
            </w:pPr>
            <w:r>
              <w:rPr>
                <w:rFonts w:ascii="sans-serif" w:eastAsia="sans-serif" w:hAnsi="sans-serif" w:cs="sans-serif"/>
                <w:color w:val="000000"/>
                <w:sz w:val="20"/>
                <w:szCs w:val="20"/>
              </w:rPr>
              <w:t>2.50 </w:t>
            </w:r>
          </w:p>
        </w:tc>
        <w:tc>
          <w:tcPr>
            <w:tcW w:w="0" w:type="auto"/>
            <w:shd w:val="clear" w:color="auto" w:fill="FFFFFF"/>
            <w:tcMar>
              <w:top w:w="40" w:type="dxa"/>
              <w:bottom w:w="40" w:type="dxa"/>
              <w:right w:w="20" w:type="dxa"/>
            </w:tcMar>
            <w:vAlign w:val="bottom"/>
          </w:tcPr>
          <w:p w14:paraId="0D8DDFB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DFB9"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DFB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DFBB" w14:textId="77777777" w:rsidR="004C2197" w:rsidRDefault="00863B83">
            <w:pPr>
              <w:jc w:val="right"/>
              <w:textAlignment w:val="bottom"/>
            </w:pPr>
            <w:r>
              <w:rPr>
                <w:rFonts w:ascii="sans-serif" w:eastAsia="sans-serif" w:hAnsi="sans-serif" w:cs="sans-serif"/>
                <w:color w:val="000000"/>
                <w:sz w:val="20"/>
                <w:szCs w:val="20"/>
              </w:rPr>
              <w:t>1.56 </w:t>
            </w:r>
          </w:p>
        </w:tc>
        <w:tc>
          <w:tcPr>
            <w:tcW w:w="0" w:type="auto"/>
            <w:shd w:val="clear" w:color="auto" w:fill="FFFFFF"/>
            <w:tcMar>
              <w:top w:w="40" w:type="dxa"/>
              <w:bottom w:w="40" w:type="dxa"/>
              <w:right w:w="20" w:type="dxa"/>
            </w:tcMar>
            <w:vAlign w:val="bottom"/>
          </w:tcPr>
          <w:p w14:paraId="0D8DDFBC" w14:textId="77777777" w:rsidR="004C2197" w:rsidRDefault="004C2197">
            <w:pPr>
              <w:jc w:val="right"/>
              <w:rPr>
                <w:rFonts w:ascii="宋体"/>
              </w:rPr>
            </w:pPr>
          </w:p>
        </w:tc>
        <w:tc>
          <w:tcPr>
            <w:tcW w:w="0" w:type="auto"/>
            <w:shd w:val="clear" w:color="auto" w:fill="auto"/>
          </w:tcPr>
          <w:p w14:paraId="0D8DDFBD" w14:textId="77777777" w:rsidR="004C2197" w:rsidRDefault="004C2197">
            <w:pPr>
              <w:rPr>
                <w:rFonts w:ascii="宋体"/>
              </w:rPr>
            </w:pPr>
          </w:p>
        </w:tc>
        <w:tc>
          <w:tcPr>
            <w:tcW w:w="0" w:type="auto"/>
            <w:shd w:val="clear" w:color="auto" w:fill="auto"/>
          </w:tcPr>
          <w:p w14:paraId="0D8DDFBE" w14:textId="77777777" w:rsidR="004C2197" w:rsidRDefault="004C2197">
            <w:pPr>
              <w:rPr>
                <w:rFonts w:ascii="宋体"/>
              </w:rPr>
            </w:pPr>
          </w:p>
        </w:tc>
        <w:tc>
          <w:tcPr>
            <w:tcW w:w="0" w:type="auto"/>
            <w:shd w:val="clear" w:color="auto" w:fill="auto"/>
          </w:tcPr>
          <w:p w14:paraId="0D8DDFBF" w14:textId="77777777" w:rsidR="004C2197" w:rsidRDefault="004C2197">
            <w:pPr>
              <w:rPr>
                <w:rFonts w:ascii="宋体"/>
              </w:rPr>
            </w:pPr>
          </w:p>
        </w:tc>
        <w:tc>
          <w:tcPr>
            <w:tcW w:w="0" w:type="auto"/>
            <w:shd w:val="clear" w:color="auto" w:fill="auto"/>
          </w:tcPr>
          <w:p w14:paraId="0D8DDFC0" w14:textId="77777777" w:rsidR="004C2197" w:rsidRDefault="004C2197">
            <w:pPr>
              <w:rPr>
                <w:rFonts w:ascii="宋体"/>
              </w:rPr>
            </w:pPr>
          </w:p>
        </w:tc>
        <w:tc>
          <w:tcPr>
            <w:tcW w:w="0" w:type="auto"/>
            <w:shd w:val="clear" w:color="auto" w:fill="auto"/>
          </w:tcPr>
          <w:p w14:paraId="0D8DDFC1" w14:textId="77777777" w:rsidR="004C2197" w:rsidRDefault="004C2197">
            <w:pPr>
              <w:rPr>
                <w:rFonts w:ascii="宋体"/>
              </w:rPr>
            </w:pPr>
          </w:p>
        </w:tc>
        <w:tc>
          <w:tcPr>
            <w:tcW w:w="0" w:type="auto"/>
            <w:shd w:val="clear" w:color="auto" w:fill="auto"/>
          </w:tcPr>
          <w:p w14:paraId="0D8DDFC2" w14:textId="77777777" w:rsidR="004C2197" w:rsidRDefault="004C2197">
            <w:pPr>
              <w:rPr>
                <w:rFonts w:ascii="宋体"/>
              </w:rPr>
            </w:pPr>
          </w:p>
        </w:tc>
        <w:tc>
          <w:tcPr>
            <w:tcW w:w="0" w:type="auto"/>
            <w:shd w:val="clear" w:color="auto" w:fill="auto"/>
          </w:tcPr>
          <w:p w14:paraId="0D8DDFC3" w14:textId="77777777" w:rsidR="004C2197" w:rsidRDefault="004C2197">
            <w:pPr>
              <w:rPr>
                <w:rFonts w:ascii="宋体"/>
              </w:rPr>
            </w:pPr>
          </w:p>
        </w:tc>
        <w:tc>
          <w:tcPr>
            <w:tcW w:w="0" w:type="auto"/>
            <w:shd w:val="clear" w:color="auto" w:fill="auto"/>
          </w:tcPr>
          <w:p w14:paraId="0D8DDFC4" w14:textId="77777777" w:rsidR="004C2197" w:rsidRDefault="004C2197">
            <w:pPr>
              <w:rPr>
                <w:rFonts w:ascii="宋体"/>
              </w:rPr>
            </w:pPr>
          </w:p>
        </w:tc>
        <w:tc>
          <w:tcPr>
            <w:tcW w:w="0" w:type="auto"/>
            <w:shd w:val="clear" w:color="auto" w:fill="auto"/>
          </w:tcPr>
          <w:p w14:paraId="0D8DDFC5" w14:textId="77777777" w:rsidR="004C2197" w:rsidRDefault="004C2197">
            <w:pPr>
              <w:rPr>
                <w:rFonts w:ascii="宋体"/>
              </w:rPr>
            </w:pPr>
          </w:p>
        </w:tc>
        <w:tc>
          <w:tcPr>
            <w:tcW w:w="0" w:type="auto"/>
            <w:shd w:val="clear" w:color="auto" w:fill="auto"/>
          </w:tcPr>
          <w:p w14:paraId="0D8DDFC6" w14:textId="77777777" w:rsidR="004C2197" w:rsidRDefault="004C2197">
            <w:pPr>
              <w:rPr>
                <w:rFonts w:ascii="宋体"/>
              </w:rPr>
            </w:pPr>
          </w:p>
        </w:tc>
        <w:tc>
          <w:tcPr>
            <w:tcW w:w="0" w:type="auto"/>
            <w:shd w:val="clear" w:color="auto" w:fill="auto"/>
          </w:tcPr>
          <w:p w14:paraId="0D8DDFC7" w14:textId="77777777" w:rsidR="004C2197" w:rsidRDefault="004C2197">
            <w:pPr>
              <w:rPr>
                <w:rFonts w:ascii="宋体"/>
              </w:rPr>
            </w:pPr>
          </w:p>
        </w:tc>
        <w:tc>
          <w:tcPr>
            <w:tcW w:w="0" w:type="auto"/>
            <w:shd w:val="clear" w:color="auto" w:fill="auto"/>
          </w:tcPr>
          <w:p w14:paraId="0D8DDFC8" w14:textId="77777777" w:rsidR="004C2197" w:rsidRDefault="004C2197">
            <w:pPr>
              <w:rPr>
                <w:rFonts w:ascii="宋体"/>
              </w:rPr>
            </w:pPr>
          </w:p>
        </w:tc>
      </w:tr>
      <w:tr w:rsidR="004C2197" w14:paraId="0D8DDFE6" w14:textId="77777777">
        <w:tc>
          <w:tcPr>
            <w:tcW w:w="0" w:type="auto"/>
            <w:gridSpan w:val="3"/>
            <w:shd w:val="clear" w:color="auto" w:fill="E2EFD9"/>
            <w:tcMar>
              <w:top w:w="40" w:type="dxa"/>
              <w:left w:w="495" w:type="dxa"/>
              <w:bottom w:w="40" w:type="dxa"/>
              <w:right w:w="20" w:type="dxa"/>
            </w:tcMar>
            <w:vAlign w:val="bottom"/>
          </w:tcPr>
          <w:p w14:paraId="0D8DDFCA" w14:textId="77777777" w:rsidR="004C2197" w:rsidRDefault="00863B83">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tcMar>
            <w:vAlign w:val="bottom"/>
          </w:tcPr>
          <w:p w14:paraId="0D8DDFC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DFCC" w14:textId="77777777" w:rsidR="004C2197" w:rsidRDefault="00863B83">
            <w:pPr>
              <w:jc w:val="right"/>
              <w:textAlignment w:val="bottom"/>
            </w:pPr>
            <w:r>
              <w:rPr>
                <w:rFonts w:ascii="sans-serif" w:eastAsia="sans-serif" w:hAnsi="sans-serif" w:cs="sans-serif"/>
                <w:color w:val="000000"/>
                <w:sz w:val="20"/>
                <w:szCs w:val="20"/>
              </w:rPr>
              <w:t>0.99 </w:t>
            </w:r>
          </w:p>
        </w:tc>
        <w:tc>
          <w:tcPr>
            <w:tcW w:w="0" w:type="auto"/>
            <w:tcBorders>
              <w:top w:val="double" w:sz="6" w:space="0" w:color="000000"/>
            </w:tcBorders>
            <w:shd w:val="clear" w:color="auto" w:fill="E2EFD9"/>
            <w:tcMar>
              <w:top w:w="40" w:type="dxa"/>
              <w:bottom w:w="40" w:type="dxa"/>
              <w:right w:w="20" w:type="dxa"/>
            </w:tcMar>
            <w:vAlign w:val="bottom"/>
          </w:tcPr>
          <w:p w14:paraId="0D8DDFC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CE"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DFC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DFD0" w14:textId="77777777" w:rsidR="004C2197" w:rsidRDefault="00863B83">
            <w:pPr>
              <w:jc w:val="right"/>
              <w:textAlignment w:val="bottom"/>
            </w:pPr>
            <w:r>
              <w:rPr>
                <w:rFonts w:ascii="sans-serif" w:eastAsia="sans-serif" w:hAnsi="sans-serif" w:cs="sans-serif"/>
                <w:color w:val="000000"/>
                <w:sz w:val="20"/>
                <w:szCs w:val="20"/>
              </w:rPr>
              <w:t>0.90 </w:t>
            </w:r>
          </w:p>
        </w:tc>
        <w:tc>
          <w:tcPr>
            <w:tcW w:w="0" w:type="auto"/>
            <w:tcBorders>
              <w:top w:val="double" w:sz="6" w:space="0" w:color="000000"/>
            </w:tcBorders>
            <w:shd w:val="clear" w:color="auto" w:fill="E2EFD9"/>
            <w:tcMar>
              <w:top w:w="40" w:type="dxa"/>
              <w:bottom w:w="40" w:type="dxa"/>
              <w:right w:w="20" w:type="dxa"/>
            </w:tcMar>
            <w:vAlign w:val="bottom"/>
          </w:tcPr>
          <w:p w14:paraId="0D8DDFD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D2"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DFD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DFD4" w14:textId="77777777" w:rsidR="004C2197" w:rsidRDefault="00863B83">
            <w:pPr>
              <w:jc w:val="right"/>
              <w:textAlignment w:val="bottom"/>
            </w:pPr>
            <w:r>
              <w:rPr>
                <w:rFonts w:ascii="sans-serif" w:eastAsia="sans-serif" w:hAnsi="sans-serif" w:cs="sans-serif"/>
                <w:color w:val="000000"/>
                <w:sz w:val="20"/>
                <w:szCs w:val="20"/>
              </w:rPr>
              <w:t>2.47 </w:t>
            </w:r>
          </w:p>
        </w:tc>
        <w:tc>
          <w:tcPr>
            <w:tcW w:w="0" w:type="auto"/>
            <w:tcBorders>
              <w:top w:val="double" w:sz="6" w:space="0" w:color="000000"/>
            </w:tcBorders>
            <w:shd w:val="clear" w:color="auto" w:fill="E2EFD9"/>
            <w:tcMar>
              <w:top w:w="40" w:type="dxa"/>
              <w:bottom w:w="40" w:type="dxa"/>
              <w:right w:w="20" w:type="dxa"/>
            </w:tcMar>
            <w:vAlign w:val="bottom"/>
          </w:tcPr>
          <w:p w14:paraId="0D8DDFD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DFD6"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DFD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DFD8" w14:textId="77777777" w:rsidR="004C2197" w:rsidRDefault="00863B83">
            <w:pPr>
              <w:jc w:val="right"/>
              <w:textAlignment w:val="bottom"/>
            </w:pPr>
            <w:r>
              <w:rPr>
                <w:rFonts w:ascii="sans-serif" w:eastAsia="sans-serif" w:hAnsi="sans-serif" w:cs="sans-serif"/>
                <w:color w:val="000000"/>
                <w:sz w:val="20"/>
                <w:szCs w:val="20"/>
              </w:rPr>
              <w:t>1.54 </w:t>
            </w:r>
          </w:p>
        </w:tc>
        <w:tc>
          <w:tcPr>
            <w:tcW w:w="0" w:type="auto"/>
            <w:tcBorders>
              <w:top w:val="double" w:sz="6" w:space="0" w:color="000000"/>
            </w:tcBorders>
            <w:shd w:val="clear" w:color="auto" w:fill="E2EFD9"/>
            <w:tcMar>
              <w:top w:w="40" w:type="dxa"/>
              <w:bottom w:w="40" w:type="dxa"/>
              <w:right w:w="20" w:type="dxa"/>
            </w:tcMar>
            <w:vAlign w:val="bottom"/>
          </w:tcPr>
          <w:p w14:paraId="0D8DDFD9" w14:textId="77777777" w:rsidR="004C2197" w:rsidRDefault="004C2197">
            <w:pPr>
              <w:jc w:val="right"/>
              <w:rPr>
                <w:rFonts w:ascii="宋体"/>
              </w:rPr>
            </w:pPr>
          </w:p>
        </w:tc>
        <w:tc>
          <w:tcPr>
            <w:tcW w:w="0" w:type="auto"/>
            <w:shd w:val="clear" w:color="auto" w:fill="auto"/>
          </w:tcPr>
          <w:p w14:paraId="0D8DDFDA" w14:textId="77777777" w:rsidR="004C2197" w:rsidRDefault="004C2197">
            <w:pPr>
              <w:rPr>
                <w:rFonts w:ascii="宋体"/>
              </w:rPr>
            </w:pPr>
          </w:p>
        </w:tc>
        <w:tc>
          <w:tcPr>
            <w:tcW w:w="0" w:type="auto"/>
            <w:shd w:val="clear" w:color="auto" w:fill="auto"/>
          </w:tcPr>
          <w:p w14:paraId="0D8DDFDB" w14:textId="77777777" w:rsidR="004C2197" w:rsidRDefault="004C2197">
            <w:pPr>
              <w:rPr>
                <w:rFonts w:ascii="宋体"/>
              </w:rPr>
            </w:pPr>
          </w:p>
        </w:tc>
        <w:tc>
          <w:tcPr>
            <w:tcW w:w="0" w:type="auto"/>
            <w:shd w:val="clear" w:color="auto" w:fill="auto"/>
          </w:tcPr>
          <w:p w14:paraId="0D8DDFDC" w14:textId="77777777" w:rsidR="004C2197" w:rsidRDefault="004C2197">
            <w:pPr>
              <w:rPr>
                <w:rFonts w:ascii="宋体"/>
              </w:rPr>
            </w:pPr>
          </w:p>
        </w:tc>
        <w:tc>
          <w:tcPr>
            <w:tcW w:w="0" w:type="auto"/>
            <w:shd w:val="clear" w:color="auto" w:fill="auto"/>
          </w:tcPr>
          <w:p w14:paraId="0D8DDFDD" w14:textId="77777777" w:rsidR="004C2197" w:rsidRDefault="004C2197">
            <w:pPr>
              <w:rPr>
                <w:rFonts w:ascii="宋体"/>
              </w:rPr>
            </w:pPr>
          </w:p>
        </w:tc>
        <w:tc>
          <w:tcPr>
            <w:tcW w:w="0" w:type="auto"/>
            <w:shd w:val="clear" w:color="auto" w:fill="auto"/>
          </w:tcPr>
          <w:p w14:paraId="0D8DDFDE" w14:textId="77777777" w:rsidR="004C2197" w:rsidRDefault="004C2197">
            <w:pPr>
              <w:rPr>
                <w:rFonts w:ascii="宋体"/>
              </w:rPr>
            </w:pPr>
          </w:p>
        </w:tc>
        <w:tc>
          <w:tcPr>
            <w:tcW w:w="0" w:type="auto"/>
            <w:shd w:val="clear" w:color="auto" w:fill="auto"/>
          </w:tcPr>
          <w:p w14:paraId="0D8DDFDF" w14:textId="77777777" w:rsidR="004C2197" w:rsidRDefault="004C2197">
            <w:pPr>
              <w:rPr>
                <w:rFonts w:ascii="宋体"/>
              </w:rPr>
            </w:pPr>
          </w:p>
        </w:tc>
        <w:tc>
          <w:tcPr>
            <w:tcW w:w="0" w:type="auto"/>
            <w:shd w:val="clear" w:color="auto" w:fill="auto"/>
          </w:tcPr>
          <w:p w14:paraId="0D8DDFE0" w14:textId="77777777" w:rsidR="004C2197" w:rsidRDefault="004C2197">
            <w:pPr>
              <w:rPr>
                <w:rFonts w:ascii="宋体"/>
              </w:rPr>
            </w:pPr>
          </w:p>
        </w:tc>
        <w:tc>
          <w:tcPr>
            <w:tcW w:w="0" w:type="auto"/>
            <w:shd w:val="clear" w:color="auto" w:fill="auto"/>
          </w:tcPr>
          <w:p w14:paraId="0D8DDFE1" w14:textId="77777777" w:rsidR="004C2197" w:rsidRDefault="004C2197">
            <w:pPr>
              <w:rPr>
                <w:rFonts w:ascii="宋体"/>
              </w:rPr>
            </w:pPr>
          </w:p>
        </w:tc>
        <w:tc>
          <w:tcPr>
            <w:tcW w:w="0" w:type="auto"/>
            <w:shd w:val="clear" w:color="auto" w:fill="auto"/>
          </w:tcPr>
          <w:p w14:paraId="0D8DDFE2" w14:textId="77777777" w:rsidR="004C2197" w:rsidRDefault="004C2197">
            <w:pPr>
              <w:rPr>
                <w:rFonts w:ascii="宋体"/>
              </w:rPr>
            </w:pPr>
          </w:p>
        </w:tc>
        <w:tc>
          <w:tcPr>
            <w:tcW w:w="0" w:type="auto"/>
            <w:shd w:val="clear" w:color="auto" w:fill="auto"/>
          </w:tcPr>
          <w:p w14:paraId="0D8DDFE3" w14:textId="77777777" w:rsidR="004C2197" w:rsidRDefault="004C2197">
            <w:pPr>
              <w:rPr>
                <w:rFonts w:ascii="宋体"/>
              </w:rPr>
            </w:pPr>
          </w:p>
        </w:tc>
        <w:tc>
          <w:tcPr>
            <w:tcW w:w="0" w:type="auto"/>
            <w:shd w:val="clear" w:color="auto" w:fill="auto"/>
          </w:tcPr>
          <w:p w14:paraId="0D8DDFE4" w14:textId="77777777" w:rsidR="004C2197" w:rsidRDefault="004C2197">
            <w:pPr>
              <w:rPr>
                <w:rFonts w:ascii="宋体"/>
              </w:rPr>
            </w:pPr>
          </w:p>
        </w:tc>
        <w:tc>
          <w:tcPr>
            <w:tcW w:w="0" w:type="auto"/>
            <w:shd w:val="clear" w:color="auto" w:fill="auto"/>
          </w:tcPr>
          <w:p w14:paraId="0D8DDFE5" w14:textId="77777777" w:rsidR="004C2197" w:rsidRDefault="004C2197">
            <w:pPr>
              <w:rPr>
                <w:rFonts w:ascii="宋体"/>
              </w:rPr>
            </w:pPr>
          </w:p>
        </w:tc>
      </w:tr>
      <w:tr w:rsidR="004C2197" w14:paraId="0D8DDFFB" w14:textId="77777777">
        <w:trPr>
          <w:trHeight w:val="300"/>
        </w:trPr>
        <w:tc>
          <w:tcPr>
            <w:tcW w:w="0" w:type="auto"/>
            <w:gridSpan w:val="3"/>
            <w:shd w:val="clear" w:color="auto" w:fill="FFFFFF"/>
            <w:tcMar>
              <w:left w:w="20" w:type="dxa"/>
              <w:right w:w="20" w:type="dxa"/>
            </w:tcMar>
            <w:vAlign w:val="bottom"/>
          </w:tcPr>
          <w:p w14:paraId="0D8DDFE7"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E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E9"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E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EB"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EC"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DFED"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DFEE" w14:textId="77777777" w:rsidR="004C2197" w:rsidRDefault="004C2197">
            <w:pPr>
              <w:rPr>
                <w:rFonts w:ascii="宋体"/>
              </w:rPr>
            </w:pPr>
          </w:p>
        </w:tc>
        <w:tc>
          <w:tcPr>
            <w:tcW w:w="0" w:type="auto"/>
            <w:shd w:val="clear" w:color="auto" w:fill="auto"/>
          </w:tcPr>
          <w:p w14:paraId="0D8DDFEF" w14:textId="77777777" w:rsidR="004C2197" w:rsidRDefault="004C2197">
            <w:pPr>
              <w:rPr>
                <w:rFonts w:ascii="宋体"/>
              </w:rPr>
            </w:pPr>
          </w:p>
        </w:tc>
        <w:tc>
          <w:tcPr>
            <w:tcW w:w="0" w:type="auto"/>
            <w:shd w:val="clear" w:color="auto" w:fill="auto"/>
          </w:tcPr>
          <w:p w14:paraId="0D8DDFF0" w14:textId="77777777" w:rsidR="004C2197" w:rsidRDefault="004C2197">
            <w:pPr>
              <w:rPr>
                <w:rFonts w:ascii="宋体"/>
              </w:rPr>
            </w:pPr>
          </w:p>
        </w:tc>
        <w:tc>
          <w:tcPr>
            <w:tcW w:w="0" w:type="auto"/>
            <w:shd w:val="clear" w:color="auto" w:fill="auto"/>
          </w:tcPr>
          <w:p w14:paraId="0D8DDFF1" w14:textId="77777777" w:rsidR="004C2197" w:rsidRDefault="004C2197">
            <w:pPr>
              <w:rPr>
                <w:rFonts w:ascii="宋体"/>
              </w:rPr>
            </w:pPr>
          </w:p>
        </w:tc>
        <w:tc>
          <w:tcPr>
            <w:tcW w:w="0" w:type="auto"/>
            <w:shd w:val="clear" w:color="auto" w:fill="auto"/>
          </w:tcPr>
          <w:p w14:paraId="0D8DDFF2" w14:textId="77777777" w:rsidR="004C2197" w:rsidRDefault="004C2197">
            <w:pPr>
              <w:rPr>
                <w:rFonts w:ascii="宋体"/>
              </w:rPr>
            </w:pPr>
          </w:p>
        </w:tc>
        <w:tc>
          <w:tcPr>
            <w:tcW w:w="0" w:type="auto"/>
            <w:shd w:val="clear" w:color="auto" w:fill="auto"/>
          </w:tcPr>
          <w:p w14:paraId="0D8DDFF3" w14:textId="77777777" w:rsidR="004C2197" w:rsidRDefault="004C2197">
            <w:pPr>
              <w:rPr>
                <w:rFonts w:ascii="宋体"/>
              </w:rPr>
            </w:pPr>
          </w:p>
        </w:tc>
        <w:tc>
          <w:tcPr>
            <w:tcW w:w="0" w:type="auto"/>
            <w:shd w:val="clear" w:color="auto" w:fill="auto"/>
          </w:tcPr>
          <w:p w14:paraId="0D8DDFF4" w14:textId="77777777" w:rsidR="004C2197" w:rsidRDefault="004C2197">
            <w:pPr>
              <w:rPr>
                <w:rFonts w:ascii="宋体"/>
              </w:rPr>
            </w:pPr>
          </w:p>
        </w:tc>
        <w:tc>
          <w:tcPr>
            <w:tcW w:w="0" w:type="auto"/>
            <w:shd w:val="clear" w:color="auto" w:fill="auto"/>
          </w:tcPr>
          <w:p w14:paraId="0D8DDFF5" w14:textId="77777777" w:rsidR="004C2197" w:rsidRDefault="004C2197">
            <w:pPr>
              <w:rPr>
                <w:rFonts w:ascii="宋体"/>
              </w:rPr>
            </w:pPr>
          </w:p>
        </w:tc>
        <w:tc>
          <w:tcPr>
            <w:tcW w:w="0" w:type="auto"/>
            <w:shd w:val="clear" w:color="auto" w:fill="auto"/>
          </w:tcPr>
          <w:p w14:paraId="0D8DDFF6" w14:textId="77777777" w:rsidR="004C2197" w:rsidRDefault="004C2197">
            <w:pPr>
              <w:rPr>
                <w:rFonts w:ascii="宋体"/>
              </w:rPr>
            </w:pPr>
          </w:p>
        </w:tc>
        <w:tc>
          <w:tcPr>
            <w:tcW w:w="0" w:type="auto"/>
            <w:shd w:val="clear" w:color="auto" w:fill="auto"/>
          </w:tcPr>
          <w:p w14:paraId="0D8DDFF7" w14:textId="77777777" w:rsidR="004C2197" w:rsidRDefault="004C2197">
            <w:pPr>
              <w:rPr>
                <w:rFonts w:ascii="宋体"/>
              </w:rPr>
            </w:pPr>
          </w:p>
        </w:tc>
        <w:tc>
          <w:tcPr>
            <w:tcW w:w="0" w:type="auto"/>
            <w:shd w:val="clear" w:color="auto" w:fill="auto"/>
          </w:tcPr>
          <w:p w14:paraId="0D8DDFF8" w14:textId="77777777" w:rsidR="004C2197" w:rsidRDefault="004C2197">
            <w:pPr>
              <w:rPr>
                <w:rFonts w:ascii="宋体"/>
              </w:rPr>
            </w:pPr>
          </w:p>
        </w:tc>
        <w:tc>
          <w:tcPr>
            <w:tcW w:w="0" w:type="auto"/>
            <w:shd w:val="clear" w:color="auto" w:fill="auto"/>
          </w:tcPr>
          <w:p w14:paraId="0D8DDFF9" w14:textId="77777777" w:rsidR="004C2197" w:rsidRDefault="004C2197">
            <w:pPr>
              <w:rPr>
                <w:rFonts w:ascii="宋体"/>
              </w:rPr>
            </w:pPr>
          </w:p>
        </w:tc>
        <w:tc>
          <w:tcPr>
            <w:tcW w:w="0" w:type="auto"/>
            <w:shd w:val="clear" w:color="auto" w:fill="auto"/>
          </w:tcPr>
          <w:p w14:paraId="0D8DDFFA" w14:textId="77777777" w:rsidR="004C2197" w:rsidRDefault="004C2197">
            <w:pPr>
              <w:rPr>
                <w:rFonts w:ascii="宋体"/>
              </w:rPr>
            </w:pPr>
          </w:p>
        </w:tc>
      </w:tr>
      <w:tr w:rsidR="004C2197" w14:paraId="0D8DE010" w14:textId="77777777">
        <w:tc>
          <w:tcPr>
            <w:tcW w:w="0" w:type="auto"/>
            <w:gridSpan w:val="3"/>
            <w:shd w:val="clear" w:color="auto" w:fill="E2EFD9"/>
            <w:tcMar>
              <w:top w:w="40" w:type="dxa"/>
              <w:left w:w="20" w:type="dxa"/>
              <w:bottom w:w="40" w:type="dxa"/>
              <w:right w:w="20" w:type="dxa"/>
            </w:tcMar>
            <w:vAlign w:val="bottom"/>
          </w:tcPr>
          <w:p w14:paraId="0D8DDFFC" w14:textId="77777777" w:rsidR="004C2197" w:rsidRDefault="00863B83">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left w:w="20" w:type="dxa"/>
              <w:right w:w="20" w:type="dxa"/>
            </w:tcMar>
            <w:vAlign w:val="bottom"/>
          </w:tcPr>
          <w:p w14:paraId="0D8DDFFD"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F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DFFF"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00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001"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002"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003" w14:textId="77777777" w:rsidR="004C2197" w:rsidRDefault="004C2197">
            <w:pPr>
              <w:rPr>
                <w:rFonts w:ascii="宋体"/>
              </w:rPr>
            </w:pPr>
          </w:p>
        </w:tc>
        <w:tc>
          <w:tcPr>
            <w:tcW w:w="0" w:type="auto"/>
            <w:shd w:val="clear" w:color="auto" w:fill="auto"/>
          </w:tcPr>
          <w:p w14:paraId="0D8DE004" w14:textId="77777777" w:rsidR="004C2197" w:rsidRDefault="004C2197">
            <w:pPr>
              <w:rPr>
                <w:rFonts w:ascii="宋体"/>
              </w:rPr>
            </w:pPr>
          </w:p>
        </w:tc>
        <w:tc>
          <w:tcPr>
            <w:tcW w:w="0" w:type="auto"/>
            <w:shd w:val="clear" w:color="auto" w:fill="auto"/>
          </w:tcPr>
          <w:p w14:paraId="0D8DE005" w14:textId="77777777" w:rsidR="004C2197" w:rsidRDefault="004C2197">
            <w:pPr>
              <w:rPr>
                <w:rFonts w:ascii="宋体"/>
              </w:rPr>
            </w:pPr>
          </w:p>
        </w:tc>
        <w:tc>
          <w:tcPr>
            <w:tcW w:w="0" w:type="auto"/>
            <w:shd w:val="clear" w:color="auto" w:fill="auto"/>
          </w:tcPr>
          <w:p w14:paraId="0D8DE006" w14:textId="77777777" w:rsidR="004C2197" w:rsidRDefault="004C2197">
            <w:pPr>
              <w:rPr>
                <w:rFonts w:ascii="宋体"/>
              </w:rPr>
            </w:pPr>
          </w:p>
        </w:tc>
        <w:tc>
          <w:tcPr>
            <w:tcW w:w="0" w:type="auto"/>
            <w:shd w:val="clear" w:color="auto" w:fill="auto"/>
          </w:tcPr>
          <w:p w14:paraId="0D8DE007" w14:textId="77777777" w:rsidR="004C2197" w:rsidRDefault="004C2197">
            <w:pPr>
              <w:rPr>
                <w:rFonts w:ascii="宋体"/>
              </w:rPr>
            </w:pPr>
          </w:p>
        </w:tc>
        <w:tc>
          <w:tcPr>
            <w:tcW w:w="0" w:type="auto"/>
            <w:shd w:val="clear" w:color="auto" w:fill="auto"/>
          </w:tcPr>
          <w:p w14:paraId="0D8DE008" w14:textId="77777777" w:rsidR="004C2197" w:rsidRDefault="004C2197">
            <w:pPr>
              <w:rPr>
                <w:rFonts w:ascii="宋体"/>
              </w:rPr>
            </w:pPr>
          </w:p>
        </w:tc>
        <w:tc>
          <w:tcPr>
            <w:tcW w:w="0" w:type="auto"/>
            <w:shd w:val="clear" w:color="auto" w:fill="auto"/>
          </w:tcPr>
          <w:p w14:paraId="0D8DE009" w14:textId="77777777" w:rsidR="004C2197" w:rsidRDefault="004C2197">
            <w:pPr>
              <w:rPr>
                <w:rFonts w:ascii="宋体"/>
              </w:rPr>
            </w:pPr>
          </w:p>
        </w:tc>
        <w:tc>
          <w:tcPr>
            <w:tcW w:w="0" w:type="auto"/>
            <w:shd w:val="clear" w:color="auto" w:fill="auto"/>
          </w:tcPr>
          <w:p w14:paraId="0D8DE00A" w14:textId="77777777" w:rsidR="004C2197" w:rsidRDefault="004C2197">
            <w:pPr>
              <w:rPr>
                <w:rFonts w:ascii="宋体"/>
              </w:rPr>
            </w:pPr>
          </w:p>
        </w:tc>
        <w:tc>
          <w:tcPr>
            <w:tcW w:w="0" w:type="auto"/>
            <w:shd w:val="clear" w:color="auto" w:fill="auto"/>
          </w:tcPr>
          <w:p w14:paraId="0D8DE00B" w14:textId="77777777" w:rsidR="004C2197" w:rsidRDefault="004C2197">
            <w:pPr>
              <w:rPr>
                <w:rFonts w:ascii="宋体"/>
              </w:rPr>
            </w:pPr>
          </w:p>
        </w:tc>
        <w:tc>
          <w:tcPr>
            <w:tcW w:w="0" w:type="auto"/>
            <w:shd w:val="clear" w:color="auto" w:fill="auto"/>
          </w:tcPr>
          <w:p w14:paraId="0D8DE00C" w14:textId="77777777" w:rsidR="004C2197" w:rsidRDefault="004C2197">
            <w:pPr>
              <w:rPr>
                <w:rFonts w:ascii="宋体"/>
              </w:rPr>
            </w:pPr>
          </w:p>
        </w:tc>
        <w:tc>
          <w:tcPr>
            <w:tcW w:w="0" w:type="auto"/>
            <w:shd w:val="clear" w:color="auto" w:fill="auto"/>
          </w:tcPr>
          <w:p w14:paraId="0D8DE00D" w14:textId="77777777" w:rsidR="004C2197" w:rsidRDefault="004C2197">
            <w:pPr>
              <w:rPr>
                <w:rFonts w:ascii="宋体"/>
              </w:rPr>
            </w:pPr>
          </w:p>
        </w:tc>
        <w:tc>
          <w:tcPr>
            <w:tcW w:w="0" w:type="auto"/>
            <w:shd w:val="clear" w:color="auto" w:fill="auto"/>
          </w:tcPr>
          <w:p w14:paraId="0D8DE00E" w14:textId="77777777" w:rsidR="004C2197" w:rsidRDefault="004C2197">
            <w:pPr>
              <w:rPr>
                <w:rFonts w:ascii="宋体"/>
              </w:rPr>
            </w:pPr>
          </w:p>
        </w:tc>
        <w:tc>
          <w:tcPr>
            <w:tcW w:w="0" w:type="auto"/>
            <w:shd w:val="clear" w:color="auto" w:fill="auto"/>
          </w:tcPr>
          <w:p w14:paraId="0D8DE00F" w14:textId="77777777" w:rsidR="004C2197" w:rsidRDefault="004C2197">
            <w:pPr>
              <w:rPr>
                <w:rFonts w:ascii="宋体"/>
              </w:rPr>
            </w:pPr>
          </w:p>
        </w:tc>
      </w:tr>
      <w:tr w:rsidR="004C2197" w14:paraId="0D8DE029" w14:textId="77777777">
        <w:tc>
          <w:tcPr>
            <w:tcW w:w="0" w:type="auto"/>
            <w:gridSpan w:val="3"/>
            <w:shd w:val="clear" w:color="auto" w:fill="FFFFFF"/>
            <w:tcMar>
              <w:top w:w="40" w:type="dxa"/>
              <w:left w:w="495" w:type="dxa"/>
              <w:bottom w:w="40" w:type="dxa"/>
              <w:right w:w="20" w:type="dxa"/>
            </w:tcMar>
            <w:vAlign w:val="bottom"/>
          </w:tcPr>
          <w:p w14:paraId="0D8DE011" w14:textId="77777777" w:rsidR="004C2197" w:rsidRDefault="00863B83">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0D8DE012"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shd w:val="clear" w:color="auto" w:fill="FFFFFF"/>
            <w:tcMar>
              <w:top w:w="40" w:type="dxa"/>
              <w:bottom w:w="40" w:type="dxa"/>
              <w:right w:w="20" w:type="dxa"/>
            </w:tcMar>
            <w:vAlign w:val="bottom"/>
          </w:tcPr>
          <w:p w14:paraId="0D8DE01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01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015" w14:textId="77777777" w:rsidR="004C2197" w:rsidRDefault="00863B83">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bottom w:w="40" w:type="dxa"/>
              <w:right w:w="20" w:type="dxa"/>
            </w:tcMar>
            <w:vAlign w:val="bottom"/>
          </w:tcPr>
          <w:p w14:paraId="0D8DE01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01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018" w14:textId="77777777" w:rsidR="004C2197" w:rsidRDefault="00863B83">
            <w:pPr>
              <w:jc w:val="right"/>
              <w:textAlignment w:val="bottom"/>
            </w:pPr>
            <w:r>
              <w:rPr>
                <w:rFonts w:ascii="sans-serif" w:eastAsia="sans-serif" w:hAnsi="sans-serif" w:cs="sans-serif"/>
                <w:color w:val="000000"/>
                <w:sz w:val="20"/>
                <w:szCs w:val="20"/>
              </w:rPr>
              <w:t>615 </w:t>
            </w:r>
          </w:p>
        </w:tc>
        <w:tc>
          <w:tcPr>
            <w:tcW w:w="0" w:type="auto"/>
            <w:shd w:val="clear" w:color="auto" w:fill="FFFFFF"/>
            <w:tcMar>
              <w:top w:w="40" w:type="dxa"/>
              <w:bottom w:w="40" w:type="dxa"/>
              <w:right w:w="20" w:type="dxa"/>
            </w:tcMar>
            <w:vAlign w:val="bottom"/>
          </w:tcPr>
          <w:p w14:paraId="0D8DE01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01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01B" w14:textId="77777777" w:rsidR="004C2197" w:rsidRDefault="00863B83">
            <w:pPr>
              <w:jc w:val="right"/>
              <w:textAlignment w:val="bottom"/>
            </w:pPr>
            <w:r>
              <w:rPr>
                <w:rFonts w:ascii="sans-serif" w:eastAsia="sans-serif" w:hAnsi="sans-serif" w:cs="sans-serif"/>
                <w:color w:val="000000"/>
                <w:sz w:val="20"/>
                <w:szCs w:val="20"/>
              </w:rPr>
              <w:t>608 </w:t>
            </w:r>
          </w:p>
        </w:tc>
        <w:tc>
          <w:tcPr>
            <w:tcW w:w="0" w:type="auto"/>
            <w:shd w:val="clear" w:color="auto" w:fill="FFFFFF"/>
            <w:tcMar>
              <w:top w:w="40" w:type="dxa"/>
              <w:bottom w:w="40" w:type="dxa"/>
              <w:right w:w="20" w:type="dxa"/>
            </w:tcMar>
            <w:vAlign w:val="bottom"/>
          </w:tcPr>
          <w:p w14:paraId="0D8DE01C" w14:textId="77777777" w:rsidR="004C2197" w:rsidRDefault="004C2197">
            <w:pPr>
              <w:jc w:val="right"/>
              <w:rPr>
                <w:rFonts w:ascii="宋体"/>
              </w:rPr>
            </w:pPr>
          </w:p>
        </w:tc>
        <w:tc>
          <w:tcPr>
            <w:tcW w:w="0" w:type="auto"/>
            <w:shd w:val="clear" w:color="auto" w:fill="auto"/>
          </w:tcPr>
          <w:p w14:paraId="0D8DE01D" w14:textId="77777777" w:rsidR="004C2197" w:rsidRDefault="004C2197">
            <w:pPr>
              <w:rPr>
                <w:rFonts w:ascii="宋体"/>
              </w:rPr>
            </w:pPr>
          </w:p>
        </w:tc>
        <w:tc>
          <w:tcPr>
            <w:tcW w:w="0" w:type="auto"/>
            <w:shd w:val="clear" w:color="auto" w:fill="auto"/>
          </w:tcPr>
          <w:p w14:paraId="0D8DE01E" w14:textId="77777777" w:rsidR="004C2197" w:rsidRDefault="004C2197">
            <w:pPr>
              <w:rPr>
                <w:rFonts w:ascii="宋体"/>
              </w:rPr>
            </w:pPr>
          </w:p>
        </w:tc>
        <w:tc>
          <w:tcPr>
            <w:tcW w:w="0" w:type="auto"/>
            <w:shd w:val="clear" w:color="auto" w:fill="auto"/>
          </w:tcPr>
          <w:p w14:paraId="0D8DE01F" w14:textId="77777777" w:rsidR="004C2197" w:rsidRDefault="004C2197">
            <w:pPr>
              <w:rPr>
                <w:rFonts w:ascii="宋体"/>
              </w:rPr>
            </w:pPr>
          </w:p>
        </w:tc>
        <w:tc>
          <w:tcPr>
            <w:tcW w:w="0" w:type="auto"/>
            <w:shd w:val="clear" w:color="auto" w:fill="auto"/>
          </w:tcPr>
          <w:p w14:paraId="0D8DE020" w14:textId="77777777" w:rsidR="004C2197" w:rsidRDefault="004C2197">
            <w:pPr>
              <w:rPr>
                <w:rFonts w:ascii="宋体"/>
              </w:rPr>
            </w:pPr>
          </w:p>
        </w:tc>
        <w:tc>
          <w:tcPr>
            <w:tcW w:w="0" w:type="auto"/>
            <w:shd w:val="clear" w:color="auto" w:fill="auto"/>
          </w:tcPr>
          <w:p w14:paraId="0D8DE021" w14:textId="77777777" w:rsidR="004C2197" w:rsidRDefault="004C2197">
            <w:pPr>
              <w:rPr>
                <w:rFonts w:ascii="宋体"/>
              </w:rPr>
            </w:pPr>
          </w:p>
        </w:tc>
        <w:tc>
          <w:tcPr>
            <w:tcW w:w="0" w:type="auto"/>
            <w:shd w:val="clear" w:color="auto" w:fill="auto"/>
          </w:tcPr>
          <w:p w14:paraId="0D8DE022" w14:textId="77777777" w:rsidR="004C2197" w:rsidRDefault="004C2197">
            <w:pPr>
              <w:rPr>
                <w:rFonts w:ascii="宋体"/>
              </w:rPr>
            </w:pPr>
          </w:p>
        </w:tc>
        <w:tc>
          <w:tcPr>
            <w:tcW w:w="0" w:type="auto"/>
            <w:shd w:val="clear" w:color="auto" w:fill="auto"/>
          </w:tcPr>
          <w:p w14:paraId="0D8DE023" w14:textId="77777777" w:rsidR="004C2197" w:rsidRDefault="004C2197">
            <w:pPr>
              <w:rPr>
                <w:rFonts w:ascii="宋体"/>
              </w:rPr>
            </w:pPr>
          </w:p>
        </w:tc>
        <w:tc>
          <w:tcPr>
            <w:tcW w:w="0" w:type="auto"/>
            <w:shd w:val="clear" w:color="auto" w:fill="auto"/>
          </w:tcPr>
          <w:p w14:paraId="0D8DE024" w14:textId="77777777" w:rsidR="004C2197" w:rsidRDefault="004C2197">
            <w:pPr>
              <w:rPr>
                <w:rFonts w:ascii="宋体"/>
              </w:rPr>
            </w:pPr>
          </w:p>
        </w:tc>
        <w:tc>
          <w:tcPr>
            <w:tcW w:w="0" w:type="auto"/>
            <w:shd w:val="clear" w:color="auto" w:fill="auto"/>
          </w:tcPr>
          <w:p w14:paraId="0D8DE025" w14:textId="77777777" w:rsidR="004C2197" w:rsidRDefault="004C2197">
            <w:pPr>
              <w:rPr>
                <w:rFonts w:ascii="宋体"/>
              </w:rPr>
            </w:pPr>
          </w:p>
        </w:tc>
        <w:tc>
          <w:tcPr>
            <w:tcW w:w="0" w:type="auto"/>
            <w:shd w:val="clear" w:color="auto" w:fill="auto"/>
          </w:tcPr>
          <w:p w14:paraId="0D8DE026" w14:textId="77777777" w:rsidR="004C2197" w:rsidRDefault="004C2197">
            <w:pPr>
              <w:rPr>
                <w:rFonts w:ascii="宋体"/>
              </w:rPr>
            </w:pPr>
          </w:p>
        </w:tc>
        <w:tc>
          <w:tcPr>
            <w:tcW w:w="0" w:type="auto"/>
            <w:shd w:val="clear" w:color="auto" w:fill="auto"/>
          </w:tcPr>
          <w:p w14:paraId="0D8DE027" w14:textId="77777777" w:rsidR="004C2197" w:rsidRDefault="004C2197">
            <w:pPr>
              <w:rPr>
                <w:rFonts w:ascii="宋体"/>
              </w:rPr>
            </w:pPr>
          </w:p>
        </w:tc>
        <w:tc>
          <w:tcPr>
            <w:tcW w:w="0" w:type="auto"/>
            <w:shd w:val="clear" w:color="auto" w:fill="auto"/>
          </w:tcPr>
          <w:p w14:paraId="0D8DE028" w14:textId="77777777" w:rsidR="004C2197" w:rsidRDefault="004C2197">
            <w:pPr>
              <w:rPr>
                <w:rFonts w:ascii="宋体"/>
              </w:rPr>
            </w:pPr>
          </w:p>
        </w:tc>
      </w:tr>
      <w:tr w:rsidR="004C2197" w14:paraId="0D8DE042" w14:textId="77777777">
        <w:tc>
          <w:tcPr>
            <w:tcW w:w="0" w:type="auto"/>
            <w:gridSpan w:val="3"/>
            <w:shd w:val="clear" w:color="auto" w:fill="E2EFD9"/>
            <w:tcMar>
              <w:top w:w="40" w:type="dxa"/>
              <w:left w:w="495" w:type="dxa"/>
              <w:bottom w:w="40" w:type="dxa"/>
              <w:right w:w="20" w:type="dxa"/>
            </w:tcMar>
            <w:vAlign w:val="bottom"/>
          </w:tcPr>
          <w:p w14:paraId="0D8DE02A" w14:textId="77777777" w:rsidR="004C2197" w:rsidRDefault="00863B83">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0D8DE02B" w14:textId="77777777" w:rsidR="004C2197" w:rsidRDefault="00863B83">
            <w:pPr>
              <w:jc w:val="right"/>
              <w:textAlignment w:val="bottom"/>
            </w:pPr>
            <w:r>
              <w:rPr>
                <w:rFonts w:ascii="sans-serif" w:eastAsia="sans-serif" w:hAnsi="sans-serif" w:cs="sans-serif"/>
                <w:color w:val="000000"/>
                <w:sz w:val="20"/>
                <w:szCs w:val="20"/>
              </w:rPr>
              <w:t>626 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0D8DE02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2D" w14:textId="77777777" w:rsidR="004C2197" w:rsidRDefault="004C2197">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0D8DE02E"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0D8DE02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30" w14:textId="77777777" w:rsidR="004C2197" w:rsidRDefault="004C2197">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0D8DE031" w14:textId="77777777" w:rsidR="004C2197" w:rsidRDefault="00863B83">
            <w:pPr>
              <w:jc w:val="right"/>
              <w:textAlignment w:val="bottom"/>
            </w:pPr>
            <w:r>
              <w:rPr>
                <w:rFonts w:ascii="sans-serif" w:eastAsia="sans-serif" w:hAnsi="sans-serif" w:cs="sans-serif"/>
                <w:color w:val="000000"/>
                <w:sz w:val="20"/>
                <w:szCs w:val="20"/>
              </w:rPr>
              <w:t>624 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0D8DE03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33" w14:textId="77777777" w:rsidR="004C2197" w:rsidRDefault="004C2197">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0D8DE034"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tcBorders>
              <w:top w:val="double" w:sz="6" w:space="0" w:color="000000"/>
              <w:bottom w:val="double" w:sz="6" w:space="0" w:color="000000"/>
            </w:tcBorders>
            <w:shd w:val="clear" w:color="auto" w:fill="E2EFD9"/>
            <w:tcMar>
              <w:top w:w="40" w:type="dxa"/>
              <w:bottom w:w="40" w:type="dxa"/>
              <w:right w:w="20" w:type="dxa"/>
            </w:tcMar>
            <w:vAlign w:val="bottom"/>
          </w:tcPr>
          <w:p w14:paraId="0D8DE035" w14:textId="77777777" w:rsidR="004C2197" w:rsidRDefault="004C2197">
            <w:pPr>
              <w:jc w:val="right"/>
              <w:rPr>
                <w:rFonts w:ascii="宋体"/>
              </w:rPr>
            </w:pPr>
          </w:p>
        </w:tc>
        <w:tc>
          <w:tcPr>
            <w:tcW w:w="0" w:type="auto"/>
            <w:shd w:val="clear" w:color="auto" w:fill="auto"/>
          </w:tcPr>
          <w:p w14:paraId="0D8DE036" w14:textId="77777777" w:rsidR="004C2197" w:rsidRDefault="004C2197">
            <w:pPr>
              <w:rPr>
                <w:rFonts w:ascii="宋体"/>
              </w:rPr>
            </w:pPr>
          </w:p>
        </w:tc>
        <w:tc>
          <w:tcPr>
            <w:tcW w:w="0" w:type="auto"/>
            <w:shd w:val="clear" w:color="auto" w:fill="auto"/>
          </w:tcPr>
          <w:p w14:paraId="0D8DE037" w14:textId="77777777" w:rsidR="004C2197" w:rsidRDefault="004C2197">
            <w:pPr>
              <w:rPr>
                <w:rFonts w:ascii="宋体"/>
              </w:rPr>
            </w:pPr>
          </w:p>
        </w:tc>
        <w:tc>
          <w:tcPr>
            <w:tcW w:w="0" w:type="auto"/>
            <w:shd w:val="clear" w:color="auto" w:fill="auto"/>
          </w:tcPr>
          <w:p w14:paraId="0D8DE038" w14:textId="77777777" w:rsidR="004C2197" w:rsidRDefault="004C2197">
            <w:pPr>
              <w:rPr>
                <w:rFonts w:ascii="宋体"/>
              </w:rPr>
            </w:pPr>
          </w:p>
        </w:tc>
        <w:tc>
          <w:tcPr>
            <w:tcW w:w="0" w:type="auto"/>
            <w:shd w:val="clear" w:color="auto" w:fill="auto"/>
          </w:tcPr>
          <w:p w14:paraId="0D8DE039" w14:textId="77777777" w:rsidR="004C2197" w:rsidRDefault="004C2197">
            <w:pPr>
              <w:rPr>
                <w:rFonts w:ascii="宋体"/>
              </w:rPr>
            </w:pPr>
          </w:p>
        </w:tc>
        <w:tc>
          <w:tcPr>
            <w:tcW w:w="0" w:type="auto"/>
            <w:shd w:val="clear" w:color="auto" w:fill="auto"/>
          </w:tcPr>
          <w:p w14:paraId="0D8DE03A" w14:textId="77777777" w:rsidR="004C2197" w:rsidRDefault="004C2197">
            <w:pPr>
              <w:rPr>
                <w:rFonts w:ascii="宋体"/>
              </w:rPr>
            </w:pPr>
          </w:p>
        </w:tc>
        <w:tc>
          <w:tcPr>
            <w:tcW w:w="0" w:type="auto"/>
            <w:shd w:val="clear" w:color="auto" w:fill="auto"/>
          </w:tcPr>
          <w:p w14:paraId="0D8DE03B" w14:textId="77777777" w:rsidR="004C2197" w:rsidRDefault="004C2197">
            <w:pPr>
              <w:rPr>
                <w:rFonts w:ascii="宋体"/>
              </w:rPr>
            </w:pPr>
          </w:p>
        </w:tc>
        <w:tc>
          <w:tcPr>
            <w:tcW w:w="0" w:type="auto"/>
            <w:shd w:val="clear" w:color="auto" w:fill="auto"/>
          </w:tcPr>
          <w:p w14:paraId="0D8DE03C" w14:textId="77777777" w:rsidR="004C2197" w:rsidRDefault="004C2197">
            <w:pPr>
              <w:rPr>
                <w:rFonts w:ascii="宋体"/>
              </w:rPr>
            </w:pPr>
          </w:p>
        </w:tc>
        <w:tc>
          <w:tcPr>
            <w:tcW w:w="0" w:type="auto"/>
            <w:shd w:val="clear" w:color="auto" w:fill="auto"/>
          </w:tcPr>
          <w:p w14:paraId="0D8DE03D" w14:textId="77777777" w:rsidR="004C2197" w:rsidRDefault="004C2197">
            <w:pPr>
              <w:rPr>
                <w:rFonts w:ascii="宋体"/>
              </w:rPr>
            </w:pPr>
          </w:p>
        </w:tc>
        <w:tc>
          <w:tcPr>
            <w:tcW w:w="0" w:type="auto"/>
            <w:shd w:val="clear" w:color="auto" w:fill="auto"/>
          </w:tcPr>
          <w:p w14:paraId="0D8DE03E" w14:textId="77777777" w:rsidR="004C2197" w:rsidRDefault="004C2197">
            <w:pPr>
              <w:rPr>
                <w:rFonts w:ascii="宋体"/>
              </w:rPr>
            </w:pPr>
          </w:p>
        </w:tc>
        <w:tc>
          <w:tcPr>
            <w:tcW w:w="0" w:type="auto"/>
            <w:shd w:val="clear" w:color="auto" w:fill="auto"/>
          </w:tcPr>
          <w:p w14:paraId="0D8DE03F" w14:textId="77777777" w:rsidR="004C2197" w:rsidRDefault="004C2197">
            <w:pPr>
              <w:rPr>
                <w:rFonts w:ascii="宋体"/>
              </w:rPr>
            </w:pPr>
          </w:p>
        </w:tc>
        <w:tc>
          <w:tcPr>
            <w:tcW w:w="0" w:type="auto"/>
            <w:shd w:val="clear" w:color="auto" w:fill="auto"/>
          </w:tcPr>
          <w:p w14:paraId="0D8DE040" w14:textId="77777777" w:rsidR="004C2197" w:rsidRDefault="004C2197">
            <w:pPr>
              <w:rPr>
                <w:rFonts w:ascii="宋体"/>
              </w:rPr>
            </w:pPr>
          </w:p>
        </w:tc>
        <w:tc>
          <w:tcPr>
            <w:tcW w:w="0" w:type="auto"/>
            <w:shd w:val="clear" w:color="auto" w:fill="auto"/>
          </w:tcPr>
          <w:p w14:paraId="0D8DE041" w14:textId="77777777" w:rsidR="004C2197" w:rsidRDefault="004C2197">
            <w:pPr>
              <w:rPr>
                <w:rFonts w:ascii="宋体"/>
              </w:rPr>
            </w:pPr>
          </w:p>
        </w:tc>
      </w:tr>
      <w:tr w:rsidR="004C2197" w14:paraId="0D8DE057" w14:textId="77777777">
        <w:trPr>
          <w:hidden/>
        </w:trPr>
        <w:tc>
          <w:tcPr>
            <w:tcW w:w="0" w:type="auto"/>
            <w:gridSpan w:val="3"/>
            <w:shd w:val="clear" w:color="auto" w:fill="auto"/>
          </w:tcPr>
          <w:p w14:paraId="0D8DE043" w14:textId="77777777" w:rsidR="004C2197" w:rsidRDefault="004C2197">
            <w:pPr>
              <w:rPr>
                <w:rFonts w:ascii="宋体"/>
                <w:vanish/>
              </w:rPr>
            </w:pPr>
          </w:p>
        </w:tc>
        <w:tc>
          <w:tcPr>
            <w:tcW w:w="0" w:type="auto"/>
            <w:gridSpan w:val="3"/>
            <w:shd w:val="clear" w:color="auto" w:fill="auto"/>
          </w:tcPr>
          <w:p w14:paraId="0D8DE044" w14:textId="77777777" w:rsidR="004C2197" w:rsidRDefault="004C2197">
            <w:pPr>
              <w:rPr>
                <w:rFonts w:ascii="宋体"/>
                <w:vanish/>
              </w:rPr>
            </w:pPr>
          </w:p>
        </w:tc>
        <w:tc>
          <w:tcPr>
            <w:tcW w:w="0" w:type="auto"/>
            <w:gridSpan w:val="3"/>
            <w:shd w:val="clear" w:color="auto" w:fill="auto"/>
          </w:tcPr>
          <w:p w14:paraId="0D8DE045" w14:textId="77777777" w:rsidR="004C2197" w:rsidRDefault="004C2197">
            <w:pPr>
              <w:rPr>
                <w:rFonts w:ascii="宋体"/>
                <w:vanish/>
              </w:rPr>
            </w:pPr>
          </w:p>
        </w:tc>
        <w:tc>
          <w:tcPr>
            <w:tcW w:w="0" w:type="auto"/>
            <w:gridSpan w:val="3"/>
            <w:shd w:val="clear" w:color="auto" w:fill="auto"/>
          </w:tcPr>
          <w:p w14:paraId="0D8DE046" w14:textId="77777777" w:rsidR="004C2197" w:rsidRDefault="004C2197">
            <w:pPr>
              <w:rPr>
                <w:rFonts w:ascii="宋体"/>
                <w:vanish/>
              </w:rPr>
            </w:pPr>
          </w:p>
        </w:tc>
        <w:tc>
          <w:tcPr>
            <w:tcW w:w="0" w:type="auto"/>
            <w:gridSpan w:val="3"/>
            <w:shd w:val="clear" w:color="auto" w:fill="auto"/>
          </w:tcPr>
          <w:p w14:paraId="0D8DE047" w14:textId="77777777" w:rsidR="004C2197" w:rsidRDefault="004C2197">
            <w:pPr>
              <w:rPr>
                <w:rFonts w:ascii="宋体"/>
                <w:vanish/>
              </w:rPr>
            </w:pPr>
          </w:p>
        </w:tc>
        <w:tc>
          <w:tcPr>
            <w:tcW w:w="0" w:type="auto"/>
            <w:gridSpan w:val="3"/>
            <w:shd w:val="clear" w:color="auto" w:fill="auto"/>
          </w:tcPr>
          <w:p w14:paraId="0D8DE048" w14:textId="77777777" w:rsidR="004C2197" w:rsidRDefault="004C2197">
            <w:pPr>
              <w:rPr>
                <w:rFonts w:ascii="宋体"/>
                <w:vanish/>
              </w:rPr>
            </w:pPr>
          </w:p>
        </w:tc>
        <w:tc>
          <w:tcPr>
            <w:tcW w:w="0" w:type="auto"/>
            <w:gridSpan w:val="3"/>
            <w:shd w:val="clear" w:color="auto" w:fill="auto"/>
          </w:tcPr>
          <w:p w14:paraId="0D8DE049" w14:textId="77777777" w:rsidR="004C2197" w:rsidRDefault="004C2197">
            <w:pPr>
              <w:rPr>
                <w:rFonts w:ascii="宋体"/>
                <w:vanish/>
              </w:rPr>
            </w:pPr>
          </w:p>
        </w:tc>
        <w:tc>
          <w:tcPr>
            <w:tcW w:w="0" w:type="auto"/>
            <w:gridSpan w:val="3"/>
            <w:shd w:val="clear" w:color="auto" w:fill="auto"/>
          </w:tcPr>
          <w:p w14:paraId="0D8DE04A" w14:textId="77777777" w:rsidR="004C2197" w:rsidRDefault="004C2197">
            <w:pPr>
              <w:rPr>
                <w:rFonts w:ascii="宋体"/>
                <w:vanish/>
              </w:rPr>
            </w:pPr>
          </w:p>
        </w:tc>
        <w:tc>
          <w:tcPr>
            <w:tcW w:w="0" w:type="auto"/>
            <w:shd w:val="clear" w:color="auto" w:fill="auto"/>
          </w:tcPr>
          <w:p w14:paraId="0D8DE04B" w14:textId="77777777" w:rsidR="004C2197" w:rsidRDefault="004C2197">
            <w:pPr>
              <w:rPr>
                <w:rFonts w:ascii="宋体"/>
              </w:rPr>
            </w:pPr>
          </w:p>
        </w:tc>
        <w:tc>
          <w:tcPr>
            <w:tcW w:w="0" w:type="auto"/>
            <w:shd w:val="clear" w:color="auto" w:fill="auto"/>
          </w:tcPr>
          <w:p w14:paraId="0D8DE04C" w14:textId="77777777" w:rsidR="004C2197" w:rsidRDefault="004C2197">
            <w:pPr>
              <w:rPr>
                <w:rFonts w:ascii="宋体"/>
              </w:rPr>
            </w:pPr>
          </w:p>
        </w:tc>
        <w:tc>
          <w:tcPr>
            <w:tcW w:w="0" w:type="auto"/>
            <w:shd w:val="clear" w:color="auto" w:fill="auto"/>
          </w:tcPr>
          <w:p w14:paraId="0D8DE04D" w14:textId="77777777" w:rsidR="004C2197" w:rsidRDefault="004C2197">
            <w:pPr>
              <w:rPr>
                <w:rFonts w:ascii="宋体"/>
              </w:rPr>
            </w:pPr>
          </w:p>
        </w:tc>
        <w:tc>
          <w:tcPr>
            <w:tcW w:w="0" w:type="auto"/>
            <w:shd w:val="clear" w:color="auto" w:fill="auto"/>
          </w:tcPr>
          <w:p w14:paraId="0D8DE04E" w14:textId="77777777" w:rsidR="004C2197" w:rsidRDefault="004C2197">
            <w:pPr>
              <w:rPr>
                <w:rFonts w:ascii="宋体"/>
              </w:rPr>
            </w:pPr>
          </w:p>
        </w:tc>
        <w:tc>
          <w:tcPr>
            <w:tcW w:w="0" w:type="auto"/>
            <w:shd w:val="clear" w:color="auto" w:fill="auto"/>
          </w:tcPr>
          <w:p w14:paraId="0D8DE04F" w14:textId="77777777" w:rsidR="004C2197" w:rsidRDefault="004C2197">
            <w:pPr>
              <w:rPr>
                <w:rFonts w:ascii="宋体"/>
              </w:rPr>
            </w:pPr>
          </w:p>
        </w:tc>
        <w:tc>
          <w:tcPr>
            <w:tcW w:w="0" w:type="auto"/>
            <w:shd w:val="clear" w:color="auto" w:fill="auto"/>
          </w:tcPr>
          <w:p w14:paraId="0D8DE050" w14:textId="77777777" w:rsidR="004C2197" w:rsidRDefault="004C2197">
            <w:pPr>
              <w:rPr>
                <w:rFonts w:ascii="宋体"/>
              </w:rPr>
            </w:pPr>
          </w:p>
        </w:tc>
        <w:tc>
          <w:tcPr>
            <w:tcW w:w="0" w:type="auto"/>
            <w:shd w:val="clear" w:color="auto" w:fill="auto"/>
          </w:tcPr>
          <w:p w14:paraId="0D8DE051" w14:textId="77777777" w:rsidR="004C2197" w:rsidRDefault="004C2197">
            <w:pPr>
              <w:rPr>
                <w:rFonts w:ascii="宋体"/>
              </w:rPr>
            </w:pPr>
          </w:p>
        </w:tc>
        <w:tc>
          <w:tcPr>
            <w:tcW w:w="0" w:type="auto"/>
            <w:shd w:val="clear" w:color="auto" w:fill="auto"/>
          </w:tcPr>
          <w:p w14:paraId="0D8DE052" w14:textId="77777777" w:rsidR="004C2197" w:rsidRDefault="004C2197">
            <w:pPr>
              <w:rPr>
                <w:rFonts w:ascii="宋体"/>
              </w:rPr>
            </w:pPr>
          </w:p>
        </w:tc>
        <w:tc>
          <w:tcPr>
            <w:tcW w:w="0" w:type="auto"/>
            <w:shd w:val="clear" w:color="auto" w:fill="auto"/>
          </w:tcPr>
          <w:p w14:paraId="0D8DE053" w14:textId="77777777" w:rsidR="004C2197" w:rsidRDefault="004C2197">
            <w:pPr>
              <w:rPr>
                <w:rFonts w:ascii="宋体"/>
              </w:rPr>
            </w:pPr>
          </w:p>
        </w:tc>
        <w:tc>
          <w:tcPr>
            <w:tcW w:w="0" w:type="auto"/>
            <w:shd w:val="clear" w:color="auto" w:fill="auto"/>
          </w:tcPr>
          <w:p w14:paraId="0D8DE054" w14:textId="77777777" w:rsidR="004C2197" w:rsidRDefault="004C2197">
            <w:pPr>
              <w:rPr>
                <w:rFonts w:ascii="宋体"/>
              </w:rPr>
            </w:pPr>
          </w:p>
        </w:tc>
        <w:tc>
          <w:tcPr>
            <w:tcW w:w="0" w:type="auto"/>
            <w:shd w:val="clear" w:color="auto" w:fill="auto"/>
          </w:tcPr>
          <w:p w14:paraId="0D8DE055" w14:textId="77777777" w:rsidR="004C2197" w:rsidRDefault="004C2197">
            <w:pPr>
              <w:rPr>
                <w:rFonts w:ascii="宋体"/>
              </w:rPr>
            </w:pPr>
          </w:p>
        </w:tc>
        <w:tc>
          <w:tcPr>
            <w:tcW w:w="0" w:type="auto"/>
            <w:shd w:val="clear" w:color="auto" w:fill="auto"/>
          </w:tcPr>
          <w:p w14:paraId="0D8DE056" w14:textId="77777777" w:rsidR="004C2197" w:rsidRDefault="004C2197">
            <w:pPr>
              <w:rPr>
                <w:rFonts w:ascii="宋体"/>
              </w:rPr>
            </w:pPr>
          </w:p>
        </w:tc>
      </w:tr>
      <w:tr w:rsidR="004C2197" w14:paraId="0D8DE06C" w14:textId="77777777">
        <w:trPr>
          <w:hidden/>
        </w:trPr>
        <w:tc>
          <w:tcPr>
            <w:tcW w:w="0" w:type="auto"/>
            <w:gridSpan w:val="3"/>
            <w:shd w:val="clear" w:color="auto" w:fill="auto"/>
          </w:tcPr>
          <w:p w14:paraId="0D8DE058" w14:textId="77777777" w:rsidR="004C2197" w:rsidRDefault="004C2197">
            <w:pPr>
              <w:rPr>
                <w:rFonts w:ascii="宋体"/>
                <w:vanish/>
              </w:rPr>
            </w:pPr>
          </w:p>
        </w:tc>
        <w:tc>
          <w:tcPr>
            <w:tcW w:w="0" w:type="auto"/>
            <w:gridSpan w:val="3"/>
            <w:shd w:val="clear" w:color="auto" w:fill="auto"/>
          </w:tcPr>
          <w:p w14:paraId="0D8DE059" w14:textId="77777777" w:rsidR="004C2197" w:rsidRDefault="004C2197">
            <w:pPr>
              <w:rPr>
                <w:rFonts w:ascii="宋体"/>
                <w:vanish/>
              </w:rPr>
            </w:pPr>
          </w:p>
        </w:tc>
        <w:tc>
          <w:tcPr>
            <w:tcW w:w="0" w:type="auto"/>
            <w:gridSpan w:val="3"/>
            <w:shd w:val="clear" w:color="auto" w:fill="auto"/>
          </w:tcPr>
          <w:p w14:paraId="0D8DE05A" w14:textId="77777777" w:rsidR="004C2197" w:rsidRDefault="004C2197">
            <w:pPr>
              <w:rPr>
                <w:rFonts w:ascii="宋体"/>
                <w:vanish/>
              </w:rPr>
            </w:pPr>
          </w:p>
        </w:tc>
        <w:tc>
          <w:tcPr>
            <w:tcW w:w="0" w:type="auto"/>
            <w:gridSpan w:val="3"/>
            <w:shd w:val="clear" w:color="auto" w:fill="auto"/>
          </w:tcPr>
          <w:p w14:paraId="0D8DE05B" w14:textId="77777777" w:rsidR="004C2197" w:rsidRDefault="004C2197">
            <w:pPr>
              <w:rPr>
                <w:rFonts w:ascii="宋体"/>
                <w:vanish/>
              </w:rPr>
            </w:pPr>
          </w:p>
        </w:tc>
        <w:tc>
          <w:tcPr>
            <w:tcW w:w="0" w:type="auto"/>
            <w:gridSpan w:val="3"/>
            <w:shd w:val="clear" w:color="auto" w:fill="auto"/>
          </w:tcPr>
          <w:p w14:paraId="0D8DE05C" w14:textId="77777777" w:rsidR="004C2197" w:rsidRDefault="004C2197">
            <w:pPr>
              <w:rPr>
                <w:rFonts w:ascii="宋体"/>
                <w:vanish/>
              </w:rPr>
            </w:pPr>
          </w:p>
        </w:tc>
        <w:tc>
          <w:tcPr>
            <w:tcW w:w="0" w:type="auto"/>
            <w:gridSpan w:val="3"/>
            <w:shd w:val="clear" w:color="auto" w:fill="auto"/>
          </w:tcPr>
          <w:p w14:paraId="0D8DE05D" w14:textId="77777777" w:rsidR="004C2197" w:rsidRDefault="004C2197">
            <w:pPr>
              <w:rPr>
                <w:rFonts w:ascii="宋体"/>
                <w:vanish/>
              </w:rPr>
            </w:pPr>
          </w:p>
        </w:tc>
        <w:tc>
          <w:tcPr>
            <w:tcW w:w="0" w:type="auto"/>
            <w:gridSpan w:val="3"/>
            <w:shd w:val="clear" w:color="auto" w:fill="auto"/>
          </w:tcPr>
          <w:p w14:paraId="0D8DE05E" w14:textId="77777777" w:rsidR="004C2197" w:rsidRDefault="004C2197">
            <w:pPr>
              <w:rPr>
                <w:rFonts w:ascii="宋体"/>
                <w:vanish/>
              </w:rPr>
            </w:pPr>
          </w:p>
        </w:tc>
        <w:tc>
          <w:tcPr>
            <w:tcW w:w="0" w:type="auto"/>
            <w:gridSpan w:val="3"/>
            <w:shd w:val="clear" w:color="auto" w:fill="auto"/>
          </w:tcPr>
          <w:p w14:paraId="0D8DE05F" w14:textId="77777777" w:rsidR="004C2197" w:rsidRDefault="004C2197">
            <w:pPr>
              <w:rPr>
                <w:rFonts w:ascii="宋体"/>
                <w:vanish/>
              </w:rPr>
            </w:pPr>
          </w:p>
        </w:tc>
        <w:tc>
          <w:tcPr>
            <w:tcW w:w="0" w:type="auto"/>
            <w:shd w:val="clear" w:color="auto" w:fill="auto"/>
          </w:tcPr>
          <w:p w14:paraId="0D8DE060" w14:textId="77777777" w:rsidR="004C2197" w:rsidRDefault="004C2197">
            <w:pPr>
              <w:rPr>
                <w:rFonts w:ascii="宋体"/>
              </w:rPr>
            </w:pPr>
          </w:p>
        </w:tc>
        <w:tc>
          <w:tcPr>
            <w:tcW w:w="0" w:type="auto"/>
            <w:shd w:val="clear" w:color="auto" w:fill="auto"/>
          </w:tcPr>
          <w:p w14:paraId="0D8DE061" w14:textId="77777777" w:rsidR="004C2197" w:rsidRDefault="004C2197">
            <w:pPr>
              <w:rPr>
                <w:rFonts w:ascii="宋体"/>
              </w:rPr>
            </w:pPr>
          </w:p>
        </w:tc>
        <w:tc>
          <w:tcPr>
            <w:tcW w:w="0" w:type="auto"/>
            <w:shd w:val="clear" w:color="auto" w:fill="auto"/>
          </w:tcPr>
          <w:p w14:paraId="0D8DE062" w14:textId="77777777" w:rsidR="004C2197" w:rsidRDefault="004C2197">
            <w:pPr>
              <w:rPr>
                <w:rFonts w:ascii="宋体"/>
              </w:rPr>
            </w:pPr>
          </w:p>
        </w:tc>
        <w:tc>
          <w:tcPr>
            <w:tcW w:w="0" w:type="auto"/>
            <w:shd w:val="clear" w:color="auto" w:fill="auto"/>
          </w:tcPr>
          <w:p w14:paraId="0D8DE063" w14:textId="77777777" w:rsidR="004C2197" w:rsidRDefault="004C2197">
            <w:pPr>
              <w:rPr>
                <w:rFonts w:ascii="宋体"/>
              </w:rPr>
            </w:pPr>
          </w:p>
        </w:tc>
        <w:tc>
          <w:tcPr>
            <w:tcW w:w="0" w:type="auto"/>
            <w:shd w:val="clear" w:color="auto" w:fill="auto"/>
          </w:tcPr>
          <w:p w14:paraId="0D8DE064" w14:textId="77777777" w:rsidR="004C2197" w:rsidRDefault="004C2197">
            <w:pPr>
              <w:rPr>
                <w:rFonts w:ascii="宋体"/>
              </w:rPr>
            </w:pPr>
          </w:p>
        </w:tc>
        <w:tc>
          <w:tcPr>
            <w:tcW w:w="0" w:type="auto"/>
            <w:shd w:val="clear" w:color="auto" w:fill="auto"/>
          </w:tcPr>
          <w:p w14:paraId="0D8DE065" w14:textId="77777777" w:rsidR="004C2197" w:rsidRDefault="004C2197">
            <w:pPr>
              <w:rPr>
                <w:rFonts w:ascii="宋体"/>
              </w:rPr>
            </w:pPr>
          </w:p>
        </w:tc>
        <w:tc>
          <w:tcPr>
            <w:tcW w:w="0" w:type="auto"/>
            <w:shd w:val="clear" w:color="auto" w:fill="auto"/>
          </w:tcPr>
          <w:p w14:paraId="0D8DE066" w14:textId="77777777" w:rsidR="004C2197" w:rsidRDefault="004C2197">
            <w:pPr>
              <w:rPr>
                <w:rFonts w:ascii="宋体"/>
              </w:rPr>
            </w:pPr>
          </w:p>
        </w:tc>
        <w:tc>
          <w:tcPr>
            <w:tcW w:w="0" w:type="auto"/>
            <w:shd w:val="clear" w:color="auto" w:fill="auto"/>
          </w:tcPr>
          <w:p w14:paraId="0D8DE067" w14:textId="77777777" w:rsidR="004C2197" w:rsidRDefault="004C2197">
            <w:pPr>
              <w:rPr>
                <w:rFonts w:ascii="宋体"/>
              </w:rPr>
            </w:pPr>
          </w:p>
        </w:tc>
        <w:tc>
          <w:tcPr>
            <w:tcW w:w="0" w:type="auto"/>
            <w:shd w:val="clear" w:color="auto" w:fill="auto"/>
          </w:tcPr>
          <w:p w14:paraId="0D8DE068" w14:textId="77777777" w:rsidR="004C2197" w:rsidRDefault="004C2197">
            <w:pPr>
              <w:rPr>
                <w:rFonts w:ascii="宋体"/>
              </w:rPr>
            </w:pPr>
          </w:p>
        </w:tc>
        <w:tc>
          <w:tcPr>
            <w:tcW w:w="0" w:type="auto"/>
            <w:shd w:val="clear" w:color="auto" w:fill="auto"/>
          </w:tcPr>
          <w:p w14:paraId="0D8DE069" w14:textId="77777777" w:rsidR="004C2197" w:rsidRDefault="004C2197">
            <w:pPr>
              <w:rPr>
                <w:rFonts w:ascii="宋体"/>
              </w:rPr>
            </w:pPr>
          </w:p>
        </w:tc>
        <w:tc>
          <w:tcPr>
            <w:tcW w:w="0" w:type="auto"/>
            <w:shd w:val="clear" w:color="auto" w:fill="auto"/>
          </w:tcPr>
          <w:p w14:paraId="0D8DE06A" w14:textId="77777777" w:rsidR="004C2197" w:rsidRDefault="004C2197">
            <w:pPr>
              <w:rPr>
                <w:rFonts w:ascii="宋体"/>
              </w:rPr>
            </w:pPr>
          </w:p>
        </w:tc>
        <w:tc>
          <w:tcPr>
            <w:tcW w:w="0" w:type="auto"/>
            <w:shd w:val="clear" w:color="auto" w:fill="auto"/>
          </w:tcPr>
          <w:p w14:paraId="0D8DE06B" w14:textId="77777777" w:rsidR="004C2197" w:rsidRDefault="004C2197">
            <w:pPr>
              <w:rPr>
                <w:rFonts w:ascii="宋体"/>
              </w:rPr>
            </w:pPr>
          </w:p>
        </w:tc>
      </w:tr>
    </w:tbl>
    <w:p w14:paraId="0D8DE06D" w14:textId="77777777" w:rsidR="004C2197" w:rsidRDefault="00863B83">
      <w:pPr>
        <w:spacing w:after="180"/>
        <w:jc w:val="center"/>
      </w:pPr>
      <w:r>
        <w:rPr>
          <w:rFonts w:ascii="sans-serif" w:eastAsia="sans-serif" w:hAnsi="sans-serif" w:cs="sans-serif"/>
          <w:color w:val="000000"/>
          <w:sz w:val="20"/>
          <w:szCs w:val="20"/>
        </w:rPr>
        <w:t>See accompanying Notes to Condensed Consolidated Financial Statements.</w:t>
      </w:r>
    </w:p>
    <w:p w14:paraId="0D8DE06E" w14:textId="77777777" w:rsidR="004C2197" w:rsidRDefault="004C2197">
      <w:pPr>
        <w:spacing w:after="180"/>
        <w:jc w:val="center"/>
      </w:pPr>
    </w:p>
    <w:p w14:paraId="0D8DE06F" w14:textId="77777777" w:rsidR="004C2197" w:rsidRDefault="00863B83">
      <w:pPr>
        <w:spacing w:after="180"/>
        <w:jc w:val="center"/>
      </w:pPr>
      <w:r>
        <w:rPr>
          <w:rFonts w:ascii="sans-serif" w:eastAsia="sans-serif" w:hAnsi="sans-serif" w:cs="sans-serif"/>
          <w:color w:val="000000"/>
          <w:sz w:val="20"/>
          <w:szCs w:val="20"/>
        </w:rPr>
        <w:t>3</w:t>
      </w:r>
    </w:p>
    <w:p w14:paraId="0D8DE070" w14:textId="77777777" w:rsidR="004C2197" w:rsidRDefault="00863B83">
      <w:r>
        <w:pict w14:anchorId="0D8E0CA7">
          <v:rect id="_x0000_i1027" style="width:415.3pt;height:1.5pt" o:hralign="center" o:hrstd="t" o:hr="t" fillcolor="#a0a0a0" stroked="f"/>
        </w:pict>
      </w:r>
    </w:p>
    <w:p w14:paraId="0D8DE071" w14:textId="77777777" w:rsidR="004C2197" w:rsidRDefault="004C2197">
      <w:pPr>
        <w:spacing w:after="180"/>
        <w:jc w:val="both"/>
      </w:pPr>
    </w:p>
    <w:p w14:paraId="0D8DE072" w14:textId="77777777" w:rsidR="004C2197" w:rsidRDefault="00863B83">
      <w:pPr>
        <w:jc w:val="center"/>
      </w:pPr>
      <w:r>
        <w:rPr>
          <w:rFonts w:ascii="sans-serif" w:eastAsia="sans-serif" w:hAnsi="sans-serif" w:cs="sans-serif"/>
          <w:b/>
          <w:bCs/>
          <w:color w:val="000000"/>
          <w:sz w:val="20"/>
          <w:szCs w:val="20"/>
        </w:rPr>
        <w:t>NVIDIA CORPORATION AND SUBSIDIARIES</w:t>
      </w:r>
    </w:p>
    <w:p w14:paraId="0D8DE073" w14:textId="77777777" w:rsidR="004C2197" w:rsidRDefault="00863B83">
      <w:pPr>
        <w:jc w:val="center"/>
      </w:pPr>
      <w:r>
        <w:rPr>
          <w:rFonts w:ascii="sans-serif" w:eastAsia="sans-serif" w:hAnsi="sans-serif" w:cs="sans-serif"/>
          <w:b/>
          <w:bCs/>
          <w:color w:val="000000"/>
          <w:sz w:val="20"/>
          <w:szCs w:val="20"/>
        </w:rPr>
        <w:t>CONDENSED CONSOLIDATED STATEMENTS OF COMPREHENSIVE INCOME</w:t>
      </w:r>
    </w:p>
    <w:p w14:paraId="0D8DE074" w14:textId="77777777" w:rsidR="004C2197" w:rsidRDefault="00863B83">
      <w:pPr>
        <w:jc w:val="center"/>
      </w:pPr>
      <w:r>
        <w:rPr>
          <w:rFonts w:ascii="sans-serif" w:eastAsia="sans-serif" w:hAnsi="sans-serif" w:cs="sans-serif"/>
          <w:b/>
          <w:bCs/>
          <w:color w:val="000000"/>
          <w:sz w:val="20"/>
          <w:szCs w:val="20"/>
        </w:rPr>
        <w:t>(In millions)</w:t>
      </w:r>
    </w:p>
    <w:p w14:paraId="0D8DE075" w14:textId="77777777" w:rsidR="004C2197" w:rsidRDefault="00863B83">
      <w:pPr>
        <w:jc w:val="center"/>
      </w:pPr>
      <w:r>
        <w:rPr>
          <w:rFonts w:ascii="sans-serif" w:eastAsia="sans-serif" w:hAnsi="sans-serif" w:cs="sans-serif"/>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539"/>
        <w:gridCol w:w="37"/>
        <w:gridCol w:w="137"/>
        <w:gridCol w:w="856"/>
        <w:gridCol w:w="41"/>
        <w:gridCol w:w="36"/>
        <w:gridCol w:w="36"/>
        <w:gridCol w:w="36"/>
        <w:gridCol w:w="137"/>
        <w:gridCol w:w="799"/>
        <w:gridCol w:w="41"/>
        <w:gridCol w:w="36"/>
        <w:gridCol w:w="36"/>
        <w:gridCol w:w="36"/>
        <w:gridCol w:w="137"/>
        <w:gridCol w:w="799"/>
        <w:gridCol w:w="41"/>
        <w:gridCol w:w="36"/>
        <w:gridCol w:w="36"/>
        <w:gridCol w:w="36"/>
        <w:gridCol w:w="137"/>
        <w:gridCol w:w="799"/>
        <w:gridCol w:w="41"/>
        <w:gridCol w:w="36"/>
        <w:gridCol w:w="36"/>
        <w:gridCol w:w="36"/>
        <w:gridCol w:w="36"/>
        <w:gridCol w:w="36"/>
        <w:gridCol w:w="36"/>
        <w:gridCol w:w="36"/>
        <w:gridCol w:w="36"/>
        <w:gridCol w:w="36"/>
        <w:gridCol w:w="36"/>
        <w:gridCol w:w="36"/>
        <w:gridCol w:w="36"/>
      </w:tblGrid>
      <w:tr w:rsidR="004C2197" w14:paraId="0D8DE08E" w14:textId="77777777">
        <w:trPr>
          <w:gridAfter w:val="12"/>
        </w:trPr>
        <w:tc>
          <w:tcPr>
            <w:tcW w:w="50" w:type="pct"/>
            <w:shd w:val="clear" w:color="auto" w:fill="auto"/>
          </w:tcPr>
          <w:p w14:paraId="0D8DE076" w14:textId="77777777" w:rsidR="004C2197" w:rsidRDefault="004C2197">
            <w:pPr>
              <w:rPr>
                <w:rFonts w:ascii="宋体"/>
              </w:rPr>
            </w:pPr>
          </w:p>
        </w:tc>
        <w:tc>
          <w:tcPr>
            <w:tcW w:w="2291" w:type="pct"/>
            <w:shd w:val="clear" w:color="auto" w:fill="auto"/>
          </w:tcPr>
          <w:p w14:paraId="0D8DE077" w14:textId="77777777" w:rsidR="004C2197" w:rsidRDefault="004C2197">
            <w:pPr>
              <w:rPr>
                <w:rFonts w:ascii="宋体"/>
              </w:rPr>
            </w:pPr>
          </w:p>
        </w:tc>
        <w:tc>
          <w:tcPr>
            <w:tcW w:w="5" w:type="pct"/>
            <w:shd w:val="clear" w:color="auto" w:fill="auto"/>
          </w:tcPr>
          <w:p w14:paraId="0D8DE078" w14:textId="77777777" w:rsidR="004C2197" w:rsidRDefault="004C2197">
            <w:pPr>
              <w:rPr>
                <w:rFonts w:ascii="宋体"/>
              </w:rPr>
            </w:pPr>
          </w:p>
        </w:tc>
        <w:tc>
          <w:tcPr>
            <w:tcW w:w="50" w:type="pct"/>
            <w:shd w:val="clear" w:color="auto" w:fill="auto"/>
          </w:tcPr>
          <w:p w14:paraId="0D8DE079" w14:textId="77777777" w:rsidR="004C2197" w:rsidRDefault="004C2197">
            <w:pPr>
              <w:rPr>
                <w:rFonts w:ascii="宋体"/>
              </w:rPr>
            </w:pPr>
          </w:p>
        </w:tc>
        <w:tc>
          <w:tcPr>
            <w:tcW w:w="580" w:type="pct"/>
            <w:shd w:val="clear" w:color="auto" w:fill="auto"/>
          </w:tcPr>
          <w:p w14:paraId="0D8DE07A" w14:textId="77777777" w:rsidR="004C2197" w:rsidRDefault="004C2197">
            <w:pPr>
              <w:rPr>
                <w:rFonts w:ascii="宋体"/>
              </w:rPr>
            </w:pPr>
          </w:p>
        </w:tc>
        <w:tc>
          <w:tcPr>
            <w:tcW w:w="5" w:type="pct"/>
            <w:shd w:val="clear" w:color="auto" w:fill="auto"/>
          </w:tcPr>
          <w:p w14:paraId="0D8DE07B" w14:textId="77777777" w:rsidR="004C2197" w:rsidRDefault="004C2197">
            <w:pPr>
              <w:rPr>
                <w:rFonts w:ascii="宋体"/>
              </w:rPr>
            </w:pPr>
          </w:p>
        </w:tc>
        <w:tc>
          <w:tcPr>
            <w:tcW w:w="5" w:type="pct"/>
            <w:shd w:val="clear" w:color="auto" w:fill="auto"/>
          </w:tcPr>
          <w:p w14:paraId="0D8DE07C" w14:textId="77777777" w:rsidR="004C2197" w:rsidRDefault="004C2197">
            <w:pPr>
              <w:rPr>
                <w:rFonts w:ascii="宋体"/>
              </w:rPr>
            </w:pPr>
          </w:p>
        </w:tc>
        <w:tc>
          <w:tcPr>
            <w:tcW w:w="26" w:type="pct"/>
            <w:shd w:val="clear" w:color="auto" w:fill="auto"/>
          </w:tcPr>
          <w:p w14:paraId="0D8DE07D" w14:textId="77777777" w:rsidR="004C2197" w:rsidRDefault="004C2197">
            <w:pPr>
              <w:rPr>
                <w:rFonts w:ascii="宋体"/>
              </w:rPr>
            </w:pPr>
          </w:p>
        </w:tc>
        <w:tc>
          <w:tcPr>
            <w:tcW w:w="5" w:type="pct"/>
            <w:shd w:val="clear" w:color="auto" w:fill="auto"/>
          </w:tcPr>
          <w:p w14:paraId="0D8DE07E" w14:textId="77777777" w:rsidR="004C2197" w:rsidRDefault="004C2197">
            <w:pPr>
              <w:rPr>
                <w:rFonts w:ascii="宋体"/>
              </w:rPr>
            </w:pPr>
          </w:p>
        </w:tc>
        <w:tc>
          <w:tcPr>
            <w:tcW w:w="50" w:type="pct"/>
            <w:shd w:val="clear" w:color="auto" w:fill="auto"/>
          </w:tcPr>
          <w:p w14:paraId="0D8DE07F" w14:textId="77777777" w:rsidR="004C2197" w:rsidRDefault="004C2197">
            <w:pPr>
              <w:rPr>
                <w:rFonts w:ascii="宋体"/>
              </w:rPr>
            </w:pPr>
          </w:p>
        </w:tc>
        <w:tc>
          <w:tcPr>
            <w:tcW w:w="580" w:type="pct"/>
            <w:shd w:val="clear" w:color="auto" w:fill="auto"/>
          </w:tcPr>
          <w:p w14:paraId="0D8DE080" w14:textId="77777777" w:rsidR="004C2197" w:rsidRDefault="004C2197">
            <w:pPr>
              <w:rPr>
                <w:rFonts w:ascii="宋体"/>
              </w:rPr>
            </w:pPr>
          </w:p>
        </w:tc>
        <w:tc>
          <w:tcPr>
            <w:tcW w:w="5" w:type="pct"/>
            <w:shd w:val="clear" w:color="auto" w:fill="auto"/>
          </w:tcPr>
          <w:p w14:paraId="0D8DE081" w14:textId="77777777" w:rsidR="004C2197" w:rsidRDefault="004C2197">
            <w:pPr>
              <w:rPr>
                <w:rFonts w:ascii="宋体"/>
              </w:rPr>
            </w:pPr>
          </w:p>
        </w:tc>
        <w:tc>
          <w:tcPr>
            <w:tcW w:w="5" w:type="pct"/>
            <w:shd w:val="clear" w:color="auto" w:fill="auto"/>
          </w:tcPr>
          <w:p w14:paraId="0D8DE082" w14:textId="77777777" w:rsidR="004C2197" w:rsidRDefault="004C2197">
            <w:pPr>
              <w:rPr>
                <w:rFonts w:ascii="宋体"/>
              </w:rPr>
            </w:pPr>
          </w:p>
        </w:tc>
        <w:tc>
          <w:tcPr>
            <w:tcW w:w="26" w:type="pct"/>
            <w:shd w:val="clear" w:color="auto" w:fill="auto"/>
          </w:tcPr>
          <w:p w14:paraId="0D8DE083" w14:textId="77777777" w:rsidR="004C2197" w:rsidRDefault="004C2197">
            <w:pPr>
              <w:rPr>
                <w:rFonts w:ascii="宋体"/>
              </w:rPr>
            </w:pPr>
          </w:p>
        </w:tc>
        <w:tc>
          <w:tcPr>
            <w:tcW w:w="5" w:type="pct"/>
            <w:shd w:val="clear" w:color="auto" w:fill="auto"/>
          </w:tcPr>
          <w:p w14:paraId="0D8DE084" w14:textId="77777777" w:rsidR="004C2197" w:rsidRDefault="004C2197">
            <w:pPr>
              <w:rPr>
                <w:rFonts w:ascii="宋体"/>
              </w:rPr>
            </w:pPr>
          </w:p>
        </w:tc>
        <w:tc>
          <w:tcPr>
            <w:tcW w:w="50" w:type="pct"/>
            <w:shd w:val="clear" w:color="auto" w:fill="auto"/>
          </w:tcPr>
          <w:p w14:paraId="0D8DE085" w14:textId="77777777" w:rsidR="004C2197" w:rsidRDefault="004C2197">
            <w:pPr>
              <w:rPr>
                <w:rFonts w:ascii="宋体"/>
              </w:rPr>
            </w:pPr>
          </w:p>
        </w:tc>
        <w:tc>
          <w:tcPr>
            <w:tcW w:w="580" w:type="pct"/>
            <w:shd w:val="clear" w:color="auto" w:fill="auto"/>
          </w:tcPr>
          <w:p w14:paraId="0D8DE086" w14:textId="77777777" w:rsidR="004C2197" w:rsidRDefault="004C2197">
            <w:pPr>
              <w:rPr>
                <w:rFonts w:ascii="宋体"/>
              </w:rPr>
            </w:pPr>
          </w:p>
        </w:tc>
        <w:tc>
          <w:tcPr>
            <w:tcW w:w="5" w:type="pct"/>
            <w:shd w:val="clear" w:color="auto" w:fill="auto"/>
          </w:tcPr>
          <w:p w14:paraId="0D8DE087" w14:textId="77777777" w:rsidR="004C2197" w:rsidRDefault="004C2197">
            <w:pPr>
              <w:rPr>
                <w:rFonts w:ascii="宋体"/>
              </w:rPr>
            </w:pPr>
          </w:p>
        </w:tc>
        <w:tc>
          <w:tcPr>
            <w:tcW w:w="5" w:type="pct"/>
            <w:shd w:val="clear" w:color="auto" w:fill="auto"/>
          </w:tcPr>
          <w:p w14:paraId="0D8DE088" w14:textId="77777777" w:rsidR="004C2197" w:rsidRDefault="004C2197">
            <w:pPr>
              <w:rPr>
                <w:rFonts w:ascii="宋体"/>
              </w:rPr>
            </w:pPr>
          </w:p>
        </w:tc>
        <w:tc>
          <w:tcPr>
            <w:tcW w:w="26" w:type="pct"/>
            <w:shd w:val="clear" w:color="auto" w:fill="auto"/>
          </w:tcPr>
          <w:p w14:paraId="0D8DE089" w14:textId="77777777" w:rsidR="004C2197" w:rsidRDefault="004C2197">
            <w:pPr>
              <w:rPr>
                <w:rFonts w:ascii="宋体"/>
              </w:rPr>
            </w:pPr>
          </w:p>
        </w:tc>
        <w:tc>
          <w:tcPr>
            <w:tcW w:w="5" w:type="pct"/>
            <w:shd w:val="clear" w:color="auto" w:fill="auto"/>
          </w:tcPr>
          <w:p w14:paraId="0D8DE08A" w14:textId="77777777" w:rsidR="004C2197" w:rsidRDefault="004C2197">
            <w:pPr>
              <w:rPr>
                <w:rFonts w:ascii="宋体"/>
              </w:rPr>
            </w:pPr>
          </w:p>
        </w:tc>
        <w:tc>
          <w:tcPr>
            <w:tcW w:w="50" w:type="pct"/>
            <w:shd w:val="clear" w:color="auto" w:fill="auto"/>
          </w:tcPr>
          <w:p w14:paraId="0D8DE08B" w14:textId="77777777" w:rsidR="004C2197" w:rsidRDefault="004C2197">
            <w:pPr>
              <w:rPr>
                <w:rFonts w:ascii="宋体"/>
              </w:rPr>
            </w:pPr>
          </w:p>
        </w:tc>
        <w:tc>
          <w:tcPr>
            <w:tcW w:w="581" w:type="pct"/>
            <w:shd w:val="clear" w:color="auto" w:fill="auto"/>
          </w:tcPr>
          <w:p w14:paraId="0D8DE08C" w14:textId="77777777" w:rsidR="004C2197" w:rsidRDefault="004C2197">
            <w:pPr>
              <w:rPr>
                <w:rFonts w:ascii="宋体"/>
              </w:rPr>
            </w:pPr>
          </w:p>
        </w:tc>
        <w:tc>
          <w:tcPr>
            <w:tcW w:w="5" w:type="pct"/>
            <w:shd w:val="clear" w:color="auto" w:fill="auto"/>
          </w:tcPr>
          <w:p w14:paraId="0D8DE08D" w14:textId="77777777" w:rsidR="004C2197" w:rsidRDefault="004C2197">
            <w:pPr>
              <w:rPr>
                <w:rFonts w:ascii="宋体"/>
              </w:rPr>
            </w:pPr>
          </w:p>
        </w:tc>
      </w:tr>
      <w:tr w:rsidR="004C2197" w14:paraId="0D8DE097" w14:textId="77777777">
        <w:tc>
          <w:tcPr>
            <w:tcW w:w="0" w:type="auto"/>
            <w:gridSpan w:val="3"/>
            <w:shd w:val="clear" w:color="auto" w:fill="auto"/>
            <w:tcMar>
              <w:top w:w="40" w:type="dxa"/>
              <w:left w:w="20" w:type="dxa"/>
              <w:bottom w:w="40" w:type="dxa"/>
              <w:right w:w="20" w:type="dxa"/>
            </w:tcMar>
            <w:vAlign w:val="bottom"/>
          </w:tcPr>
          <w:p w14:paraId="0D8DE08F"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DE090"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DE091" w14:textId="77777777" w:rsidR="004C2197" w:rsidRDefault="004C2197">
            <w:pPr>
              <w:rPr>
                <w:rFonts w:ascii="宋体"/>
                <w:vanish/>
              </w:rPr>
            </w:pPr>
          </w:p>
        </w:tc>
        <w:tc>
          <w:tcPr>
            <w:tcW w:w="0" w:type="auto"/>
            <w:gridSpan w:val="3"/>
            <w:shd w:val="clear" w:color="auto" w:fill="auto"/>
          </w:tcPr>
          <w:p w14:paraId="0D8DE092"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093"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094"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E095" w14:textId="77777777" w:rsidR="004C2197" w:rsidRDefault="004C2197">
            <w:pPr>
              <w:rPr>
                <w:rFonts w:ascii="宋体"/>
                <w:vanish/>
              </w:rPr>
            </w:pPr>
          </w:p>
        </w:tc>
        <w:tc>
          <w:tcPr>
            <w:tcW w:w="0" w:type="auto"/>
            <w:gridSpan w:val="3"/>
            <w:shd w:val="clear" w:color="auto" w:fill="auto"/>
          </w:tcPr>
          <w:p w14:paraId="0D8DE096" w14:textId="77777777" w:rsidR="004C2197" w:rsidRDefault="004C2197">
            <w:pPr>
              <w:rPr>
                <w:rFonts w:ascii="宋体"/>
                <w:vanish/>
              </w:rPr>
            </w:pPr>
          </w:p>
        </w:tc>
      </w:tr>
      <w:tr w:rsidR="004C2197" w14:paraId="0D8DE0AC" w14:textId="77777777">
        <w:tc>
          <w:tcPr>
            <w:tcW w:w="0" w:type="auto"/>
            <w:gridSpan w:val="3"/>
            <w:shd w:val="clear" w:color="auto" w:fill="auto"/>
            <w:tcMar>
              <w:top w:w="40" w:type="dxa"/>
              <w:left w:w="20" w:type="dxa"/>
              <w:bottom w:w="40" w:type="dxa"/>
              <w:right w:w="20" w:type="dxa"/>
            </w:tcMar>
            <w:vAlign w:val="bottom"/>
          </w:tcPr>
          <w:p w14:paraId="0D8DE09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099"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E09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09B"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gridSpan w:val="3"/>
            <w:shd w:val="clear" w:color="auto" w:fill="auto"/>
            <w:tcMar>
              <w:left w:w="20" w:type="dxa"/>
              <w:right w:w="20" w:type="dxa"/>
            </w:tcMar>
            <w:vAlign w:val="bottom"/>
          </w:tcPr>
          <w:p w14:paraId="0D8DE09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09D"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E09E"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09F"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shd w:val="clear" w:color="auto" w:fill="auto"/>
          </w:tcPr>
          <w:p w14:paraId="0D8DE0A0" w14:textId="77777777" w:rsidR="004C2197" w:rsidRDefault="004C2197">
            <w:pPr>
              <w:rPr>
                <w:rFonts w:ascii="宋体"/>
              </w:rPr>
            </w:pPr>
          </w:p>
        </w:tc>
        <w:tc>
          <w:tcPr>
            <w:tcW w:w="0" w:type="auto"/>
            <w:shd w:val="clear" w:color="auto" w:fill="auto"/>
          </w:tcPr>
          <w:p w14:paraId="0D8DE0A1" w14:textId="77777777" w:rsidR="004C2197" w:rsidRDefault="004C2197">
            <w:pPr>
              <w:rPr>
                <w:rFonts w:ascii="宋体"/>
              </w:rPr>
            </w:pPr>
          </w:p>
        </w:tc>
        <w:tc>
          <w:tcPr>
            <w:tcW w:w="0" w:type="auto"/>
            <w:shd w:val="clear" w:color="auto" w:fill="auto"/>
          </w:tcPr>
          <w:p w14:paraId="0D8DE0A2" w14:textId="77777777" w:rsidR="004C2197" w:rsidRDefault="004C2197">
            <w:pPr>
              <w:rPr>
                <w:rFonts w:ascii="宋体"/>
              </w:rPr>
            </w:pPr>
          </w:p>
        </w:tc>
        <w:tc>
          <w:tcPr>
            <w:tcW w:w="0" w:type="auto"/>
            <w:shd w:val="clear" w:color="auto" w:fill="auto"/>
          </w:tcPr>
          <w:p w14:paraId="0D8DE0A3" w14:textId="77777777" w:rsidR="004C2197" w:rsidRDefault="004C2197">
            <w:pPr>
              <w:rPr>
                <w:rFonts w:ascii="宋体"/>
              </w:rPr>
            </w:pPr>
          </w:p>
        </w:tc>
        <w:tc>
          <w:tcPr>
            <w:tcW w:w="0" w:type="auto"/>
            <w:shd w:val="clear" w:color="auto" w:fill="auto"/>
          </w:tcPr>
          <w:p w14:paraId="0D8DE0A4" w14:textId="77777777" w:rsidR="004C2197" w:rsidRDefault="004C2197">
            <w:pPr>
              <w:rPr>
                <w:rFonts w:ascii="宋体"/>
              </w:rPr>
            </w:pPr>
          </w:p>
        </w:tc>
        <w:tc>
          <w:tcPr>
            <w:tcW w:w="0" w:type="auto"/>
            <w:shd w:val="clear" w:color="auto" w:fill="auto"/>
          </w:tcPr>
          <w:p w14:paraId="0D8DE0A5" w14:textId="77777777" w:rsidR="004C2197" w:rsidRDefault="004C2197">
            <w:pPr>
              <w:rPr>
                <w:rFonts w:ascii="宋体"/>
              </w:rPr>
            </w:pPr>
          </w:p>
        </w:tc>
        <w:tc>
          <w:tcPr>
            <w:tcW w:w="0" w:type="auto"/>
            <w:shd w:val="clear" w:color="auto" w:fill="auto"/>
          </w:tcPr>
          <w:p w14:paraId="0D8DE0A6" w14:textId="77777777" w:rsidR="004C2197" w:rsidRDefault="004C2197">
            <w:pPr>
              <w:rPr>
                <w:rFonts w:ascii="宋体"/>
              </w:rPr>
            </w:pPr>
          </w:p>
        </w:tc>
        <w:tc>
          <w:tcPr>
            <w:tcW w:w="0" w:type="auto"/>
            <w:shd w:val="clear" w:color="auto" w:fill="auto"/>
          </w:tcPr>
          <w:p w14:paraId="0D8DE0A7" w14:textId="77777777" w:rsidR="004C2197" w:rsidRDefault="004C2197">
            <w:pPr>
              <w:rPr>
                <w:rFonts w:ascii="宋体"/>
              </w:rPr>
            </w:pPr>
          </w:p>
        </w:tc>
        <w:tc>
          <w:tcPr>
            <w:tcW w:w="0" w:type="auto"/>
            <w:shd w:val="clear" w:color="auto" w:fill="auto"/>
          </w:tcPr>
          <w:p w14:paraId="0D8DE0A8" w14:textId="77777777" w:rsidR="004C2197" w:rsidRDefault="004C2197">
            <w:pPr>
              <w:rPr>
                <w:rFonts w:ascii="宋体"/>
              </w:rPr>
            </w:pPr>
          </w:p>
        </w:tc>
        <w:tc>
          <w:tcPr>
            <w:tcW w:w="0" w:type="auto"/>
            <w:shd w:val="clear" w:color="auto" w:fill="auto"/>
          </w:tcPr>
          <w:p w14:paraId="0D8DE0A9" w14:textId="77777777" w:rsidR="004C2197" w:rsidRDefault="004C2197">
            <w:pPr>
              <w:rPr>
                <w:rFonts w:ascii="宋体"/>
              </w:rPr>
            </w:pPr>
          </w:p>
        </w:tc>
        <w:tc>
          <w:tcPr>
            <w:tcW w:w="0" w:type="auto"/>
            <w:shd w:val="clear" w:color="auto" w:fill="auto"/>
          </w:tcPr>
          <w:p w14:paraId="0D8DE0AA" w14:textId="77777777" w:rsidR="004C2197" w:rsidRDefault="004C2197">
            <w:pPr>
              <w:rPr>
                <w:rFonts w:ascii="宋体"/>
              </w:rPr>
            </w:pPr>
          </w:p>
        </w:tc>
        <w:tc>
          <w:tcPr>
            <w:tcW w:w="0" w:type="auto"/>
            <w:shd w:val="clear" w:color="auto" w:fill="auto"/>
          </w:tcPr>
          <w:p w14:paraId="0D8DE0AB" w14:textId="77777777" w:rsidR="004C2197" w:rsidRDefault="004C2197">
            <w:pPr>
              <w:rPr>
                <w:rFonts w:ascii="宋体"/>
              </w:rPr>
            </w:pPr>
          </w:p>
        </w:tc>
      </w:tr>
      <w:tr w:rsidR="004C2197" w14:paraId="0D8DE0C1" w14:textId="77777777">
        <w:tc>
          <w:tcPr>
            <w:tcW w:w="0" w:type="auto"/>
            <w:gridSpan w:val="3"/>
            <w:shd w:val="clear" w:color="auto" w:fill="auto"/>
            <w:tcMar>
              <w:left w:w="20" w:type="dxa"/>
              <w:right w:w="20" w:type="dxa"/>
            </w:tcMar>
            <w:vAlign w:val="bottom"/>
          </w:tcPr>
          <w:p w14:paraId="0D8DE0AD"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0AE"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E0AF"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0B0"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left w:w="20" w:type="dxa"/>
              <w:right w:w="20" w:type="dxa"/>
            </w:tcMar>
            <w:vAlign w:val="bottom"/>
          </w:tcPr>
          <w:p w14:paraId="0D8DE0B1"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0B2"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E0B3"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0B4"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shd w:val="clear" w:color="auto" w:fill="auto"/>
          </w:tcPr>
          <w:p w14:paraId="0D8DE0B5" w14:textId="77777777" w:rsidR="004C2197" w:rsidRDefault="004C2197">
            <w:pPr>
              <w:rPr>
                <w:rFonts w:ascii="宋体"/>
              </w:rPr>
            </w:pPr>
          </w:p>
        </w:tc>
        <w:tc>
          <w:tcPr>
            <w:tcW w:w="0" w:type="auto"/>
            <w:shd w:val="clear" w:color="auto" w:fill="auto"/>
          </w:tcPr>
          <w:p w14:paraId="0D8DE0B6" w14:textId="77777777" w:rsidR="004C2197" w:rsidRDefault="004C2197">
            <w:pPr>
              <w:rPr>
                <w:rFonts w:ascii="宋体"/>
              </w:rPr>
            </w:pPr>
          </w:p>
        </w:tc>
        <w:tc>
          <w:tcPr>
            <w:tcW w:w="0" w:type="auto"/>
            <w:shd w:val="clear" w:color="auto" w:fill="auto"/>
          </w:tcPr>
          <w:p w14:paraId="0D8DE0B7" w14:textId="77777777" w:rsidR="004C2197" w:rsidRDefault="004C2197">
            <w:pPr>
              <w:rPr>
                <w:rFonts w:ascii="宋体"/>
              </w:rPr>
            </w:pPr>
          </w:p>
        </w:tc>
        <w:tc>
          <w:tcPr>
            <w:tcW w:w="0" w:type="auto"/>
            <w:shd w:val="clear" w:color="auto" w:fill="auto"/>
          </w:tcPr>
          <w:p w14:paraId="0D8DE0B8" w14:textId="77777777" w:rsidR="004C2197" w:rsidRDefault="004C2197">
            <w:pPr>
              <w:rPr>
                <w:rFonts w:ascii="宋体"/>
              </w:rPr>
            </w:pPr>
          </w:p>
        </w:tc>
        <w:tc>
          <w:tcPr>
            <w:tcW w:w="0" w:type="auto"/>
            <w:shd w:val="clear" w:color="auto" w:fill="auto"/>
          </w:tcPr>
          <w:p w14:paraId="0D8DE0B9" w14:textId="77777777" w:rsidR="004C2197" w:rsidRDefault="004C2197">
            <w:pPr>
              <w:rPr>
                <w:rFonts w:ascii="宋体"/>
              </w:rPr>
            </w:pPr>
          </w:p>
        </w:tc>
        <w:tc>
          <w:tcPr>
            <w:tcW w:w="0" w:type="auto"/>
            <w:shd w:val="clear" w:color="auto" w:fill="auto"/>
          </w:tcPr>
          <w:p w14:paraId="0D8DE0BA" w14:textId="77777777" w:rsidR="004C2197" w:rsidRDefault="004C2197">
            <w:pPr>
              <w:rPr>
                <w:rFonts w:ascii="宋体"/>
              </w:rPr>
            </w:pPr>
          </w:p>
        </w:tc>
        <w:tc>
          <w:tcPr>
            <w:tcW w:w="0" w:type="auto"/>
            <w:shd w:val="clear" w:color="auto" w:fill="auto"/>
          </w:tcPr>
          <w:p w14:paraId="0D8DE0BB" w14:textId="77777777" w:rsidR="004C2197" w:rsidRDefault="004C2197">
            <w:pPr>
              <w:rPr>
                <w:rFonts w:ascii="宋体"/>
              </w:rPr>
            </w:pPr>
          </w:p>
        </w:tc>
        <w:tc>
          <w:tcPr>
            <w:tcW w:w="0" w:type="auto"/>
            <w:shd w:val="clear" w:color="auto" w:fill="auto"/>
          </w:tcPr>
          <w:p w14:paraId="0D8DE0BC" w14:textId="77777777" w:rsidR="004C2197" w:rsidRDefault="004C2197">
            <w:pPr>
              <w:rPr>
                <w:rFonts w:ascii="宋体"/>
              </w:rPr>
            </w:pPr>
          </w:p>
        </w:tc>
        <w:tc>
          <w:tcPr>
            <w:tcW w:w="0" w:type="auto"/>
            <w:shd w:val="clear" w:color="auto" w:fill="auto"/>
          </w:tcPr>
          <w:p w14:paraId="0D8DE0BD" w14:textId="77777777" w:rsidR="004C2197" w:rsidRDefault="004C2197">
            <w:pPr>
              <w:rPr>
                <w:rFonts w:ascii="宋体"/>
              </w:rPr>
            </w:pPr>
          </w:p>
        </w:tc>
        <w:tc>
          <w:tcPr>
            <w:tcW w:w="0" w:type="auto"/>
            <w:shd w:val="clear" w:color="auto" w:fill="auto"/>
          </w:tcPr>
          <w:p w14:paraId="0D8DE0BE" w14:textId="77777777" w:rsidR="004C2197" w:rsidRDefault="004C2197">
            <w:pPr>
              <w:rPr>
                <w:rFonts w:ascii="宋体"/>
              </w:rPr>
            </w:pPr>
          </w:p>
        </w:tc>
        <w:tc>
          <w:tcPr>
            <w:tcW w:w="0" w:type="auto"/>
            <w:shd w:val="clear" w:color="auto" w:fill="auto"/>
          </w:tcPr>
          <w:p w14:paraId="0D8DE0BF" w14:textId="77777777" w:rsidR="004C2197" w:rsidRDefault="004C2197">
            <w:pPr>
              <w:rPr>
                <w:rFonts w:ascii="宋体"/>
              </w:rPr>
            </w:pPr>
          </w:p>
        </w:tc>
        <w:tc>
          <w:tcPr>
            <w:tcW w:w="0" w:type="auto"/>
            <w:shd w:val="clear" w:color="auto" w:fill="auto"/>
          </w:tcPr>
          <w:p w14:paraId="0D8DE0C0" w14:textId="77777777" w:rsidR="004C2197" w:rsidRDefault="004C2197">
            <w:pPr>
              <w:rPr>
                <w:rFonts w:ascii="宋体"/>
              </w:rPr>
            </w:pPr>
          </w:p>
        </w:tc>
      </w:tr>
      <w:tr w:rsidR="004C2197" w14:paraId="0D8DE0D6" w14:textId="77777777">
        <w:tc>
          <w:tcPr>
            <w:tcW w:w="0" w:type="auto"/>
            <w:gridSpan w:val="3"/>
            <w:shd w:val="clear" w:color="auto" w:fill="auto"/>
            <w:tcMar>
              <w:top w:w="40" w:type="dxa"/>
              <w:left w:w="20" w:type="dxa"/>
              <w:bottom w:w="40" w:type="dxa"/>
              <w:right w:w="20" w:type="dxa"/>
            </w:tcMar>
            <w:vAlign w:val="bottom"/>
          </w:tcPr>
          <w:p w14:paraId="0D8DE0C2"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left w:w="20" w:type="dxa"/>
              <w:right w:w="20" w:type="dxa"/>
            </w:tcMar>
            <w:vAlign w:val="bottom"/>
          </w:tcPr>
          <w:p w14:paraId="0D8DE0C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0C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0C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0C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0C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0C8"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0C9" w14:textId="77777777" w:rsidR="004C2197" w:rsidRDefault="004C2197">
            <w:pPr>
              <w:rPr>
                <w:rFonts w:ascii="宋体"/>
              </w:rPr>
            </w:pPr>
          </w:p>
        </w:tc>
        <w:tc>
          <w:tcPr>
            <w:tcW w:w="0" w:type="auto"/>
            <w:shd w:val="clear" w:color="auto" w:fill="auto"/>
          </w:tcPr>
          <w:p w14:paraId="0D8DE0CA" w14:textId="77777777" w:rsidR="004C2197" w:rsidRDefault="004C2197">
            <w:pPr>
              <w:rPr>
                <w:rFonts w:ascii="宋体"/>
              </w:rPr>
            </w:pPr>
          </w:p>
        </w:tc>
        <w:tc>
          <w:tcPr>
            <w:tcW w:w="0" w:type="auto"/>
            <w:shd w:val="clear" w:color="auto" w:fill="auto"/>
          </w:tcPr>
          <w:p w14:paraId="0D8DE0CB" w14:textId="77777777" w:rsidR="004C2197" w:rsidRDefault="004C2197">
            <w:pPr>
              <w:rPr>
                <w:rFonts w:ascii="宋体"/>
              </w:rPr>
            </w:pPr>
          </w:p>
        </w:tc>
        <w:tc>
          <w:tcPr>
            <w:tcW w:w="0" w:type="auto"/>
            <w:shd w:val="clear" w:color="auto" w:fill="auto"/>
          </w:tcPr>
          <w:p w14:paraId="0D8DE0CC" w14:textId="77777777" w:rsidR="004C2197" w:rsidRDefault="004C2197">
            <w:pPr>
              <w:rPr>
                <w:rFonts w:ascii="宋体"/>
              </w:rPr>
            </w:pPr>
          </w:p>
        </w:tc>
        <w:tc>
          <w:tcPr>
            <w:tcW w:w="0" w:type="auto"/>
            <w:shd w:val="clear" w:color="auto" w:fill="auto"/>
          </w:tcPr>
          <w:p w14:paraId="0D8DE0CD" w14:textId="77777777" w:rsidR="004C2197" w:rsidRDefault="004C2197">
            <w:pPr>
              <w:rPr>
                <w:rFonts w:ascii="宋体"/>
              </w:rPr>
            </w:pPr>
          </w:p>
        </w:tc>
        <w:tc>
          <w:tcPr>
            <w:tcW w:w="0" w:type="auto"/>
            <w:shd w:val="clear" w:color="auto" w:fill="auto"/>
          </w:tcPr>
          <w:p w14:paraId="0D8DE0CE" w14:textId="77777777" w:rsidR="004C2197" w:rsidRDefault="004C2197">
            <w:pPr>
              <w:rPr>
                <w:rFonts w:ascii="宋体"/>
              </w:rPr>
            </w:pPr>
          </w:p>
        </w:tc>
        <w:tc>
          <w:tcPr>
            <w:tcW w:w="0" w:type="auto"/>
            <w:shd w:val="clear" w:color="auto" w:fill="auto"/>
          </w:tcPr>
          <w:p w14:paraId="0D8DE0CF" w14:textId="77777777" w:rsidR="004C2197" w:rsidRDefault="004C2197">
            <w:pPr>
              <w:rPr>
                <w:rFonts w:ascii="宋体"/>
              </w:rPr>
            </w:pPr>
          </w:p>
        </w:tc>
        <w:tc>
          <w:tcPr>
            <w:tcW w:w="0" w:type="auto"/>
            <w:shd w:val="clear" w:color="auto" w:fill="auto"/>
          </w:tcPr>
          <w:p w14:paraId="0D8DE0D0" w14:textId="77777777" w:rsidR="004C2197" w:rsidRDefault="004C2197">
            <w:pPr>
              <w:rPr>
                <w:rFonts w:ascii="宋体"/>
              </w:rPr>
            </w:pPr>
          </w:p>
        </w:tc>
        <w:tc>
          <w:tcPr>
            <w:tcW w:w="0" w:type="auto"/>
            <w:shd w:val="clear" w:color="auto" w:fill="auto"/>
          </w:tcPr>
          <w:p w14:paraId="0D8DE0D1" w14:textId="77777777" w:rsidR="004C2197" w:rsidRDefault="004C2197">
            <w:pPr>
              <w:rPr>
                <w:rFonts w:ascii="宋体"/>
              </w:rPr>
            </w:pPr>
          </w:p>
        </w:tc>
        <w:tc>
          <w:tcPr>
            <w:tcW w:w="0" w:type="auto"/>
            <w:shd w:val="clear" w:color="auto" w:fill="auto"/>
          </w:tcPr>
          <w:p w14:paraId="0D8DE0D2" w14:textId="77777777" w:rsidR="004C2197" w:rsidRDefault="004C2197">
            <w:pPr>
              <w:rPr>
                <w:rFonts w:ascii="宋体"/>
              </w:rPr>
            </w:pPr>
          </w:p>
        </w:tc>
        <w:tc>
          <w:tcPr>
            <w:tcW w:w="0" w:type="auto"/>
            <w:shd w:val="clear" w:color="auto" w:fill="auto"/>
          </w:tcPr>
          <w:p w14:paraId="0D8DE0D3" w14:textId="77777777" w:rsidR="004C2197" w:rsidRDefault="004C2197">
            <w:pPr>
              <w:rPr>
                <w:rFonts w:ascii="宋体"/>
              </w:rPr>
            </w:pPr>
          </w:p>
        </w:tc>
        <w:tc>
          <w:tcPr>
            <w:tcW w:w="0" w:type="auto"/>
            <w:shd w:val="clear" w:color="auto" w:fill="auto"/>
          </w:tcPr>
          <w:p w14:paraId="0D8DE0D4" w14:textId="77777777" w:rsidR="004C2197" w:rsidRDefault="004C2197">
            <w:pPr>
              <w:rPr>
                <w:rFonts w:ascii="宋体"/>
              </w:rPr>
            </w:pPr>
          </w:p>
        </w:tc>
        <w:tc>
          <w:tcPr>
            <w:tcW w:w="0" w:type="auto"/>
            <w:shd w:val="clear" w:color="auto" w:fill="auto"/>
          </w:tcPr>
          <w:p w14:paraId="0D8DE0D5" w14:textId="77777777" w:rsidR="004C2197" w:rsidRDefault="004C2197">
            <w:pPr>
              <w:rPr>
                <w:rFonts w:ascii="宋体"/>
              </w:rPr>
            </w:pPr>
          </w:p>
        </w:tc>
      </w:tr>
      <w:tr w:rsidR="004C2197" w14:paraId="0D8DE0F3" w14:textId="77777777">
        <w:tc>
          <w:tcPr>
            <w:tcW w:w="0" w:type="auto"/>
            <w:gridSpan w:val="3"/>
            <w:shd w:val="clear" w:color="auto" w:fill="E2EFD9"/>
            <w:tcMar>
              <w:top w:w="40" w:type="dxa"/>
              <w:left w:w="20" w:type="dxa"/>
              <w:bottom w:w="40" w:type="dxa"/>
              <w:right w:w="20" w:type="dxa"/>
            </w:tcMar>
            <w:vAlign w:val="bottom"/>
          </w:tcPr>
          <w:p w14:paraId="0D8DE0D7" w14:textId="77777777" w:rsidR="004C2197" w:rsidRDefault="00863B83">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tcMar>
            <w:vAlign w:val="bottom"/>
          </w:tcPr>
          <w:p w14:paraId="0D8DE0D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0D9" w14:textId="77777777" w:rsidR="004C2197" w:rsidRDefault="00863B83">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bottom w:w="40" w:type="dxa"/>
              <w:right w:w="20" w:type="dxa"/>
            </w:tcMar>
            <w:vAlign w:val="bottom"/>
          </w:tcPr>
          <w:p w14:paraId="0D8DE0D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DB"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0D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0DD" w14:textId="77777777" w:rsidR="004C2197" w:rsidRDefault="00863B83">
            <w:pPr>
              <w:jc w:val="right"/>
              <w:textAlignment w:val="bottom"/>
            </w:pPr>
            <w:r>
              <w:rPr>
                <w:rFonts w:ascii="sans-serif" w:eastAsia="sans-serif" w:hAnsi="sans-serif" w:cs="sans-serif"/>
                <w:color w:val="000000"/>
                <w:sz w:val="20"/>
                <w:szCs w:val="20"/>
              </w:rPr>
              <w:t>552 </w:t>
            </w:r>
          </w:p>
        </w:tc>
        <w:tc>
          <w:tcPr>
            <w:tcW w:w="0" w:type="auto"/>
            <w:shd w:val="clear" w:color="auto" w:fill="E2EFD9"/>
            <w:tcMar>
              <w:top w:w="40" w:type="dxa"/>
              <w:bottom w:w="40" w:type="dxa"/>
              <w:right w:w="20" w:type="dxa"/>
            </w:tcMar>
            <w:vAlign w:val="bottom"/>
          </w:tcPr>
          <w:p w14:paraId="0D8DE0D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D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0E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0E1" w14:textId="77777777" w:rsidR="004C2197" w:rsidRDefault="00863B83">
            <w:pPr>
              <w:jc w:val="right"/>
              <w:textAlignment w:val="bottom"/>
            </w:pPr>
            <w:r>
              <w:rPr>
                <w:rFonts w:ascii="sans-serif" w:eastAsia="sans-serif" w:hAnsi="sans-serif" w:cs="sans-serif"/>
                <w:color w:val="000000"/>
                <w:sz w:val="20"/>
                <w:szCs w:val="20"/>
              </w:rPr>
              <w:t>1,539 </w:t>
            </w:r>
          </w:p>
        </w:tc>
        <w:tc>
          <w:tcPr>
            <w:tcW w:w="0" w:type="auto"/>
            <w:shd w:val="clear" w:color="auto" w:fill="E2EFD9"/>
            <w:tcMar>
              <w:top w:w="40" w:type="dxa"/>
              <w:bottom w:w="40" w:type="dxa"/>
              <w:right w:w="20" w:type="dxa"/>
            </w:tcMar>
            <w:vAlign w:val="bottom"/>
          </w:tcPr>
          <w:p w14:paraId="0D8DE0E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0E3"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0E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0E5" w14:textId="77777777" w:rsidR="004C2197" w:rsidRDefault="00863B83">
            <w:pPr>
              <w:jc w:val="right"/>
              <w:textAlignment w:val="bottom"/>
            </w:pPr>
            <w:r>
              <w:rPr>
                <w:rFonts w:ascii="sans-serif" w:eastAsia="sans-serif" w:hAnsi="sans-serif" w:cs="sans-serif"/>
                <w:color w:val="000000"/>
                <w:sz w:val="20"/>
                <w:szCs w:val="20"/>
              </w:rPr>
              <w:t>947 </w:t>
            </w:r>
          </w:p>
        </w:tc>
        <w:tc>
          <w:tcPr>
            <w:tcW w:w="0" w:type="auto"/>
            <w:shd w:val="clear" w:color="auto" w:fill="E2EFD9"/>
            <w:tcMar>
              <w:top w:w="40" w:type="dxa"/>
              <w:bottom w:w="40" w:type="dxa"/>
              <w:right w:w="20" w:type="dxa"/>
            </w:tcMar>
            <w:vAlign w:val="bottom"/>
          </w:tcPr>
          <w:p w14:paraId="0D8DE0E6" w14:textId="77777777" w:rsidR="004C2197" w:rsidRDefault="004C2197">
            <w:pPr>
              <w:jc w:val="right"/>
              <w:rPr>
                <w:rFonts w:ascii="宋体"/>
              </w:rPr>
            </w:pPr>
          </w:p>
        </w:tc>
        <w:tc>
          <w:tcPr>
            <w:tcW w:w="0" w:type="auto"/>
            <w:shd w:val="clear" w:color="auto" w:fill="auto"/>
          </w:tcPr>
          <w:p w14:paraId="0D8DE0E7" w14:textId="77777777" w:rsidR="004C2197" w:rsidRDefault="004C2197">
            <w:pPr>
              <w:rPr>
                <w:rFonts w:ascii="宋体"/>
              </w:rPr>
            </w:pPr>
          </w:p>
        </w:tc>
        <w:tc>
          <w:tcPr>
            <w:tcW w:w="0" w:type="auto"/>
            <w:shd w:val="clear" w:color="auto" w:fill="auto"/>
          </w:tcPr>
          <w:p w14:paraId="0D8DE0E8" w14:textId="77777777" w:rsidR="004C2197" w:rsidRDefault="004C2197">
            <w:pPr>
              <w:rPr>
                <w:rFonts w:ascii="宋体"/>
              </w:rPr>
            </w:pPr>
          </w:p>
        </w:tc>
        <w:tc>
          <w:tcPr>
            <w:tcW w:w="0" w:type="auto"/>
            <w:shd w:val="clear" w:color="auto" w:fill="auto"/>
          </w:tcPr>
          <w:p w14:paraId="0D8DE0E9" w14:textId="77777777" w:rsidR="004C2197" w:rsidRDefault="004C2197">
            <w:pPr>
              <w:rPr>
                <w:rFonts w:ascii="宋体"/>
              </w:rPr>
            </w:pPr>
          </w:p>
        </w:tc>
        <w:tc>
          <w:tcPr>
            <w:tcW w:w="0" w:type="auto"/>
            <w:shd w:val="clear" w:color="auto" w:fill="auto"/>
          </w:tcPr>
          <w:p w14:paraId="0D8DE0EA" w14:textId="77777777" w:rsidR="004C2197" w:rsidRDefault="004C2197">
            <w:pPr>
              <w:rPr>
                <w:rFonts w:ascii="宋体"/>
              </w:rPr>
            </w:pPr>
          </w:p>
        </w:tc>
        <w:tc>
          <w:tcPr>
            <w:tcW w:w="0" w:type="auto"/>
            <w:shd w:val="clear" w:color="auto" w:fill="auto"/>
          </w:tcPr>
          <w:p w14:paraId="0D8DE0EB" w14:textId="77777777" w:rsidR="004C2197" w:rsidRDefault="004C2197">
            <w:pPr>
              <w:rPr>
                <w:rFonts w:ascii="宋体"/>
              </w:rPr>
            </w:pPr>
          </w:p>
        </w:tc>
        <w:tc>
          <w:tcPr>
            <w:tcW w:w="0" w:type="auto"/>
            <w:shd w:val="clear" w:color="auto" w:fill="auto"/>
          </w:tcPr>
          <w:p w14:paraId="0D8DE0EC" w14:textId="77777777" w:rsidR="004C2197" w:rsidRDefault="004C2197">
            <w:pPr>
              <w:rPr>
                <w:rFonts w:ascii="宋体"/>
              </w:rPr>
            </w:pPr>
          </w:p>
        </w:tc>
        <w:tc>
          <w:tcPr>
            <w:tcW w:w="0" w:type="auto"/>
            <w:shd w:val="clear" w:color="auto" w:fill="auto"/>
          </w:tcPr>
          <w:p w14:paraId="0D8DE0ED" w14:textId="77777777" w:rsidR="004C2197" w:rsidRDefault="004C2197">
            <w:pPr>
              <w:rPr>
                <w:rFonts w:ascii="宋体"/>
              </w:rPr>
            </w:pPr>
          </w:p>
        </w:tc>
        <w:tc>
          <w:tcPr>
            <w:tcW w:w="0" w:type="auto"/>
            <w:shd w:val="clear" w:color="auto" w:fill="auto"/>
          </w:tcPr>
          <w:p w14:paraId="0D8DE0EE" w14:textId="77777777" w:rsidR="004C2197" w:rsidRDefault="004C2197">
            <w:pPr>
              <w:rPr>
                <w:rFonts w:ascii="宋体"/>
              </w:rPr>
            </w:pPr>
          </w:p>
        </w:tc>
        <w:tc>
          <w:tcPr>
            <w:tcW w:w="0" w:type="auto"/>
            <w:shd w:val="clear" w:color="auto" w:fill="auto"/>
          </w:tcPr>
          <w:p w14:paraId="0D8DE0EF" w14:textId="77777777" w:rsidR="004C2197" w:rsidRDefault="004C2197">
            <w:pPr>
              <w:rPr>
                <w:rFonts w:ascii="宋体"/>
              </w:rPr>
            </w:pPr>
          </w:p>
        </w:tc>
        <w:tc>
          <w:tcPr>
            <w:tcW w:w="0" w:type="auto"/>
            <w:shd w:val="clear" w:color="auto" w:fill="auto"/>
          </w:tcPr>
          <w:p w14:paraId="0D8DE0F0" w14:textId="77777777" w:rsidR="004C2197" w:rsidRDefault="004C2197">
            <w:pPr>
              <w:rPr>
                <w:rFonts w:ascii="宋体"/>
              </w:rPr>
            </w:pPr>
          </w:p>
        </w:tc>
        <w:tc>
          <w:tcPr>
            <w:tcW w:w="0" w:type="auto"/>
            <w:shd w:val="clear" w:color="auto" w:fill="auto"/>
          </w:tcPr>
          <w:p w14:paraId="0D8DE0F1" w14:textId="77777777" w:rsidR="004C2197" w:rsidRDefault="004C2197">
            <w:pPr>
              <w:rPr>
                <w:rFonts w:ascii="宋体"/>
              </w:rPr>
            </w:pPr>
          </w:p>
        </w:tc>
        <w:tc>
          <w:tcPr>
            <w:tcW w:w="0" w:type="auto"/>
            <w:shd w:val="clear" w:color="auto" w:fill="auto"/>
          </w:tcPr>
          <w:p w14:paraId="0D8DE0F2" w14:textId="77777777" w:rsidR="004C2197" w:rsidRDefault="004C2197">
            <w:pPr>
              <w:rPr>
                <w:rFonts w:ascii="宋体"/>
              </w:rPr>
            </w:pPr>
          </w:p>
        </w:tc>
      </w:tr>
      <w:tr w:rsidR="004C2197" w14:paraId="0D8DE108" w14:textId="77777777">
        <w:tc>
          <w:tcPr>
            <w:tcW w:w="0" w:type="auto"/>
            <w:gridSpan w:val="3"/>
            <w:shd w:val="clear" w:color="auto" w:fill="FFFFFF"/>
            <w:tcMar>
              <w:top w:w="40" w:type="dxa"/>
              <w:left w:w="20" w:type="dxa"/>
              <w:bottom w:w="40" w:type="dxa"/>
              <w:right w:w="20" w:type="dxa"/>
            </w:tcMar>
            <w:vAlign w:val="bottom"/>
          </w:tcPr>
          <w:p w14:paraId="0D8DE0F4" w14:textId="77777777" w:rsidR="004C2197" w:rsidRDefault="00863B83">
            <w:pPr>
              <w:textAlignment w:val="bottom"/>
            </w:pPr>
            <w:r>
              <w:rPr>
                <w:rFonts w:ascii="sans-serif" w:eastAsia="sans-serif" w:hAnsi="sans-serif" w:cs="sans-serif"/>
                <w:color w:val="000000"/>
                <w:sz w:val="20"/>
                <w:szCs w:val="20"/>
              </w:rPr>
              <w:t>Other comprehensive income, net of tax</w:t>
            </w:r>
          </w:p>
        </w:tc>
        <w:tc>
          <w:tcPr>
            <w:tcW w:w="0" w:type="auto"/>
            <w:gridSpan w:val="3"/>
            <w:shd w:val="clear" w:color="auto" w:fill="FFFFFF"/>
            <w:tcMar>
              <w:left w:w="20" w:type="dxa"/>
              <w:right w:w="20" w:type="dxa"/>
            </w:tcMar>
            <w:vAlign w:val="bottom"/>
          </w:tcPr>
          <w:p w14:paraId="0D8DE0F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0FB" w14:textId="77777777" w:rsidR="004C2197" w:rsidRDefault="004C2197">
            <w:pPr>
              <w:rPr>
                <w:rFonts w:ascii="宋体"/>
              </w:rPr>
            </w:pPr>
          </w:p>
        </w:tc>
        <w:tc>
          <w:tcPr>
            <w:tcW w:w="0" w:type="auto"/>
            <w:shd w:val="clear" w:color="auto" w:fill="auto"/>
          </w:tcPr>
          <w:p w14:paraId="0D8DE0FC" w14:textId="77777777" w:rsidR="004C2197" w:rsidRDefault="004C2197">
            <w:pPr>
              <w:rPr>
                <w:rFonts w:ascii="宋体"/>
              </w:rPr>
            </w:pPr>
          </w:p>
        </w:tc>
        <w:tc>
          <w:tcPr>
            <w:tcW w:w="0" w:type="auto"/>
            <w:shd w:val="clear" w:color="auto" w:fill="auto"/>
          </w:tcPr>
          <w:p w14:paraId="0D8DE0FD" w14:textId="77777777" w:rsidR="004C2197" w:rsidRDefault="004C2197">
            <w:pPr>
              <w:rPr>
                <w:rFonts w:ascii="宋体"/>
              </w:rPr>
            </w:pPr>
          </w:p>
        </w:tc>
        <w:tc>
          <w:tcPr>
            <w:tcW w:w="0" w:type="auto"/>
            <w:shd w:val="clear" w:color="auto" w:fill="auto"/>
          </w:tcPr>
          <w:p w14:paraId="0D8DE0FE" w14:textId="77777777" w:rsidR="004C2197" w:rsidRDefault="004C2197">
            <w:pPr>
              <w:rPr>
                <w:rFonts w:ascii="宋体"/>
              </w:rPr>
            </w:pPr>
          </w:p>
        </w:tc>
        <w:tc>
          <w:tcPr>
            <w:tcW w:w="0" w:type="auto"/>
            <w:shd w:val="clear" w:color="auto" w:fill="auto"/>
          </w:tcPr>
          <w:p w14:paraId="0D8DE0FF" w14:textId="77777777" w:rsidR="004C2197" w:rsidRDefault="004C2197">
            <w:pPr>
              <w:rPr>
                <w:rFonts w:ascii="宋体"/>
              </w:rPr>
            </w:pPr>
          </w:p>
        </w:tc>
        <w:tc>
          <w:tcPr>
            <w:tcW w:w="0" w:type="auto"/>
            <w:shd w:val="clear" w:color="auto" w:fill="auto"/>
          </w:tcPr>
          <w:p w14:paraId="0D8DE100" w14:textId="77777777" w:rsidR="004C2197" w:rsidRDefault="004C2197">
            <w:pPr>
              <w:rPr>
                <w:rFonts w:ascii="宋体"/>
              </w:rPr>
            </w:pPr>
          </w:p>
        </w:tc>
        <w:tc>
          <w:tcPr>
            <w:tcW w:w="0" w:type="auto"/>
            <w:shd w:val="clear" w:color="auto" w:fill="auto"/>
          </w:tcPr>
          <w:p w14:paraId="0D8DE101" w14:textId="77777777" w:rsidR="004C2197" w:rsidRDefault="004C2197">
            <w:pPr>
              <w:rPr>
                <w:rFonts w:ascii="宋体"/>
              </w:rPr>
            </w:pPr>
          </w:p>
        </w:tc>
        <w:tc>
          <w:tcPr>
            <w:tcW w:w="0" w:type="auto"/>
            <w:shd w:val="clear" w:color="auto" w:fill="auto"/>
          </w:tcPr>
          <w:p w14:paraId="0D8DE102" w14:textId="77777777" w:rsidR="004C2197" w:rsidRDefault="004C2197">
            <w:pPr>
              <w:rPr>
                <w:rFonts w:ascii="宋体"/>
              </w:rPr>
            </w:pPr>
          </w:p>
        </w:tc>
        <w:tc>
          <w:tcPr>
            <w:tcW w:w="0" w:type="auto"/>
            <w:shd w:val="clear" w:color="auto" w:fill="auto"/>
          </w:tcPr>
          <w:p w14:paraId="0D8DE103" w14:textId="77777777" w:rsidR="004C2197" w:rsidRDefault="004C2197">
            <w:pPr>
              <w:rPr>
                <w:rFonts w:ascii="宋体"/>
              </w:rPr>
            </w:pPr>
          </w:p>
        </w:tc>
        <w:tc>
          <w:tcPr>
            <w:tcW w:w="0" w:type="auto"/>
            <w:shd w:val="clear" w:color="auto" w:fill="auto"/>
          </w:tcPr>
          <w:p w14:paraId="0D8DE104" w14:textId="77777777" w:rsidR="004C2197" w:rsidRDefault="004C2197">
            <w:pPr>
              <w:rPr>
                <w:rFonts w:ascii="宋体"/>
              </w:rPr>
            </w:pPr>
          </w:p>
        </w:tc>
        <w:tc>
          <w:tcPr>
            <w:tcW w:w="0" w:type="auto"/>
            <w:shd w:val="clear" w:color="auto" w:fill="auto"/>
          </w:tcPr>
          <w:p w14:paraId="0D8DE105" w14:textId="77777777" w:rsidR="004C2197" w:rsidRDefault="004C2197">
            <w:pPr>
              <w:rPr>
                <w:rFonts w:ascii="宋体"/>
              </w:rPr>
            </w:pPr>
          </w:p>
        </w:tc>
        <w:tc>
          <w:tcPr>
            <w:tcW w:w="0" w:type="auto"/>
            <w:shd w:val="clear" w:color="auto" w:fill="auto"/>
          </w:tcPr>
          <w:p w14:paraId="0D8DE106" w14:textId="77777777" w:rsidR="004C2197" w:rsidRDefault="004C2197">
            <w:pPr>
              <w:rPr>
                <w:rFonts w:ascii="宋体"/>
              </w:rPr>
            </w:pPr>
          </w:p>
        </w:tc>
        <w:tc>
          <w:tcPr>
            <w:tcW w:w="0" w:type="auto"/>
            <w:shd w:val="clear" w:color="auto" w:fill="auto"/>
          </w:tcPr>
          <w:p w14:paraId="0D8DE107" w14:textId="77777777" w:rsidR="004C2197" w:rsidRDefault="004C2197">
            <w:pPr>
              <w:rPr>
                <w:rFonts w:ascii="宋体"/>
              </w:rPr>
            </w:pPr>
          </w:p>
        </w:tc>
      </w:tr>
      <w:tr w:rsidR="004C2197" w14:paraId="0D8DE11D" w14:textId="77777777">
        <w:tc>
          <w:tcPr>
            <w:tcW w:w="0" w:type="auto"/>
            <w:gridSpan w:val="3"/>
            <w:shd w:val="clear" w:color="auto" w:fill="E2EFD9"/>
            <w:tcMar>
              <w:top w:w="40" w:type="dxa"/>
              <w:left w:w="20" w:type="dxa"/>
              <w:bottom w:w="40" w:type="dxa"/>
              <w:right w:w="20" w:type="dxa"/>
            </w:tcMar>
            <w:vAlign w:val="bottom"/>
          </w:tcPr>
          <w:p w14:paraId="0D8DE109" w14:textId="77777777" w:rsidR="004C2197" w:rsidRDefault="00863B83">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left w:w="20" w:type="dxa"/>
              <w:right w:w="20" w:type="dxa"/>
            </w:tcMar>
            <w:vAlign w:val="bottom"/>
          </w:tcPr>
          <w:p w14:paraId="0D8DE10A"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0B"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0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0D"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0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0F"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10" w14:textId="77777777" w:rsidR="004C2197" w:rsidRDefault="004C2197">
            <w:pPr>
              <w:rPr>
                <w:rFonts w:ascii="宋体"/>
              </w:rPr>
            </w:pPr>
          </w:p>
        </w:tc>
        <w:tc>
          <w:tcPr>
            <w:tcW w:w="0" w:type="auto"/>
            <w:shd w:val="clear" w:color="auto" w:fill="auto"/>
          </w:tcPr>
          <w:p w14:paraId="0D8DE111" w14:textId="77777777" w:rsidR="004C2197" w:rsidRDefault="004C2197">
            <w:pPr>
              <w:rPr>
                <w:rFonts w:ascii="宋体"/>
              </w:rPr>
            </w:pPr>
          </w:p>
        </w:tc>
        <w:tc>
          <w:tcPr>
            <w:tcW w:w="0" w:type="auto"/>
            <w:shd w:val="clear" w:color="auto" w:fill="auto"/>
          </w:tcPr>
          <w:p w14:paraId="0D8DE112" w14:textId="77777777" w:rsidR="004C2197" w:rsidRDefault="004C2197">
            <w:pPr>
              <w:rPr>
                <w:rFonts w:ascii="宋体"/>
              </w:rPr>
            </w:pPr>
          </w:p>
        </w:tc>
        <w:tc>
          <w:tcPr>
            <w:tcW w:w="0" w:type="auto"/>
            <w:shd w:val="clear" w:color="auto" w:fill="auto"/>
          </w:tcPr>
          <w:p w14:paraId="0D8DE113" w14:textId="77777777" w:rsidR="004C2197" w:rsidRDefault="004C2197">
            <w:pPr>
              <w:rPr>
                <w:rFonts w:ascii="宋体"/>
              </w:rPr>
            </w:pPr>
          </w:p>
        </w:tc>
        <w:tc>
          <w:tcPr>
            <w:tcW w:w="0" w:type="auto"/>
            <w:shd w:val="clear" w:color="auto" w:fill="auto"/>
          </w:tcPr>
          <w:p w14:paraId="0D8DE114" w14:textId="77777777" w:rsidR="004C2197" w:rsidRDefault="004C2197">
            <w:pPr>
              <w:rPr>
                <w:rFonts w:ascii="宋体"/>
              </w:rPr>
            </w:pPr>
          </w:p>
        </w:tc>
        <w:tc>
          <w:tcPr>
            <w:tcW w:w="0" w:type="auto"/>
            <w:shd w:val="clear" w:color="auto" w:fill="auto"/>
          </w:tcPr>
          <w:p w14:paraId="0D8DE115" w14:textId="77777777" w:rsidR="004C2197" w:rsidRDefault="004C2197">
            <w:pPr>
              <w:rPr>
                <w:rFonts w:ascii="宋体"/>
              </w:rPr>
            </w:pPr>
          </w:p>
        </w:tc>
        <w:tc>
          <w:tcPr>
            <w:tcW w:w="0" w:type="auto"/>
            <w:shd w:val="clear" w:color="auto" w:fill="auto"/>
          </w:tcPr>
          <w:p w14:paraId="0D8DE116" w14:textId="77777777" w:rsidR="004C2197" w:rsidRDefault="004C2197">
            <w:pPr>
              <w:rPr>
                <w:rFonts w:ascii="宋体"/>
              </w:rPr>
            </w:pPr>
          </w:p>
        </w:tc>
        <w:tc>
          <w:tcPr>
            <w:tcW w:w="0" w:type="auto"/>
            <w:shd w:val="clear" w:color="auto" w:fill="auto"/>
          </w:tcPr>
          <w:p w14:paraId="0D8DE117" w14:textId="77777777" w:rsidR="004C2197" w:rsidRDefault="004C2197">
            <w:pPr>
              <w:rPr>
                <w:rFonts w:ascii="宋体"/>
              </w:rPr>
            </w:pPr>
          </w:p>
        </w:tc>
        <w:tc>
          <w:tcPr>
            <w:tcW w:w="0" w:type="auto"/>
            <w:shd w:val="clear" w:color="auto" w:fill="auto"/>
          </w:tcPr>
          <w:p w14:paraId="0D8DE118" w14:textId="77777777" w:rsidR="004C2197" w:rsidRDefault="004C2197">
            <w:pPr>
              <w:rPr>
                <w:rFonts w:ascii="宋体"/>
              </w:rPr>
            </w:pPr>
          </w:p>
        </w:tc>
        <w:tc>
          <w:tcPr>
            <w:tcW w:w="0" w:type="auto"/>
            <w:shd w:val="clear" w:color="auto" w:fill="auto"/>
          </w:tcPr>
          <w:p w14:paraId="0D8DE119" w14:textId="77777777" w:rsidR="004C2197" w:rsidRDefault="004C2197">
            <w:pPr>
              <w:rPr>
                <w:rFonts w:ascii="宋体"/>
              </w:rPr>
            </w:pPr>
          </w:p>
        </w:tc>
        <w:tc>
          <w:tcPr>
            <w:tcW w:w="0" w:type="auto"/>
            <w:shd w:val="clear" w:color="auto" w:fill="auto"/>
          </w:tcPr>
          <w:p w14:paraId="0D8DE11A" w14:textId="77777777" w:rsidR="004C2197" w:rsidRDefault="004C2197">
            <w:pPr>
              <w:rPr>
                <w:rFonts w:ascii="宋体"/>
              </w:rPr>
            </w:pPr>
          </w:p>
        </w:tc>
        <w:tc>
          <w:tcPr>
            <w:tcW w:w="0" w:type="auto"/>
            <w:shd w:val="clear" w:color="auto" w:fill="auto"/>
          </w:tcPr>
          <w:p w14:paraId="0D8DE11B" w14:textId="77777777" w:rsidR="004C2197" w:rsidRDefault="004C2197">
            <w:pPr>
              <w:rPr>
                <w:rFonts w:ascii="宋体"/>
              </w:rPr>
            </w:pPr>
          </w:p>
        </w:tc>
        <w:tc>
          <w:tcPr>
            <w:tcW w:w="0" w:type="auto"/>
            <w:shd w:val="clear" w:color="auto" w:fill="auto"/>
          </w:tcPr>
          <w:p w14:paraId="0D8DE11C" w14:textId="77777777" w:rsidR="004C2197" w:rsidRDefault="004C2197">
            <w:pPr>
              <w:rPr>
                <w:rFonts w:ascii="宋体"/>
              </w:rPr>
            </w:pPr>
          </w:p>
        </w:tc>
      </w:tr>
      <w:tr w:rsidR="004C2197" w14:paraId="0D8DE136" w14:textId="77777777">
        <w:tc>
          <w:tcPr>
            <w:tcW w:w="0" w:type="auto"/>
            <w:gridSpan w:val="3"/>
            <w:shd w:val="clear" w:color="auto" w:fill="FFFFFF"/>
            <w:tcMar>
              <w:top w:w="40" w:type="dxa"/>
              <w:left w:w="225" w:type="dxa"/>
              <w:bottom w:w="40" w:type="dxa"/>
              <w:right w:w="20" w:type="dxa"/>
            </w:tcMar>
            <w:vAlign w:val="bottom"/>
          </w:tcPr>
          <w:p w14:paraId="0D8DE11E" w14:textId="77777777" w:rsidR="004C2197" w:rsidRDefault="00863B83">
            <w:pPr>
              <w:textAlignment w:val="bottom"/>
            </w:pPr>
            <w:r>
              <w:rPr>
                <w:rFonts w:ascii="sans-serif" w:eastAsia="sans-serif" w:hAnsi="sans-serif" w:cs="sans-serif"/>
                <w:color w:val="000000"/>
                <w:sz w:val="20"/>
                <w:szCs w:val="20"/>
              </w:rPr>
              <w:t>Net change in unrealized gain</w:t>
            </w:r>
          </w:p>
        </w:tc>
        <w:tc>
          <w:tcPr>
            <w:tcW w:w="0" w:type="auto"/>
            <w:gridSpan w:val="2"/>
            <w:shd w:val="clear" w:color="auto" w:fill="FFFFFF"/>
            <w:tcMar>
              <w:top w:w="40" w:type="dxa"/>
              <w:left w:w="20" w:type="dxa"/>
              <w:bottom w:w="40" w:type="dxa"/>
              <w:right w:w="0" w:type="dxa"/>
            </w:tcMar>
            <w:vAlign w:val="bottom"/>
          </w:tcPr>
          <w:p w14:paraId="0D8DE11F" w14:textId="77777777" w:rsidR="004C2197" w:rsidRDefault="00863B83">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bottom w:w="40" w:type="dxa"/>
              <w:right w:w="20" w:type="dxa"/>
            </w:tcMar>
            <w:vAlign w:val="bottom"/>
          </w:tcPr>
          <w:p w14:paraId="0D8DE12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2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22"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0D8DE12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2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25" w14:textId="77777777" w:rsidR="004C2197" w:rsidRDefault="00863B83">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bottom w:w="40" w:type="dxa"/>
              <w:right w:w="20" w:type="dxa"/>
            </w:tcMar>
            <w:vAlign w:val="bottom"/>
          </w:tcPr>
          <w:p w14:paraId="0D8DE12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2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28" w14:textId="77777777" w:rsidR="004C2197" w:rsidRDefault="00863B83">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bottom w:w="40" w:type="dxa"/>
              <w:right w:w="20" w:type="dxa"/>
            </w:tcMar>
            <w:vAlign w:val="bottom"/>
          </w:tcPr>
          <w:p w14:paraId="0D8DE129" w14:textId="77777777" w:rsidR="004C2197" w:rsidRDefault="004C2197">
            <w:pPr>
              <w:jc w:val="right"/>
              <w:rPr>
                <w:rFonts w:ascii="宋体"/>
              </w:rPr>
            </w:pPr>
          </w:p>
        </w:tc>
        <w:tc>
          <w:tcPr>
            <w:tcW w:w="0" w:type="auto"/>
            <w:shd w:val="clear" w:color="auto" w:fill="auto"/>
          </w:tcPr>
          <w:p w14:paraId="0D8DE12A" w14:textId="77777777" w:rsidR="004C2197" w:rsidRDefault="004C2197">
            <w:pPr>
              <w:rPr>
                <w:rFonts w:ascii="宋体"/>
              </w:rPr>
            </w:pPr>
          </w:p>
        </w:tc>
        <w:tc>
          <w:tcPr>
            <w:tcW w:w="0" w:type="auto"/>
            <w:shd w:val="clear" w:color="auto" w:fill="auto"/>
          </w:tcPr>
          <w:p w14:paraId="0D8DE12B" w14:textId="77777777" w:rsidR="004C2197" w:rsidRDefault="004C2197">
            <w:pPr>
              <w:rPr>
                <w:rFonts w:ascii="宋体"/>
              </w:rPr>
            </w:pPr>
          </w:p>
        </w:tc>
        <w:tc>
          <w:tcPr>
            <w:tcW w:w="0" w:type="auto"/>
            <w:shd w:val="clear" w:color="auto" w:fill="auto"/>
          </w:tcPr>
          <w:p w14:paraId="0D8DE12C" w14:textId="77777777" w:rsidR="004C2197" w:rsidRDefault="004C2197">
            <w:pPr>
              <w:rPr>
                <w:rFonts w:ascii="宋体"/>
              </w:rPr>
            </w:pPr>
          </w:p>
        </w:tc>
        <w:tc>
          <w:tcPr>
            <w:tcW w:w="0" w:type="auto"/>
            <w:shd w:val="clear" w:color="auto" w:fill="auto"/>
          </w:tcPr>
          <w:p w14:paraId="0D8DE12D" w14:textId="77777777" w:rsidR="004C2197" w:rsidRDefault="004C2197">
            <w:pPr>
              <w:rPr>
                <w:rFonts w:ascii="宋体"/>
              </w:rPr>
            </w:pPr>
          </w:p>
        </w:tc>
        <w:tc>
          <w:tcPr>
            <w:tcW w:w="0" w:type="auto"/>
            <w:shd w:val="clear" w:color="auto" w:fill="auto"/>
          </w:tcPr>
          <w:p w14:paraId="0D8DE12E" w14:textId="77777777" w:rsidR="004C2197" w:rsidRDefault="004C2197">
            <w:pPr>
              <w:rPr>
                <w:rFonts w:ascii="宋体"/>
              </w:rPr>
            </w:pPr>
          </w:p>
        </w:tc>
        <w:tc>
          <w:tcPr>
            <w:tcW w:w="0" w:type="auto"/>
            <w:shd w:val="clear" w:color="auto" w:fill="auto"/>
          </w:tcPr>
          <w:p w14:paraId="0D8DE12F" w14:textId="77777777" w:rsidR="004C2197" w:rsidRDefault="004C2197">
            <w:pPr>
              <w:rPr>
                <w:rFonts w:ascii="宋体"/>
              </w:rPr>
            </w:pPr>
          </w:p>
        </w:tc>
        <w:tc>
          <w:tcPr>
            <w:tcW w:w="0" w:type="auto"/>
            <w:shd w:val="clear" w:color="auto" w:fill="auto"/>
          </w:tcPr>
          <w:p w14:paraId="0D8DE130" w14:textId="77777777" w:rsidR="004C2197" w:rsidRDefault="004C2197">
            <w:pPr>
              <w:rPr>
                <w:rFonts w:ascii="宋体"/>
              </w:rPr>
            </w:pPr>
          </w:p>
        </w:tc>
        <w:tc>
          <w:tcPr>
            <w:tcW w:w="0" w:type="auto"/>
            <w:shd w:val="clear" w:color="auto" w:fill="auto"/>
          </w:tcPr>
          <w:p w14:paraId="0D8DE131" w14:textId="77777777" w:rsidR="004C2197" w:rsidRDefault="004C2197">
            <w:pPr>
              <w:rPr>
                <w:rFonts w:ascii="宋体"/>
              </w:rPr>
            </w:pPr>
          </w:p>
        </w:tc>
        <w:tc>
          <w:tcPr>
            <w:tcW w:w="0" w:type="auto"/>
            <w:shd w:val="clear" w:color="auto" w:fill="auto"/>
          </w:tcPr>
          <w:p w14:paraId="0D8DE132" w14:textId="77777777" w:rsidR="004C2197" w:rsidRDefault="004C2197">
            <w:pPr>
              <w:rPr>
                <w:rFonts w:ascii="宋体"/>
              </w:rPr>
            </w:pPr>
          </w:p>
        </w:tc>
        <w:tc>
          <w:tcPr>
            <w:tcW w:w="0" w:type="auto"/>
            <w:shd w:val="clear" w:color="auto" w:fill="auto"/>
          </w:tcPr>
          <w:p w14:paraId="0D8DE133" w14:textId="77777777" w:rsidR="004C2197" w:rsidRDefault="004C2197">
            <w:pPr>
              <w:rPr>
                <w:rFonts w:ascii="宋体"/>
              </w:rPr>
            </w:pPr>
          </w:p>
        </w:tc>
        <w:tc>
          <w:tcPr>
            <w:tcW w:w="0" w:type="auto"/>
            <w:shd w:val="clear" w:color="auto" w:fill="auto"/>
          </w:tcPr>
          <w:p w14:paraId="0D8DE134" w14:textId="77777777" w:rsidR="004C2197" w:rsidRDefault="004C2197">
            <w:pPr>
              <w:rPr>
                <w:rFonts w:ascii="宋体"/>
              </w:rPr>
            </w:pPr>
          </w:p>
        </w:tc>
        <w:tc>
          <w:tcPr>
            <w:tcW w:w="0" w:type="auto"/>
            <w:shd w:val="clear" w:color="auto" w:fill="auto"/>
          </w:tcPr>
          <w:p w14:paraId="0D8DE135" w14:textId="77777777" w:rsidR="004C2197" w:rsidRDefault="004C2197">
            <w:pPr>
              <w:rPr>
                <w:rFonts w:ascii="宋体"/>
              </w:rPr>
            </w:pPr>
          </w:p>
        </w:tc>
      </w:tr>
      <w:tr w:rsidR="004C2197" w14:paraId="0D8DE14F" w14:textId="77777777">
        <w:tc>
          <w:tcPr>
            <w:tcW w:w="0" w:type="auto"/>
            <w:gridSpan w:val="3"/>
            <w:shd w:val="clear" w:color="auto" w:fill="E2EFD9"/>
            <w:tcMar>
              <w:top w:w="40" w:type="dxa"/>
              <w:left w:w="225" w:type="dxa"/>
              <w:bottom w:w="40" w:type="dxa"/>
              <w:right w:w="20" w:type="dxa"/>
            </w:tcMar>
            <w:vAlign w:val="bottom"/>
          </w:tcPr>
          <w:p w14:paraId="0D8DE137" w14:textId="77777777" w:rsidR="004C2197" w:rsidRDefault="00863B83">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0D8DE138" w14:textId="77777777" w:rsidR="004C2197" w:rsidRDefault="00863B83">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bottom w:w="40" w:type="dxa"/>
              <w:right w:w="20" w:type="dxa"/>
            </w:tcMar>
            <w:vAlign w:val="bottom"/>
          </w:tcPr>
          <w:p w14:paraId="0D8DE13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3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3B"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E13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3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3E" w14:textId="77777777" w:rsidR="004C2197" w:rsidRDefault="00863B83">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bottom w:w="40" w:type="dxa"/>
              <w:right w:w="20" w:type="dxa"/>
            </w:tcMar>
            <w:vAlign w:val="bottom"/>
          </w:tcPr>
          <w:p w14:paraId="0D8DE13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4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41"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E142" w14:textId="77777777" w:rsidR="004C2197" w:rsidRDefault="004C2197">
            <w:pPr>
              <w:jc w:val="right"/>
              <w:rPr>
                <w:rFonts w:ascii="宋体"/>
              </w:rPr>
            </w:pPr>
          </w:p>
        </w:tc>
        <w:tc>
          <w:tcPr>
            <w:tcW w:w="0" w:type="auto"/>
            <w:shd w:val="clear" w:color="auto" w:fill="auto"/>
          </w:tcPr>
          <w:p w14:paraId="0D8DE143" w14:textId="77777777" w:rsidR="004C2197" w:rsidRDefault="004C2197">
            <w:pPr>
              <w:rPr>
                <w:rFonts w:ascii="宋体"/>
              </w:rPr>
            </w:pPr>
          </w:p>
        </w:tc>
        <w:tc>
          <w:tcPr>
            <w:tcW w:w="0" w:type="auto"/>
            <w:shd w:val="clear" w:color="auto" w:fill="auto"/>
          </w:tcPr>
          <w:p w14:paraId="0D8DE144" w14:textId="77777777" w:rsidR="004C2197" w:rsidRDefault="004C2197">
            <w:pPr>
              <w:rPr>
                <w:rFonts w:ascii="宋体"/>
              </w:rPr>
            </w:pPr>
          </w:p>
        </w:tc>
        <w:tc>
          <w:tcPr>
            <w:tcW w:w="0" w:type="auto"/>
            <w:shd w:val="clear" w:color="auto" w:fill="auto"/>
          </w:tcPr>
          <w:p w14:paraId="0D8DE145" w14:textId="77777777" w:rsidR="004C2197" w:rsidRDefault="004C2197">
            <w:pPr>
              <w:rPr>
                <w:rFonts w:ascii="宋体"/>
              </w:rPr>
            </w:pPr>
          </w:p>
        </w:tc>
        <w:tc>
          <w:tcPr>
            <w:tcW w:w="0" w:type="auto"/>
            <w:shd w:val="clear" w:color="auto" w:fill="auto"/>
          </w:tcPr>
          <w:p w14:paraId="0D8DE146" w14:textId="77777777" w:rsidR="004C2197" w:rsidRDefault="004C2197">
            <w:pPr>
              <w:rPr>
                <w:rFonts w:ascii="宋体"/>
              </w:rPr>
            </w:pPr>
          </w:p>
        </w:tc>
        <w:tc>
          <w:tcPr>
            <w:tcW w:w="0" w:type="auto"/>
            <w:shd w:val="clear" w:color="auto" w:fill="auto"/>
          </w:tcPr>
          <w:p w14:paraId="0D8DE147" w14:textId="77777777" w:rsidR="004C2197" w:rsidRDefault="004C2197">
            <w:pPr>
              <w:rPr>
                <w:rFonts w:ascii="宋体"/>
              </w:rPr>
            </w:pPr>
          </w:p>
        </w:tc>
        <w:tc>
          <w:tcPr>
            <w:tcW w:w="0" w:type="auto"/>
            <w:shd w:val="clear" w:color="auto" w:fill="auto"/>
          </w:tcPr>
          <w:p w14:paraId="0D8DE148" w14:textId="77777777" w:rsidR="004C2197" w:rsidRDefault="004C2197">
            <w:pPr>
              <w:rPr>
                <w:rFonts w:ascii="宋体"/>
              </w:rPr>
            </w:pPr>
          </w:p>
        </w:tc>
        <w:tc>
          <w:tcPr>
            <w:tcW w:w="0" w:type="auto"/>
            <w:shd w:val="clear" w:color="auto" w:fill="auto"/>
          </w:tcPr>
          <w:p w14:paraId="0D8DE149" w14:textId="77777777" w:rsidR="004C2197" w:rsidRDefault="004C2197">
            <w:pPr>
              <w:rPr>
                <w:rFonts w:ascii="宋体"/>
              </w:rPr>
            </w:pPr>
          </w:p>
        </w:tc>
        <w:tc>
          <w:tcPr>
            <w:tcW w:w="0" w:type="auto"/>
            <w:shd w:val="clear" w:color="auto" w:fill="auto"/>
          </w:tcPr>
          <w:p w14:paraId="0D8DE14A" w14:textId="77777777" w:rsidR="004C2197" w:rsidRDefault="004C2197">
            <w:pPr>
              <w:rPr>
                <w:rFonts w:ascii="宋体"/>
              </w:rPr>
            </w:pPr>
          </w:p>
        </w:tc>
        <w:tc>
          <w:tcPr>
            <w:tcW w:w="0" w:type="auto"/>
            <w:shd w:val="clear" w:color="auto" w:fill="auto"/>
          </w:tcPr>
          <w:p w14:paraId="0D8DE14B" w14:textId="77777777" w:rsidR="004C2197" w:rsidRDefault="004C2197">
            <w:pPr>
              <w:rPr>
                <w:rFonts w:ascii="宋体"/>
              </w:rPr>
            </w:pPr>
          </w:p>
        </w:tc>
        <w:tc>
          <w:tcPr>
            <w:tcW w:w="0" w:type="auto"/>
            <w:shd w:val="clear" w:color="auto" w:fill="auto"/>
          </w:tcPr>
          <w:p w14:paraId="0D8DE14C" w14:textId="77777777" w:rsidR="004C2197" w:rsidRDefault="004C2197">
            <w:pPr>
              <w:rPr>
                <w:rFonts w:ascii="宋体"/>
              </w:rPr>
            </w:pPr>
          </w:p>
        </w:tc>
        <w:tc>
          <w:tcPr>
            <w:tcW w:w="0" w:type="auto"/>
            <w:shd w:val="clear" w:color="auto" w:fill="auto"/>
          </w:tcPr>
          <w:p w14:paraId="0D8DE14D" w14:textId="77777777" w:rsidR="004C2197" w:rsidRDefault="004C2197">
            <w:pPr>
              <w:rPr>
                <w:rFonts w:ascii="宋体"/>
              </w:rPr>
            </w:pPr>
          </w:p>
        </w:tc>
        <w:tc>
          <w:tcPr>
            <w:tcW w:w="0" w:type="auto"/>
            <w:shd w:val="clear" w:color="auto" w:fill="auto"/>
          </w:tcPr>
          <w:p w14:paraId="0D8DE14E" w14:textId="77777777" w:rsidR="004C2197" w:rsidRDefault="004C2197">
            <w:pPr>
              <w:rPr>
                <w:rFonts w:ascii="宋体"/>
              </w:rPr>
            </w:pPr>
          </w:p>
        </w:tc>
      </w:tr>
      <w:tr w:rsidR="004C2197" w14:paraId="0D8DE168" w14:textId="77777777">
        <w:tc>
          <w:tcPr>
            <w:tcW w:w="0" w:type="auto"/>
            <w:gridSpan w:val="3"/>
            <w:shd w:val="clear" w:color="auto" w:fill="FFFFFF"/>
            <w:tcMar>
              <w:top w:w="40" w:type="dxa"/>
              <w:left w:w="225" w:type="dxa"/>
              <w:bottom w:w="40" w:type="dxa"/>
              <w:right w:w="20" w:type="dxa"/>
            </w:tcMar>
            <w:vAlign w:val="bottom"/>
          </w:tcPr>
          <w:p w14:paraId="0D8DE150" w14:textId="77777777" w:rsidR="004C2197" w:rsidRDefault="00863B83">
            <w:pPr>
              <w:textAlignment w:val="bottom"/>
            </w:pPr>
            <w:r>
              <w:rPr>
                <w:rFonts w:ascii="sans-serif" w:eastAsia="sans-serif" w:hAnsi="sans-serif" w:cs="sans-serif"/>
                <w:color w:val="000000"/>
                <w:sz w:val="20"/>
                <w:szCs w:val="20"/>
              </w:rPr>
              <w:t>Net change in unrealized gain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51"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0D8DE15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53"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54"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0D8DE15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56"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57"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0D8DE15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59"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5A" w14:textId="77777777" w:rsidR="004C2197" w:rsidRDefault="00863B83">
            <w:pPr>
              <w:jc w:val="right"/>
              <w:textAlignment w:val="bottom"/>
            </w:pPr>
            <w:r>
              <w:rPr>
                <w:rFonts w:ascii="sans-serif" w:eastAsia="sans-serif" w:hAnsi="sans-serif" w:cs="sans-serif"/>
                <w:color w:val="000000"/>
                <w:sz w:val="20"/>
                <w:szCs w:val="20"/>
              </w:rPr>
              <w:t>9 </w:t>
            </w:r>
          </w:p>
        </w:tc>
        <w:tc>
          <w:tcPr>
            <w:tcW w:w="0" w:type="auto"/>
            <w:tcBorders>
              <w:top w:val="single" w:sz="8" w:space="0" w:color="000000"/>
            </w:tcBorders>
            <w:shd w:val="clear" w:color="auto" w:fill="FFFFFF"/>
            <w:tcMar>
              <w:top w:w="40" w:type="dxa"/>
              <w:bottom w:w="40" w:type="dxa"/>
              <w:right w:w="20" w:type="dxa"/>
            </w:tcMar>
            <w:vAlign w:val="bottom"/>
          </w:tcPr>
          <w:p w14:paraId="0D8DE15B" w14:textId="77777777" w:rsidR="004C2197" w:rsidRDefault="004C2197">
            <w:pPr>
              <w:jc w:val="right"/>
              <w:rPr>
                <w:rFonts w:ascii="宋体"/>
              </w:rPr>
            </w:pPr>
          </w:p>
        </w:tc>
        <w:tc>
          <w:tcPr>
            <w:tcW w:w="0" w:type="auto"/>
            <w:shd w:val="clear" w:color="auto" w:fill="auto"/>
          </w:tcPr>
          <w:p w14:paraId="0D8DE15C" w14:textId="77777777" w:rsidR="004C2197" w:rsidRDefault="004C2197">
            <w:pPr>
              <w:rPr>
                <w:rFonts w:ascii="宋体"/>
              </w:rPr>
            </w:pPr>
          </w:p>
        </w:tc>
        <w:tc>
          <w:tcPr>
            <w:tcW w:w="0" w:type="auto"/>
            <w:shd w:val="clear" w:color="auto" w:fill="auto"/>
          </w:tcPr>
          <w:p w14:paraId="0D8DE15D" w14:textId="77777777" w:rsidR="004C2197" w:rsidRDefault="004C2197">
            <w:pPr>
              <w:rPr>
                <w:rFonts w:ascii="宋体"/>
              </w:rPr>
            </w:pPr>
          </w:p>
        </w:tc>
        <w:tc>
          <w:tcPr>
            <w:tcW w:w="0" w:type="auto"/>
            <w:shd w:val="clear" w:color="auto" w:fill="auto"/>
          </w:tcPr>
          <w:p w14:paraId="0D8DE15E" w14:textId="77777777" w:rsidR="004C2197" w:rsidRDefault="004C2197">
            <w:pPr>
              <w:rPr>
                <w:rFonts w:ascii="宋体"/>
              </w:rPr>
            </w:pPr>
          </w:p>
        </w:tc>
        <w:tc>
          <w:tcPr>
            <w:tcW w:w="0" w:type="auto"/>
            <w:shd w:val="clear" w:color="auto" w:fill="auto"/>
          </w:tcPr>
          <w:p w14:paraId="0D8DE15F" w14:textId="77777777" w:rsidR="004C2197" w:rsidRDefault="004C2197">
            <w:pPr>
              <w:rPr>
                <w:rFonts w:ascii="宋体"/>
              </w:rPr>
            </w:pPr>
          </w:p>
        </w:tc>
        <w:tc>
          <w:tcPr>
            <w:tcW w:w="0" w:type="auto"/>
            <w:shd w:val="clear" w:color="auto" w:fill="auto"/>
          </w:tcPr>
          <w:p w14:paraId="0D8DE160" w14:textId="77777777" w:rsidR="004C2197" w:rsidRDefault="004C2197">
            <w:pPr>
              <w:rPr>
                <w:rFonts w:ascii="宋体"/>
              </w:rPr>
            </w:pPr>
          </w:p>
        </w:tc>
        <w:tc>
          <w:tcPr>
            <w:tcW w:w="0" w:type="auto"/>
            <w:shd w:val="clear" w:color="auto" w:fill="auto"/>
          </w:tcPr>
          <w:p w14:paraId="0D8DE161" w14:textId="77777777" w:rsidR="004C2197" w:rsidRDefault="004C2197">
            <w:pPr>
              <w:rPr>
                <w:rFonts w:ascii="宋体"/>
              </w:rPr>
            </w:pPr>
          </w:p>
        </w:tc>
        <w:tc>
          <w:tcPr>
            <w:tcW w:w="0" w:type="auto"/>
            <w:shd w:val="clear" w:color="auto" w:fill="auto"/>
          </w:tcPr>
          <w:p w14:paraId="0D8DE162" w14:textId="77777777" w:rsidR="004C2197" w:rsidRDefault="004C2197">
            <w:pPr>
              <w:rPr>
                <w:rFonts w:ascii="宋体"/>
              </w:rPr>
            </w:pPr>
          </w:p>
        </w:tc>
        <w:tc>
          <w:tcPr>
            <w:tcW w:w="0" w:type="auto"/>
            <w:shd w:val="clear" w:color="auto" w:fill="auto"/>
          </w:tcPr>
          <w:p w14:paraId="0D8DE163" w14:textId="77777777" w:rsidR="004C2197" w:rsidRDefault="004C2197">
            <w:pPr>
              <w:rPr>
                <w:rFonts w:ascii="宋体"/>
              </w:rPr>
            </w:pPr>
          </w:p>
        </w:tc>
        <w:tc>
          <w:tcPr>
            <w:tcW w:w="0" w:type="auto"/>
            <w:shd w:val="clear" w:color="auto" w:fill="auto"/>
          </w:tcPr>
          <w:p w14:paraId="0D8DE164" w14:textId="77777777" w:rsidR="004C2197" w:rsidRDefault="004C2197">
            <w:pPr>
              <w:rPr>
                <w:rFonts w:ascii="宋体"/>
              </w:rPr>
            </w:pPr>
          </w:p>
        </w:tc>
        <w:tc>
          <w:tcPr>
            <w:tcW w:w="0" w:type="auto"/>
            <w:shd w:val="clear" w:color="auto" w:fill="auto"/>
          </w:tcPr>
          <w:p w14:paraId="0D8DE165" w14:textId="77777777" w:rsidR="004C2197" w:rsidRDefault="004C2197">
            <w:pPr>
              <w:rPr>
                <w:rFonts w:ascii="宋体"/>
              </w:rPr>
            </w:pPr>
          </w:p>
        </w:tc>
        <w:tc>
          <w:tcPr>
            <w:tcW w:w="0" w:type="auto"/>
            <w:shd w:val="clear" w:color="auto" w:fill="auto"/>
          </w:tcPr>
          <w:p w14:paraId="0D8DE166" w14:textId="77777777" w:rsidR="004C2197" w:rsidRDefault="004C2197">
            <w:pPr>
              <w:rPr>
                <w:rFonts w:ascii="宋体"/>
              </w:rPr>
            </w:pPr>
          </w:p>
        </w:tc>
        <w:tc>
          <w:tcPr>
            <w:tcW w:w="0" w:type="auto"/>
            <w:shd w:val="clear" w:color="auto" w:fill="auto"/>
          </w:tcPr>
          <w:p w14:paraId="0D8DE167" w14:textId="77777777" w:rsidR="004C2197" w:rsidRDefault="004C2197">
            <w:pPr>
              <w:rPr>
                <w:rFonts w:ascii="宋体"/>
              </w:rPr>
            </w:pPr>
          </w:p>
        </w:tc>
      </w:tr>
      <w:tr w:rsidR="004C2197" w14:paraId="0D8DE17D" w14:textId="77777777">
        <w:tc>
          <w:tcPr>
            <w:tcW w:w="0" w:type="auto"/>
            <w:gridSpan w:val="3"/>
            <w:shd w:val="clear" w:color="auto" w:fill="E2EFD9"/>
            <w:tcMar>
              <w:top w:w="40" w:type="dxa"/>
              <w:left w:w="20" w:type="dxa"/>
              <w:bottom w:w="40" w:type="dxa"/>
              <w:right w:w="20" w:type="dxa"/>
            </w:tcMar>
            <w:vAlign w:val="bottom"/>
          </w:tcPr>
          <w:p w14:paraId="0D8DE169" w14:textId="77777777" w:rsidR="004C2197" w:rsidRDefault="00863B83">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left w:w="20" w:type="dxa"/>
              <w:right w:w="20" w:type="dxa"/>
            </w:tcMar>
            <w:vAlign w:val="bottom"/>
          </w:tcPr>
          <w:p w14:paraId="0D8DE16A"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6B" w14:textId="77777777" w:rsidR="004C2197" w:rsidRDefault="004C2197">
            <w:pPr>
              <w:rPr>
                <w:rFonts w:ascii="宋体"/>
              </w:rPr>
            </w:pPr>
          </w:p>
        </w:tc>
        <w:tc>
          <w:tcPr>
            <w:tcW w:w="0" w:type="auto"/>
            <w:gridSpan w:val="3"/>
            <w:tcBorders>
              <w:top w:val="single" w:sz="8" w:space="0" w:color="000000"/>
            </w:tcBorders>
            <w:shd w:val="clear" w:color="auto" w:fill="E2EFD9"/>
            <w:tcMar>
              <w:left w:w="20" w:type="dxa"/>
              <w:right w:w="20" w:type="dxa"/>
            </w:tcMar>
            <w:vAlign w:val="bottom"/>
          </w:tcPr>
          <w:p w14:paraId="0D8DE16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6D" w14:textId="77777777" w:rsidR="004C2197" w:rsidRDefault="004C2197">
            <w:pPr>
              <w:rPr>
                <w:rFonts w:ascii="宋体"/>
              </w:rPr>
            </w:pPr>
          </w:p>
        </w:tc>
        <w:tc>
          <w:tcPr>
            <w:tcW w:w="0" w:type="auto"/>
            <w:gridSpan w:val="3"/>
            <w:tcBorders>
              <w:top w:val="single" w:sz="8" w:space="0" w:color="000000"/>
            </w:tcBorders>
            <w:shd w:val="clear" w:color="auto" w:fill="E2EFD9"/>
            <w:tcMar>
              <w:left w:w="20" w:type="dxa"/>
              <w:right w:w="20" w:type="dxa"/>
            </w:tcMar>
            <w:vAlign w:val="bottom"/>
          </w:tcPr>
          <w:p w14:paraId="0D8DE16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16F" w14:textId="77777777" w:rsidR="004C2197" w:rsidRDefault="004C2197">
            <w:pPr>
              <w:rPr>
                <w:rFonts w:ascii="宋体"/>
              </w:rPr>
            </w:pPr>
          </w:p>
        </w:tc>
        <w:tc>
          <w:tcPr>
            <w:tcW w:w="0" w:type="auto"/>
            <w:gridSpan w:val="3"/>
            <w:tcBorders>
              <w:top w:val="single" w:sz="8" w:space="0" w:color="000000"/>
            </w:tcBorders>
            <w:shd w:val="clear" w:color="auto" w:fill="E2EFD9"/>
            <w:tcMar>
              <w:left w:w="20" w:type="dxa"/>
              <w:right w:w="20" w:type="dxa"/>
            </w:tcMar>
            <w:vAlign w:val="bottom"/>
          </w:tcPr>
          <w:p w14:paraId="0D8DE170" w14:textId="77777777" w:rsidR="004C2197" w:rsidRDefault="004C2197">
            <w:pPr>
              <w:rPr>
                <w:rFonts w:ascii="宋体"/>
              </w:rPr>
            </w:pPr>
          </w:p>
        </w:tc>
        <w:tc>
          <w:tcPr>
            <w:tcW w:w="0" w:type="auto"/>
            <w:shd w:val="clear" w:color="auto" w:fill="auto"/>
          </w:tcPr>
          <w:p w14:paraId="0D8DE171" w14:textId="77777777" w:rsidR="004C2197" w:rsidRDefault="004C2197">
            <w:pPr>
              <w:rPr>
                <w:rFonts w:ascii="宋体"/>
              </w:rPr>
            </w:pPr>
          </w:p>
        </w:tc>
        <w:tc>
          <w:tcPr>
            <w:tcW w:w="0" w:type="auto"/>
            <w:shd w:val="clear" w:color="auto" w:fill="auto"/>
          </w:tcPr>
          <w:p w14:paraId="0D8DE172" w14:textId="77777777" w:rsidR="004C2197" w:rsidRDefault="004C2197">
            <w:pPr>
              <w:rPr>
                <w:rFonts w:ascii="宋体"/>
              </w:rPr>
            </w:pPr>
          </w:p>
        </w:tc>
        <w:tc>
          <w:tcPr>
            <w:tcW w:w="0" w:type="auto"/>
            <w:shd w:val="clear" w:color="auto" w:fill="auto"/>
          </w:tcPr>
          <w:p w14:paraId="0D8DE173" w14:textId="77777777" w:rsidR="004C2197" w:rsidRDefault="004C2197">
            <w:pPr>
              <w:rPr>
                <w:rFonts w:ascii="宋体"/>
              </w:rPr>
            </w:pPr>
          </w:p>
        </w:tc>
        <w:tc>
          <w:tcPr>
            <w:tcW w:w="0" w:type="auto"/>
            <w:shd w:val="clear" w:color="auto" w:fill="auto"/>
          </w:tcPr>
          <w:p w14:paraId="0D8DE174" w14:textId="77777777" w:rsidR="004C2197" w:rsidRDefault="004C2197">
            <w:pPr>
              <w:rPr>
                <w:rFonts w:ascii="宋体"/>
              </w:rPr>
            </w:pPr>
          </w:p>
        </w:tc>
        <w:tc>
          <w:tcPr>
            <w:tcW w:w="0" w:type="auto"/>
            <w:shd w:val="clear" w:color="auto" w:fill="auto"/>
          </w:tcPr>
          <w:p w14:paraId="0D8DE175" w14:textId="77777777" w:rsidR="004C2197" w:rsidRDefault="004C2197">
            <w:pPr>
              <w:rPr>
                <w:rFonts w:ascii="宋体"/>
              </w:rPr>
            </w:pPr>
          </w:p>
        </w:tc>
        <w:tc>
          <w:tcPr>
            <w:tcW w:w="0" w:type="auto"/>
            <w:shd w:val="clear" w:color="auto" w:fill="auto"/>
          </w:tcPr>
          <w:p w14:paraId="0D8DE176" w14:textId="77777777" w:rsidR="004C2197" w:rsidRDefault="004C2197">
            <w:pPr>
              <w:rPr>
                <w:rFonts w:ascii="宋体"/>
              </w:rPr>
            </w:pPr>
          </w:p>
        </w:tc>
        <w:tc>
          <w:tcPr>
            <w:tcW w:w="0" w:type="auto"/>
            <w:shd w:val="clear" w:color="auto" w:fill="auto"/>
          </w:tcPr>
          <w:p w14:paraId="0D8DE177" w14:textId="77777777" w:rsidR="004C2197" w:rsidRDefault="004C2197">
            <w:pPr>
              <w:rPr>
                <w:rFonts w:ascii="宋体"/>
              </w:rPr>
            </w:pPr>
          </w:p>
        </w:tc>
        <w:tc>
          <w:tcPr>
            <w:tcW w:w="0" w:type="auto"/>
            <w:shd w:val="clear" w:color="auto" w:fill="auto"/>
          </w:tcPr>
          <w:p w14:paraId="0D8DE178" w14:textId="77777777" w:rsidR="004C2197" w:rsidRDefault="004C2197">
            <w:pPr>
              <w:rPr>
                <w:rFonts w:ascii="宋体"/>
              </w:rPr>
            </w:pPr>
          </w:p>
        </w:tc>
        <w:tc>
          <w:tcPr>
            <w:tcW w:w="0" w:type="auto"/>
            <w:shd w:val="clear" w:color="auto" w:fill="auto"/>
          </w:tcPr>
          <w:p w14:paraId="0D8DE179" w14:textId="77777777" w:rsidR="004C2197" w:rsidRDefault="004C2197">
            <w:pPr>
              <w:rPr>
                <w:rFonts w:ascii="宋体"/>
              </w:rPr>
            </w:pPr>
          </w:p>
        </w:tc>
        <w:tc>
          <w:tcPr>
            <w:tcW w:w="0" w:type="auto"/>
            <w:shd w:val="clear" w:color="auto" w:fill="auto"/>
          </w:tcPr>
          <w:p w14:paraId="0D8DE17A" w14:textId="77777777" w:rsidR="004C2197" w:rsidRDefault="004C2197">
            <w:pPr>
              <w:rPr>
                <w:rFonts w:ascii="宋体"/>
              </w:rPr>
            </w:pPr>
          </w:p>
        </w:tc>
        <w:tc>
          <w:tcPr>
            <w:tcW w:w="0" w:type="auto"/>
            <w:shd w:val="clear" w:color="auto" w:fill="auto"/>
          </w:tcPr>
          <w:p w14:paraId="0D8DE17B" w14:textId="77777777" w:rsidR="004C2197" w:rsidRDefault="004C2197">
            <w:pPr>
              <w:rPr>
                <w:rFonts w:ascii="宋体"/>
              </w:rPr>
            </w:pPr>
          </w:p>
        </w:tc>
        <w:tc>
          <w:tcPr>
            <w:tcW w:w="0" w:type="auto"/>
            <w:shd w:val="clear" w:color="auto" w:fill="auto"/>
          </w:tcPr>
          <w:p w14:paraId="0D8DE17C" w14:textId="77777777" w:rsidR="004C2197" w:rsidRDefault="004C2197">
            <w:pPr>
              <w:rPr>
                <w:rFonts w:ascii="宋体"/>
              </w:rPr>
            </w:pPr>
          </w:p>
        </w:tc>
      </w:tr>
      <w:tr w:rsidR="004C2197" w14:paraId="0D8DE196" w14:textId="77777777">
        <w:tc>
          <w:tcPr>
            <w:tcW w:w="0" w:type="auto"/>
            <w:gridSpan w:val="3"/>
            <w:shd w:val="clear" w:color="auto" w:fill="FFFFFF"/>
            <w:tcMar>
              <w:top w:w="40" w:type="dxa"/>
              <w:left w:w="225" w:type="dxa"/>
              <w:bottom w:w="40" w:type="dxa"/>
              <w:right w:w="20" w:type="dxa"/>
            </w:tcMar>
            <w:vAlign w:val="bottom"/>
          </w:tcPr>
          <w:p w14:paraId="0D8DE17E" w14:textId="77777777" w:rsidR="004C2197" w:rsidRDefault="00863B83">
            <w:pPr>
              <w:textAlignment w:val="bottom"/>
            </w:pPr>
            <w:r>
              <w:rPr>
                <w:rFonts w:ascii="sans-serif" w:eastAsia="sans-serif" w:hAnsi="sans-serif" w:cs="sans-serif"/>
                <w:color w:val="000000"/>
                <w:sz w:val="20"/>
                <w:szCs w:val="20"/>
              </w:rPr>
              <w:t>Net unrealized gain</w:t>
            </w:r>
          </w:p>
        </w:tc>
        <w:tc>
          <w:tcPr>
            <w:tcW w:w="0" w:type="auto"/>
            <w:gridSpan w:val="2"/>
            <w:shd w:val="clear" w:color="auto" w:fill="FFFFFF"/>
            <w:tcMar>
              <w:top w:w="40" w:type="dxa"/>
              <w:left w:w="20" w:type="dxa"/>
              <w:bottom w:w="40" w:type="dxa"/>
              <w:right w:w="0" w:type="dxa"/>
            </w:tcMar>
            <w:vAlign w:val="bottom"/>
          </w:tcPr>
          <w:p w14:paraId="0D8DE17F" w14:textId="77777777" w:rsidR="004C2197" w:rsidRDefault="00863B83">
            <w:pPr>
              <w:jc w:val="right"/>
              <w:textAlignment w:val="bottom"/>
            </w:pPr>
            <w:r>
              <w:rPr>
                <w:rFonts w:ascii="sans-serif" w:eastAsia="sans-serif" w:hAnsi="sans-serif" w:cs="sans-serif"/>
                <w:color w:val="000000"/>
                <w:sz w:val="20"/>
                <w:szCs w:val="20"/>
              </w:rPr>
              <w:t>16 </w:t>
            </w:r>
          </w:p>
        </w:tc>
        <w:tc>
          <w:tcPr>
            <w:tcW w:w="0" w:type="auto"/>
            <w:shd w:val="clear" w:color="auto" w:fill="FFFFFF"/>
            <w:tcMar>
              <w:top w:w="40" w:type="dxa"/>
              <w:bottom w:w="40" w:type="dxa"/>
              <w:right w:w="20" w:type="dxa"/>
            </w:tcMar>
            <w:vAlign w:val="bottom"/>
          </w:tcPr>
          <w:p w14:paraId="0D8DE18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8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82"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E18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8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85" w14:textId="77777777" w:rsidR="004C2197" w:rsidRDefault="00863B83">
            <w:pPr>
              <w:jc w:val="right"/>
              <w:textAlignment w:val="bottom"/>
            </w:pPr>
            <w:r>
              <w:rPr>
                <w:rFonts w:ascii="sans-serif" w:eastAsia="sans-serif" w:hAnsi="sans-serif" w:cs="sans-serif"/>
                <w:color w:val="000000"/>
                <w:sz w:val="20"/>
                <w:szCs w:val="20"/>
              </w:rPr>
              <w:t>6 </w:t>
            </w:r>
          </w:p>
        </w:tc>
        <w:tc>
          <w:tcPr>
            <w:tcW w:w="0" w:type="auto"/>
            <w:shd w:val="clear" w:color="auto" w:fill="FFFFFF"/>
            <w:tcMar>
              <w:top w:w="40" w:type="dxa"/>
              <w:bottom w:w="40" w:type="dxa"/>
              <w:right w:w="20" w:type="dxa"/>
            </w:tcMar>
            <w:vAlign w:val="bottom"/>
          </w:tcPr>
          <w:p w14:paraId="0D8DE18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8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188" w14:textId="77777777" w:rsidR="004C2197" w:rsidRDefault="00863B83">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bottom w:w="40" w:type="dxa"/>
              <w:right w:w="20" w:type="dxa"/>
            </w:tcMar>
            <w:vAlign w:val="bottom"/>
          </w:tcPr>
          <w:p w14:paraId="0D8DE189" w14:textId="77777777" w:rsidR="004C2197" w:rsidRDefault="004C2197">
            <w:pPr>
              <w:jc w:val="right"/>
              <w:rPr>
                <w:rFonts w:ascii="宋体"/>
              </w:rPr>
            </w:pPr>
          </w:p>
        </w:tc>
        <w:tc>
          <w:tcPr>
            <w:tcW w:w="0" w:type="auto"/>
            <w:shd w:val="clear" w:color="auto" w:fill="auto"/>
          </w:tcPr>
          <w:p w14:paraId="0D8DE18A" w14:textId="77777777" w:rsidR="004C2197" w:rsidRDefault="004C2197">
            <w:pPr>
              <w:rPr>
                <w:rFonts w:ascii="宋体"/>
              </w:rPr>
            </w:pPr>
          </w:p>
        </w:tc>
        <w:tc>
          <w:tcPr>
            <w:tcW w:w="0" w:type="auto"/>
            <w:shd w:val="clear" w:color="auto" w:fill="auto"/>
          </w:tcPr>
          <w:p w14:paraId="0D8DE18B" w14:textId="77777777" w:rsidR="004C2197" w:rsidRDefault="004C2197">
            <w:pPr>
              <w:rPr>
                <w:rFonts w:ascii="宋体"/>
              </w:rPr>
            </w:pPr>
          </w:p>
        </w:tc>
        <w:tc>
          <w:tcPr>
            <w:tcW w:w="0" w:type="auto"/>
            <w:shd w:val="clear" w:color="auto" w:fill="auto"/>
          </w:tcPr>
          <w:p w14:paraId="0D8DE18C" w14:textId="77777777" w:rsidR="004C2197" w:rsidRDefault="004C2197">
            <w:pPr>
              <w:rPr>
                <w:rFonts w:ascii="宋体"/>
              </w:rPr>
            </w:pPr>
          </w:p>
        </w:tc>
        <w:tc>
          <w:tcPr>
            <w:tcW w:w="0" w:type="auto"/>
            <w:shd w:val="clear" w:color="auto" w:fill="auto"/>
          </w:tcPr>
          <w:p w14:paraId="0D8DE18D" w14:textId="77777777" w:rsidR="004C2197" w:rsidRDefault="004C2197">
            <w:pPr>
              <w:rPr>
                <w:rFonts w:ascii="宋体"/>
              </w:rPr>
            </w:pPr>
          </w:p>
        </w:tc>
        <w:tc>
          <w:tcPr>
            <w:tcW w:w="0" w:type="auto"/>
            <w:shd w:val="clear" w:color="auto" w:fill="auto"/>
          </w:tcPr>
          <w:p w14:paraId="0D8DE18E" w14:textId="77777777" w:rsidR="004C2197" w:rsidRDefault="004C2197">
            <w:pPr>
              <w:rPr>
                <w:rFonts w:ascii="宋体"/>
              </w:rPr>
            </w:pPr>
          </w:p>
        </w:tc>
        <w:tc>
          <w:tcPr>
            <w:tcW w:w="0" w:type="auto"/>
            <w:shd w:val="clear" w:color="auto" w:fill="auto"/>
          </w:tcPr>
          <w:p w14:paraId="0D8DE18F" w14:textId="77777777" w:rsidR="004C2197" w:rsidRDefault="004C2197">
            <w:pPr>
              <w:rPr>
                <w:rFonts w:ascii="宋体"/>
              </w:rPr>
            </w:pPr>
          </w:p>
        </w:tc>
        <w:tc>
          <w:tcPr>
            <w:tcW w:w="0" w:type="auto"/>
            <w:shd w:val="clear" w:color="auto" w:fill="auto"/>
          </w:tcPr>
          <w:p w14:paraId="0D8DE190" w14:textId="77777777" w:rsidR="004C2197" w:rsidRDefault="004C2197">
            <w:pPr>
              <w:rPr>
                <w:rFonts w:ascii="宋体"/>
              </w:rPr>
            </w:pPr>
          </w:p>
        </w:tc>
        <w:tc>
          <w:tcPr>
            <w:tcW w:w="0" w:type="auto"/>
            <w:shd w:val="clear" w:color="auto" w:fill="auto"/>
          </w:tcPr>
          <w:p w14:paraId="0D8DE191" w14:textId="77777777" w:rsidR="004C2197" w:rsidRDefault="004C2197">
            <w:pPr>
              <w:rPr>
                <w:rFonts w:ascii="宋体"/>
              </w:rPr>
            </w:pPr>
          </w:p>
        </w:tc>
        <w:tc>
          <w:tcPr>
            <w:tcW w:w="0" w:type="auto"/>
            <w:shd w:val="clear" w:color="auto" w:fill="auto"/>
          </w:tcPr>
          <w:p w14:paraId="0D8DE192" w14:textId="77777777" w:rsidR="004C2197" w:rsidRDefault="004C2197">
            <w:pPr>
              <w:rPr>
                <w:rFonts w:ascii="宋体"/>
              </w:rPr>
            </w:pPr>
          </w:p>
        </w:tc>
        <w:tc>
          <w:tcPr>
            <w:tcW w:w="0" w:type="auto"/>
            <w:shd w:val="clear" w:color="auto" w:fill="auto"/>
          </w:tcPr>
          <w:p w14:paraId="0D8DE193" w14:textId="77777777" w:rsidR="004C2197" w:rsidRDefault="004C2197">
            <w:pPr>
              <w:rPr>
                <w:rFonts w:ascii="宋体"/>
              </w:rPr>
            </w:pPr>
          </w:p>
        </w:tc>
        <w:tc>
          <w:tcPr>
            <w:tcW w:w="0" w:type="auto"/>
            <w:shd w:val="clear" w:color="auto" w:fill="auto"/>
          </w:tcPr>
          <w:p w14:paraId="0D8DE194" w14:textId="77777777" w:rsidR="004C2197" w:rsidRDefault="004C2197">
            <w:pPr>
              <w:rPr>
                <w:rFonts w:ascii="宋体"/>
              </w:rPr>
            </w:pPr>
          </w:p>
        </w:tc>
        <w:tc>
          <w:tcPr>
            <w:tcW w:w="0" w:type="auto"/>
            <w:shd w:val="clear" w:color="auto" w:fill="auto"/>
          </w:tcPr>
          <w:p w14:paraId="0D8DE195" w14:textId="77777777" w:rsidR="004C2197" w:rsidRDefault="004C2197">
            <w:pPr>
              <w:rPr>
                <w:rFonts w:ascii="宋体"/>
              </w:rPr>
            </w:pPr>
          </w:p>
        </w:tc>
      </w:tr>
      <w:tr w:rsidR="004C2197" w14:paraId="0D8DE1AF" w14:textId="77777777">
        <w:tc>
          <w:tcPr>
            <w:tcW w:w="0" w:type="auto"/>
            <w:gridSpan w:val="3"/>
            <w:shd w:val="clear" w:color="auto" w:fill="E2EFD9"/>
            <w:tcMar>
              <w:top w:w="40" w:type="dxa"/>
              <w:left w:w="225" w:type="dxa"/>
              <w:bottom w:w="40" w:type="dxa"/>
              <w:right w:w="20" w:type="dxa"/>
            </w:tcMar>
            <w:vAlign w:val="bottom"/>
          </w:tcPr>
          <w:p w14:paraId="0D8DE197" w14:textId="77777777" w:rsidR="004C2197" w:rsidRDefault="00863B83">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0D8DE198" w14:textId="77777777" w:rsidR="004C2197" w:rsidRDefault="00863B83">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bottom w:w="40" w:type="dxa"/>
              <w:right w:w="20" w:type="dxa"/>
            </w:tcMar>
            <w:vAlign w:val="bottom"/>
          </w:tcPr>
          <w:p w14:paraId="0D8DE19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9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9B"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E19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9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9E" w14:textId="77777777" w:rsidR="004C2197" w:rsidRDefault="00863B83">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bottom w:w="40" w:type="dxa"/>
              <w:right w:w="20" w:type="dxa"/>
            </w:tcMar>
            <w:vAlign w:val="bottom"/>
          </w:tcPr>
          <w:p w14:paraId="0D8DE19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A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1A1" w14:textId="77777777" w:rsidR="004C2197" w:rsidRDefault="00863B83">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bottom w:w="40" w:type="dxa"/>
              <w:right w:w="20" w:type="dxa"/>
            </w:tcMar>
            <w:vAlign w:val="bottom"/>
          </w:tcPr>
          <w:p w14:paraId="0D8DE1A2" w14:textId="77777777" w:rsidR="004C2197" w:rsidRDefault="004C2197">
            <w:pPr>
              <w:jc w:val="right"/>
              <w:rPr>
                <w:rFonts w:ascii="宋体"/>
              </w:rPr>
            </w:pPr>
          </w:p>
        </w:tc>
        <w:tc>
          <w:tcPr>
            <w:tcW w:w="0" w:type="auto"/>
            <w:shd w:val="clear" w:color="auto" w:fill="auto"/>
          </w:tcPr>
          <w:p w14:paraId="0D8DE1A3" w14:textId="77777777" w:rsidR="004C2197" w:rsidRDefault="004C2197">
            <w:pPr>
              <w:rPr>
                <w:rFonts w:ascii="宋体"/>
              </w:rPr>
            </w:pPr>
          </w:p>
        </w:tc>
        <w:tc>
          <w:tcPr>
            <w:tcW w:w="0" w:type="auto"/>
            <w:shd w:val="clear" w:color="auto" w:fill="auto"/>
          </w:tcPr>
          <w:p w14:paraId="0D8DE1A4" w14:textId="77777777" w:rsidR="004C2197" w:rsidRDefault="004C2197">
            <w:pPr>
              <w:rPr>
                <w:rFonts w:ascii="宋体"/>
              </w:rPr>
            </w:pPr>
          </w:p>
        </w:tc>
        <w:tc>
          <w:tcPr>
            <w:tcW w:w="0" w:type="auto"/>
            <w:shd w:val="clear" w:color="auto" w:fill="auto"/>
          </w:tcPr>
          <w:p w14:paraId="0D8DE1A5" w14:textId="77777777" w:rsidR="004C2197" w:rsidRDefault="004C2197">
            <w:pPr>
              <w:rPr>
                <w:rFonts w:ascii="宋体"/>
              </w:rPr>
            </w:pPr>
          </w:p>
        </w:tc>
        <w:tc>
          <w:tcPr>
            <w:tcW w:w="0" w:type="auto"/>
            <w:shd w:val="clear" w:color="auto" w:fill="auto"/>
          </w:tcPr>
          <w:p w14:paraId="0D8DE1A6" w14:textId="77777777" w:rsidR="004C2197" w:rsidRDefault="004C2197">
            <w:pPr>
              <w:rPr>
                <w:rFonts w:ascii="宋体"/>
              </w:rPr>
            </w:pPr>
          </w:p>
        </w:tc>
        <w:tc>
          <w:tcPr>
            <w:tcW w:w="0" w:type="auto"/>
            <w:shd w:val="clear" w:color="auto" w:fill="auto"/>
          </w:tcPr>
          <w:p w14:paraId="0D8DE1A7" w14:textId="77777777" w:rsidR="004C2197" w:rsidRDefault="004C2197">
            <w:pPr>
              <w:rPr>
                <w:rFonts w:ascii="宋体"/>
              </w:rPr>
            </w:pPr>
          </w:p>
        </w:tc>
        <w:tc>
          <w:tcPr>
            <w:tcW w:w="0" w:type="auto"/>
            <w:shd w:val="clear" w:color="auto" w:fill="auto"/>
          </w:tcPr>
          <w:p w14:paraId="0D8DE1A8" w14:textId="77777777" w:rsidR="004C2197" w:rsidRDefault="004C2197">
            <w:pPr>
              <w:rPr>
                <w:rFonts w:ascii="宋体"/>
              </w:rPr>
            </w:pPr>
          </w:p>
        </w:tc>
        <w:tc>
          <w:tcPr>
            <w:tcW w:w="0" w:type="auto"/>
            <w:shd w:val="clear" w:color="auto" w:fill="auto"/>
          </w:tcPr>
          <w:p w14:paraId="0D8DE1A9" w14:textId="77777777" w:rsidR="004C2197" w:rsidRDefault="004C2197">
            <w:pPr>
              <w:rPr>
                <w:rFonts w:ascii="宋体"/>
              </w:rPr>
            </w:pPr>
          </w:p>
        </w:tc>
        <w:tc>
          <w:tcPr>
            <w:tcW w:w="0" w:type="auto"/>
            <w:shd w:val="clear" w:color="auto" w:fill="auto"/>
          </w:tcPr>
          <w:p w14:paraId="0D8DE1AA" w14:textId="77777777" w:rsidR="004C2197" w:rsidRDefault="004C2197">
            <w:pPr>
              <w:rPr>
                <w:rFonts w:ascii="宋体"/>
              </w:rPr>
            </w:pPr>
          </w:p>
        </w:tc>
        <w:tc>
          <w:tcPr>
            <w:tcW w:w="0" w:type="auto"/>
            <w:shd w:val="clear" w:color="auto" w:fill="auto"/>
          </w:tcPr>
          <w:p w14:paraId="0D8DE1AB" w14:textId="77777777" w:rsidR="004C2197" w:rsidRDefault="004C2197">
            <w:pPr>
              <w:rPr>
                <w:rFonts w:ascii="宋体"/>
              </w:rPr>
            </w:pPr>
          </w:p>
        </w:tc>
        <w:tc>
          <w:tcPr>
            <w:tcW w:w="0" w:type="auto"/>
            <w:shd w:val="clear" w:color="auto" w:fill="auto"/>
          </w:tcPr>
          <w:p w14:paraId="0D8DE1AC" w14:textId="77777777" w:rsidR="004C2197" w:rsidRDefault="004C2197">
            <w:pPr>
              <w:rPr>
                <w:rFonts w:ascii="宋体"/>
              </w:rPr>
            </w:pPr>
          </w:p>
        </w:tc>
        <w:tc>
          <w:tcPr>
            <w:tcW w:w="0" w:type="auto"/>
            <w:shd w:val="clear" w:color="auto" w:fill="auto"/>
          </w:tcPr>
          <w:p w14:paraId="0D8DE1AD" w14:textId="77777777" w:rsidR="004C2197" w:rsidRDefault="004C2197">
            <w:pPr>
              <w:rPr>
                <w:rFonts w:ascii="宋体"/>
              </w:rPr>
            </w:pPr>
          </w:p>
        </w:tc>
        <w:tc>
          <w:tcPr>
            <w:tcW w:w="0" w:type="auto"/>
            <w:shd w:val="clear" w:color="auto" w:fill="auto"/>
          </w:tcPr>
          <w:p w14:paraId="0D8DE1AE" w14:textId="77777777" w:rsidR="004C2197" w:rsidRDefault="004C2197">
            <w:pPr>
              <w:rPr>
                <w:rFonts w:ascii="宋体"/>
              </w:rPr>
            </w:pPr>
          </w:p>
        </w:tc>
      </w:tr>
      <w:tr w:rsidR="004C2197" w14:paraId="0D8DE1C8" w14:textId="77777777">
        <w:tc>
          <w:tcPr>
            <w:tcW w:w="0" w:type="auto"/>
            <w:gridSpan w:val="3"/>
            <w:shd w:val="clear" w:color="auto" w:fill="FFFFFF"/>
            <w:tcMar>
              <w:top w:w="40" w:type="dxa"/>
              <w:left w:w="225" w:type="dxa"/>
              <w:bottom w:w="40" w:type="dxa"/>
              <w:right w:w="20" w:type="dxa"/>
            </w:tcMar>
            <w:vAlign w:val="bottom"/>
          </w:tcPr>
          <w:p w14:paraId="0D8DE1B0" w14:textId="77777777" w:rsidR="004C2197" w:rsidRDefault="00863B83">
            <w:pPr>
              <w:textAlignment w:val="bottom"/>
            </w:pPr>
            <w:r>
              <w:rPr>
                <w:rFonts w:ascii="sans-serif" w:eastAsia="sans-serif" w:hAnsi="sans-serif" w:cs="sans-serif"/>
                <w:color w:val="000000"/>
                <w:sz w:val="20"/>
                <w:szCs w:val="20"/>
              </w:rPr>
              <w:t>Net change in unrealized gain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B1" w14:textId="77777777" w:rsidR="004C2197" w:rsidRDefault="00863B83">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FFFFFF"/>
            <w:tcMar>
              <w:top w:w="40" w:type="dxa"/>
              <w:bottom w:w="40" w:type="dxa"/>
              <w:right w:w="20" w:type="dxa"/>
            </w:tcMar>
            <w:vAlign w:val="bottom"/>
          </w:tcPr>
          <w:p w14:paraId="0D8DE1B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B3"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B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0D8DE1B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B6"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B7" w14:textId="77777777" w:rsidR="004C2197" w:rsidRDefault="00863B83">
            <w:pPr>
              <w:jc w:val="right"/>
              <w:textAlignment w:val="bottom"/>
            </w:pPr>
            <w:r>
              <w:rPr>
                <w:rFonts w:ascii="sans-serif" w:eastAsia="sans-serif" w:hAnsi="sans-serif" w:cs="sans-serif"/>
                <w:color w:val="000000"/>
                <w:sz w:val="20"/>
                <w:szCs w:val="20"/>
              </w:rPr>
              <w:t>2 </w:t>
            </w:r>
          </w:p>
        </w:tc>
        <w:tc>
          <w:tcPr>
            <w:tcW w:w="0" w:type="auto"/>
            <w:tcBorders>
              <w:top w:val="single" w:sz="8" w:space="0" w:color="000000"/>
            </w:tcBorders>
            <w:shd w:val="clear" w:color="auto" w:fill="FFFFFF"/>
            <w:tcMar>
              <w:top w:w="40" w:type="dxa"/>
              <w:bottom w:w="40" w:type="dxa"/>
              <w:right w:w="20" w:type="dxa"/>
            </w:tcMar>
            <w:vAlign w:val="bottom"/>
          </w:tcPr>
          <w:p w14:paraId="0D8DE1B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B9"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1BA" w14:textId="77777777" w:rsidR="004C2197" w:rsidRDefault="00863B83">
            <w:pPr>
              <w:jc w:val="right"/>
              <w:textAlignment w:val="bottom"/>
            </w:pPr>
            <w:r>
              <w:rPr>
                <w:rFonts w:ascii="sans-serif" w:eastAsia="sans-serif" w:hAnsi="sans-serif" w:cs="sans-serif"/>
                <w:color w:val="000000"/>
                <w:sz w:val="20"/>
                <w:szCs w:val="20"/>
              </w:rPr>
              <w:t>2 </w:t>
            </w:r>
          </w:p>
        </w:tc>
        <w:tc>
          <w:tcPr>
            <w:tcW w:w="0" w:type="auto"/>
            <w:tcBorders>
              <w:top w:val="single" w:sz="8" w:space="0" w:color="000000"/>
            </w:tcBorders>
            <w:shd w:val="clear" w:color="auto" w:fill="FFFFFF"/>
            <w:tcMar>
              <w:top w:w="40" w:type="dxa"/>
              <w:bottom w:w="40" w:type="dxa"/>
              <w:right w:w="20" w:type="dxa"/>
            </w:tcMar>
            <w:vAlign w:val="bottom"/>
          </w:tcPr>
          <w:p w14:paraId="0D8DE1BB" w14:textId="77777777" w:rsidR="004C2197" w:rsidRDefault="004C2197">
            <w:pPr>
              <w:jc w:val="right"/>
              <w:rPr>
                <w:rFonts w:ascii="宋体"/>
              </w:rPr>
            </w:pPr>
          </w:p>
        </w:tc>
        <w:tc>
          <w:tcPr>
            <w:tcW w:w="0" w:type="auto"/>
            <w:shd w:val="clear" w:color="auto" w:fill="auto"/>
          </w:tcPr>
          <w:p w14:paraId="0D8DE1BC" w14:textId="77777777" w:rsidR="004C2197" w:rsidRDefault="004C2197">
            <w:pPr>
              <w:rPr>
                <w:rFonts w:ascii="宋体"/>
              </w:rPr>
            </w:pPr>
          </w:p>
        </w:tc>
        <w:tc>
          <w:tcPr>
            <w:tcW w:w="0" w:type="auto"/>
            <w:shd w:val="clear" w:color="auto" w:fill="auto"/>
          </w:tcPr>
          <w:p w14:paraId="0D8DE1BD" w14:textId="77777777" w:rsidR="004C2197" w:rsidRDefault="004C2197">
            <w:pPr>
              <w:rPr>
                <w:rFonts w:ascii="宋体"/>
              </w:rPr>
            </w:pPr>
          </w:p>
        </w:tc>
        <w:tc>
          <w:tcPr>
            <w:tcW w:w="0" w:type="auto"/>
            <w:shd w:val="clear" w:color="auto" w:fill="auto"/>
          </w:tcPr>
          <w:p w14:paraId="0D8DE1BE" w14:textId="77777777" w:rsidR="004C2197" w:rsidRDefault="004C2197">
            <w:pPr>
              <w:rPr>
                <w:rFonts w:ascii="宋体"/>
              </w:rPr>
            </w:pPr>
          </w:p>
        </w:tc>
        <w:tc>
          <w:tcPr>
            <w:tcW w:w="0" w:type="auto"/>
            <w:shd w:val="clear" w:color="auto" w:fill="auto"/>
          </w:tcPr>
          <w:p w14:paraId="0D8DE1BF" w14:textId="77777777" w:rsidR="004C2197" w:rsidRDefault="004C2197">
            <w:pPr>
              <w:rPr>
                <w:rFonts w:ascii="宋体"/>
              </w:rPr>
            </w:pPr>
          </w:p>
        </w:tc>
        <w:tc>
          <w:tcPr>
            <w:tcW w:w="0" w:type="auto"/>
            <w:shd w:val="clear" w:color="auto" w:fill="auto"/>
          </w:tcPr>
          <w:p w14:paraId="0D8DE1C0" w14:textId="77777777" w:rsidR="004C2197" w:rsidRDefault="004C2197">
            <w:pPr>
              <w:rPr>
                <w:rFonts w:ascii="宋体"/>
              </w:rPr>
            </w:pPr>
          </w:p>
        </w:tc>
        <w:tc>
          <w:tcPr>
            <w:tcW w:w="0" w:type="auto"/>
            <w:shd w:val="clear" w:color="auto" w:fill="auto"/>
          </w:tcPr>
          <w:p w14:paraId="0D8DE1C1" w14:textId="77777777" w:rsidR="004C2197" w:rsidRDefault="004C2197">
            <w:pPr>
              <w:rPr>
                <w:rFonts w:ascii="宋体"/>
              </w:rPr>
            </w:pPr>
          </w:p>
        </w:tc>
        <w:tc>
          <w:tcPr>
            <w:tcW w:w="0" w:type="auto"/>
            <w:shd w:val="clear" w:color="auto" w:fill="auto"/>
          </w:tcPr>
          <w:p w14:paraId="0D8DE1C2" w14:textId="77777777" w:rsidR="004C2197" w:rsidRDefault="004C2197">
            <w:pPr>
              <w:rPr>
                <w:rFonts w:ascii="宋体"/>
              </w:rPr>
            </w:pPr>
          </w:p>
        </w:tc>
        <w:tc>
          <w:tcPr>
            <w:tcW w:w="0" w:type="auto"/>
            <w:shd w:val="clear" w:color="auto" w:fill="auto"/>
          </w:tcPr>
          <w:p w14:paraId="0D8DE1C3" w14:textId="77777777" w:rsidR="004C2197" w:rsidRDefault="004C2197">
            <w:pPr>
              <w:rPr>
                <w:rFonts w:ascii="宋体"/>
              </w:rPr>
            </w:pPr>
          </w:p>
        </w:tc>
        <w:tc>
          <w:tcPr>
            <w:tcW w:w="0" w:type="auto"/>
            <w:shd w:val="clear" w:color="auto" w:fill="auto"/>
          </w:tcPr>
          <w:p w14:paraId="0D8DE1C4" w14:textId="77777777" w:rsidR="004C2197" w:rsidRDefault="004C2197">
            <w:pPr>
              <w:rPr>
                <w:rFonts w:ascii="宋体"/>
              </w:rPr>
            </w:pPr>
          </w:p>
        </w:tc>
        <w:tc>
          <w:tcPr>
            <w:tcW w:w="0" w:type="auto"/>
            <w:shd w:val="clear" w:color="auto" w:fill="auto"/>
          </w:tcPr>
          <w:p w14:paraId="0D8DE1C5" w14:textId="77777777" w:rsidR="004C2197" w:rsidRDefault="004C2197">
            <w:pPr>
              <w:rPr>
                <w:rFonts w:ascii="宋体"/>
              </w:rPr>
            </w:pPr>
          </w:p>
        </w:tc>
        <w:tc>
          <w:tcPr>
            <w:tcW w:w="0" w:type="auto"/>
            <w:shd w:val="clear" w:color="auto" w:fill="auto"/>
          </w:tcPr>
          <w:p w14:paraId="0D8DE1C6" w14:textId="77777777" w:rsidR="004C2197" w:rsidRDefault="004C2197">
            <w:pPr>
              <w:rPr>
                <w:rFonts w:ascii="宋体"/>
              </w:rPr>
            </w:pPr>
          </w:p>
        </w:tc>
        <w:tc>
          <w:tcPr>
            <w:tcW w:w="0" w:type="auto"/>
            <w:shd w:val="clear" w:color="auto" w:fill="auto"/>
          </w:tcPr>
          <w:p w14:paraId="0D8DE1C7" w14:textId="77777777" w:rsidR="004C2197" w:rsidRDefault="004C2197">
            <w:pPr>
              <w:rPr>
                <w:rFonts w:ascii="宋体"/>
              </w:rPr>
            </w:pPr>
          </w:p>
        </w:tc>
      </w:tr>
      <w:tr w:rsidR="004C2197" w14:paraId="0D8DE1E1" w14:textId="77777777">
        <w:tc>
          <w:tcPr>
            <w:tcW w:w="0" w:type="auto"/>
            <w:gridSpan w:val="3"/>
            <w:shd w:val="clear" w:color="auto" w:fill="E2EFD9"/>
            <w:tcMar>
              <w:top w:w="40" w:type="dxa"/>
              <w:left w:w="20" w:type="dxa"/>
              <w:bottom w:w="40" w:type="dxa"/>
              <w:right w:w="20" w:type="dxa"/>
            </w:tcMar>
            <w:vAlign w:val="bottom"/>
          </w:tcPr>
          <w:p w14:paraId="0D8DE1C9" w14:textId="77777777" w:rsidR="004C2197" w:rsidRDefault="00863B83">
            <w:pPr>
              <w:textAlignment w:val="bottom"/>
            </w:pPr>
            <w:r>
              <w:rPr>
                <w:rFonts w:ascii="sans-serif" w:eastAsia="sans-serif" w:hAnsi="sans-serif" w:cs="sans-serif"/>
                <w:color w:val="000000"/>
                <w:sz w:val="20"/>
                <w:szCs w:val="20"/>
              </w:rPr>
              <w:t>Other comprehensive income,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1CA" w14:textId="77777777" w:rsidR="004C2197" w:rsidRDefault="00863B83">
            <w:pPr>
              <w:jc w:val="right"/>
              <w:textAlignment w:val="bottom"/>
            </w:pPr>
            <w:r>
              <w:rPr>
                <w:rFonts w:ascii="sans-serif" w:eastAsia="sans-serif" w:hAnsi="sans-serif" w:cs="sans-serif"/>
                <w:color w:val="000000"/>
                <w:sz w:val="20"/>
                <w:szCs w:val="20"/>
              </w:rPr>
              <w:t>14 </w:t>
            </w:r>
          </w:p>
        </w:tc>
        <w:tc>
          <w:tcPr>
            <w:tcW w:w="0" w:type="auto"/>
            <w:tcBorders>
              <w:top w:val="single" w:sz="8" w:space="0" w:color="000000"/>
            </w:tcBorders>
            <w:shd w:val="clear" w:color="auto" w:fill="E2EFD9"/>
            <w:tcMar>
              <w:top w:w="40" w:type="dxa"/>
              <w:bottom w:w="40" w:type="dxa"/>
              <w:right w:w="20" w:type="dxa"/>
            </w:tcMar>
            <w:vAlign w:val="bottom"/>
          </w:tcPr>
          <w:p w14:paraId="0D8DE1C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CC"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1CD"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tcBorders>
              <w:top w:val="single" w:sz="8" w:space="0" w:color="000000"/>
            </w:tcBorders>
            <w:shd w:val="clear" w:color="auto" w:fill="E2EFD9"/>
            <w:tcMar>
              <w:top w:w="40" w:type="dxa"/>
              <w:bottom w:w="40" w:type="dxa"/>
              <w:right w:w="20" w:type="dxa"/>
            </w:tcMar>
            <w:vAlign w:val="bottom"/>
          </w:tcPr>
          <w:p w14:paraId="0D8DE1C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CF"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1D0" w14:textId="77777777" w:rsidR="004C2197" w:rsidRDefault="00863B83">
            <w:pPr>
              <w:jc w:val="right"/>
              <w:textAlignment w:val="bottom"/>
            </w:pPr>
            <w:r>
              <w:rPr>
                <w:rFonts w:ascii="sans-serif" w:eastAsia="sans-serif" w:hAnsi="sans-serif" w:cs="sans-serif"/>
                <w:color w:val="000000"/>
                <w:sz w:val="20"/>
                <w:szCs w:val="20"/>
              </w:rPr>
              <w:t>3 </w:t>
            </w:r>
          </w:p>
        </w:tc>
        <w:tc>
          <w:tcPr>
            <w:tcW w:w="0" w:type="auto"/>
            <w:tcBorders>
              <w:top w:val="single" w:sz="8" w:space="0" w:color="000000"/>
            </w:tcBorders>
            <w:shd w:val="clear" w:color="auto" w:fill="E2EFD9"/>
            <w:tcMar>
              <w:top w:w="40" w:type="dxa"/>
              <w:bottom w:w="40" w:type="dxa"/>
              <w:right w:w="20" w:type="dxa"/>
            </w:tcMar>
            <w:vAlign w:val="bottom"/>
          </w:tcPr>
          <w:p w14:paraId="0D8DE1D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1D2"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1D3" w14:textId="77777777" w:rsidR="004C2197" w:rsidRDefault="00863B83">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E2EFD9"/>
            <w:tcMar>
              <w:top w:w="40" w:type="dxa"/>
              <w:bottom w:w="40" w:type="dxa"/>
              <w:right w:w="20" w:type="dxa"/>
            </w:tcMar>
            <w:vAlign w:val="bottom"/>
          </w:tcPr>
          <w:p w14:paraId="0D8DE1D4" w14:textId="77777777" w:rsidR="004C2197" w:rsidRDefault="004C2197">
            <w:pPr>
              <w:jc w:val="right"/>
              <w:rPr>
                <w:rFonts w:ascii="宋体"/>
              </w:rPr>
            </w:pPr>
          </w:p>
        </w:tc>
        <w:tc>
          <w:tcPr>
            <w:tcW w:w="0" w:type="auto"/>
            <w:shd w:val="clear" w:color="auto" w:fill="auto"/>
          </w:tcPr>
          <w:p w14:paraId="0D8DE1D5" w14:textId="77777777" w:rsidR="004C2197" w:rsidRDefault="004C2197">
            <w:pPr>
              <w:rPr>
                <w:rFonts w:ascii="宋体"/>
              </w:rPr>
            </w:pPr>
          </w:p>
        </w:tc>
        <w:tc>
          <w:tcPr>
            <w:tcW w:w="0" w:type="auto"/>
            <w:shd w:val="clear" w:color="auto" w:fill="auto"/>
          </w:tcPr>
          <w:p w14:paraId="0D8DE1D6" w14:textId="77777777" w:rsidR="004C2197" w:rsidRDefault="004C2197">
            <w:pPr>
              <w:rPr>
                <w:rFonts w:ascii="宋体"/>
              </w:rPr>
            </w:pPr>
          </w:p>
        </w:tc>
        <w:tc>
          <w:tcPr>
            <w:tcW w:w="0" w:type="auto"/>
            <w:shd w:val="clear" w:color="auto" w:fill="auto"/>
          </w:tcPr>
          <w:p w14:paraId="0D8DE1D7" w14:textId="77777777" w:rsidR="004C2197" w:rsidRDefault="004C2197">
            <w:pPr>
              <w:rPr>
                <w:rFonts w:ascii="宋体"/>
              </w:rPr>
            </w:pPr>
          </w:p>
        </w:tc>
        <w:tc>
          <w:tcPr>
            <w:tcW w:w="0" w:type="auto"/>
            <w:shd w:val="clear" w:color="auto" w:fill="auto"/>
          </w:tcPr>
          <w:p w14:paraId="0D8DE1D8" w14:textId="77777777" w:rsidR="004C2197" w:rsidRDefault="004C2197">
            <w:pPr>
              <w:rPr>
                <w:rFonts w:ascii="宋体"/>
              </w:rPr>
            </w:pPr>
          </w:p>
        </w:tc>
        <w:tc>
          <w:tcPr>
            <w:tcW w:w="0" w:type="auto"/>
            <w:shd w:val="clear" w:color="auto" w:fill="auto"/>
          </w:tcPr>
          <w:p w14:paraId="0D8DE1D9" w14:textId="77777777" w:rsidR="004C2197" w:rsidRDefault="004C2197">
            <w:pPr>
              <w:rPr>
                <w:rFonts w:ascii="宋体"/>
              </w:rPr>
            </w:pPr>
          </w:p>
        </w:tc>
        <w:tc>
          <w:tcPr>
            <w:tcW w:w="0" w:type="auto"/>
            <w:shd w:val="clear" w:color="auto" w:fill="auto"/>
          </w:tcPr>
          <w:p w14:paraId="0D8DE1DA" w14:textId="77777777" w:rsidR="004C2197" w:rsidRDefault="004C2197">
            <w:pPr>
              <w:rPr>
                <w:rFonts w:ascii="宋体"/>
              </w:rPr>
            </w:pPr>
          </w:p>
        </w:tc>
        <w:tc>
          <w:tcPr>
            <w:tcW w:w="0" w:type="auto"/>
            <w:shd w:val="clear" w:color="auto" w:fill="auto"/>
          </w:tcPr>
          <w:p w14:paraId="0D8DE1DB" w14:textId="77777777" w:rsidR="004C2197" w:rsidRDefault="004C2197">
            <w:pPr>
              <w:rPr>
                <w:rFonts w:ascii="宋体"/>
              </w:rPr>
            </w:pPr>
          </w:p>
        </w:tc>
        <w:tc>
          <w:tcPr>
            <w:tcW w:w="0" w:type="auto"/>
            <w:shd w:val="clear" w:color="auto" w:fill="auto"/>
          </w:tcPr>
          <w:p w14:paraId="0D8DE1DC" w14:textId="77777777" w:rsidR="004C2197" w:rsidRDefault="004C2197">
            <w:pPr>
              <w:rPr>
                <w:rFonts w:ascii="宋体"/>
              </w:rPr>
            </w:pPr>
          </w:p>
        </w:tc>
        <w:tc>
          <w:tcPr>
            <w:tcW w:w="0" w:type="auto"/>
            <w:shd w:val="clear" w:color="auto" w:fill="auto"/>
          </w:tcPr>
          <w:p w14:paraId="0D8DE1DD" w14:textId="77777777" w:rsidR="004C2197" w:rsidRDefault="004C2197">
            <w:pPr>
              <w:rPr>
                <w:rFonts w:ascii="宋体"/>
              </w:rPr>
            </w:pPr>
          </w:p>
        </w:tc>
        <w:tc>
          <w:tcPr>
            <w:tcW w:w="0" w:type="auto"/>
            <w:shd w:val="clear" w:color="auto" w:fill="auto"/>
          </w:tcPr>
          <w:p w14:paraId="0D8DE1DE" w14:textId="77777777" w:rsidR="004C2197" w:rsidRDefault="004C2197">
            <w:pPr>
              <w:rPr>
                <w:rFonts w:ascii="宋体"/>
              </w:rPr>
            </w:pPr>
          </w:p>
        </w:tc>
        <w:tc>
          <w:tcPr>
            <w:tcW w:w="0" w:type="auto"/>
            <w:shd w:val="clear" w:color="auto" w:fill="auto"/>
          </w:tcPr>
          <w:p w14:paraId="0D8DE1DF" w14:textId="77777777" w:rsidR="004C2197" w:rsidRDefault="004C2197">
            <w:pPr>
              <w:rPr>
                <w:rFonts w:ascii="宋体"/>
              </w:rPr>
            </w:pPr>
          </w:p>
        </w:tc>
        <w:tc>
          <w:tcPr>
            <w:tcW w:w="0" w:type="auto"/>
            <w:shd w:val="clear" w:color="auto" w:fill="auto"/>
          </w:tcPr>
          <w:p w14:paraId="0D8DE1E0" w14:textId="77777777" w:rsidR="004C2197" w:rsidRDefault="004C2197">
            <w:pPr>
              <w:rPr>
                <w:rFonts w:ascii="宋体"/>
              </w:rPr>
            </w:pPr>
          </w:p>
        </w:tc>
      </w:tr>
      <w:tr w:rsidR="004C2197" w14:paraId="0D8DE1FE" w14:textId="77777777">
        <w:tc>
          <w:tcPr>
            <w:tcW w:w="0" w:type="auto"/>
            <w:gridSpan w:val="3"/>
            <w:shd w:val="clear" w:color="auto" w:fill="FFFFFF"/>
            <w:tcMar>
              <w:top w:w="40" w:type="dxa"/>
              <w:left w:w="20" w:type="dxa"/>
              <w:bottom w:w="40" w:type="dxa"/>
              <w:right w:w="20" w:type="dxa"/>
            </w:tcMar>
            <w:vAlign w:val="bottom"/>
          </w:tcPr>
          <w:p w14:paraId="0D8DE1E2" w14:textId="77777777" w:rsidR="004C2197" w:rsidRDefault="00863B83">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1E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1E4" w14:textId="77777777" w:rsidR="004C2197" w:rsidRDefault="00863B83">
            <w:pPr>
              <w:jc w:val="right"/>
              <w:textAlignment w:val="bottom"/>
            </w:pPr>
            <w:r>
              <w:rPr>
                <w:rFonts w:ascii="sans-serif" w:eastAsia="sans-serif" w:hAnsi="sans-serif" w:cs="sans-serif"/>
                <w:color w:val="000000"/>
                <w:sz w:val="20"/>
                <w:szCs w:val="20"/>
              </w:rPr>
              <w:t>636 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1E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E6"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1E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1E8" w14:textId="77777777" w:rsidR="004C2197" w:rsidRDefault="00863B83">
            <w:pPr>
              <w:jc w:val="right"/>
              <w:textAlignment w:val="bottom"/>
            </w:pPr>
            <w:r>
              <w:rPr>
                <w:rFonts w:ascii="sans-serif" w:eastAsia="sans-serif" w:hAnsi="sans-serif" w:cs="sans-serif"/>
                <w:color w:val="000000"/>
                <w:sz w:val="20"/>
                <w:szCs w:val="20"/>
              </w:rPr>
              <w:t>553 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1E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EA"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1E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1EC" w14:textId="77777777" w:rsidR="004C2197" w:rsidRDefault="00863B83">
            <w:pPr>
              <w:jc w:val="right"/>
              <w:textAlignment w:val="bottom"/>
            </w:pPr>
            <w:r>
              <w:rPr>
                <w:rFonts w:ascii="sans-serif" w:eastAsia="sans-serif" w:hAnsi="sans-serif" w:cs="sans-serif"/>
                <w:color w:val="000000"/>
                <w:sz w:val="20"/>
                <w:szCs w:val="20"/>
              </w:rPr>
              <w:t>1,542 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1E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1EE"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1E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1F0" w14:textId="77777777" w:rsidR="004C2197" w:rsidRDefault="00863B83">
            <w:pPr>
              <w:jc w:val="right"/>
              <w:textAlignment w:val="bottom"/>
            </w:pPr>
            <w:r>
              <w:rPr>
                <w:rFonts w:ascii="sans-serif" w:eastAsia="sans-serif" w:hAnsi="sans-serif" w:cs="sans-serif"/>
                <w:color w:val="000000"/>
                <w:sz w:val="20"/>
                <w:szCs w:val="20"/>
              </w:rPr>
              <w:t>958 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1F1" w14:textId="77777777" w:rsidR="004C2197" w:rsidRDefault="004C2197">
            <w:pPr>
              <w:jc w:val="right"/>
              <w:rPr>
                <w:rFonts w:ascii="宋体"/>
              </w:rPr>
            </w:pPr>
          </w:p>
        </w:tc>
        <w:tc>
          <w:tcPr>
            <w:tcW w:w="0" w:type="auto"/>
            <w:shd w:val="clear" w:color="auto" w:fill="auto"/>
          </w:tcPr>
          <w:p w14:paraId="0D8DE1F2" w14:textId="77777777" w:rsidR="004C2197" w:rsidRDefault="004C2197">
            <w:pPr>
              <w:rPr>
                <w:rFonts w:ascii="宋体"/>
              </w:rPr>
            </w:pPr>
          </w:p>
        </w:tc>
        <w:tc>
          <w:tcPr>
            <w:tcW w:w="0" w:type="auto"/>
            <w:shd w:val="clear" w:color="auto" w:fill="auto"/>
          </w:tcPr>
          <w:p w14:paraId="0D8DE1F3" w14:textId="77777777" w:rsidR="004C2197" w:rsidRDefault="004C2197">
            <w:pPr>
              <w:rPr>
                <w:rFonts w:ascii="宋体"/>
              </w:rPr>
            </w:pPr>
          </w:p>
        </w:tc>
        <w:tc>
          <w:tcPr>
            <w:tcW w:w="0" w:type="auto"/>
            <w:shd w:val="clear" w:color="auto" w:fill="auto"/>
          </w:tcPr>
          <w:p w14:paraId="0D8DE1F4" w14:textId="77777777" w:rsidR="004C2197" w:rsidRDefault="004C2197">
            <w:pPr>
              <w:rPr>
                <w:rFonts w:ascii="宋体"/>
              </w:rPr>
            </w:pPr>
          </w:p>
        </w:tc>
        <w:tc>
          <w:tcPr>
            <w:tcW w:w="0" w:type="auto"/>
            <w:shd w:val="clear" w:color="auto" w:fill="auto"/>
          </w:tcPr>
          <w:p w14:paraId="0D8DE1F5" w14:textId="77777777" w:rsidR="004C2197" w:rsidRDefault="004C2197">
            <w:pPr>
              <w:rPr>
                <w:rFonts w:ascii="宋体"/>
              </w:rPr>
            </w:pPr>
          </w:p>
        </w:tc>
        <w:tc>
          <w:tcPr>
            <w:tcW w:w="0" w:type="auto"/>
            <w:shd w:val="clear" w:color="auto" w:fill="auto"/>
          </w:tcPr>
          <w:p w14:paraId="0D8DE1F6" w14:textId="77777777" w:rsidR="004C2197" w:rsidRDefault="004C2197">
            <w:pPr>
              <w:rPr>
                <w:rFonts w:ascii="宋体"/>
              </w:rPr>
            </w:pPr>
          </w:p>
        </w:tc>
        <w:tc>
          <w:tcPr>
            <w:tcW w:w="0" w:type="auto"/>
            <w:shd w:val="clear" w:color="auto" w:fill="auto"/>
          </w:tcPr>
          <w:p w14:paraId="0D8DE1F7" w14:textId="77777777" w:rsidR="004C2197" w:rsidRDefault="004C2197">
            <w:pPr>
              <w:rPr>
                <w:rFonts w:ascii="宋体"/>
              </w:rPr>
            </w:pPr>
          </w:p>
        </w:tc>
        <w:tc>
          <w:tcPr>
            <w:tcW w:w="0" w:type="auto"/>
            <w:shd w:val="clear" w:color="auto" w:fill="auto"/>
          </w:tcPr>
          <w:p w14:paraId="0D8DE1F8" w14:textId="77777777" w:rsidR="004C2197" w:rsidRDefault="004C2197">
            <w:pPr>
              <w:rPr>
                <w:rFonts w:ascii="宋体"/>
              </w:rPr>
            </w:pPr>
          </w:p>
        </w:tc>
        <w:tc>
          <w:tcPr>
            <w:tcW w:w="0" w:type="auto"/>
            <w:shd w:val="clear" w:color="auto" w:fill="auto"/>
          </w:tcPr>
          <w:p w14:paraId="0D8DE1F9" w14:textId="77777777" w:rsidR="004C2197" w:rsidRDefault="004C2197">
            <w:pPr>
              <w:rPr>
                <w:rFonts w:ascii="宋体"/>
              </w:rPr>
            </w:pPr>
          </w:p>
        </w:tc>
        <w:tc>
          <w:tcPr>
            <w:tcW w:w="0" w:type="auto"/>
            <w:shd w:val="clear" w:color="auto" w:fill="auto"/>
          </w:tcPr>
          <w:p w14:paraId="0D8DE1FA" w14:textId="77777777" w:rsidR="004C2197" w:rsidRDefault="004C2197">
            <w:pPr>
              <w:rPr>
                <w:rFonts w:ascii="宋体"/>
              </w:rPr>
            </w:pPr>
          </w:p>
        </w:tc>
        <w:tc>
          <w:tcPr>
            <w:tcW w:w="0" w:type="auto"/>
            <w:shd w:val="clear" w:color="auto" w:fill="auto"/>
          </w:tcPr>
          <w:p w14:paraId="0D8DE1FB" w14:textId="77777777" w:rsidR="004C2197" w:rsidRDefault="004C2197">
            <w:pPr>
              <w:rPr>
                <w:rFonts w:ascii="宋体"/>
              </w:rPr>
            </w:pPr>
          </w:p>
        </w:tc>
        <w:tc>
          <w:tcPr>
            <w:tcW w:w="0" w:type="auto"/>
            <w:shd w:val="clear" w:color="auto" w:fill="auto"/>
          </w:tcPr>
          <w:p w14:paraId="0D8DE1FC" w14:textId="77777777" w:rsidR="004C2197" w:rsidRDefault="004C2197">
            <w:pPr>
              <w:rPr>
                <w:rFonts w:ascii="宋体"/>
              </w:rPr>
            </w:pPr>
          </w:p>
        </w:tc>
        <w:tc>
          <w:tcPr>
            <w:tcW w:w="0" w:type="auto"/>
            <w:shd w:val="clear" w:color="auto" w:fill="auto"/>
          </w:tcPr>
          <w:p w14:paraId="0D8DE1FD" w14:textId="77777777" w:rsidR="004C2197" w:rsidRDefault="004C2197">
            <w:pPr>
              <w:rPr>
                <w:rFonts w:ascii="宋体"/>
              </w:rPr>
            </w:pPr>
          </w:p>
        </w:tc>
      </w:tr>
    </w:tbl>
    <w:p w14:paraId="0D8DE1FF" w14:textId="77777777" w:rsidR="004C2197" w:rsidRDefault="00863B83">
      <w:pPr>
        <w:spacing w:after="180"/>
        <w:jc w:val="center"/>
      </w:pPr>
      <w:r>
        <w:rPr>
          <w:rFonts w:ascii="sans-serif" w:eastAsia="sans-serif" w:hAnsi="sans-serif" w:cs="sans-serif"/>
          <w:color w:val="000000"/>
          <w:sz w:val="20"/>
          <w:szCs w:val="20"/>
        </w:rPr>
        <w:t>See accompanying Notes to Condensed Consolidated Financial Statements.</w:t>
      </w:r>
    </w:p>
    <w:p w14:paraId="0D8DE200" w14:textId="77777777" w:rsidR="004C2197" w:rsidRDefault="004C2197">
      <w:pPr>
        <w:spacing w:after="180"/>
        <w:jc w:val="both"/>
      </w:pPr>
    </w:p>
    <w:p w14:paraId="0D8DE201" w14:textId="77777777" w:rsidR="004C2197" w:rsidRDefault="00863B83">
      <w:pPr>
        <w:spacing w:after="180"/>
        <w:jc w:val="center"/>
      </w:pPr>
      <w:r>
        <w:rPr>
          <w:rFonts w:ascii="sans-serif" w:eastAsia="sans-serif" w:hAnsi="sans-serif" w:cs="sans-serif"/>
          <w:color w:val="000000"/>
          <w:sz w:val="20"/>
          <w:szCs w:val="20"/>
        </w:rPr>
        <w:t>4</w:t>
      </w:r>
    </w:p>
    <w:p w14:paraId="0D8DE202" w14:textId="77777777" w:rsidR="004C2197" w:rsidRDefault="00863B83">
      <w:r>
        <w:pict w14:anchorId="0D8E0CA8">
          <v:rect id="_x0000_i1028" style="width:415.3pt;height:1.5pt" o:hralign="center" o:hrstd="t" o:hr="t" fillcolor="#a0a0a0" stroked="f"/>
        </w:pict>
      </w:r>
    </w:p>
    <w:p w14:paraId="0D8DE203" w14:textId="77777777" w:rsidR="004C2197" w:rsidRDefault="004C2197">
      <w:pPr>
        <w:spacing w:after="180"/>
        <w:jc w:val="both"/>
      </w:pPr>
    </w:p>
    <w:p w14:paraId="0D8DE204" w14:textId="77777777" w:rsidR="004C2197" w:rsidRDefault="00863B83">
      <w:pPr>
        <w:jc w:val="center"/>
      </w:pPr>
      <w:r>
        <w:rPr>
          <w:rFonts w:ascii="sans-serif" w:eastAsia="sans-serif" w:hAnsi="sans-serif" w:cs="sans-serif"/>
          <w:b/>
          <w:bCs/>
          <w:color w:val="000000"/>
          <w:sz w:val="20"/>
          <w:szCs w:val="20"/>
        </w:rPr>
        <w:t xml:space="preserve">NVIDIA CORPORATION </w:t>
      </w:r>
      <w:r>
        <w:rPr>
          <w:rFonts w:ascii="sans-serif" w:eastAsia="sans-serif" w:hAnsi="sans-serif" w:cs="sans-serif"/>
          <w:b/>
          <w:bCs/>
          <w:color w:val="000000"/>
          <w:sz w:val="20"/>
          <w:szCs w:val="20"/>
        </w:rPr>
        <w:t>AND SUBSIDIARIES </w:t>
      </w:r>
    </w:p>
    <w:p w14:paraId="0D8DE205" w14:textId="77777777" w:rsidR="004C2197" w:rsidRDefault="00863B83">
      <w:pPr>
        <w:jc w:val="center"/>
      </w:pPr>
      <w:r>
        <w:rPr>
          <w:rFonts w:ascii="sans-serif" w:eastAsia="sans-serif" w:hAnsi="sans-serif" w:cs="sans-serif"/>
          <w:b/>
          <w:bCs/>
          <w:color w:val="000000"/>
          <w:sz w:val="20"/>
          <w:szCs w:val="20"/>
        </w:rPr>
        <w:t>CONDENSED CONSOLIDATED BALANCE SHEETS</w:t>
      </w:r>
    </w:p>
    <w:p w14:paraId="0D8DE206" w14:textId="77777777" w:rsidR="004C2197" w:rsidRDefault="00863B83">
      <w:pPr>
        <w:jc w:val="center"/>
      </w:pPr>
      <w:r>
        <w:rPr>
          <w:rFonts w:ascii="sans-serif" w:eastAsia="sans-serif" w:hAnsi="sans-serif" w:cs="sans-serif"/>
          <w:b/>
          <w:bCs/>
          <w:color w:val="000000"/>
          <w:sz w:val="20"/>
          <w:szCs w:val="20"/>
        </w:rPr>
        <w:t>(In millions)</w:t>
      </w:r>
    </w:p>
    <w:p w14:paraId="0D8DE207" w14:textId="77777777" w:rsidR="004C2197" w:rsidRDefault="00863B83">
      <w:pPr>
        <w:jc w:val="center"/>
      </w:pPr>
      <w:r>
        <w:rPr>
          <w:rFonts w:ascii="sans-serif" w:eastAsia="sans-serif" w:hAnsi="sans-serif" w:cs="sans-serif"/>
          <w:b/>
          <w:bCs/>
          <w:color w:val="000000"/>
          <w:sz w:val="20"/>
          <w:szCs w:val="20"/>
        </w:rPr>
        <w:t>(Unaudited)</w:t>
      </w:r>
    </w:p>
    <w:tbl>
      <w:tblPr>
        <w:tblW w:w="4978" w:type="pct"/>
        <w:tblCellMar>
          <w:top w:w="15" w:type="dxa"/>
          <w:left w:w="15" w:type="dxa"/>
          <w:bottom w:w="15" w:type="dxa"/>
          <w:right w:w="15" w:type="dxa"/>
        </w:tblCellMar>
        <w:tblLook w:val="04A0" w:firstRow="1" w:lastRow="0" w:firstColumn="1" w:lastColumn="0" w:noHBand="0" w:noVBand="1"/>
      </w:tblPr>
      <w:tblGrid>
        <w:gridCol w:w="40"/>
        <w:gridCol w:w="5991"/>
        <w:gridCol w:w="39"/>
        <w:gridCol w:w="137"/>
        <w:gridCol w:w="916"/>
        <w:gridCol w:w="41"/>
        <w:gridCol w:w="36"/>
        <w:gridCol w:w="36"/>
        <w:gridCol w:w="36"/>
        <w:gridCol w:w="137"/>
        <w:gridCol w:w="849"/>
        <w:gridCol w:w="41"/>
      </w:tblGrid>
      <w:tr w:rsidR="004C2197" w14:paraId="0D8DE214" w14:textId="77777777">
        <w:tc>
          <w:tcPr>
            <w:tcW w:w="50" w:type="pct"/>
            <w:shd w:val="clear" w:color="auto" w:fill="auto"/>
          </w:tcPr>
          <w:p w14:paraId="0D8DE208" w14:textId="77777777" w:rsidR="004C2197" w:rsidRDefault="004C2197">
            <w:pPr>
              <w:rPr>
                <w:rFonts w:ascii="宋体"/>
              </w:rPr>
            </w:pPr>
          </w:p>
        </w:tc>
        <w:tc>
          <w:tcPr>
            <w:tcW w:w="3645" w:type="pct"/>
            <w:shd w:val="clear" w:color="auto" w:fill="auto"/>
          </w:tcPr>
          <w:p w14:paraId="0D8DE209" w14:textId="77777777" w:rsidR="004C2197" w:rsidRDefault="004C2197">
            <w:pPr>
              <w:rPr>
                <w:rFonts w:ascii="宋体"/>
              </w:rPr>
            </w:pPr>
          </w:p>
        </w:tc>
        <w:tc>
          <w:tcPr>
            <w:tcW w:w="5" w:type="pct"/>
            <w:shd w:val="clear" w:color="auto" w:fill="auto"/>
          </w:tcPr>
          <w:p w14:paraId="0D8DE20A" w14:textId="77777777" w:rsidR="004C2197" w:rsidRDefault="004C2197">
            <w:pPr>
              <w:rPr>
                <w:rFonts w:ascii="宋体"/>
              </w:rPr>
            </w:pPr>
          </w:p>
        </w:tc>
        <w:tc>
          <w:tcPr>
            <w:tcW w:w="50" w:type="pct"/>
            <w:shd w:val="clear" w:color="auto" w:fill="auto"/>
          </w:tcPr>
          <w:p w14:paraId="0D8DE20B" w14:textId="77777777" w:rsidR="004C2197" w:rsidRDefault="004C2197">
            <w:pPr>
              <w:rPr>
                <w:rFonts w:ascii="宋体"/>
              </w:rPr>
            </w:pPr>
          </w:p>
        </w:tc>
        <w:tc>
          <w:tcPr>
            <w:tcW w:w="583" w:type="pct"/>
            <w:shd w:val="clear" w:color="auto" w:fill="auto"/>
          </w:tcPr>
          <w:p w14:paraId="0D8DE20C" w14:textId="77777777" w:rsidR="004C2197" w:rsidRDefault="004C2197">
            <w:pPr>
              <w:rPr>
                <w:rFonts w:ascii="宋体"/>
              </w:rPr>
            </w:pPr>
          </w:p>
        </w:tc>
        <w:tc>
          <w:tcPr>
            <w:tcW w:w="5" w:type="pct"/>
            <w:shd w:val="clear" w:color="auto" w:fill="auto"/>
          </w:tcPr>
          <w:p w14:paraId="0D8DE20D" w14:textId="77777777" w:rsidR="004C2197" w:rsidRDefault="004C2197">
            <w:pPr>
              <w:rPr>
                <w:rFonts w:ascii="宋体"/>
              </w:rPr>
            </w:pPr>
          </w:p>
        </w:tc>
        <w:tc>
          <w:tcPr>
            <w:tcW w:w="5" w:type="pct"/>
            <w:shd w:val="clear" w:color="auto" w:fill="auto"/>
          </w:tcPr>
          <w:p w14:paraId="0D8DE20E" w14:textId="77777777" w:rsidR="004C2197" w:rsidRDefault="004C2197">
            <w:pPr>
              <w:rPr>
                <w:rFonts w:ascii="宋体"/>
              </w:rPr>
            </w:pPr>
          </w:p>
        </w:tc>
        <w:tc>
          <w:tcPr>
            <w:tcW w:w="26" w:type="pct"/>
            <w:shd w:val="clear" w:color="auto" w:fill="auto"/>
          </w:tcPr>
          <w:p w14:paraId="0D8DE20F" w14:textId="77777777" w:rsidR="004C2197" w:rsidRDefault="004C2197">
            <w:pPr>
              <w:rPr>
                <w:rFonts w:ascii="宋体"/>
              </w:rPr>
            </w:pPr>
          </w:p>
        </w:tc>
        <w:tc>
          <w:tcPr>
            <w:tcW w:w="5" w:type="pct"/>
            <w:shd w:val="clear" w:color="auto" w:fill="auto"/>
          </w:tcPr>
          <w:p w14:paraId="0D8DE210" w14:textId="77777777" w:rsidR="004C2197" w:rsidRDefault="004C2197">
            <w:pPr>
              <w:rPr>
                <w:rFonts w:ascii="宋体"/>
              </w:rPr>
            </w:pPr>
          </w:p>
        </w:tc>
        <w:tc>
          <w:tcPr>
            <w:tcW w:w="50" w:type="pct"/>
            <w:shd w:val="clear" w:color="auto" w:fill="auto"/>
          </w:tcPr>
          <w:p w14:paraId="0D8DE211" w14:textId="77777777" w:rsidR="004C2197" w:rsidRDefault="004C2197">
            <w:pPr>
              <w:rPr>
                <w:rFonts w:ascii="宋体"/>
              </w:rPr>
            </w:pPr>
          </w:p>
        </w:tc>
        <w:tc>
          <w:tcPr>
            <w:tcW w:w="569" w:type="pct"/>
            <w:shd w:val="clear" w:color="auto" w:fill="auto"/>
          </w:tcPr>
          <w:p w14:paraId="0D8DE212" w14:textId="77777777" w:rsidR="004C2197" w:rsidRDefault="004C2197">
            <w:pPr>
              <w:rPr>
                <w:rFonts w:ascii="宋体"/>
              </w:rPr>
            </w:pPr>
          </w:p>
        </w:tc>
        <w:tc>
          <w:tcPr>
            <w:tcW w:w="5" w:type="pct"/>
            <w:shd w:val="clear" w:color="auto" w:fill="auto"/>
          </w:tcPr>
          <w:p w14:paraId="0D8DE213" w14:textId="77777777" w:rsidR="004C2197" w:rsidRDefault="004C2197">
            <w:pPr>
              <w:rPr>
                <w:rFonts w:ascii="宋体"/>
              </w:rPr>
            </w:pPr>
          </w:p>
        </w:tc>
      </w:tr>
      <w:tr w:rsidR="004C2197" w14:paraId="0D8DE219" w14:textId="77777777">
        <w:tc>
          <w:tcPr>
            <w:tcW w:w="0" w:type="auto"/>
            <w:gridSpan w:val="3"/>
            <w:shd w:val="clear" w:color="auto" w:fill="auto"/>
            <w:tcMar>
              <w:left w:w="20" w:type="dxa"/>
              <w:right w:w="20" w:type="dxa"/>
            </w:tcMar>
            <w:vAlign w:val="bottom"/>
          </w:tcPr>
          <w:p w14:paraId="0D8DE215"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216"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left w:w="20" w:type="dxa"/>
              <w:right w:w="20" w:type="dxa"/>
            </w:tcMar>
            <w:vAlign w:val="bottom"/>
          </w:tcPr>
          <w:p w14:paraId="0D8DE217"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218" w14:textId="77777777" w:rsidR="004C2197" w:rsidRDefault="00863B83">
            <w:pPr>
              <w:jc w:val="center"/>
              <w:textAlignment w:val="bottom"/>
            </w:pPr>
            <w:r>
              <w:rPr>
                <w:rFonts w:ascii="sans-serif" w:eastAsia="sans-serif" w:hAnsi="sans-serif" w:cs="sans-serif"/>
                <w:b/>
                <w:bCs/>
                <w:color w:val="000000"/>
                <w:sz w:val="20"/>
                <w:szCs w:val="20"/>
              </w:rPr>
              <w:t>January 26,</w:t>
            </w:r>
          </w:p>
        </w:tc>
      </w:tr>
      <w:tr w:rsidR="004C2197" w14:paraId="0D8DE21E" w14:textId="77777777">
        <w:tc>
          <w:tcPr>
            <w:tcW w:w="0" w:type="auto"/>
            <w:gridSpan w:val="3"/>
            <w:shd w:val="clear" w:color="auto" w:fill="auto"/>
            <w:tcMar>
              <w:top w:w="40" w:type="dxa"/>
              <w:left w:w="20" w:type="dxa"/>
              <w:bottom w:w="40" w:type="dxa"/>
              <w:right w:w="20" w:type="dxa"/>
            </w:tcMar>
            <w:vAlign w:val="bottom"/>
          </w:tcPr>
          <w:p w14:paraId="0D8DE21A"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E21B"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E21C"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21D" w14:textId="77777777" w:rsidR="004C2197" w:rsidRDefault="00863B83">
            <w:pPr>
              <w:jc w:val="center"/>
              <w:textAlignment w:val="bottom"/>
            </w:pPr>
            <w:r>
              <w:rPr>
                <w:rFonts w:ascii="sans-serif" w:eastAsia="sans-serif" w:hAnsi="sans-serif" w:cs="sans-serif"/>
                <w:b/>
                <w:bCs/>
                <w:color w:val="000000"/>
                <w:sz w:val="20"/>
                <w:szCs w:val="20"/>
              </w:rPr>
              <w:t>2020</w:t>
            </w:r>
          </w:p>
        </w:tc>
      </w:tr>
      <w:tr w:rsidR="004C2197" w14:paraId="0D8DE223" w14:textId="77777777">
        <w:tc>
          <w:tcPr>
            <w:tcW w:w="0" w:type="auto"/>
            <w:gridSpan w:val="3"/>
            <w:shd w:val="clear" w:color="auto" w:fill="E2EFD9"/>
            <w:tcMar>
              <w:top w:w="40" w:type="dxa"/>
              <w:left w:w="20" w:type="dxa"/>
              <w:bottom w:w="40" w:type="dxa"/>
              <w:right w:w="20" w:type="dxa"/>
            </w:tcMar>
            <w:vAlign w:val="bottom"/>
          </w:tcPr>
          <w:p w14:paraId="0D8DE21F" w14:textId="77777777" w:rsidR="004C2197" w:rsidRDefault="00863B83">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left w:w="20" w:type="dxa"/>
              <w:right w:w="20" w:type="dxa"/>
            </w:tcMar>
            <w:vAlign w:val="bottom"/>
          </w:tcPr>
          <w:p w14:paraId="0D8DE22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221" w14:textId="77777777" w:rsidR="004C2197" w:rsidRDefault="004C2197">
            <w:pPr>
              <w:rPr>
                <w:rFonts w:ascii="宋体"/>
              </w:rPr>
            </w:pPr>
          </w:p>
        </w:tc>
        <w:tc>
          <w:tcPr>
            <w:tcW w:w="0" w:type="auto"/>
            <w:gridSpan w:val="3"/>
            <w:tcBorders>
              <w:top w:val="single" w:sz="8" w:space="0" w:color="000000"/>
            </w:tcBorders>
            <w:shd w:val="clear" w:color="auto" w:fill="E2EFD9"/>
            <w:tcMar>
              <w:left w:w="20" w:type="dxa"/>
              <w:right w:w="20" w:type="dxa"/>
            </w:tcMar>
            <w:vAlign w:val="bottom"/>
          </w:tcPr>
          <w:p w14:paraId="0D8DE222" w14:textId="77777777" w:rsidR="004C2197" w:rsidRDefault="004C2197">
            <w:pPr>
              <w:rPr>
                <w:rFonts w:ascii="宋体"/>
              </w:rPr>
            </w:pPr>
          </w:p>
        </w:tc>
      </w:tr>
      <w:tr w:rsidR="004C2197" w14:paraId="0D8DE228" w14:textId="77777777">
        <w:tc>
          <w:tcPr>
            <w:tcW w:w="0" w:type="auto"/>
            <w:gridSpan w:val="3"/>
            <w:shd w:val="clear" w:color="auto" w:fill="FFFFFF"/>
            <w:tcMar>
              <w:top w:w="40" w:type="dxa"/>
              <w:left w:w="20" w:type="dxa"/>
              <w:bottom w:w="40" w:type="dxa"/>
              <w:right w:w="20" w:type="dxa"/>
            </w:tcMar>
            <w:vAlign w:val="bottom"/>
          </w:tcPr>
          <w:p w14:paraId="0D8DE224" w14:textId="77777777" w:rsidR="004C2197" w:rsidRDefault="00863B83">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0D8DE225"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0D8DE226"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227" w14:textId="77777777" w:rsidR="004C2197" w:rsidRDefault="00863B83">
            <w:pPr>
              <w:textAlignment w:val="bottom"/>
            </w:pPr>
            <w:r>
              <w:rPr>
                <w:rFonts w:ascii="sans-serif" w:eastAsia="sans-serif" w:hAnsi="sans-serif" w:cs="sans-serif"/>
                <w:color w:val="000000"/>
                <w:sz w:val="20"/>
                <w:szCs w:val="20"/>
              </w:rPr>
              <w:t> </w:t>
            </w:r>
          </w:p>
        </w:tc>
      </w:tr>
      <w:tr w:rsidR="004C2197" w14:paraId="0D8DE231" w14:textId="77777777">
        <w:tc>
          <w:tcPr>
            <w:tcW w:w="0" w:type="auto"/>
            <w:gridSpan w:val="3"/>
            <w:shd w:val="clear" w:color="auto" w:fill="E2EFD9"/>
            <w:tcMar>
              <w:top w:w="40" w:type="dxa"/>
              <w:left w:w="225" w:type="dxa"/>
              <w:bottom w:w="40" w:type="dxa"/>
              <w:right w:w="20" w:type="dxa"/>
            </w:tcMar>
            <w:vAlign w:val="bottom"/>
          </w:tcPr>
          <w:p w14:paraId="0D8DE229" w14:textId="77777777" w:rsidR="004C2197" w:rsidRDefault="00863B83">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tcMar>
            <w:vAlign w:val="bottom"/>
          </w:tcPr>
          <w:p w14:paraId="0D8DE22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22B" w14:textId="77777777" w:rsidR="004C2197" w:rsidRDefault="00863B83">
            <w:pPr>
              <w:jc w:val="right"/>
              <w:textAlignment w:val="bottom"/>
            </w:pPr>
            <w:r>
              <w:rPr>
                <w:rFonts w:ascii="sans-serif" w:eastAsia="sans-serif" w:hAnsi="sans-serif" w:cs="sans-serif"/>
                <w:color w:val="000000"/>
                <w:sz w:val="20"/>
                <w:szCs w:val="20"/>
              </w:rPr>
              <w:t>3,274 </w:t>
            </w:r>
          </w:p>
        </w:tc>
        <w:tc>
          <w:tcPr>
            <w:tcW w:w="0" w:type="auto"/>
            <w:shd w:val="clear" w:color="auto" w:fill="E2EFD9"/>
            <w:tcMar>
              <w:top w:w="40" w:type="dxa"/>
              <w:bottom w:w="40" w:type="dxa"/>
              <w:right w:w="20" w:type="dxa"/>
            </w:tcMar>
            <w:vAlign w:val="bottom"/>
          </w:tcPr>
          <w:p w14:paraId="0D8DE22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2D"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22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22F" w14:textId="77777777" w:rsidR="004C2197" w:rsidRDefault="00863B83">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bottom w:w="40" w:type="dxa"/>
              <w:right w:w="20" w:type="dxa"/>
            </w:tcMar>
            <w:vAlign w:val="bottom"/>
          </w:tcPr>
          <w:p w14:paraId="0D8DE230" w14:textId="77777777" w:rsidR="004C2197" w:rsidRDefault="004C2197">
            <w:pPr>
              <w:jc w:val="right"/>
              <w:rPr>
                <w:rFonts w:ascii="宋体"/>
              </w:rPr>
            </w:pPr>
          </w:p>
        </w:tc>
      </w:tr>
      <w:tr w:rsidR="004C2197" w14:paraId="0D8DE238" w14:textId="77777777">
        <w:tc>
          <w:tcPr>
            <w:tcW w:w="0" w:type="auto"/>
            <w:gridSpan w:val="3"/>
            <w:shd w:val="clear" w:color="auto" w:fill="FFFFFF"/>
            <w:tcMar>
              <w:top w:w="40" w:type="dxa"/>
              <w:left w:w="225" w:type="dxa"/>
              <w:bottom w:w="40" w:type="dxa"/>
              <w:right w:w="20" w:type="dxa"/>
            </w:tcMar>
            <w:vAlign w:val="bottom"/>
          </w:tcPr>
          <w:p w14:paraId="0D8DE232" w14:textId="77777777" w:rsidR="004C2197" w:rsidRDefault="00863B83">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0D8DE233" w14:textId="77777777" w:rsidR="004C2197" w:rsidRDefault="00863B83">
            <w:pPr>
              <w:jc w:val="right"/>
              <w:textAlignment w:val="bottom"/>
            </w:pPr>
            <w:r>
              <w:rPr>
                <w:rFonts w:ascii="sans-serif" w:eastAsia="sans-serif" w:hAnsi="sans-serif" w:cs="sans-serif"/>
                <w:color w:val="000000"/>
                <w:sz w:val="20"/>
                <w:szCs w:val="20"/>
              </w:rPr>
              <w:t>7,707 </w:t>
            </w:r>
          </w:p>
        </w:tc>
        <w:tc>
          <w:tcPr>
            <w:tcW w:w="0" w:type="auto"/>
            <w:shd w:val="clear" w:color="auto" w:fill="FFFFFF"/>
            <w:tcMar>
              <w:top w:w="40" w:type="dxa"/>
              <w:bottom w:w="40" w:type="dxa"/>
              <w:right w:w="20" w:type="dxa"/>
            </w:tcMar>
            <w:vAlign w:val="bottom"/>
          </w:tcPr>
          <w:p w14:paraId="0D8DE23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3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36"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0D8DE237" w14:textId="77777777" w:rsidR="004C2197" w:rsidRDefault="004C2197">
            <w:pPr>
              <w:jc w:val="right"/>
              <w:rPr>
                <w:rFonts w:ascii="宋体"/>
              </w:rPr>
            </w:pPr>
          </w:p>
        </w:tc>
      </w:tr>
      <w:tr w:rsidR="004C2197" w14:paraId="0D8DE23F" w14:textId="77777777">
        <w:tc>
          <w:tcPr>
            <w:tcW w:w="0" w:type="auto"/>
            <w:gridSpan w:val="3"/>
            <w:shd w:val="clear" w:color="auto" w:fill="E2EFD9"/>
            <w:tcMar>
              <w:top w:w="40" w:type="dxa"/>
              <w:left w:w="225" w:type="dxa"/>
              <w:bottom w:w="40" w:type="dxa"/>
              <w:right w:w="20" w:type="dxa"/>
            </w:tcMar>
            <w:vAlign w:val="bottom"/>
          </w:tcPr>
          <w:p w14:paraId="0D8DE239" w14:textId="77777777" w:rsidR="004C2197" w:rsidRDefault="00863B83">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0D8DE23A" w14:textId="77777777" w:rsidR="004C2197" w:rsidRDefault="00863B83">
            <w:pPr>
              <w:jc w:val="right"/>
              <w:textAlignment w:val="bottom"/>
            </w:pPr>
            <w:r>
              <w:rPr>
                <w:rFonts w:ascii="sans-serif" w:eastAsia="sans-serif" w:hAnsi="sans-serif" w:cs="sans-serif"/>
                <w:color w:val="000000"/>
                <w:sz w:val="20"/>
                <w:szCs w:val="20"/>
              </w:rPr>
              <w:t>2,084 </w:t>
            </w:r>
          </w:p>
        </w:tc>
        <w:tc>
          <w:tcPr>
            <w:tcW w:w="0" w:type="auto"/>
            <w:shd w:val="clear" w:color="auto" w:fill="E2EFD9"/>
            <w:tcMar>
              <w:top w:w="40" w:type="dxa"/>
              <w:bottom w:w="40" w:type="dxa"/>
              <w:right w:w="20" w:type="dxa"/>
            </w:tcMar>
            <w:vAlign w:val="bottom"/>
          </w:tcPr>
          <w:p w14:paraId="0D8DE23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3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3D" w14:textId="77777777" w:rsidR="004C2197" w:rsidRDefault="00863B83">
            <w:pPr>
              <w:jc w:val="right"/>
              <w:textAlignment w:val="bottom"/>
            </w:pPr>
            <w:r>
              <w:rPr>
                <w:rFonts w:ascii="sans-serif" w:eastAsia="sans-serif" w:hAnsi="sans-serif" w:cs="sans-serif"/>
                <w:color w:val="000000"/>
                <w:sz w:val="20"/>
                <w:szCs w:val="20"/>
              </w:rPr>
              <w:t>1,657 </w:t>
            </w:r>
          </w:p>
        </w:tc>
        <w:tc>
          <w:tcPr>
            <w:tcW w:w="0" w:type="auto"/>
            <w:shd w:val="clear" w:color="auto" w:fill="E2EFD9"/>
            <w:tcMar>
              <w:top w:w="40" w:type="dxa"/>
              <w:bottom w:w="40" w:type="dxa"/>
              <w:right w:w="20" w:type="dxa"/>
            </w:tcMar>
            <w:vAlign w:val="bottom"/>
          </w:tcPr>
          <w:p w14:paraId="0D8DE23E" w14:textId="77777777" w:rsidR="004C2197" w:rsidRDefault="004C2197">
            <w:pPr>
              <w:jc w:val="right"/>
              <w:rPr>
                <w:rFonts w:ascii="宋体"/>
              </w:rPr>
            </w:pPr>
          </w:p>
        </w:tc>
      </w:tr>
      <w:tr w:rsidR="004C2197" w14:paraId="0D8DE246" w14:textId="77777777">
        <w:tc>
          <w:tcPr>
            <w:tcW w:w="0" w:type="auto"/>
            <w:gridSpan w:val="3"/>
            <w:shd w:val="clear" w:color="auto" w:fill="FFFFFF"/>
            <w:tcMar>
              <w:top w:w="40" w:type="dxa"/>
              <w:left w:w="225" w:type="dxa"/>
              <w:bottom w:w="40" w:type="dxa"/>
              <w:right w:w="20" w:type="dxa"/>
            </w:tcMar>
            <w:vAlign w:val="bottom"/>
          </w:tcPr>
          <w:p w14:paraId="0D8DE240" w14:textId="77777777" w:rsidR="004C2197" w:rsidRDefault="00863B83">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0D8DE241" w14:textId="77777777" w:rsidR="004C2197" w:rsidRDefault="00863B83">
            <w:pPr>
              <w:jc w:val="right"/>
              <w:textAlignment w:val="bottom"/>
            </w:pPr>
            <w:r>
              <w:rPr>
                <w:rFonts w:ascii="sans-serif" w:eastAsia="sans-serif" w:hAnsi="sans-serif" w:cs="sans-serif"/>
                <w:color w:val="000000"/>
                <w:sz w:val="20"/>
                <w:szCs w:val="20"/>
              </w:rPr>
              <w:t>1,401 </w:t>
            </w:r>
          </w:p>
        </w:tc>
        <w:tc>
          <w:tcPr>
            <w:tcW w:w="0" w:type="auto"/>
            <w:shd w:val="clear" w:color="auto" w:fill="FFFFFF"/>
            <w:tcMar>
              <w:top w:w="40" w:type="dxa"/>
              <w:bottom w:w="40" w:type="dxa"/>
              <w:right w:w="20" w:type="dxa"/>
            </w:tcMar>
            <w:vAlign w:val="bottom"/>
          </w:tcPr>
          <w:p w14:paraId="0D8DE24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4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44" w14:textId="77777777" w:rsidR="004C2197" w:rsidRDefault="00863B83">
            <w:pPr>
              <w:jc w:val="right"/>
              <w:textAlignment w:val="bottom"/>
            </w:pPr>
            <w:r>
              <w:rPr>
                <w:rFonts w:ascii="sans-serif" w:eastAsia="sans-serif" w:hAnsi="sans-serif" w:cs="sans-serif"/>
                <w:color w:val="000000"/>
                <w:sz w:val="20"/>
                <w:szCs w:val="20"/>
              </w:rPr>
              <w:t>979 </w:t>
            </w:r>
          </w:p>
        </w:tc>
        <w:tc>
          <w:tcPr>
            <w:tcW w:w="0" w:type="auto"/>
            <w:shd w:val="clear" w:color="auto" w:fill="FFFFFF"/>
            <w:tcMar>
              <w:top w:w="40" w:type="dxa"/>
              <w:bottom w:w="40" w:type="dxa"/>
              <w:right w:w="20" w:type="dxa"/>
            </w:tcMar>
            <w:vAlign w:val="bottom"/>
          </w:tcPr>
          <w:p w14:paraId="0D8DE245" w14:textId="77777777" w:rsidR="004C2197" w:rsidRDefault="004C2197">
            <w:pPr>
              <w:jc w:val="right"/>
              <w:rPr>
                <w:rFonts w:ascii="宋体"/>
              </w:rPr>
            </w:pPr>
          </w:p>
        </w:tc>
      </w:tr>
      <w:tr w:rsidR="004C2197" w14:paraId="0D8DE24D" w14:textId="77777777">
        <w:tc>
          <w:tcPr>
            <w:tcW w:w="0" w:type="auto"/>
            <w:gridSpan w:val="3"/>
            <w:shd w:val="clear" w:color="auto" w:fill="E2EFD9"/>
            <w:tcMar>
              <w:top w:w="40" w:type="dxa"/>
              <w:left w:w="225" w:type="dxa"/>
              <w:bottom w:w="40" w:type="dxa"/>
              <w:right w:w="20" w:type="dxa"/>
            </w:tcMar>
            <w:vAlign w:val="bottom"/>
          </w:tcPr>
          <w:p w14:paraId="0D8DE247" w14:textId="77777777" w:rsidR="004C2197" w:rsidRDefault="00863B83">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0D8DE248" w14:textId="77777777" w:rsidR="004C2197" w:rsidRDefault="00863B83">
            <w:pPr>
              <w:jc w:val="right"/>
              <w:textAlignment w:val="bottom"/>
            </w:pPr>
            <w:r>
              <w:rPr>
                <w:rFonts w:ascii="sans-serif" w:eastAsia="sans-serif" w:hAnsi="sans-serif" w:cs="sans-serif"/>
                <w:color w:val="000000"/>
                <w:sz w:val="20"/>
                <w:szCs w:val="20"/>
              </w:rPr>
              <w:t>215 </w:t>
            </w:r>
          </w:p>
        </w:tc>
        <w:tc>
          <w:tcPr>
            <w:tcW w:w="0" w:type="auto"/>
            <w:shd w:val="clear" w:color="auto" w:fill="E2EFD9"/>
            <w:tcMar>
              <w:top w:w="40" w:type="dxa"/>
              <w:bottom w:w="40" w:type="dxa"/>
              <w:right w:w="20" w:type="dxa"/>
            </w:tcMar>
            <w:vAlign w:val="bottom"/>
          </w:tcPr>
          <w:p w14:paraId="0D8DE24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4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4B" w14:textId="77777777" w:rsidR="004C2197" w:rsidRDefault="00863B83">
            <w:pPr>
              <w:jc w:val="right"/>
              <w:textAlignment w:val="bottom"/>
            </w:pPr>
            <w:r>
              <w:rPr>
                <w:rFonts w:ascii="sans-serif" w:eastAsia="sans-serif" w:hAnsi="sans-serif" w:cs="sans-serif"/>
                <w:color w:val="000000"/>
                <w:sz w:val="20"/>
                <w:szCs w:val="20"/>
              </w:rPr>
              <w:t>157 </w:t>
            </w:r>
          </w:p>
        </w:tc>
        <w:tc>
          <w:tcPr>
            <w:tcW w:w="0" w:type="auto"/>
            <w:shd w:val="clear" w:color="auto" w:fill="E2EFD9"/>
            <w:tcMar>
              <w:top w:w="40" w:type="dxa"/>
              <w:bottom w:w="40" w:type="dxa"/>
              <w:right w:w="20" w:type="dxa"/>
            </w:tcMar>
            <w:vAlign w:val="bottom"/>
          </w:tcPr>
          <w:p w14:paraId="0D8DE24C" w14:textId="77777777" w:rsidR="004C2197" w:rsidRDefault="004C2197">
            <w:pPr>
              <w:jc w:val="right"/>
              <w:rPr>
                <w:rFonts w:ascii="宋体"/>
              </w:rPr>
            </w:pPr>
          </w:p>
        </w:tc>
      </w:tr>
      <w:tr w:rsidR="004C2197" w14:paraId="0D8DE254" w14:textId="77777777">
        <w:tc>
          <w:tcPr>
            <w:tcW w:w="0" w:type="auto"/>
            <w:gridSpan w:val="3"/>
            <w:shd w:val="clear" w:color="auto" w:fill="FFFFFF"/>
            <w:tcMar>
              <w:top w:w="40" w:type="dxa"/>
              <w:left w:w="20" w:type="dxa"/>
              <w:bottom w:w="40" w:type="dxa"/>
              <w:right w:w="20" w:type="dxa"/>
            </w:tcMar>
            <w:vAlign w:val="bottom"/>
          </w:tcPr>
          <w:p w14:paraId="0D8DE24E" w14:textId="77777777" w:rsidR="004C2197" w:rsidRDefault="00863B83">
            <w:pPr>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24F" w14:textId="77777777" w:rsidR="004C2197" w:rsidRDefault="00863B83">
            <w:pPr>
              <w:jc w:val="right"/>
              <w:textAlignment w:val="bottom"/>
            </w:pPr>
            <w:r>
              <w:rPr>
                <w:rFonts w:ascii="sans-serif" w:eastAsia="sans-serif" w:hAnsi="sans-serif" w:cs="sans-serif"/>
                <w:color w:val="000000"/>
                <w:sz w:val="20"/>
                <w:szCs w:val="20"/>
              </w:rPr>
              <w:t>14,681 </w:t>
            </w:r>
          </w:p>
        </w:tc>
        <w:tc>
          <w:tcPr>
            <w:tcW w:w="0" w:type="auto"/>
            <w:tcBorders>
              <w:top w:val="single" w:sz="8" w:space="0" w:color="000000"/>
            </w:tcBorders>
            <w:shd w:val="clear" w:color="auto" w:fill="FFFFFF"/>
            <w:tcMar>
              <w:top w:w="40" w:type="dxa"/>
              <w:bottom w:w="40" w:type="dxa"/>
              <w:right w:w="20" w:type="dxa"/>
            </w:tcMar>
            <w:vAlign w:val="bottom"/>
          </w:tcPr>
          <w:p w14:paraId="0D8DE25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51"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252" w14:textId="77777777" w:rsidR="004C2197" w:rsidRDefault="00863B83">
            <w:pPr>
              <w:jc w:val="right"/>
              <w:textAlignment w:val="bottom"/>
            </w:pPr>
            <w:r>
              <w:rPr>
                <w:rFonts w:ascii="sans-serif" w:eastAsia="sans-serif" w:hAnsi="sans-serif" w:cs="sans-serif"/>
                <w:color w:val="000000"/>
                <w:sz w:val="20"/>
                <w:szCs w:val="20"/>
              </w:rPr>
              <w:t>13,690 </w:t>
            </w:r>
          </w:p>
        </w:tc>
        <w:tc>
          <w:tcPr>
            <w:tcW w:w="0" w:type="auto"/>
            <w:tcBorders>
              <w:top w:val="single" w:sz="8" w:space="0" w:color="000000"/>
            </w:tcBorders>
            <w:shd w:val="clear" w:color="auto" w:fill="FFFFFF"/>
            <w:tcMar>
              <w:top w:w="40" w:type="dxa"/>
              <w:bottom w:w="40" w:type="dxa"/>
              <w:right w:w="20" w:type="dxa"/>
            </w:tcMar>
            <w:vAlign w:val="bottom"/>
          </w:tcPr>
          <w:p w14:paraId="0D8DE253" w14:textId="77777777" w:rsidR="004C2197" w:rsidRDefault="004C2197">
            <w:pPr>
              <w:jc w:val="right"/>
              <w:rPr>
                <w:rFonts w:ascii="宋体"/>
              </w:rPr>
            </w:pPr>
          </w:p>
        </w:tc>
      </w:tr>
      <w:tr w:rsidR="004C2197" w14:paraId="0D8DE25B" w14:textId="77777777">
        <w:tc>
          <w:tcPr>
            <w:tcW w:w="0" w:type="auto"/>
            <w:gridSpan w:val="3"/>
            <w:shd w:val="clear" w:color="auto" w:fill="E2EFD9"/>
            <w:tcMar>
              <w:top w:w="40" w:type="dxa"/>
              <w:left w:w="20" w:type="dxa"/>
              <w:bottom w:w="40" w:type="dxa"/>
              <w:right w:w="20" w:type="dxa"/>
            </w:tcMar>
            <w:vAlign w:val="bottom"/>
          </w:tcPr>
          <w:p w14:paraId="0D8DE255" w14:textId="77777777" w:rsidR="004C2197" w:rsidRDefault="00863B83">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0D8DE256" w14:textId="77777777" w:rsidR="004C2197" w:rsidRDefault="00863B83">
            <w:pPr>
              <w:jc w:val="right"/>
              <w:textAlignment w:val="bottom"/>
            </w:pPr>
            <w:r>
              <w:rPr>
                <w:rFonts w:ascii="sans-serif" w:eastAsia="sans-serif" w:hAnsi="sans-serif" w:cs="sans-serif"/>
                <w:color w:val="000000"/>
                <w:sz w:val="20"/>
                <w:szCs w:val="20"/>
              </w:rPr>
              <w:t>1,964 </w:t>
            </w:r>
          </w:p>
        </w:tc>
        <w:tc>
          <w:tcPr>
            <w:tcW w:w="0" w:type="auto"/>
            <w:shd w:val="clear" w:color="auto" w:fill="E2EFD9"/>
            <w:tcMar>
              <w:top w:w="40" w:type="dxa"/>
              <w:bottom w:w="40" w:type="dxa"/>
              <w:right w:w="20" w:type="dxa"/>
            </w:tcMar>
            <w:vAlign w:val="bottom"/>
          </w:tcPr>
          <w:p w14:paraId="0D8DE25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5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59" w14:textId="77777777" w:rsidR="004C2197" w:rsidRDefault="00863B83">
            <w:pPr>
              <w:jc w:val="right"/>
              <w:textAlignment w:val="bottom"/>
            </w:pPr>
            <w:r>
              <w:rPr>
                <w:rFonts w:ascii="sans-serif" w:eastAsia="sans-serif" w:hAnsi="sans-serif" w:cs="sans-serif"/>
                <w:color w:val="000000"/>
                <w:sz w:val="20"/>
                <w:szCs w:val="20"/>
              </w:rPr>
              <w:t>1,674 </w:t>
            </w:r>
          </w:p>
        </w:tc>
        <w:tc>
          <w:tcPr>
            <w:tcW w:w="0" w:type="auto"/>
            <w:shd w:val="clear" w:color="auto" w:fill="E2EFD9"/>
            <w:tcMar>
              <w:top w:w="40" w:type="dxa"/>
              <w:bottom w:w="40" w:type="dxa"/>
              <w:right w:w="20" w:type="dxa"/>
            </w:tcMar>
            <w:vAlign w:val="bottom"/>
          </w:tcPr>
          <w:p w14:paraId="0D8DE25A" w14:textId="77777777" w:rsidR="004C2197" w:rsidRDefault="004C2197">
            <w:pPr>
              <w:jc w:val="right"/>
              <w:rPr>
                <w:rFonts w:ascii="宋体"/>
              </w:rPr>
            </w:pPr>
          </w:p>
        </w:tc>
      </w:tr>
      <w:tr w:rsidR="004C2197" w14:paraId="0D8DE262" w14:textId="77777777">
        <w:tc>
          <w:tcPr>
            <w:tcW w:w="0" w:type="auto"/>
            <w:gridSpan w:val="3"/>
            <w:shd w:val="clear" w:color="auto" w:fill="FFFFFF"/>
            <w:tcMar>
              <w:top w:w="40" w:type="dxa"/>
              <w:left w:w="20" w:type="dxa"/>
              <w:bottom w:w="40" w:type="dxa"/>
              <w:right w:w="20" w:type="dxa"/>
            </w:tcMar>
            <w:vAlign w:val="bottom"/>
          </w:tcPr>
          <w:p w14:paraId="0D8DE25C" w14:textId="77777777" w:rsidR="004C2197" w:rsidRDefault="00863B83">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0D8DE25D" w14:textId="77777777" w:rsidR="004C2197" w:rsidRDefault="00863B83">
            <w:pPr>
              <w:jc w:val="right"/>
              <w:textAlignment w:val="bottom"/>
            </w:pPr>
            <w:r>
              <w:rPr>
                <w:rFonts w:ascii="sans-serif" w:eastAsia="sans-serif" w:hAnsi="sans-serif" w:cs="sans-serif"/>
                <w:color w:val="000000"/>
                <w:sz w:val="20"/>
                <w:szCs w:val="20"/>
              </w:rPr>
              <w:t>701 </w:t>
            </w:r>
          </w:p>
        </w:tc>
        <w:tc>
          <w:tcPr>
            <w:tcW w:w="0" w:type="auto"/>
            <w:shd w:val="clear" w:color="auto" w:fill="FFFFFF"/>
            <w:tcMar>
              <w:top w:w="40" w:type="dxa"/>
              <w:bottom w:w="40" w:type="dxa"/>
              <w:right w:w="20" w:type="dxa"/>
            </w:tcMar>
            <w:vAlign w:val="bottom"/>
          </w:tcPr>
          <w:p w14:paraId="0D8DE25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5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60" w14:textId="77777777" w:rsidR="004C2197" w:rsidRDefault="00863B83">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bottom w:w="40" w:type="dxa"/>
              <w:right w:w="20" w:type="dxa"/>
            </w:tcMar>
            <w:vAlign w:val="bottom"/>
          </w:tcPr>
          <w:p w14:paraId="0D8DE261" w14:textId="77777777" w:rsidR="004C2197" w:rsidRDefault="004C2197">
            <w:pPr>
              <w:jc w:val="right"/>
              <w:rPr>
                <w:rFonts w:ascii="宋体"/>
              </w:rPr>
            </w:pPr>
          </w:p>
        </w:tc>
      </w:tr>
      <w:tr w:rsidR="004C2197" w14:paraId="0D8DE269" w14:textId="77777777">
        <w:tc>
          <w:tcPr>
            <w:tcW w:w="0" w:type="auto"/>
            <w:gridSpan w:val="3"/>
            <w:shd w:val="clear" w:color="auto" w:fill="E2EFD9"/>
            <w:tcMar>
              <w:top w:w="40" w:type="dxa"/>
              <w:left w:w="20" w:type="dxa"/>
              <w:bottom w:w="40" w:type="dxa"/>
              <w:right w:w="20" w:type="dxa"/>
            </w:tcMar>
            <w:vAlign w:val="bottom"/>
          </w:tcPr>
          <w:p w14:paraId="0D8DE263" w14:textId="77777777" w:rsidR="004C2197" w:rsidRDefault="00863B83">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0D8DE264" w14:textId="77777777" w:rsidR="004C2197" w:rsidRDefault="00863B83">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bottom w:w="40" w:type="dxa"/>
              <w:right w:w="20" w:type="dxa"/>
            </w:tcMar>
            <w:vAlign w:val="bottom"/>
          </w:tcPr>
          <w:p w14:paraId="0D8DE26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6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67" w14:textId="77777777" w:rsidR="004C2197" w:rsidRDefault="00863B83">
            <w:pPr>
              <w:jc w:val="right"/>
              <w:textAlignment w:val="bottom"/>
            </w:pPr>
            <w:r>
              <w:rPr>
                <w:rFonts w:ascii="sans-serif" w:eastAsia="sans-serif" w:hAnsi="sans-serif" w:cs="sans-serif"/>
                <w:color w:val="000000"/>
                <w:sz w:val="20"/>
                <w:szCs w:val="20"/>
              </w:rPr>
              <w:t>618 </w:t>
            </w:r>
          </w:p>
        </w:tc>
        <w:tc>
          <w:tcPr>
            <w:tcW w:w="0" w:type="auto"/>
            <w:shd w:val="clear" w:color="auto" w:fill="E2EFD9"/>
            <w:tcMar>
              <w:top w:w="40" w:type="dxa"/>
              <w:bottom w:w="40" w:type="dxa"/>
              <w:right w:w="20" w:type="dxa"/>
            </w:tcMar>
            <w:vAlign w:val="bottom"/>
          </w:tcPr>
          <w:p w14:paraId="0D8DE268" w14:textId="77777777" w:rsidR="004C2197" w:rsidRDefault="004C2197">
            <w:pPr>
              <w:jc w:val="right"/>
              <w:rPr>
                <w:rFonts w:ascii="宋体"/>
              </w:rPr>
            </w:pPr>
          </w:p>
        </w:tc>
      </w:tr>
      <w:tr w:rsidR="004C2197" w14:paraId="0D8DE270" w14:textId="77777777">
        <w:tc>
          <w:tcPr>
            <w:tcW w:w="0" w:type="auto"/>
            <w:gridSpan w:val="3"/>
            <w:shd w:val="clear" w:color="auto" w:fill="FFFFFF"/>
            <w:tcMar>
              <w:top w:w="40" w:type="dxa"/>
              <w:left w:w="20" w:type="dxa"/>
              <w:bottom w:w="40" w:type="dxa"/>
              <w:right w:w="20" w:type="dxa"/>
            </w:tcMar>
            <w:vAlign w:val="bottom"/>
          </w:tcPr>
          <w:p w14:paraId="0D8DE26A" w14:textId="77777777" w:rsidR="004C2197" w:rsidRDefault="00863B83">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0D8DE26B" w14:textId="77777777" w:rsidR="004C2197" w:rsidRDefault="00863B83">
            <w:pPr>
              <w:jc w:val="right"/>
              <w:textAlignment w:val="bottom"/>
            </w:pPr>
            <w:r>
              <w:rPr>
                <w:rFonts w:ascii="sans-serif" w:eastAsia="sans-serif" w:hAnsi="sans-serif" w:cs="sans-serif"/>
                <w:color w:val="000000"/>
                <w:sz w:val="20"/>
                <w:szCs w:val="20"/>
              </w:rPr>
              <w:t>2,854 </w:t>
            </w:r>
          </w:p>
        </w:tc>
        <w:tc>
          <w:tcPr>
            <w:tcW w:w="0" w:type="auto"/>
            <w:shd w:val="clear" w:color="auto" w:fill="FFFFFF"/>
            <w:tcMar>
              <w:top w:w="40" w:type="dxa"/>
              <w:bottom w:w="40" w:type="dxa"/>
              <w:right w:w="20" w:type="dxa"/>
            </w:tcMar>
            <w:vAlign w:val="bottom"/>
          </w:tcPr>
          <w:p w14:paraId="0D8DE26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6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6E" w14:textId="77777777" w:rsidR="004C2197" w:rsidRDefault="00863B83">
            <w:pPr>
              <w:jc w:val="right"/>
              <w:textAlignment w:val="bottom"/>
            </w:pPr>
            <w:r>
              <w:rPr>
                <w:rFonts w:ascii="sans-serif" w:eastAsia="sans-serif" w:hAnsi="sans-serif" w:cs="sans-serif"/>
                <w:color w:val="000000"/>
                <w:sz w:val="20"/>
                <w:szCs w:val="20"/>
              </w:rPr>
              <w:t>49 </w:t>
            </w:r>
          </w:p>
        </w:tc>
        <w:tc>
          <w:tcPr>
            <w:tcW w:w="0" w:type="auto"/>
            <w:shd w:val="clear" w:color="auto" w:fill="FFFFFF"/>
            <w:tcMar>
              <w:top w:w="40" w:type="dxa"/>
              <w:bottom w:w="40" w:type="dxa"/>
              <w:right w:w="20" w:type="dxa"/>
            </w:tcMar>
            <w:vAlign w:val="bottom"/>
          </w:tcPr>
          <w:p w14:paraId="0D8DE26F" w14:textId="77777777" w:rsidR="004C2197" w:rsidRDefault="004C2197">
            <w:pPr>
              <w:jc w:val="right"/>
              <w:rPr>
                <w:rFonts w:ascii="宋体"/>
              </w:rPr>
            </w:pPr>
          </w:p>
        </w:tc>
      </w:tr>
      <w:tr w:rsidR="004C2197" w14:paraId="0D8DE277" w14:textId="77777777">
        <w:tc>
          <w:tcPr>
            <w:tcW w:w="0" w:type="auto"/>
            <w:gridSpan w:val="3"/>
            <w:shd w:val="clear" w:color="auto" w:fill="E2EFD9"/>
            <w:tcMar>
              <w:top w:w="40" w:type="dxa"/>
              <w:left w:w="20" w:type="dxa"/>
              <w:bottom w:w="40" w:type="dxa"/>
              <w:right w:w="20" w:type="dxa"/>
            </w:tcMar>
            <w:vAlign w:val="bottom"/>
          </w:tcPr>
          <w:p w14:paraId="0D8DE271" w14:textId="77777777" w:rsidR="004C2197" w:rsidRDefault="00863B83">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0D8DE272" w14:textId="77777777" w:rsidR="004C2197" w:rsidRDefault="00863B83">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bottom w:w="40" w:type="dxa"/>
              <w:right w:w="20" w:type="dxa"/>
            </w:tcMar>
            <w:vAlign w:val="bottom"/>
          </w:tcPr>
          <w:p w14:paraId="0D8DE27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7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75" w14:textId="77777777" w:rsidR="004C2197" w:rsidRDefault="00863B83">
            <w:pPr>
              <w:jc w:val="right"/>
              <w:textAlignment w:val="bottom"/>
            </w:pPr>
            <w:r>
              <w:rPr>
                <w:rFonts w:ascii="sans-serif" w:eastAsia="sans-serif" w:hAnsi="sans-serif" w:cs="sans-serif"/>
                <w:color w:val="000000"/>
                <w:sz w:val="20"/>
                <w:szCs w:val="20"/>
              </w:rPr>
              <w:t>548 </w:t>
            </w:r>
          </w:p>
        </w:tc>
        <w:tc>
          <w:tcPr>
            <w:tcW w:w="0" w:type="auto"/>
            <w:shd w:val="clear" w:color="auto" w:fill="E2EFD9"/>
            <w:tcMar>
              <w:top w:w="40" w:type="dxa"/>
              <w:bottom w:w="40" w:type="dxa"/>
              <w:right w:w="20" w:type="dxa"/>
            </w:tcMar>
            <w:vAlign w:val="bottom"/>
          </w:tcPr>
          <w:p w14:paraId="0D8DE276" w14:textId="77777777" w:rsidR="004C2197" w:rsidRDefault="004C2197">
            <w:pPr>
              <w:jc w:val="right"/>
              <w:rPr>
                <w:rFonts w:ascii="宋体"/>
              </w:rPr>
            </w:pPr>
          </w:p>
        </w:tc>
      </w:tr>
      <w:tr w:rsidR="004C2197" w14:paraId="0D8DE27E" w14:textId="77777777">
        <w:tc>
          <w:tcPr>
            <w:tcW w:w="0" w:type="auto"/>
            <w:gridSpan w:val="3"/>
            <w:shd w:val="clear" w:color="auto" w:fill="FFFFFF"/>
            <w:tcMar>
              <w:top w:w="40" w:type="dxa"/>
              <w:left w:w="20" w:type="dxa"/>
              <w:bottom w:w="40" w:type="dxa"/>
              <w:right w:w="20" w:type="dxa"/>
            </w:tcMar>
            <w:vAlign w:val="bottom"/>
          </w:tcPr>
          <w:p w14:paraId="0D8DE278" w14:textId="77777777" w:rsidR="004C2197" w:rsidRDefault="00863B83">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0D8DE279" w14:textId="77777777" w:rsidR="004C2197" w:rsidRDefault="00863B83">
            <w:pPr>
              <w:jc w:val="right"/>
              <w:textAlignment w:val="bottom"/>
            </w:pPr>
            <w:r>
              <w:rPr>
                <w:rFonts w:ascii="sans-serif" w:eastAsia="sans-serif" w:hAnsi="sans-serif" w:cs="sans-serif"/>
                <w:color w:val="000000"/>
                <w:sz w:val="20"/>
                <w:szCs w:val="20"/>
              </w:rPr>
              <w:t>157 </w:t>
            </w:r>
          </w:p>
        </w:tc>
        <w:tc>
          <w:tcPr>
            <w:tcW w:w="0" w:type="auto"/>
            <w:shd w:val="clear" w:color="auto" w:fill="FFFFFF"/>
            <w:tcMar>
              <w:top w:w="40" w:type="dxa"/>
              <w:bottom w:w="40" w:type="dxa"/>
              <w:right w:w="20" w:type="dxa"/>
            </w:tcMar>
            <w:vAlign w:val="bottom"/>
          </w:tcPr>
          <w:p w14:paraId="0D8DE27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7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7C" w14:textId="77777777" w:rsidR="004C2197" w:rsidRDefault="00863B83">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bottom w:w="40" w:type="dxa"/>
              <w:right w:w="20" w:type="dxa"/>
            </w:tcMar>
            <w:vAlign w:val="bottom"/>
          </w:tcPr>
          <w:p w14:paraId="0D8DE27D" w14:textId="77777777" w:rsidR="004C2197" w:rsidRDefault="004C2197">
            <w:pPr>
              <w:jc w:val="right"/>
              <w:rPr>
                <w:rFonts w:ascii="宋体"/>
              </w:rPr>
            </w:pPr>
          </w:p>
        </w:tc>
      </w:tr>
      <w:tr w:rsidR="004C2197" w14:paraId="0D8DE287" w14:textId="77777777">
        <w:tc>
          <w:tcPr>
            <w:tcW w:w="0" w:type="auto"/>
            <w:gridSpan w:val="3"/>
            <w:shd w:val="clear" w:color="auto" w:fill="E2EFD9"/>
            <w:tcMar>
              <w:top w:w="40" w:type="dxa"/>
              <w:left w:w="20" w:type="dxa"/>
              <w:bottom w:w="40" w:type="dxa"/>
              <w:right w:w="20" w:type="dxa"/>
            </w:tcMar>
            <w:vAlign w:val="bottom"/>
          </w:tcPr>
          <w:p w14:paraId="0D8DE27F" w14:textId="77777777" w:rsidR="004C2197" w:rsidRDefault="00863B83">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tcMar>
            <w:vAlign w:val="bottom"/>
          </w:tcPr>
          <w:p w14:paraId="0D8DE28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E281" w14:textId="77777777" w:rsidR="004C2197" w:rsidRDefault="00863B83">
            <w:pPr>
              <w:jc w:val="right"/>
              <w:textAlignment w:val="bottom"/>
            </w:pPr>
            <w:r>
              <w:rPr>
                <w:rFonts w:ascii="sans-serif" w:eastAsia="sans-serif" w:hAnsi="sans-serif" w:cs="sans-serif"/>
                <w:color w:val="000000"/>
                <w:sz w:val="20"/>
                <w:szCs w:val="20"/>
              </w:rPr>
              <w:t>25,180 </w:t>
            </w:r>
          </w:p>
        </w:tc>
        <w:tc>
          <w:tcPr>
            <w:tcW w:w="0" w:type="auto"/>
            <w:tcBorders>
              <w:top w:val="single" w:sz="8" w:space="0" w:color="000000"/>
            </w:tcBorders>
            <w:shd w:val="clear" w:color="auto" w:fill="E2EFD9"/>
            <w:tcMar>
              <w:top w:w="40" w:type="dxa"/>
              <w:bottom w:w="40" w:type="dxa"/>
              <w:right w:w="20" w:type="dxa"/>
            </w:tcMar>
            <w:vAlign w:val="bottom"/>
          </w:tcPr>
          <w:p w14:paraId="0D8DE28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83"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28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bottom w:w="40" w:type="dxa"/>
              <w:right w:w="0" w:type="dxa"/>
            </w:tcMar>
            <w:vAlign w:val="bottom"/>
          </w:tcPr>
          <w:p w14:paraId="0D8DE285" w14:textId="77777777" w:rsidR="004C2197" w:rsidRDefault="00863B83">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tcBorders>
            <w:shd w:val="clear" w:color="auto" w:fill="E2EFD9"/>
            <w:tcMar>
              <w:top w:w="40" w:type="dxa"/>
              <w:bottom w:w="40" w:type="dxa"/>
              <w:right w:w="20" w:type="dxa"/>
            </w:tcMar>
            <w:vAlign w:val="bottom"/>
          </w:tcPr>
          <w:p w14:paraId="0D8DE286" w14:textId="77777777" w:rsidR="004C2197" w:rsidRDefault="004C2197">
            <w:pPr>
              <w:jc w:val="right"/>
              <w:rPr>
                <w:rFonts w:ascii="宋体"/>
              </w:rPr>
            </w:pPr>
          </w:p>
        </w:tc>
      </w:tr>
      <w:tr w:rsidR="004C2197" w14:paraId="0D8DE28C" w14:textId="77777777">
        <w:trPr>
          <w:trHeight w:val="300"/>
        </w:trPr>
        <w:tc>
          <w:tcPr>
            <w:tcW w:w="0" w:type="auto"/>
            <w:gridSpan w:val="3"/>
            <w:shd w:val="clear" w:color="auto" w:fill="FFFFFF"/>
            <w:tcMar>
              <w:left w:w="20" w:type="dxa"/>
              <w:right w:w="20" w:type="dxa"/>
            </w:tcMar>
            <w:vAlign w:val="bottom"/>
          </w:tcPr>
          <w:p w14:paraId="0D8DE288"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E28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28A"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E28B" w14:textId="77777777" w:rsidR="004C2197" w:rsidRDefault="004C2197">
            <w:pPr>
              <w:rPr>
                <w:rFonts w:ascii="宋体"/>
              </w:rPr>
            </w:pPr>
          </w:p>
        </w:tc>
      </w:tr>
      <w:tr w:rsidR="004C2197" w14:paraId="0D8DE291" w14:textId="77777777">
        <w:tc>
          <w:tcPr>
            <w:tcW w:w="0" w:type="auto"/>
            <w:gridSpan w:val="3"/>
            <w:shd w:val="clear" w:color="auto" w:fill="E2EFD9"/>
            <w:tcMar>
              <w:top w:w="40" w:type="dxa"/>
              <w:left w:w="20" w:type="dxa"/>
              <w:bottom w:w="40" w:type="dxa"/>
              <w:right w:w="20" w:type="dxa"/>
            </w:tcMar>
            <w:vAlign w:val="bottom"/>
          </w:tcPr>
          <w:p w14:paraId="0D8DE28D" w14:textId="77777777" w:rsidR="004C2197" w:rsidRDefault="00863B83">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0D8DE28E"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E28F"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290" w14:textId="77777777" w:rsidR="004C2197" w:rsidRDefault="00863B83">
            <w:pPr>
              <w:textAlignment w:val="bottom"/>
            </w:pPr>
            <w:r>
              <w:rPr>
                <w:rFonts w:ascii="sans-serif" w:eastAsia="sans-serif" w:hAnsi="sans-serif" w:cs="sans-serif"/>
                <w:color w:val="000000"/>
                <w:sz w:val="20"/>
                <w:szCs w:val="20"/>
              </w:rPr>
              <w:t> </w:t>
            </w:r>
          </w:p>
        </w:tc>
      </w:tr>
      <w:tr w:rsidR="004C2197" w14:paraId="0D8DE296" w14:textId="77777777">
        <w:tc>
          <w:tcPr>
            <w:tcW w:w="0" w:type="auto"/>
            <w:gridSpan w:val="3"/>
            <w:shd w:val="clear" w:color="auto" w:fill="FFFFFF"/>
            <w:tcMar>
              <w:top w:w="40" w:type="dxa"/>
              <w:left w:w="20" w:type="dxa"/>
              <w:bottom w:w="40" w:type="dxa"/>
              <w:right w:w="20" w:type="dxa"/>
            </w:tcMar>
            <w:vAlign w:val="bottom"/>
          </w:tcPr>
          <w:p w14:paraId="0D8DE292" w14:textId="77777777" w:rsidR="004C2197" w:rsidRDefault="00863B83">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0D8DE293"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FFFFFF"/>
            <w:tcMar>
              <w:left w:w="20" w:type="dxa"/>
              <w:right w:w="20" w:type="dxa"/>
            </w:tcMar>
            <w:vAlign w:val="bottom"/>
          </w:tcPr>
          <w:p w14:paraId="0D8DE294"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295" w14:textId="77777777" w:rsidR="004C2197" w:rsidRDefault="00863B83">
            <w:pPr>
              <w:textAlignment w:val="bottom"/>
            </w:pPr>
            <w:r>
              <w:rPr>
                <w:rFonts w:ascii="sans-serif" w:eastAsia="sans-serif" w:hAnsi="sans-serif" w:cs="sans-serif"/>
                <w:color w:val="000000"/>
                <w:sz w:val="20"/>
                <w:szCs w:val="20"/>
              </w:rPr>
              <w:t> </w:t>
            </w:r>
          </w:p>
        </w:tc>
      </w:tr>
      <w:tr w:rsidR="004C2197" w14:paraId="0D8DE29F" w14:textId="77777777">
        <w:tc>
          <w:tcPr>
            <w:tcW w:w="0" w:type="auto"/>
            <w:gridSpan w:val="3"/>
            <w:shd w:val="clear" w:color="auto" w:fill="E2EFD9"/>
            <w:tcMar>
              <w:top w:w="40" w:type="dxa"/>
              <w:left w:w="225" w:type="dxa"/>
              <w:bottom w:w="40" w:type="dxa"/>
              <w:right w:w="20" w:type="dxa"/>
            </w:tcMar>
            <w:vAlign w:val="bottom"/>
          </w:tcPr>
          <w:p w14:paraId="0D8DE297" w14:textId="77777777" w:rsidR="004C2197" w:rsidRDefault="00863B83">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tcMar>
            <w:vAlign w:val="bottom"/>
          </w:tcPr>
          <w:p w14:paraId="0D8DE29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299" w14:textId="77777777" w:rsidR="004C2197" w:rsidRDefault="00863B83">
            <w:pPr>
              <w:jc w:val="right"/>
              <w:textAlignment w:val="bottom"/>
            </w:pPr>
            <w:r>
              <w:rPr>
                <w:rFonts w:ascii="sans-serif" w:eastAsia="sans-serif" w:hAnsi="sans-serif" w:cs="sans-serif"/>
                <w:color w:val="000000"/>
                <w:sz w:val="20"/>
                <w:szCs w:val="20"/>
              </w:rPr>
              <w:t>893 </w:t>
            </w:r>
          </w:p>
        </w:tc>
        <w:tc>
          <w:tcPr>
            <w:tcW w:w="0" w:type="auto"/>
            <w:shd w:val="clear" w:color="auto" w:fill="E2EFD9"/>
            <w:tcMar>
              <w:top w:w="40" w:type="dxa"/>
              <w:bottom w:w="40" w:type="dxa"/>
              <w:right w:w="20" w:type="dxa"/>
            </w:tcMar>
            <w:vAlign w:val="bottom"/>
          </w:tcPr>
          <w:p w14:paraId="0D8DE29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9B"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29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29D" w14:textId="77777777" w:rsidR="004C2197" w:rsidRDefault="00863B83">
            <w:pPr>
              <w:jc w:val="right"/>
              <w:textAlignment w:val="bottom"/>
            </w:pPr>
            <w:r>
              <w:rPr>
                <w:rFonts w:ascii="sans-serif" w:eastAsia="sans-serif" w:hAnsi="sans-serif" w:cs="sans-serif"/>
                <w:color w:val="000000"/>
                <w:sz w:val="20"/>
                <w:szCs w:val="20"/>
              </w:rPr>
              <w:t>687 </w:t>
            </w:r>
          </w:p>
        </w:tc>
        <w:tc>
          <w:tcPr>
            <w:tcW w:w="0" w:type="auto"/>
            <w:shd w:val="clear" w:color="auto" w:fill="E2EFD9"/>
            <w:tcMar>
              <w:top w:w="40" w:type="dxa"/>
              <w:bottom w:w="40" w:type="dxa"/>
              <w:right w:w="20" w:type="dxa"/>
            </w:tcMar>
            <w:vAlign w:val="bottom"/>
          </w:tcPr>
          <w:p w14:paraId="0D8DE29E" w14:textId="77777777" w:rsidR="004C2197" w:rsidRDefault="004C2197">
            <w:pPr>
              <w:jc w:val="right"/>
              <w:rPr>
                <w:rFonts w:ascii="宋体"/>
              </w:rPr>
            </w:pPr>
          </w:p>
        </w:tc>
      </w:tr>
      <w:tr w:rsidR="004C2197" w14:paraId="0D8DE2A6" w14:textId="77777777">
        <w:tc>
          <w:tcPr>
            <w:tcW w:w="0" w:type="auto"/>
            <w:gridSpan w:val="3"/>
            <w:shd w:val="clear" w:color="auto" w:fill="FFFFFF"/>
            <w:tcMar>
              <w:top w:w="40" w:type="dxa"/>
              <w:left w:w="225" w:type="dxa"/>
              <w:bottom w:w="40" w:type="dxa"/>
              <w:right w:w="20" w:type="dxa"/>
            </w:tcMar>
            <w:vAlign w:val="bottom"/>
          </w:tcPr>
          <w:p w14:paraId="0D8DE2A0" w14:textId="77777777" w:rsidR="004C2197" w:rsidRDefault="00863B83">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0D8DE2A1" w14:textId="77777777" w:rsidR="004C2197" w:rsidRDefault="00863B83">
            <w:pPr>
              <w:jc w:val="right"/>
              <w:textAlignment w:val="bottom"/>
            </w:pPr>
            <w:r>
              <w:rPr>
                <w:rFonts w:ascii="sans-serif" w:eastAsia="sans-serif" w:hAnsi="sans-serif" w:cs="sans-serif"/>
                <w:color w:val="000000"/>
                <w:sz w:val="20"/>
                <w:szCs w:val="20"/>
              </w:rPr>
              <w:t>1,517 </w:t>
            </w:r>
          </w:p>
        </w:tc>
        <w:tc>
          <w:tcPr>
            <w:tcW w:w="0" w:type="auto"/>
            <w:shd w:val="clear" w:color="auto" w:fill="FFFFFF"/>
            <w:tcMar>
              <w:top w:w="40" w:type="dxa"/>
              <w:bottom w:w="40" w:type="dxa"/>
              <w:right w:w="20" w:type="dxa"/>
            </w:tcMar>
            <w:vAlign w:val="bottom"/>
          </w:tcPr>
          <w:p w14:paraId="0D8DE2A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A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A4" w14:textId="77777777" w:rsidR="004C2197" w:rsidRDefault="00863B83">
            <w:pPr>
              <w:jc w:val="right"/>
              <w:textAlignment w:val="bottom"/>
            </w:pPr>
            <w:r>
              <w:rPr>
                <w:rFonts w:ascii="sans-serif" w:eastAsia="sans-serif" w:hAnsi="sans-serif" w:cs="sans-serif"/>
                <w:color w:val="000000"/>
                <w:sz w:val="20"/>
                <w:szCs w:val="20"/>
              </w:rPr>
              <w:t>1,097 </w:t>
            </w:r>
          </w:p>
        </w:tc>
        <w:tc>
          <w:tcPr>
            <w:tcW w:w="0" w:type="auto"/>
            <w:shd w:val="clear" w:color="auto" w:fill="FFFFFF"/>
            <w:tcMar>
              <w:top w:w="40" w:type="dxa"/>
              <w:bottom w:w="40" w:type="dxa"/>
              <w:right w:w="20" w:type="dxa"/>
            </w:tcMar>
            <w:vAlign w:val="bottom"/>
          </w:tcPr>
          <w:p w14:paraId="0D8DE2A5" w14:textId="77777777" w:rsidR="004C2197" w:rsidRDefault="004C2197">
            <w:pPr>
              <w:jc w:val="right"/>
              <w:rPr>
                <w:rFonts w:ascii="宋体"/>
              </w:rPr>
            </w:pPr>
          </w:p>
        </w:tc>
      </w:tr>
      <w:tr w:rsidR="004C2197" w14:paraId="0D8DE2AB" w14:textId="77777777">
        <w:trPr>
          <w:hidden/>
        </w:trPr>
        <w:tc>
          <w:tcPr>
            <w:tcW w:w="0" w:type="auto"/>
            <w:gridSpan w:val="3"/>
            <w:shd w:val="clear" w:color="auto" w:fill="auto"/>
          </w:tcPr>
          <w:p w14:paraId="0D8DE2A7" w14:textId="77777777" w:rsidR="004C2197" w:rsidRDefault="004C2197">
            <w:pPr>
              <w:rPr>
                <w:rFonts w:ascii="宋体"/>
                <w:vanish/>
              </w:rPr>
            </w:pPr>
          </w:p>
        </w:tc>
        <w:tc>
          <w:tcPr>
            <w:tcW w:w="0" w:type="auto"/>
            <w:gridSpan w:val="3"/>
            <w:shd w:val="clear" w:color="auto" w:fill="auto"/>
          </w:tcPr>
          <w:p w14:paraId="0D8DE2A8" w14:textId="77777777" w:rsidR="004C2197" w:rsidRDefault="004C2197">
            <w:pPr>
              <w:rPr>
                <w:rFonts w:ascii="宋体"/>
                <w:vanish/>
              </w:rPr>
            </w:pPr>
          </w:p>
        </w:tc>
        <w:tc>
          <w:tcPr>
            <w:tcW w:w="0" w:type="auto"/>
            <w:gridSpan w:val="3"/>
            <w:shd w:val="clear" w:color="auto" w:fill="auto"/>
          </w:tcPr>
          <w:p w14:paraId="0D8DE2A9" w14:textId="77777777" w:rsidR="004C2197" w:rsidRDefault="004C2197">
            <w:pPr>
              <w:rPr>
                <w:rFonts w:ascii="宋体"/>
                <w:vanish/>
              </w:rPr>
            </w:pPr>
          </w:p>
        </w:tc>
        <w:tc>
          <w:tcPr>
            <w:tcW w:w="0" w:type="auto"/>
            <w:gridSpan w:val="3"/>
            <w:shd w:val="clear" w:color="auto" w:fill="auto"/>
          </w:tcPr>
          <w:p w14:paraId="0D8DE2AA" w14:textId="77777777" w:rsidR="004C2197" w:rsidRDefault="004C2197">
            <w:pPr>
              <w:rPr>
                <w:rFonts w:ascii="宋体"/>
                <w:vanish/>
              </w:rPr>
            </w:pPr>
          </w:p>
        </w:tc>
      </w:tr>
      <w:tr w:rsidR="004C2197" w14:paraId="0D8DE2B2" w14:textId="77777777">
        <w:tc>
          <w:tcPr>
            <w:tcW w:w="0" w:type="auto"/>
            <w:gridSpan w:val="3"/>
            <w:shd w:val="clear" w:color="auto" w:fill="E2EFD9"/>
            <w:tcMar>
              <w:top w:w="40" w:type="dxa"/>
              <w:left w:w="20" w:type="dxa"/>
              <w:bottom w:w="40" w:type="dxa"/>
              <w:right w:w="20" w:type="dxa"/>
            </w:tcMar>
            <w:vAlign w:val="bottom"/>
          </w:tcPr>
          <w:p w14:paraId="0D8DE2AC" w14:textId="77777777" w:rsidR="004C2197" w:rsidRDefault="00863B83">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2AD" w14:textId="77777777" w:rsidR="004C2197" w:rsidRDefault="00863B83">
            <w:pPr>
              <w:jc w:val="right"/>
              <w:textAlignment w:val="bottom"/>
            </w:pPr>
            <w:r>
              <w:rPr>
                <w:rFonts w:ascii="sans-serif" w:eastAsia="sans-serif" w:hAnsi="sans-serif" w:cs="sans-serif"/>
                <w:color w:val="000000"/>
                <w:sz w:val="20"/>
                <w:szCs w:val="20"/>
              </w:rPr>
              <w:t>2,410 </w:t>
            </w:r>
          </w:p>
        </w:tc>
        <w:tc>
          <w:tcPr>
            <w:tcW w:w="0" w:type="auto"/>
            <w:tcBorders>
              <w:top w:val="single" w:sz="8" w:space="0" w:color="000000"/>
            </w:tcBorders>
            <w:shd w:val="clear" w:color="auto" w:fill="E2EFD9"/>
            <w:tcMar>
              <w:top w:w="40" w:type="dxa"/>
              <w:bottom w:w="40" w:type="dxa"/>
              <w:right w:w="20" w:type="dxa"/>
            </w:tcMar>
            <w:vAlign w:val="bottom"/>
          </w:tcPr>
          <w:p w14:paraId="0D8DE2A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AF"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2B0" w14:textId="77777777" w:rsidR="004C2197" w:rsidRDefault="00863B83">
            <w:pPr>
              <w:jc w:val="right"/>
              <w:textAlignment w:val="bottom"/>
            </w:pPr>
            <w:r>
              <w:rPr>
                <w:rFonts w:ascii="sans-serif" w:eastAsia="sans-serif" w:hAnsi="sans-serif" w:cs="sans-serif"/>
                <w:color w:val="000000"/>
                <w:sz w:val="20"/>
                <w:szCs w:val="20"/>
              </w:rPr>
              <w:t>1,784 </w:t>
            </w:r>
          </w:p>
        </w:tc>
        <w:tc>
          <w:tcPr>
            <w:tcW w:w="0" w:type="auto"/>
            <w:tcBorders>
              <w:top w:val="single" w:sz="8" w:space="0" w:color="000000"/>
            </w:tcBorders>
            <w:shd w:val="clear" w:color="auto" w:fill="E2EFD9"/>
            <w:tcMar>
              <w:top w:w="40" w:type="dxa"/>
              <w:bottom w:w="40" w:type="dxa"/>
              <w:right w:w="20" w:type="dxa"/>
            </w:tcMar>
            <w:vAlign w:val="bottom"/>
          </w:tcPr>
          <w:p w14:paraId="0D8DE2B1" w14:textId="77777777" w:rsidR="004C2197" w:rsidRDefault="004C2197">
            <w:pPr>
              <w:jc w:val="right"/>
              <w:rPr>
                <w:rFonts w:ascii="宋体"/>
              </w:rPr>
            </w:pPr>
          </w:p>
        </w:tc>
      </w:tr>
      <w:tr w:rsidR="004C2197" w14:paraId="0D8DE2B9" w14:textId="77777777">
        <w:tc>
          <w:tcPr>
            <w:tcW w:w="0" w:type="auto"/>
            <w:gridSpan w:val="3"/>
            <w:shd w:val="clear" w:color="auto" w:fill="FFFFFF"/>
            <w:tcMar>
              <w:top w:w="40" w:type="dxa"/>
              <w:left w:w="20" w:type="dxa"/>
              <w:bottom w:w="40" w:type="dxa"/>
              <w:right w:w="20" w:type="dxa"/>
            </w:tcMar>
            <w:vAlign w:val="bottom"/>
          </w:tcPr>
          <w:p w14:paraId="0D8DE2B3" w14:textId="77777777" w:rsidR="004C2197" w:rsidRDefault="00863B83">
            <w:pPr>
              <w:textAlignment w:val="bottom"/>
            </w:pPr>
            <w:r>
              <w:rPr>
                <w:rFonts w:ascii="sans-serif" w:eastAsia="sans-serif" w:hAnsi="sans-serif" w:cs="sans-serif"/>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0D8DE2B4" w14:textId="77777777" w:rsidR="004C2197" w:rsidRDefault="00863B83">
            <w:pPr>
              <w:jc w:val="right"/>
              <w:textAlignment w:val="bottom"/>
            </w:pPr>
            <w:r>
              <w:rPr>
                <w:rFonts w:ascii="sans-serif" w:eastAsia="sans-serif" w:hAnsi="sans-serif" w:cs="sans-serif"/>
                <w:color w:val="000000"/>
                <w:sz w:val="20"/>
                <w:szCs w:val="20"/>
              </w:rPr>
              <w:t>6,960 </w:t>
            </w:r>
          </w:p>
        </w:tc>
        <w:tc>
          <w:tcPr>
            <w:tcW w:w="0" w:type="auto"/>
            <w:shd w:val="clear" w:color="auto" w:fill="FFFFFF"/>
            <w:tcMar>
              <w:top w:w="40" w:type="dxa"/>
              <w:bottom w:w="40" w:type="dxa"/>
              <w:right w:w="20" w:type="dxa"/>
            </w:tcMar>
            <w:vAlign w:val="bottom"/>
          </w:tcPr>
          <w:p w14:paraId="0D8DE2B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B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B7" w14:textId="77777777" w:rsidR="004C2197" w:rsidRDefault="00863B83">
            <w:pPr>
              <w:jc w:val="right"/>
              <w:textAlignment w:val="bottom"/>
            </w:pPr>
            <w:r>
              <w:rPr>
                <w:rFonts w:ascii="sans-serif" w:eastAsia="sans-serif" w:hAnsi="sans-serif" w:cs="sans-serif"/>
                <w:color w:val="000000"/>
                <w:sz w:val="20"/>
                <w:szCs w:val="20"/>
              </w:rPr>
              <w:t>1,991 </w:t>
            </w:r>
          </w:p>
        </w:tc>
        <w:tc>
          <w:tcPr>
            <w:tcW w:w="0" w:type="auto"/>
            <w:shd w:val="clear" w:color="auto" w:fill="FFFFFF"/>
            <w:tcMar>
              <w:top w:w="40" w:type="dxa"/>
              <w:bottom w:w="40" w:type="dxa"/>
              <w:right w:w="20" w:type="dxa"/>
            </w:tcMar>
            <w:vAlign w:val="bottom"/>
          </w:tcPr>
          <w:p w14:paraId="0D8DE2B8" w14:textId="77777777" w:rsidR="004C2197" w:rsidRDefault="004C2197">
            <w:pPr>
              <w:jc w:val="right"/>
              <w:rPr>
                <w:rFonts w:ascii="宋体"/>
              </w:rPr>
            </w:pPr>
          </w:p>
        </w:tc>
      </w:tr>
      <w:tr w:rsidR="004C2197" w14:paraId="0D8DE2C0" w14:textId="77777777">
        <w:tc>
          <w:tcPr>
            <w:tcW w:w="0" w:type="auto"/>
            <w:gridSpan w:val="3"/>
            <w:shd w:val="clear" w:color="auto" w:fill="E2EFD9"/>
            <w:tcMar>
              <w:top w:w="40" w:type="dxa"/>
              <w:left w:w="20" w:type="dxa"/>
              <w:bottom w:w="40" w:type="dxa"/>
              <w:right w:w="20" w:type="dxa"/>
            </w:tcMar>
            <w:vAlign w:val="bottom"/>
          </w:tcPr>
          <w:p w14:paraId="0D8DE2BA" w14:textId="77777777" w:rsidR="004C2197" w:rsidRDefault="00863B83">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E2EFD9"/>
            <w:tcMar>
              <w:top w:w="40" w:type="dxa"/>
              <w:left w:w="20" w:type="dxa"/>
              <w:bottom w:w="40" w:type="dxa"/>
              <w:right w:w="0" w:type="dxa"/>
            </w:tcMar>
            <w:vAlign w:val="bottom"/>
          </w:tcPr>
          <w:p w14:paraId="0D8DE2BB" w14:textId="77777777" w:rsidR="004C2197" w:rsidRDefault="00863B83">
            <w:pPr>
              <w:jc w:val="right"/>
              <w:textAlignment w:val="bottom"/>
            </w:pPr>
            <w:r>
              <w:rPr>
                <w:rFonts w:ascii="sans-serif" w:eastAsia="sans-serif" w:hAnsi="sans-serif" w:cs="sans-serif"/>
                <w:color w:val="000000"/>
                <w:sz w:val="20"/>
                <w:szCs w:val="20"/>
              </w:rPr>
              <w:t>611 </w:t>
            </w:r>
          </w:p>
        </w:tc>
        <w:tc>
          <w:tcPr>
            <w:tcW w:w="0" w:type="auto"/>
            <w:shd w:val="clear" w:color="auto" w:fill="E2EFD9"/>
            <w:tcMar>
              <w:top w:w="40" w:type="dxa"/>
              <w:bottom w:w="40" w:type="dxa"/>
              <w:right w:w="20" w:type="dxa"/>
            </w:tcMar>
            <w:vAlign w:val="bottom"/>
          </w:tcPr>
          <w:p w14:paraId="0D8DE2B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B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BE" w14:textId="77777777" w:rsidR="004C2197" w:rsidRDefault="00863B83">
            <w:pPr>
              <w:jc w:val="right"/>
              <w:textAlignment w:val="bottom"/>
            </w:pPr>
            <w:r>
              <w:rPr>
                <w:rFonts w:ascii="sans-serif" w:eastAsia="sans-serif" w:hAnsi="sans-serif" w:cs="sans-serif"/>
                <w:color w:val="000000"/>
                <w:sz w:val="20"/>
                <w:szCs w:val="20"/>
              </w:rPr>
              <w:t>561 </w:t>
            </w:r>
          </w:p>
        </w:tc>
        <w:tc>
          <w:tcPr>
            <w:tcW w:w="0" w:type="auto"/>
            <w:shd w:val="clear" w:color="auto" w:fill="E2EFD9"/>
            <w:tcMar>
              <w:top w:w="40" w:type="dxa"/>
              <w:bottom w:w="40" w:type="dxa"/>
              <w:right w:w="20" w:type="dxa"/>
            </w:tcMar>
            <w:vAlign w:val="bottom"/>
          </w:tcPr>
          <w:p w14:paraId="0D8DE2BF" w14:textId="77777777" w:rsidR="004C2197" w:rsidRDefault="004C2197">
            <w:pPr>
              <w:jc w:val="right"/>
              <w:rPr>
                <w:rFonts w:ascii="宋体"/>
              </w:rPr>
            </w:pPr>
          </w:p>
        </w:tc>
      </w:tr>
      <w:tr w:rsidR="004C2197" w14:paraId="0D8DE2C7" w14:textId="77777777">
        <w:tc>
          <w:tcPr>
            <w:tcW w:w="0" w:type="auto"/>
            <w:gridSpan w:val="3"/>
            <w:shd w:val="clear" w:color="auto" w:fill="FFFFFF"/>
            <w:tcMar>
              <w:top w:w="40" w:type="dxa"/>
              <w:left w:w="20" w:type="dxa"/>
              <w:bottom w:w="40" w:type="dxa"/>
              <w:right w:w="20" w:type="dxa"/>
            </w:tcMar>
            <w:vAlign w:val="bottom"/>
          </w:tcPr>
          <w:p w14:paraId="0D8DE2C1" w14:textId="77777777" w:rsidR="004C2197" w:rsidRDefault="00863B83">
            <w:pPr>
              <w:textAlignment w:val="bottom"/>
            </w:pPr>
            <w:r>
              <w:rPr>
                <w:rFonts w:ascii="sans-serif" w:eastAsia="sans-serif" w:hAnsi="sans-serif" w:cs="sans-serif"/>
                <w:color w:val="000000"/>
                <w:sz w:val="20"/>
                <w:szCs w:val="20"/>
              </w:rPr>
              <w:t xml:space="preserve">Other long-term </w:t>
            </w:r>
            <w:r>
              <w:rPr>
                <w:rFonts w:ascii="sans-serif" w:eastAsia="sans-serif" w:hAnsi="sans-serif" w:cs="sans-serif"/>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0D8DE2C2" w14:textId="77777777" w:rsidR="004C2197" w:rsidRDefault="00863B83">
            <w:pPr>
              <w:jc w:val="right"/>
              <w:textAlignment w:val="bottom"/>
            </w:pPr>
            <w:r>
              <w:rPr>
                <w:rFonts w:ascii="sans-serif" w:eastAsia="sans-serif" w:hAnsi="sans-serif" w:cs="sans-serif"/>
                <w:color w:val="000000"/>
                <w:sz w:val="20"/>
                <w:szCs w:val="20"/>
              </w:rPr>
              <w:t>1,285 </w:t>
            </w:r>
          </w:p>
        </w:tc>
        <w:tc>
          <w:tcPr>
            <w:tcW w:w="0" w:type="auto"/>
            <w:shd w:val="clear" w:color="auto" w:fill="FFFFFF"/>
            <w:tcMar>
              <w:top w:w="40" w:type="dxa"/>
              <w:bottom w:w="40" w:type="dxa"/>
              <w:right w:w="20" w:type="dxa"/>
            </w:tcMar>
            <w:vAlign w:val="bottom"/>
          </w:tcPr>
          <w:p w14:paraId="0D8DE2C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C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C5" w14:textId="77777777" w:rsidR="004C2197" w:rsidRDefault="00863B83">
            <w:pPr>
              <w:jc w:val="right"/>
              <w:textAlignment w:val="bottom"/>
            </w:pPr>
            <w:r>
              <w:rPr>
                <w:rFonts w:ascii="sans-serif" w:eastAsia="sans-serif" w:hAnsi="sans-serif" w:cs="sans-serif"/>
                <w:color w:val="000000"/>
                <w:sz w:val="20"/>
                <w:szCs w:val="20"/>
              </w:rPr>
              <w:t>775 </w:t>
            </w:r>
          </w:p>
        </w:tc>
        <w:tc>
          <w:tcPr>
            <w:tcW w:w="0" w:type="auto"/>
            <w:shd w:val="clear" w:color="auto" w:fill="FFFFFF"/>
            <w:tcMar>
              <w:top w:w="40" w:type="dxa"/>
              <w:bottom w:w="40" w:type="dxa"/>
              <w:right w:w="20" w:type="dxa"/>
            </w:tcMar>
            <w:vAlign w:val="bottom"/>
          </w:tcPr>
          <w:p w14:paraId="0D8DE2C6" w14:textId="77777777" w:rsidR="004C2197" w:rsidRDefault="004C2197">
            <w:pPr>
              <w:jc w:val="right"/>
              <w:rPr>
                <w:rFonts w:ascii="宋体"/>
              </w:rPr>
            </w:pPr>
          </w:p>
        </w:tc>
      </w:tr>
      <w:tr w:rsidR="004C2197" w14:paraId="0D8DE2CE" w14:textId="77777777">
        <w:tc>
          <w:tcPr>
            <w:tcW w:w="0" w:type="auto"/>
            <w:gridSpan w:val="3"/>
            <w:shd w:val="clear" w:color="auto" w:fill="E2EFD9"/>
            <w:tcMar>
              <w:top w:w="40" w:type="dxa"/>
              <w:left w:w="20" w:type="dxa"/>
              <w:bottom w:w="40" w:type="dxa"/>
              <w:right w:w="20" w:type="dxa"/>
            </w:tcMar>
            <w:vAlign w:val="bottom"/>
          </w:tcPr>
          <w:p w14:paraId="0D8DE2C8" w14:textId="77777777" w:rsidR="004C2197" w:rsidRDefault="00863B83">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2C9" w14:textId="77777777" w:rsidR="004C2197" w:rsidRDefault="00863B83">
            <w:pPr>
              <w:jc w:val="right"/>
              <w:textAlignment w:val="bottom"/>
            </w:pPr>
            <w:r>
              <w:rPr>
                <w:rFonts w:ascii="sans-serif" w:eastAsia="sans-serif" w:hAnsi="sans-serif" w:cs="sans-serif"/>
                <w:color w:val="000000"/>
                <w:sz w:val="20"/>
                <w:szCs w:val="20"/>
              </w:rPr>
              <w:t>11,266 </w:t>
            </w:r>
          </w:p>
        </w:tc>
        <w:tc>
          <w:tcPr>
            <w:tcW w:w="0" w:type="auto"/>
            <w:tcBorders>
              <w:top w:val="single" w:sz="8" w:space="0" w:color="000000"/>
            </w:tcBorders>
            <w:shd w:val="clear" w:color="auto" w:fill="E2EFD9"/>
            <w:tcMar>
              <w:top w:w="40" w:type="dxa"/>
              <w:bottom w:w="40" w:type="dxa"/>
              <w:right w:w="20" w:type="dxa"/>
            </w:tcMar>
            <w:vAlign w:val="bottom"/>
          </w:tcPr>
          <w:p w14:paraId="0D8DE2C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CB"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2CC" w14:textId="77777777" w:rsidR="004C2197" w:rsidRDefault="00863B83">
            <w:pPr>
              <w:jc w:val="right"/>
              <w:textAlignment w:val="bottom"/>
            </w:pPr>
            <w:r>
              <w:rPr>
                <w:rFonts w:ascii="sans-serif" w:eastAsia="sans-serif" w:hAnsi="sans-serif" w:cs="sans-serif"/>
                <w:color w:val="000000"/>
                <w:sz w:val="20"/>
                <w:szCs w:val="20"/>
              </w:rPr>
              <w:t>5,111 </w:t>
            </w:r>
          </w:p>
        </w:tc>
        <w:tc>
          <w:tcPr>
            <w:tcW w:w="0" w:type="auto"/>
            <w:tcBorders>
              <w:top w:val="single" w:sz="8" w:space="0" w:color="000000"/>
            </w:tcBorders>
            <w:shd w:val="clear" w:color="auto" w:fill="E2EFD9"/>
            <w:tcMar>
              <w:top w:w="40" w:type="dxa"/>
              <w:bottom w:w="40" w:type="dxa"/>
              <w:right w:w="20" w:type="dxa"/>
            </w:tcMar>
            <w:vAlign w:val="bottom"/>
          </w:tcPr>
          <w:p w14:paraId="0D8DE2CD" w14:textId="77777777" w:rsidR="004C2197" w:rsidRDefault="004C2197">
            <w:pPr>
              <w:jc w:val="right"/>
              <w:rPr>
                <w:rFonts w:ascii="宋体"/>
              </w:rPr>
            </w:pPr>
          </w:p>
        </w:tc>
      </w:tr>
      <w:tr w:rsidR="004C2197" w14:paraId="0D8DE2D3" w14:textId="77777777">
        <w:tc>
          <w:tcPr>
            <w:tcW w:w="0" w:type="auto"/>
            <w:gridSpan w:val="3"/>
            <w:shd w:val="clear" w:color="auto" w:fill="FFFFFF"/>
            <w:tcMar>
              <w:top w:w="40" w:type="dxa"/>
              <w:left w:w="20" w:type="dxa"/>
              <w:bottom w:w="40" w:type="dxa"/>
              <w:right w:w="20" w:type="dxa"/>
            </w:tcMar>
            <w:vAlign w:val="bottom"/>
          </w:tcPr>
          <w:p w14:paraId="0D8DE2CF" w14:textId="77777777" w:rsidR="004C2197" w:rsidRDefault="00863B83">
            <w:pPr>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FFFFFF"/>
            <w:tcMar>
              <w:left w:w="20" w:type="dxa"/>
              <w:right w:w="20" w:type="dxa"/>
            </w:tcMar>
            <w:vAlign w:val="bottom"/>
          </w:tcPr>
          <w:p w14:paraId="0D8DE2D0"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2D1"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2D2" w14:textId="77777777" w:rsidR="004C2197" w:rsidRDefault="004C2197">
            <w:pPr>
              <w:rPr>
                <w:rFonts w:ascii="宋体"/>
              </w:rPr>
            </w:pPr>
          </w:p>
        </w:tc>
      </w:tr>
      <w:tr w:rsidR="004C2197" w14:paraId="0D8DE2D8" w14:textId="77777777">
        <w:trPr>
          <w:hidden/>
        </w:trPr>
        <w:tc>
          <w:tcPr>
            <w:tcW w:w="0" w:type="auto"/>
            <w:gridSpan w:val="3"/>
            <w:shd w:val="clear" w:color="auto" w:fill="auto"/>
          </w:tcPr>
          <w:p w14:paraId="0D8DE2D4" w14:textId="77777777" w:rsidR="004C2197" w:rsidRDefault="004C2197">
            <w:pPr>
              <w:rPr>
                <w:rFonts w:ascii="宋体"/>
                <w:vanish/>
              </w:rPr>
            </w:pPr>
          </w:p>
        </w:tc>
        <w:tc>
          <w:tcPr>
            <w:tcW w:w="0" w:type="auto"/>
            <w:gridSpan w:val="3"/>
            <w:shd w:val="clear" w:color="auto" w:fill="auto"/>
          </w:tcPr>
          <w:p w14:paraId="0D8DE2D5" w14:textId="77777777" w:rsidR="004C2197" w:rsidRDefault="004C2197">
            <w:pPr>
              <w:rPr>
                <w:rFonts w:ascii="宋体"/>
                <w:vanish/>
              </w:rPr>
            </w:pPr>
          </w:p>
        </w:tc>
        <w:tc>
          <w:tcPr>
            <w:tcW w:w="0" w:type="auto"/>
            <w:gridSpan w:val="3"/>
            <w:shd w:val="clear" w:color="auto" w:fill="auto"/>
          </w:tcPr>
          <w:p w14:paraId="0D8DE2D6" w14:textId="77777777" w:rsidR="004C2197" w:rsidRDefault="004C2197">
            <w:pPr>
              <w:rPr>
                <w:rFonts w:ascii="宋体"/>
                <w:vanish/>
              </w:rPr>
            </w:pPr>
          </w:p>
        </w:tc>
        <w:tc>
          <w:tcPr>
            <w:tcW w:w="0" w:type="auto"/>
            <w:gridSpan w:val="3"/>
            <w:shd w:val="clear" w:color="auto" w:fill="auto"/>
          </w:tcPr>
          <w:p w14:paraId="0D8DE2D7" w14:textId="77777777" w:rsidR="004C2197" w:rsidRDefault="004C2197">
            <w:pPr>
              <w:rPr>
                <w:rFonts w:ascii="宋体"/>
                <w:vanish/>
              </w:rPr>
            </w:pPr>
          </w:p>
        </w:tc>
      </w:tr>
      <w:tr w:rsidR="004C2197" w14:paraId="0D8DE2DD" w14:textId="77777777">
        <w:tc>
          <w:tcPr>
            <w:tcW w:w="0" w:type="auto"/>
            <w:gridSpan w:val="3"/>
            <w:shd w:val="clear" w:color="auto" w:fill="E2EFD9"/>
            <w:tcMar>
              <w:top w:w="40" w:type="dxa"/>
              <w:left w:w="20" w:type="dxa"/>
              <w:bottom w:w="40" w:type="dxa"/>
              <w:right w:w="20" w:type="dxa"/>
            </w:tcMar>
            <w:vAlign w:val="bottom"/>
          </w:tcPr>
          <w:p w14:paraId="0D8DE2D9" w14:textId="77777777" w:rsidR="004C2197" w:rsidRDefault="00863B83">
            <w:pPr>
              <w:textAlignment w:val="bottom"/>
            </w:pPr>
            <w:r>
              <w:rPr>
                <w:rFonts w:ascii="sans-serif" w:eastAsia="sans-serif" w:hAnsi="sans-serif" w:cs="sans-serif"/>
                <w:color w:val="000000"/>
                <w:sz w:val="20"/>
                <w:szCs w:val="20"/>
              </w:rPr>
              <w:t>Shareholders’ equity:</w:t>
            </w:r>
          </w:p>
        </w:tc>
        <w:tc>
          <w:tcPr>
            <w:tcW w:w="0" w:type="auto"/>
            <w:gridSpan w:val="3"/>
            <w:shd w:val="clear" w:color="auto" w:fill="E2EFD9"/>
            <w:tcMar>
              <w:top w:w="40" w:type="dxa"/>
              <w:left w:w="20" w:type="dxa"/>
              <w:bottom w:w="40" w:type="dxa"/>
              <w:right w:w="20" w:type="dxa"/>
            </w:tcMar>
            <w:vAlign w:val="bottom"/>
          </w:tcPr>
          <w:p w14:paraId="0D8DE2DA"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E2DB"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2DC" w14:textId="77777777" w:rsidR="004C2197" w:rsidRDefault="00863B83">
            <w:pPr>
              <w:textAlignment w:val="bottom"/>
            </w:pPr>
            <w:r>
              <w:rPr>
                <w:rFonts w:ascii="sans-serif" w:eastAsia="sans-serif" w:hAnsi="sans-serif" w:cs="sans-serif"/>
                <w:color w:val="000000"/>
                <w:sz w:val="20"/>
                <w:szCs w:val="20"/>
              </w:rPr>
              <w:t> </w:t>
            </w:r>
          </w:p>
        </w:tc>
      </w:tr>
      <w:tr w:rsidR="004C2197" w14:paraId="0D8DE2E4" w14:textId="77777777">
        <w:tc>
          <w:tcPr>
            <w:tcW w:w="0" w:type="auto"/>
            <w:gridSpan w:val="3"/>
            <w:shd w:val="clear" w:color="auto" w:fill="FFFFFF"/>
            <w:tcMar>
              <w:top w:w="40" w:type="dxa"/>
              <w:left w:w="225" w:type="dxa"/>
              <w:bottom w:w="40" w:type="dxa"/>
              <w:right w:w="20" w:type="dxa"/>
            </w:tcMar>
            <w:vAlign w:val="bottom"/>
          </w:tcPr>
          <w:p w14:paraId="0D8DE2DE" w14:textId="77777777" w:rsidR="004C2197" w:rsidRDefault="00863B83">
            <w:pPr>
              <w:textAlignment w:val="bottom"/>
            </w:pPr>
            <w:r>
              <w:rPr>
                <w:rFonts w:ascii="sans-serif" w:eastAsia="sans-serif" w:hAnsi="sans-serif" w:cs="sans-serif"/>
                <w:color w:val="000000"/>
                <w:sz w:val="20"/>
                <w:szCs w:val="20"/>
              </w:rPr>
              <w:t>Preferred stock</w:t>
            </w:r>
          </w:p>
        </w:tc>
        <w:tc>
          <w:tcPr>
            <w:tcW w:w="0" w:type="auto"/>
            <w:gridSpan w:val="2"/>
            <w:shd w:val="clear" w:color="auto" w:fill="FFFFFF"/>
            <w:tcMar>
              <w:top w:w="40" w:type="dxa"/>
              <w:left w:w="20" w:type="dxa"/>
              <w:bottom w:w="40" w:type="dxa"/>
              <w:right w:w="0" w:type="dxa"/>
            </w:tcMar>
            <w:vAlign w:val="bottom"/>
          </w:tcPr>
          <w:p w14:paraId="0D8DE2DF"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E2E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E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E2"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E2E3" w14:textId="77777777" w:rsidR="004C2197" w:rsidRDefault="004C2197">
            <w:pPr>
              <w:jc w:val="right"/>
              <w:rPr>
                <w:rFonts w:ascii="宋体"/>
              </w:rPr>
            </w:pPr>
          </w:p>
        </w:tc>
      </w:tr>
      <w:tr w:rsidR="004C2197" w14:paraId="0D8DE2EB" w14:textId="77777777">
        <w:tc>
          <w:tcPr>
            <w:tcW w:w="0" w:type="auto"/>
            <w:gridSpan w:val="3"/>
            <w:shd w:val="clear" w:color="auto" w:fill="E2EFD9"/>
            <w:tcMar>
              <w:top w:w="40" w:type="dxa"/>
              <w:left w:w="225" w:type="dxa"/>
              <w:bottom w:w="40" w:type="dxa"/>
              <w:right w:w="20" w:type="dxa"/>
            </w:tcMar>
            <w:vAlign w:val="bottom"/>
          </w:tcPr>
          <w:p w14:paraId="0D8DE2E5" w14:textId="77777777" w:rsidR="004C2197" w:rsidRDefault="00863B83">
            <w:pPr>
              <w:textAlignment w:val="bottom"/>
            </w:pPr>
            <w:r>
              <w:rPr>
                <w:rFonts w:ascii="sans-serif" w:eastAsia="sans-serif" w:hAnsi="sans-serif" w:cs="sans-serif"/>
                <w:color w:val="000000"/>
                <w:sz w:val="20"/>
                <w:szCs w:val="20"/>
              </w:rPr>
              <w:t>Common stock</w:t>
            </w:r>
          </w:p>
        </w:tc>
        <w:tc>
          <w:tcPr>
            <w:tcW w:w="0" w:type="auto"/>
            <w:gridSpan w:val="2"/>
            <w:shd w:val="clear" w:color="auto" w:fill="E2EFD9"/>
            <w:tcMar>
              <w:top w:w="40" w:type="dxa"/>
              <w:left w:w="20" w:type="dxa"/>
              <w:bottom w:w="40" w:type="dxa"/>
              <w:right w:w="0" w:type="dxa"/>
            </w:tcMar>
            <w:vAlign w:val="bottom"/>
          </w:tcPr>
          <w:p w14:paraId="0D8DE2E6"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E2E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E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E9"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E2EA" w14:textId="77777777" w:rsidR="004C2197" w:rsidRDefault="004C2197">
            <w:pPr>
              <w:jc w:val="right"/>
              <w:rPr>
                <w:rFonts w:ascii="宋体"/>
              </w:rPr>
            </w:pPr>
          </w:p>
        </w:tc>
      </w:tr>
      <w:tr w:rsidR="004C2197" w14:paraId="0D8DE2F2" w14:textId="77777777">
        <w:tc>
          <w:tcPr>
            <w:tcW w:w="0" w:type="auto"/>
            <w:gridSpan w:val="3"/>
            <w:shd w:val="clear" w:color="auto" w:fill="FFFFFF"/>
            <w:tcMar>
              <w:top w:w="40" w:type="dxa"/>
              <w:left w:w="225" w:type="dxa"/>
              <w:bottom w:w="40" w:type="dxa"/>
              <w:right w:w="20" w:type="dxa"/>
            </w:tcMar>
            <w:vAlign w:val="bottom"/>
          </w:tcPr>
          <w:p w14:paraId="0D8DE2EC" w14:textId="77777777" w:rsidR="004C2197" w:rsidRDefault="00863B83">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D8DE2ED" w14:textId="77777777" w:rsidR="004C2197" w:rsidRDefault="00863B83">
            <w:pPr>
              <w:jc w:val="right"/>
              <w:textAlignment w:val="bottom"/>
            </w:pPr>
            <w:r>
              <w:rPr>
                <w:rFonts w:ascii="sans-serif" w:eastAsia="sans-serif" w:hAnsi="sans-serif" w:cs="sans-serif"/>
                <w:color w:val="000000"/>
                <w:sz w:val="20"/>
                <w:szCs w:val="20"/>
              </w:rPr>
              <w:t>7,828 </w:t>
            </w:r>
          </w:p>
        </w:tc>
        <w:tc>
          <w:tcPr>
            <w:tcW w:w="0" w:type="auto"/>
            <w:shd w:val="clear" w:color="auto" w:fill="FFFFFF"/>
            <w:tcMar>
              <w:top w:w="40" w:type="dxa"/>
              <w:bottom w:w="40" w:type="dxa"/>
              <w:right w:w="20" w:type="dxa"/>
            </w:tcMar>
            <w:vAlign w:val="bottom"/>
          </w:tcPr>
          <w:p w14:paraId="0D8DE2E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E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F0" w14:textId="77777777" w:rsidR="004C2197" w:rsidRDefault="00863B83">
            <w:pPr>
              <w:jc w:val="right"/>
              <w:textAlignment w:val="bottom"/>
            </w:pPr>
            <w:r>
              <w:rPr>
                <w:rFonts w:ascii="sans-serif" w:eastAsia="sans-serif" w:hAnsi="sans-serif" w:cs="sans-serif"/>
                <w:color w:val="000000"/>
                <w:sz w:val="20"/>
                <w:szCs w:val="20"/>
              </w:rPr>
              <w:t>7,045 </w:t>
            </w:r>
          </w:p>
        </w:tc>
        <w:tc>
          <w:tcPr>
            <w:tcW w:w="0" w:type="auto"/>
            <w:shd w:val="clear" w:color="auto" w:fill="FFFFFF"/>
            <w:tcMar>
              <w:top w:w="40" w:type="dxa"/>
              <w:bottom w:w="40" w:type="dxa"/>
              <w:right w:w="20" w:type="dxa"/>
            </w:tcMar>
            <w:vAlign w:val="bottom"/>
          </w:tcPr>
          <w:p w14:paraId="0D8DE2F1" w14:textId="77777777" w:rsidR="004C2197" w:rsidRDefault="004C2197">
            <w:pPr>
              <w:jc w:val="right"/>
              <w:rPr>
                <w:rFonts w:ascii="宋体"/>
              </w:rPr>
            </w:pPr>
          </w:p>
        </w:tc>
      </w:tr>
      <w:tr w:rsidR="004C2197" w14:paraId="0D8DE2F9" w14:textId="77777777">
        <w:tc>
          <w:tcPr>
            <w:tcW w:w="0" w:type="auto"/>
            <w:gridSpan w:val="3"/>
            <w:shd w:val="clear" w:color="auto" w:fill="E2EFD9"/>
            <w:tcMar>
              <w:top w:w="40" w:type="dxa"/>
              <w:left w:w="225" w:type="dxa"/>
              <w:bottom w:w="40" w:type="dxa"/>
              <w:right w:w="20" w:type="dxa"/>
            </w:tcMar>
            <w:vAlign w:val="bottom"/>
          </w:tcPr>
          <w:p w14:paraId="0D8DE2F3" w14:textId="77777777" w:rsidR="004C2197" w:rsidRDefault="00863B83">
            <w:pPr>
              <w:textAlignment w:val="bottom"/>
            </w:pPr>
            <w:r>
              <w:rPr>
                <w:rFonts w:ascii="sans-serif" w:eastAsia="sans-serif" w:hAnsi="sans-serif" w:cs="sans-serif"/>
                <w:color w:val="000000"/>
                <w:sz w:val="20"/>
                <w:szCs w:val="20"/>
              </w:rPr>
              <w:t xml:space="preserve">Treasury </w:t>
            </w:r>
            <w:r>
              <w:rPr>
                <w:rFonts w:ascii="sans-serif" w:eastAsia="sans-serif" w:hAnsi="sans-serif" w:cs="sans-serif"/>
                <w:color w:val="000000"/>
                <w:sz w:val="20"/>
                <w:szCs w:val="20"/>
              </w:rPr>
              <w:t>stock, at cost</w:t>
            </w:r>
          </w:p>
        </w:tc>
        <w:tc>
          <w:tcPr>
            <w:tcW w:w="0" w:type="auto"/>
            <w:gridSpan w:val="2"/>
            <w:shd w:val="clear" w:color="auto" w:fill="E2EFD9"/>
            <w:tcMar>
              <w:top w:w="40" w:type="dxa"/>
              <w:left w:w="20" w:type="dxa"/>
              <w:bottom w:w="40" w:type="dxa"/>
              <w:right w:w="0" w:type="dxa"/>
            </w:tcMar>
            <w:vAlign w:val="bottom"/>
          </w:tcPr>
          <w:p w14:paraId="0D8DE2F4" w14:textId="77777777" w:rsidR="004C2197" w:rsidRDefault="00863B83">
            <w:pPr>
              <w:jc w:val="right"/>
              <w:textAlignment w:val="bottom"/>
            </w:pPr>
            <w:r>
              <w:rPr>
                <w:rFonts w:ascii="sans-serif" w:eastAsia="sans-serif" w:hAnsi="sans-serif" w:cs="sans-serif"/>
                <w:color w:val="000000"/>
                <w:sz w:val="20"/>
                <w:szCs w:val="20"/>
              </w:rPr>
              <w:t>(10,232)</w:t>
            </w:r>
          </w:p>
        </w:tc>
        <w:tc>
          <w:tcPr>
            <w:tcW w:w="0" w:type="auto"/>
            <w:shd w:val="clear" w:color="auto" w:fill="E2EFD9"/>
            <w:tcMar>
              <w:top w:w="40" w:type="dxa"/>
              <w:bottom w:w="40" w:type="dxa"/>
              <w:right w:w="20" w:type="dxa"/>
            </w:tcMar>
            <w:vAlign w:val="bottom"/>
          </w:tcPr>
          <w:p w14:paraId="0D8DE2F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2F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2F7" w14:textId="77777777" w:rsidR="004C2197" w:rsidRDefault="00863B83">
            <w:pPr>
              <w:jc w:val="right"/>
              <w:textAlignment w:val="bottom"/>
            </w:pPr>
            <w:r>
              <w:rPr>
                <w:rFonts w:ascii="sans-serif" w:eastAsia="sans-serif" w:hAnsi="sans-serif" w:cs="sans-serif"/>
                <w:color w:val="000000"/>
                <w:sz w:val="20"/>
                <w:szCs w:val="20"/>
              </w:rPr>
              <w:t>(9,814)</w:t>
            </w:r>
          </w:p>
        </w:tc>
        <w:tc>
          <w:tcPr>
            <w:tcW w:w="0" w:type="auto"/>
            <w:shd w:val="clear" w:color="auto" w:fill="E2EFD9"/>
            <w:tcMar>
              <w:top w:w="40" w:type="dxa"/>
              <w:bottom w:w="40" w:type="dxa"/>
              <w:right w:w="20" w:type="dxa"/>
            </w:tcMar>
            <w:vAlign w:val="bottom"/>
          </w:tcPr>
          <w:p w14:paraId="0D8DE2F8" w14:textId="77777777" w:rsidR="004C2197" w:rsidRDefault="004C2197">
            <w:pPr>
              <w:jc w:val="right"/>
              <w:rPr>
                <w:rFonts w:ascii="宋体"/>
              </w:rPr>
            </w:pPr>
          </w:p>
        </w:tc>
      </w:tr>
      <w:tr w:rsidR="004C2197" w14:paraId="0D8DE300" w14:textId="77777777">
        <w:tc>
          <w:tcPr>
            <w:tcW w:w="0" w:type="auto"/>
            <w:gridSpan w:val="3"/>
            <w:shd w:val="clear" w:color="auto" w:fill="FFFFFF"/>
            <w:tcMar>
              <w:top w:w="40" w:type="dxa"/>
              <w:left w:w="225" w:type="dxa"/>
              <w:bottom w:w="40" w:type="dxa"/>
              <w:right w:w="20" w:type="dxa"/>
            </w:tcMar>
            <w:vAlign w:val="bottom"/>
          </w:tcPr>
          <w:p w14:paraId="0D8DE2FA" w14:textId="77777777" w:rsidR="004C2197" w:rsidRDefault="00863B83">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FFFFFF"/>
            <w:tcMar>
              <w:top w:w="40" w:type="dxa"/>
              <w:left w:w="20" w:type="dxa"/>
              <w:bottom w:w="40" w:type="dxa"/>
              <w:right w:w="0" w:type="dxa"/>
            </w:tcMar>
            <w:vAlign w:val="bottom"/>
          </w:tcPr>
          <w:p w14:paraId="0D8DE2FB" w14:textId="77777777" w:rsidR="004C2197" w:rsidRDefault="00863B83">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bottom w:w="40" w:type="dxa"/>
              <w:right w:w="20" w:type="dxa"/>
            </w:tcMar>
            <w:vAlign w:val="bottom"/>
          </w:tcPr>
          <w:p w14:paraId="0D8DE2F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2F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2FE"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0D8DE2FF" w14:textId="77777777" w:rsidR="004C2197" w:rsidRDefault="004C2197">
            <w:pPr>
              <w:jc w:val="right"/>
              <w:rPr>
                <w:rFonts w:ascii="宋体"/>
              </w:rPr>
            </w:pPr>
          </w:p>
        </w:tc>
      </w:tr>
      <w:tr w:rsidR="004C2197" w14:paraId="0D8DE307" w14:textId="77777777">
        <w:tc>
          <w:tcPr>
            <w:tcW w:w="0" w:type="auto"/>
            <w:gridSpan w:val="3"/>
            <w:shd w:val="clear" w:color="auto" w:fill="E2EFD9"/>
            <w:tcMar>
              <w:top w:w="40" w:type="dxa"/>
              <w:left w:w="225" w:type="dxa"/>
              <w:bottom w:w="40" w:type="dxa"/>
              <w:right w:w="20" w:type="dxa"/>
            </w:tcMar>
            <w:vAlign w:val="bottom"/>
          </w:tcPr>
          <w:p w14:paraId="0D8DE301" w14:textId="77777777" w:rsidR="004C2197" w:rsidRDefault="00863B83">
            <w:pPr>
              <w:textAlignment w:val="bottom"/>
            </w:pPr>
            <w:r>
              <w:rPr>
                <w:rFonts w:ascii="sans-serif" w:eastAsia="sans-serif" w:hAnsi="sans-serif" w:cs="sans-serif"/>
                <w:color w:val="000000"/>
                <w:sz w:val="20"/>
                <w:szCs w:val="20"/>
              </w:rPr>
              <w:t>Retained earnings</w:t>
            </w:r>
          </w:p>
        </w:tc>
        <w:tc>
          <w:tcPr>
            <w:tcW w:w="0" w:type="auto"/>
            <w:gridSpan w:val="2"/>
            <w:shd w:val="clear" w:color="auto" w:fill="E2EFD9"/>
            <w:tcMar>
              <w:top w:w="40" w:type="dxa"/>
              <w:left w:w="20" w:type="dxa"/>
              <w:bottom w:w="40" w:type="dxa"/>
              <w:right w:w="0" w:type="dxa"/>
            </w:tcMar>
            <w:vAlign w:val="bottom"/>
          </w:tcPr>
          <w:p w14:paraId="0D8DE302" w14:textId="77777777" w:rsidR="004C2197" w:rsidRDefault="00863B83">
            <w:pPr>
              <w:jc w:val="right"/>
              <w:textAlignment w:val="bottom"/>
            </w:pPr>
            <w:r>
              <w:rPr>
                <w:rFonts w:ascii="sans-serif" w:eastAsia="sans-serif" w:hAnsi="sans-serif" w:cs="sans-serif"/>
                <w:color w:val="000000"/>
                <w:sz w:val="20"/>
                <w:szCs w:val="20"/>
              </w:rPr>
              <w:t>16,313 </w:t>
            </w:r>
          </w:p>
        </w:tc>
        <w:tc>
          <w:tcPr>
            <w:tcW w:w="0" w:type="auto"/>
            <w:shd w:val="clear" w:color="auto" w:fill="E2EFD9"/>
            <w:tcMar>
              <w:top w:w="40" w:type="dxa"/>
              <w:bottom w:w="40" w:type="dxa"/>
              <w:right w:w="20" w:type="dxa"/>
            </w:tcMar>
            <w:vAlign w:val="bottom"/>
          </w:tcPr>
          <w:p w14:paraId="0D8DE30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0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05" w14:textId="77777777" w:rsidR="004C2197" w:rsidRDefault="00863B83">
            <w:pPr>
              <w:jc w:val="right"/>
              <w:textAlignment w:val="bottom"/>
            </w:pPr>
            <w:r>
              <w:rPr>
                <w:rFonts w:ascii="sans-serif" w:eastAsia="sans-serif" w:hAnsi="sans-serif" w:cs="sans-serif"/>
                <w:color w:val="000000"/>
                <w:sz w:val="20"/>
                <w:szCs w:val="20"/>
              </w:rPr>
              <w:t>14,971 </w:t>
            </w:r>
          </w:p>
        </w:tc>
        <w:tc>
          <w:tcPr>
            <w:tcW w:w="0" w:type="auto"/>
            <w:shd w:val="clear" w:color="auto" w:fill="E2EFD9"/>
            <w:tcMar>
              <w:top w:w="40" w:type="dxa"/>
              <w:bottom w:w="40" w:type="dxa"/>
              <w:right w:w="20" w:type="dxa"/>
            </w:tcMar>
            <w:vAlign w:val="bottom"/>
          </w:tcPr>
          <w:p w14:paraId="0D8DE306" w14:textId="77777777" w:rsidR="004C2197" w:rsidRDefault="004C2197">
            <w:pPr>
              <w:jc w:val="right"/>
              <w:rPr>
                <w:rFonts w:ascii="宋体"/>
              </w:rPr>
            </w:pPr>
          </w:p>
        </w:tc>
      </w:tr>
      <w:tr w:rsidR="004C2197" w14:paraId="0D8DE30E" w14:textId="77777777">
        <w:tc>
          <w:tcPr>
            <w:tcW w:w="0" w:type="auto"/>
            <w:gridSpan w:val="3"/>
            <w:shd w:val="clear" w:color="auto" w:fill="FFFFFF"/>
            <w:tcMar>
              <w:top w:w="40" w:type="dxa"/>
              <w:left w:w="20" w:type="dxa"/>
              <w:bottom w:w="40" w:type="dxa"/>
              <w:right w:w="20" w:type="dxa"/>
            </w:tcMar>
            <w:vAlign w:val="bottom"/>
          </w:tcPr>
          <w:p w14:paraId="0D8DE308" w14:textId="77777777" w:rsidR="004C2197" w:rsidRDefault="00863B83">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309" w14:textId="77777777" w:rsidR="004C2197" w:rsidRDefault="00863B83">
            <w:pPr>
              <w:jc w:val="right"/>
              <w:textAlignment w:val="bottom"/>
            </w:pPr>
            <w:r>
              <w:rPr>
                <w:rFonts w:ascii="sans-serif" w:eastAsia="sans-serif" w:hAnsi="sans-serif" w:cs="sans-serif"/>
                <w:color w:val="000000"/>
                <w:sz w:val="20"/>
                <w:szCs w:val="20"/>
              </w:rPr>
              <w:t>13,914 </w:t>
            </w:r>
          </w:p>
        </w:tc>
        <w:tc>
          <w:tcPr>
            <w:tcW w:w="0" w:type="auto"/>
            <w:tcBorders>
              <w:top w:val="single" w:sz="8" w:space="0" w:color="000000"/>
            </w:tcBorders>
            <w:shd w:val="clear" w:color="auto" w:fill="FFFFFF"/>
            <w:tcMar>
              <w:top w:w="40" w:type="dxa"/>
              <w:bottom w:w="40" w:type="dxa"/>
              <w:right w:w="20" w:type="dxa"/>
            </w:tcMar>
            <w:vAlign w:val="bottom"/>
          </w:tcPr>
          <w:p w14:paraId="0D8DE30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0B"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30C" w14:textId="77777777" w:rsidR="004C2197" w:rsidRDefault="00863B83">
            <w:pPr>
              <w:jc w:val="right"/>
              <w:textAlignment w:val="bottom"/>
            </w:pPr>
            <w:r>
              <w:rPr>
                <w:rFonts w:ascii="sans-serif" w:eastAsia="sans-serif" w:hAnsi="sans-serif" w:cs="sans-serif"/>
                <w:color w:val="000000"/>
                <w:sz w:val="20"/>
                <w:szCs w:val="20"/>
              </w:rPr>
              <w:t>12,204 </w:t>
            </w:r>
          </w:p>
        </w:tc>
        <w:tc>
          <w:tcPr>
            <w:tcW w:w="0" w:type="auto"/>
            <w:tcBorders>
              <w:top w:val="single" w:sz="8" w:space="0" w:color="000000"/>
            </w:tcBorders>
            <w:shd w:val="clear" w:color="auto" w:fill="FFFFFF"/>
            <w:tcMar>
              <w:top w:w="40" w:type="dxa"/>
              <w:bottom w:w="40" w:type="dxa"/>
              <w:right w:w="20" w:type="dxa"/>
            </w:tcMar>
            <w:vAlign w:val="bottom"/>
          </w:tcPr>
          <w:p w14:paraId="0D8DE30D" w14:textId="77777777" w:rsidR="004C2197" w:rsidRDefault="004C2197">
            <w:pPr>
              <w:jc w:val="right"/>
              <w:rPr>
                <w:rFonts w:ascii="宋体"/>
              </w:rPr>
            </w:pPr>
          </w:p>
        </w:tc>
      </w:tr>
      <w:tr w:rsidR="004C2197" w14:paraId="0D8DE317" w14:textId="77777777">
        <w:tc>
          <w:tcPr>
            <w:tcW w:w="0" w:type="auto"/>
            <w:gridSpan w:val="3"/>
            <w:shd w:val="clear" w:color="auto" w:fill="E2EFD9"/>
            <w:tcMar>
              <w:top w:w="40" w:type="dxa"/>
              <w:left w:w="20" w:type="dxa"/>
              <w:bottom w:w="40" w:type="dxa"/>
              <w:right w:w="20" w:type="dxa"/>
            </w:tcMar>
            <w:vAlign w:val="bottom"/>
          </w:tcPr>
          <w:p w14:paraId="0D8DE30F" w14:textId="77777777" w:rsidR="004C2197" w:rsidRDefault="00863B83">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31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311" w14:textId="77777777" w:rsidR="004C2197" w:rsidRDefault="00863B83">
            <w:pPr>
              <w:jc w:val="right"/>
              <w:textAlignment w:val="bottom"/>
            </w:pPr>
            <w:r>
              <w:rPr>
                <w:rFonts w:ascii="sans-serif" w:eastAsia="sans-serif" w:hAnsi="sans-serif" w:cs="sans-serif"/>
                <w:color w:val="000000"/>
                <w:sz w:val="20"/>
                <w:szCs w:val="20"/>
              </w:rPr>
              <w:t>25,180 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31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13"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31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315" w14:textId="77777777" w:rsidR="004C2197" w:rsidRDefault="00863B83">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316" w14:textId="77777777" w:rsidR="004C2197" w:rsidRDefault="004C2197">
            <w:pPr>
              <w:jc w:val="right"/>
              <w:rPr>
                <w:rFonts w:ascii="宋体"/>
              </w:rPr>
            </w:pPr>
          </w:p>
        </w:tc>
      </w:tr>
    </w:tbl>
    <w:p w14:paraId="0D8DE318" w14:textId="77777777" w:rsidR="004C2197" w:rsidRDefault="00863B83">
      <w:pPr>
        <w:spacing w:after="180"/>
        <w:jc w:val="center"/>
      </w:pPr>
      <w:r>
        <w:rPr>
          <w:rFonts w:ascii="sans-serif" w:eastAsia="sans-serif" w:hAnsi="sans-serif" w:cs="sans-serif"/>
          <w:color w:val="000000"/>
          <w:sz w:val="20"/>
          <w:szCs w:val="20"/>
        </w:rPr>
        <w:t xml:space="preserve">See </w:t>
      </w:r>
      <w:r>
        <w:rPr>
          <w:rFonts w:ascii="sans-serif" w:eastAsia="sans-serif" w:hAnsi="sans-serif" w:cs="sans-serif"/>
          <w:color w:val="000000"/>
          <w:sz w:val="20"/>
          <w:szCs w:val="20"/>
        </w:rPr>
        <w:t>accompanying Notes to Condensed Consolidated Financial Statements.</w:t>
      </w:r>
    </w:p>
    <w:p w14:paraId="0D8DE319" w14:textId="77777777" w:rsidR="004C2197" w:rsidRDefault="004C2197">
      <w:pPr>
        <w:spacing w:after="180"/>
        <w:jc w:val="center"/>
      </w:pPr>
    </w:p>
    <w:p w14:paraId="0D8DE31A" w14:textId="77777777" w:rsidR="004C2197" w:rsidRDefault="00863B83">
      <w:pPr>
        <w:spacing w:after="180"/>
        <w:jc w:val="center"/>
      </w:pPr>
      <w:r>
        <w:rPr>
          <w:rFonts w:ascii="sans-serif" w:eastAsia="sans-serif" w:hAnsi="sans-serif" w:cs="sans-serif"/>
          <w:color w:val="000000"/>
          <w:sz w:val="20"/>
          <w:szCs w:val="20"/>
        </w:rPr>
        <w:t>5</w:t>
      </w:r>
    </w:p>
    <w:p w14:paraId="0D8DE31B" w14:textId="77777777" w:rsidR="004C2197" w:rsidRDefault="00863B83">
      <w:r>
        <w:pict w14:anchorId="0D8E0CA9">
          <v:rect id="_x0000_i1029" style="width:415.3pt;height:1.5pt" o:hralign="center" o:hrstd="t" o:hr="t" fillcolor="#a0a0a0" stroked="f"/>
        </w:pict>
      </w:r>
    </w:p>
    <w:p w14:paraId="0D8DE31C" w14:textId="77777777" w:rsidR="004C2197" w:rsidRDefault="004C2197">
      <w:pPr>
        <w:spacing w:after="180"/>
        <w:jc w:val="both"/>
      </w:pPr>
    </w:p>
    <w:p w14:paraId="0D8DE31D" w14:textId="77777777" w:rsidR="004C2197" w:rsidRDefault="00863B83">
      <w:pPr>
        <w:jc w:val="center"/>
      </w:pPr>
      <w:r>
        <w:rPr>
          <w:rFonts w:ascii="sans-serif" w:eastAsia="sans-serif" w:hAnsi="sans-serif" w:cs="sans-serif"/>
          <w:b/>
          <w:bCs/>
          <w:color w:val="000000"/>
          <w:sz w:val="20"/>
          <w:szCs w:val="20"/>
        </w:rPr>
        <w:t>NVIDIA CORPORATION AND SUBSIDIARIES</w:t>
      </w:r>
    </w:p>
    <w:p w14:paraId="0D8DE31E" w14:textId="77777777" w:rsidR="004C2197" w:rsidRDefault="00863B83">
      <w:pPr>
        <w:jc w:val="center"/>
      </w:pPr>
      <w:r>
        <w:rPr>
          <w:rFonts w:ascii="sans-serif" w:eastAsia="sans-serif" w:hAnsi="sans-serif" w:cs="sans-serif"/>
          <w:b/>
          <w:bCs/>
          <w:color w:val="000000"/>
          <w:sz w:val="20"/>
          <w:szCs w:val="20"/>
        </w:rPr>
        <w:t>CONDENSED CONSOLIDATED STATEMENTS OF SHAREHOLDERS’ EQUITY</w:t>
      </w:r>
    </w:p>
    <w:p w14:paraId="0D8DE31F" w14:textId="77777777" w:rsidR="004C2197" w:rsidRDefault="00863B83">
      <w:pPr>
        <w:jc w:val="center"/>
      </w:pPr>
      <w:r>
        <w:rPr>
          <w:rFonts w:ascii="sans-serif" w:eastAsia="sans-serif" w:hAnsi="sans-serif" w:cs="sans-serif"/>
          <w:b/>
          <w:bCs/>
          <w:color w:val="000000"/>
          <w:sz w:val="20"/>
          <w:szCs w:val="20"/>
        </w:rPr>
        <w:t>FOR THE THREE MONTHS ENDED JULY 26, 2020 AND JULY 28, 2019</w:t>
      </w:r>
    </w:p>
    <w:p w14:paraId="0D8DE320" w14:textId="77777777" w:rsidR="004C2197" w:rsidRDefault="00863B83">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514"/>
        <w:gridCol w:w="37"/>
        <w:gridCol w:w="73"/>
        <w:gridCol w:w="389"/>
        <w:gridCol w:w="42"/>
        <w:gridCol w:w="37"/>
        <w:gridCol w:w="37"/>
        <w:gridCol w:w="36"/>
        <w:gridCol w:w="113"/>
        <w:gridCol w:w="452"/>
        <w:gridCol w:w="41"/>
        <w:gridCol w:w="36"/>
        <w:gridCol w:w="36"/>
        <w:gridCol w:w="36"/>
        <w:gridCol w:w="112"/>
        <w:gridCol w:w="391"/>
        <w:gridCol w:w="41"/>
        <w:gridCol w:w="36"/>
        <w:gridCol w:w="36"/>
        <w:gridCol w:w="36"/>
        <w:gridCol w:w="113"/>
        <w:gridCol w:w="584"/>
        <w:gridCol w:w="41"/>
        <w:gridCol w:w="36"/>
        <w:gridCol w:w="36"/>
        <w:gridCol w:w="36"/>
        <w:gridCol w:w="113"/>
        <w:gridCol w:w="526"/>
        <w:gridCol w:w="41"/>
        <w:gridCol w:w="36"/>
        <w:gridCol w:w="36"/>
        <w:gridCol w:w="36"/>
        <w:gridCol w:w="144"/>
        <w:gridCol w:w="854"/>
        <w:gridCol w:w="41"/>
        <w:gridCol w:w="36"/>
        <w:gridCol w:w="36"/>
        <w:gridCol w:w="36"/>
        <w:gridCol w:w="112"/>
        <w:gridCol w:w="467"/>
        <w:gridCol w:w="41"/>
        <w:gridCol w:w="36"/>
        <w:gridCol w:w="36"/>
        <w:gridCol w:w="36"/>
        <w:gridCol w:w="299"/>
        <w:gridCol w:w="299"/>
        <w:gridCol w:w="299"/>
        <w:gridCol w:w="36"/>
        <w:gridCol w:w="36"/>
        <w:gridCol w:w="36"/>
        <w:gridCol w:w="36"/>
        <w:gridCol w:w="36"/>
        <w:gridCol w:w="36"/>
        <w:gridCol w:w="36"/>
        <w:gridCol w:w="36"/>
        <w:gridCol w:w="36"/>
      </w:tblGrid>
      <w:tr w:rsidR="004C2197" w14:paraId="0D8DE34B" w14:textId="77777777">
        <w:trPr>
          <w:gridAfter w:val="15"/>
          <w:jc w:val="center"/>
        </w:trPr>
        <w:tc>
          <w:tcPr>
            <w:tcW w:w="50" w:type="pct"/>
            <w:shd w:val="clear" w:color="auto" w:fill="auto"/>
          </w:tcPr>
          <w:p w14:paraId="0D8DE321" w14:textId="77777777" w:rsidR="004C2197" w:rsidRDefault="004C2197">
            <w:pPr>
              <w:rPr>
                <w:rFonts w:ascii="宋体"/>
              </w:rPr>
            </w:pPr>
          </w:p>
        </w:tc>
        <w:tc>
          <w:tcPr>
            <w:tcW w:w="1883" w:type="pct"/>
            <w:shd w:val="clear" w:color="auto" w:fill="auto"/>
          </w:tcPr>
          <w:p w14:paraId="0D8DE322" w14:textId="77777777" w:rsidR="004C2197" w:rsidRDefault="004C2197">
            <w:pPr>
              <w:rPr>
                <w:rFonts w:ascii="宋体"/>
              </w:rPr>
            </w:pPr>
          </w:p>
        </w:tc>
        <w:tc>
          <w:tcPr>
            <w:tcW w:w="5" w:type="pct"/>
            <w:shd w:val="clear" w:color="auto" w:fill="auto"/>
          </w:tcPr>
          <w:p w14:paraId="0D8DE323" w14:textId="77777777" w:rsidR="004C2197" w:rsidRDefault="004C2197">
            <w:pPr>
              <w:rPr>
                <w:rFonts w:ascii="宋体"/>
              </w:rPr>
            </w:pPr>
          </w:p>
        </w:tc>
        <w:tc>
          <w:tcPr>
            <w:tcW w:w="50" w:type="pct"/>
            <w:shd w:val="clear" w:color="auto" w:fill="auto"/>
          </w:tcPr>
          <w:p w14:paraId="0D8DE324" w14:textId="77777777" w:rsidR="004C2197" w:rsidRDefault="004C2197">
            <w:pPr>
              <w:rPr>
                <w:rFonts w:ascii="宋体"/>
              </w:rPr>
            </w:pPr>
          </w:p>
        </w:tc>
        <w:tc>
          <w:tcPr>
            <w:tcW w:w="268" w:type="pct"/>
            <w:shd w:val="clear" w:color="auto" w:fill="auto"/>
          </w:tcPr>
          <w:p w14:paraId="0D8DE325" w14:textId="77777777" w:rsidR="004C2197" w:rsidRDefault="004C2197">
            <w:pPr>
              <w:rPr>
                <w:rFonts w:ascii="宋体"/>
              </w:rPr>
            </w:pPr>
          </w:p>
        </w:tc>
        <w:tc>
          <w:tcPr>
            <w:tcW w:w="5" w:type="pct"/>
            <w:shd w:val="clear" w:color="auto" w:fill="auto"/>
          </w:tcPr>
          <w:p w14:paraId="0D8DE326" w14:textId="77777777" w:rsidR="004C2197" w:rsidRDefault="004C2197">
            <w:pPr>
              <w:rPr>
                <w:rFonts w:ascii="宋体"/>
              </w:rPr>
            </w:pPr>
          </w:p>
        </w:tc>
        <w:tc>
          <w:tcPr>
            <w:tcW w:w="5" w:type="pct"/>
            <w:shd w:val="clear" w:color="auto" w:fill="auto"/>
          </w:tcPr>
          <w:p w14:paraId="0D8DE327" w14:textId="77777777" w:rsidR="004C2197" w:rsidRDefault="004C2197">
            <w:pPr>
              <w:rPr>
                <w:rFonts w:ascii="宋体"/>
              </w:rPr>
            </w:pPr>
          </w:p>
        </w:tc>
        <w:tc>
          <w:tcPr>
            <w:tcW w:w="26" w:type="pct"/>
            <w:shd w:val="clear" w:color="auto" w:fill="auto"/>
          </w:tcPr>
          <w:p w14:paraId="0D8DE328" w14:textId="77777777" w:rsidR="004C2197" w:rsidRDefault="004C2197">
            <w:pPr>
              <w:rPr>
                <w:rFonts w:ascii="宋体"/>
              </w:rPr>
            </w:pPr>
          </w:p>
        </w:tc>
        <w:tc>
          <w:tcPr>
            <w:tcW w:w="5" w:type="pct"/>
            <w:shd w:val="clear" w:color="auto" w:fill="auto"/>
          </w:tcPr>
          <w:p w14:paraId="0D8DE329" w14:textId="77777777" w:rsidR="004C2197" w:rsidRDefault="004C2197">
            <w:pPr>
              <w:rPr>
                <w:rFonts w:ascii="宋体"/>
              </w:rPr>
            </w:pPr>
          </w:p>
        </w:tc>
        <w:tc>
          <w:tcPr>
            <w:tcW w:w="50" w:type="pct"/>
            <w:shd w:val="clear" w:color="auto" w:fill="auto"/>
          </w:tcPr>
          <w:p w14:paraId="0D8DE32A" w14:textId="77777777" w:rsidR="004C2197" w:rsidRDefault="004C2197">
            <w:pPr>
              <w:rPr>
                <w:rFonts w:ascii="宋体"/>
              </w:rPr>
            </w:pPr>
          </w:p>
        </w:tc>
        <w:tc>
          <w:tcPr>
            <w:tcW w:w="260" w:type="pct"/>
            <w:shd w:val="clear" w:color="auto" w:fill="auto"/>
          </w:tcPr>
          <w:p w14:paraId="0D8DE32B" w14:textId="77777777" w:rsidR="004C2197" w:rsidRDefault="004C2197">
            <w:pPr>
              <w:rPr>
                <w:rFonts w:ascii="宋体"/>
              </w:rPr>
            </w:pPr>
          </w:p>
        </w:tc>
        <w:tc>
          <w:tcPr>
            <w:tcW w:w="5" w:type="pct"/>
            <w:shd w:val="clear" w:color="auto" w:fill="auto"/>
          </w:tcPr>
          <w:p w14:paraId="0D8DE32C" w14:textId="77777777" w:rsidR="004C2197" w:rsidRDefault="004C2197">
            <w:pPr>
              <w:rPr>
                <w:rFonts w:ascii="宋体"/>
              </w:rPr>
            </w:pPr>
          </w:p>
        </w:tc>
        <w:tc>
          <w:tcPr>
            <w:tcW w:w="5" w:type="pct"/>
            <w:shd w:val="clear" w:color="auto" w:fill="auto"/>
          </w:tcPr>
          <w:p w14:paraId="0D8DE32D" w14:textId="77777777" w:rsidR="004C2197" w:rsidRDefault="004C2197">
            <w:pPr>
              <w:rPr>
                <w:rFonts w:ascii="宋体"/>
              </w:rPr>
            </w:pPr>
          </w:p>
        </w:tc>
        <w:tc>
          <w:tcPr>
            <w:tcW w:w="26" w:type="pct"/>
            <w:shd w:val="clear" w:color="auto" w:fill="auto"/>
          </w:tcPr>
          <w:p w14:paraId="0D8DE32E" w14:textId="77777777" w:rsidR="004C2197" w:rsidRDefault="004C2197">
            <w:pPr>
              <w:rPr>
                <w:rFonts w:ascii="宋体"/>
              </w:rPr>
            </w:pPr>
          </w:p>
        </w:tc>
        <w:tc>
          <w:tcPr>
            <w:tcW w:w="5" w:type="pct"/>
            <w:shd w:val="clear" w:color="auto" w:fill="auto"/>
          </w:tcPr>
          <w:p w14:paraId="0D8DE32F" w14:textId="77777777" w:rsidR="004C2197" w:rsidRDefault="004C2197">
            <w:pPr>
              <w:rPr>
                <w:rFonts w:ascii="宋体"/>
              </w:rPr>
            </w:pPr>
          </w:p>
        </w:tc>
        <w:tc>
          <w:tcPr>
            <w:tcW w:w="50" w:type="pct"/>
            <w:shd w:val="clear" w:color="auto" w:fill="auto"/>
          </w:tcPr>
          <w:p w14:paraId="0D8DE330" w14:textId="77777777" w:rsidR="004C2197" w:rsidRDefault="004C2197">
            <w:pPr>
              <w:rPr>
                <w:rFonts w:ascii="宋体"/>
              </w:rPr>
            </w:pPr>
          </w:p>
        </w:tc>
        <w:tc>
          <w:tcPr>
            <w:tcW w:w="334" w:type="pct"/>
            <w:shd w:val="clear" w:color="auto" w:fill="auto"/>
          </w:tcPr>
          <w:p w14:paraId="0D8DE331" w14:textId="77777777" w:rsidR="004C2197" w:rsidRDefault="004C2197">
            <w:pPr>
              <w:rPr>
                <w:rFonts w:ascii="宋体"/>
              </w:rPr>
            </w:pPr>
          </w:p>
        </w:tc>
        <w:tc>
          <w:tcPr>
            <w:tcW w:w="5" w:type="pct"/>
            <w:shd w:val="clear" w:color="auto" w:fill="auto"/>
          </w:tcPr>
          <w:p w14:paraId="0D8DE332" w14:textId="77777777" w:rsidR="004C2197" w:rsidRDefault="004C2197">
            <w:pPr>
              <w:rPr>
                <w:rFonts w:ascii="宋体"/>
              </w:rPr>
            </w:pPr>
          </w:p>
        </w:tc>
        <w:tc>
          <w:tcPr>
            <w:tcW w:w="5" w:type="pct"/>
            <w:shd w:val="clear" w:color="auto" w:fill="auto"/>
          </w:tcPr>
          <w:p w14:paraId="0D8DE333" w14:textId="77777777" w:rsidR="004C2197" w:rsidRDefault="004C2197">
            <w:pPr>
              <w:rPr>
                <w:rFonts w:ascii="宋体"/>
              </w:rPr>
            </w:pPr>
          </w:p>
        </w:tc>
        <w:tc>
          <w:tcPr>
            <w:tcW w:w="26" w:type="pct"/>
            <w:shd w:val="clear" w:color="auto" w:fill="auto"/>
          </w:tcPr>
          <w:p w14:paraId="0D8DE334" w14:textId="77777777" w:rsidR="004C2197" w:rsidRDefault="004C2197">
            <w:pPr>
              <w:rPr>
                <w:rFonts w:ascii="宋体"/>
              </w:rPr>
            </w:pPr>
          </w:p>
        </w:tc>
        <w:tc>
          <w:tcPr>
            <w:tcW w:w="5" w:type="pct"/>
            <w:shd w:val="clear" w:color="auto" w:fill="auto"/>
          </w:tcPr>
          <w:p w14:paraId="0D8DE335" w14:textId="77777777" w:rsidR="004C2197" w:rsidRDefault="004C2197">
            <w:pPr>
              <w:rPr>
                <w:rFonts w:ascii="宋体"/>
              </w:rPr>
            </w:pPr>
          </w:p>
        </w:tc>
        <w:tc>
          <w:tcPr>
            <w:tcW w:w="50" w:type="pct"/>
            <w:shd w:val="clear" w:color="auto" w:fill="auto"/>
          </w:tcPr>
          <w:p w14:paraId="0D8DE336" w14:textId="77777777" w:rsidR="004C2197" w:rsidRDefault="004C2197">
            <w:pPr>
              <w:rPr>
                <w:rFonts w:ascii="宋体"/>
              </w:rPr>
            </w:pPr>
          </w:p>
        </w:tc>
        <w:tc>
          <w:tcPr>
            <w:tcW w:w="304" w:type="pct"/>
            <w:shd w:val="clear" w:color="auto" w:fill="auto"/>
          </w:tcPr>
          <w:p w14:paraId="0D8DE337" w14:textId="77777777" w:rsidR="004C2197" w:rsidRDefault="004C2197">
            <w:pPr>
              <w:rPr>
                <w:rFonts w:ascii="宋体"/>
              </w:rPr>
            </w:pPr>
          </w:p>
        </w:tc>
        <w:tc>
          <w:tcPr>
            <w:tcW w:w="5" w:type="pct"/>
            <w:shd w:val="clear" w:color="auto" w:fill="auto"/>
          </w:tcPr>
          <w:p w14:paraId="0D8DE338" w14:textId="77777777" w:rsidR="004C2197" w:rsidRDefault="004C2197">
            <w:pPr>
              <w:rPr>
                <w:rFonts w:ascii="宋体"/>
              </w:rPr>
            </w:pPr>
          </w:p>
        </w:tc>
        <w:tc>
          <w:tcPr>
            <w:tcW w:w="5" w:type="pct"/>
            <w:shd w:val="clear" w:color="auto" w:fill="auto"/>
          </w:tcPr>
          <w:p w14:paraId="0D8DE339" w14:textId="77777777" w:rsidR="004C2197" w:rsidRDefault="004C2197">
            <w:pPr>
              <w:rPr>
                <w:rFonts w:ascii="宋体"/>
              </w:rPr>
            </w:pPr>
          </w:p>
        </w:tc>
        <w:tc>
          <w:tcPr>
            <w:tcW w:w="26" w:type="pct"/>
            <w:shd w:val="clear" w:color="auto" w:fill="auto"/>
          </w:tcPr>
          <w:p w14:paraId="0D8DE33A" w14:textId="77777777" w:rsidR="004C2197" w:rsidRDefault="004C2197">
            <w:pPr>
              <w:rPr>
                <w:rFonts w:ascii="宋体"/>
              </w:rPr>
            </w:pPr>
          </w:p>
        </w:tc>
        <w:tc>
          <w:tcPr>
            <w:tcW w:w="5" w:type="pct"/>
            <w:shd w:val="clear" w:color="auto" w:fill="auto"/>
          </w:tcPr>
          <w:p w14:paraId="0D8DE33B" w14:textId="77777777" w:rsidR="004C2197" w:rsidRDefault="004C2197">
            <w:pPr>
              <w:rPr>
                <w:rFonts w:ascii="宋体"/>
              </w:rPr>
            </w:pPr>
          </w:p>
        </w:tc>
        <w:tc>
          <w:tcPr>
            <w:tcW w:w="50" w:type="pct"/>
            <w:shd w:val="clear" w:color="auto" w:fill="auto"/>
          </w:tcPr>
          <w:p w14:paraId="0D8DE33C" w14:textId="77777777" w:rsidR="004C2197" w:rsidRDefault="004C2197">
            <w:pPr>
              <w:rPr>
                <w:rFonts w:ascii="宋体"/>
              </w:rPr>
            </w:pPr>
          </w:p>
        </w:tc>
        <w:tc>
          <w:tcPr>
            <w:tcW w:w="525" w:type="pct"/>
            <w:shd w:val="clear" w:color="auto" w:fill="auto"/>
          </w:tcPr>
          <w:p w14:paraId="0D8DE33D" w14:textId="77777777" w:rsidR="004C2197" w:rsidRDefault="004C2197">
            <w:pPr>
              <w:rPr>
                <w:rFonts w:ascii="宋体"/>
              </w:rPr>
            </w:pPr>
          </w:p>
        </w:tc>
        <w:tc>
          <w:tcPr>
            <w:tcW w:w="5" w:type="pct"/>
            <w:shd w:val="clear" w:color="auto" w:fill="auto"/>
          </w:tcPr>
          <w:p w14:paraId="0D8DE33E" w14:textId="77777777" w:rsidR="004C2197" w:rsidRDefault="004C2197">
            <w:pPr>
              <w:rPr>
                <w:rFonts w:ascii="宋体"/>
              </w:rPr>
            </w:pPr>
          </w:p>
        </w:tc>
        <w:tc>
          <w:tcPr>
            <w:tcW w:w="5" w:type="pct"/>
            <w:shd w:val="clear" w:color="auto" w:fill="auto"/>
          </w:tcPr>
          <w:p w14:paraId="0D8DE33F" w14:textId="77777777" w:rsidR="004C2197" w:rsidRDefault="004C2197">
            <w:pPr>
              <w:rPr>
                <w:rFonts w:ascii="宋体"/>
              </w:rPr>
            </w:pPr>
          </w:p>
        </w:tc>
        <w:tc>
          <w:tcPr>
            <w:tcW w:w="26" w:type="pct"/>
            <w:shd w:val="clear" w:color="auto" w:fill="auto"/>
          </w:tcPr>
          <w:p w14:paraId="0D8DE340" w14:textId="77777777" w:rsidR="004C2197" w:rsidRDefault="004C2197">
            <w:pPr>
              <w:rPr>
                <w:rFonts w:ascii="宋体"/>
              </w:rPr>
            </w:pPr>
          </w:p>
        </w:tc>
        <w:tc>
          <w:tcPr>
            <w:tcW w:w="5" w:type="pct"/>
            <w:shd w:val="clear" w:color="auto" w:fill="auto"/>
          </w:tcPr>
          <w:p w14:paraId="0D8DE341" w14:textId="77777777" w:rsidR="004C2197" w:rsidRDefault="004C2197">
            <w:pPr>
              <w:rPr>
                <w:rFonts w:ascii="宋体"/>
              </w:rPr>
            </w:pPr>
          </w:p>
        </w:tc>
        <w:tc>
          <w:tcPr>
            <w:tcW w:w="50" w:type="pct"/>
            <w:shd w:val="clear" w:color="auto" w:fill="auto"/>
          </w:tcPr>
          <w:p w14:paraId="0D8DE342" w14:textId="77777777" w:rsidR="004C2197" w:rsidRDefault="004C2197">
            <w:pPr>
              <w:rPr>
                <w:rFonts w:ascii="宋体"/>
              </w:rPr>
            </w:pPr>
          </w:p>
        </w:tc>
        <w:tc>
          <w:tcPr>
            <w:tcW w:w="297" w:type="pct"/>
            <w:shd w:val="clear" w:color="auto" w:fill="auto"/>
          </w:tcPr>
          <w:p w14:paraId="0D8DE343" w14:textId="77777777" w:rsidR="004C2197" w:rsidRDefault="004C2197">
            <w:pPr>
              <w:rPr>
                <w:rFonts w:ascii="宋体"/>
              </w:rPr>
            </w:pPr>
          </w:p>
        </w:tc>
        <w:tc>
          <w:tcPr>
            <w:tcW w:w="5" w:type="pct"/>
            <w:shd w:val="clear" w:color="auto" w:fill="auto"/>
          </w:tcPr>
          <w:p w14:paraId="0D8DE344" w14:textId="77777777" w:rsidR="004C2197" w:rsidRDefault="004C2197">
            <w:pPr>
              <w:rPr>
                <w:rFonts w:ascii="宋体"/>
              </w:rPr>
            </w:pPr>
          </w:p>
        </w:tc>
        <w:tc>
          <w:tcPr>
            <w:tcW w:w="5" w:type="pct"/>
            <w:shd w:val="clear" w:color="auto" w:fill="auto"/>
          </w:tcPr>
          <w:p w14:paraId="0D8DE345" w14:textId="77777777" w:rsidR="004C2197" w:rsidRDefault="004C2197">
            <w:pPr>
              <w:rPr>
                <w:rFonts w:ascii="宋体"/>
              </w:rPr>
            </w:pPr>
          </w:p>
        </w:tc>
        <w:tc>
          <w:tcPr>
            <w:tcW w:w="26" w:type="pct"/>
            <w:shd w:val="clear" w:color="auto" w:fill="auto"/>
          </w:tcPr>
          <w:p w14:paraId="0D8DE346" w14:textId="77777777" w:rsidR="004C2197" w:rsidRDefault="004C2197">
            <w:pPr>
              <w:rPr>
                <w:rFonts w:ascii="宋体"/>
              </w:rPr>
            </w:pPr>
          </w:p>
        </w:tc>
        <w:tc>
          <w:tcPr>
            <w:tcW w:w="5" w:type="pct"/>
            <w:shd w:val="clear" w:color="auto" w:fill="auto"/>
          </w:tcPr>
          <w:p w14:paraId="0D8DE347" w14:textId="77777777" w:rsidR="004C2197" w:rsidRDefault="004C2197">
            <w:pPr>
              <w:rPr>
                <w:rFonts w:ascii="宋体"/>
              </w:rPr>
            </w:pPr>
          </w:p>
        </w:tc>
        <w:tc>
          <w:tcPr>
            <w:tcW w:w="50" w:type="pct"/>
            <w:shd w:val="clear" w:color="auto" w:fill="auto"/>
          </w:tcPr>
          <w:p w14:paraId="0D8DE348" w14:textId="77777777" w:rsidR="004C2197" w:rsidRDefault="004C2197">
            <w:pPr>
              <w:rPr>
                <w:rFonts w:ascii="宋体"/>
              </w:rPr>
            </w:pPr>
          </w:p>
        </w:tc>
        <w:tc>
          <w:tcPr>
            <w:tcW w:w="466" w:type="pct"/>
            <w:shd w:val="clear" w:color="auto" w:fill="auto"/>
          </w:tcPr>
          <w:p w14:paraId="0D8DE349" w14:textId="77777777" w:rsidR="004C2197" w:rsidRDefault="004C2197">
            <w:pPr>
              <w:rPr>
                <w:rFonts w:ascii="宋体"/>
              </w:rPr>
            </w:pPr>
          </w:p>
        </w:tc>
        <w:tc>
          <w:tcPr>
            <w:tcW w:w="5" w:type="pct"/>
            <w:shd w:val="clear" w:color="auto" w:fill="auto"/>
          </w:tcPr>
          <w:p w14:paraId="0D8DE34A" w14:textId="77777777" w:rsidR="004C2197" w:rsidRDefault="004C2197">
            <w:pPr>
              <w:rPr>
                <w:rFonts w:ascii="宋体"/>
              </w:rPr>
            </w:pPr>
          </w:p>
        </w:tc>
      </w:tr>
      <w:tr w:rsidR="004C2197" w14:paraId="0D8DE35B" w14:textId="77777777">
        <w:trPr>
          <w:gridAfter w:val="9"/>
          <w:jc w:val="center"/>
        </w:trPr>
        <w:tc>
          <w:tcPr>
            <w:tcW w:w="0" w:type="auto"/>
            <w:gridSpan w:val="3"/>
            <w:shd w:val="clear" w:color="auto" w:fill="auto"/>
            <w:tcMar>
              <w:left w:w="20" w:type="dxa"/>
              <w:right w:w="20" w:type="dxa"/>
            </w:tcMar>
            <w:vAlign w:val="bottom"/>
          </w:tcPr>
          <w:p w14:paraId="0D8DE34C"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34D" w14:textId="77777777" w:rsidR="004C2197" w:rsidRDefault="00863B83">
            <w:pPr>
              <w:jc w:val="center"/>
              <w:textAlignment w:val="bottom"/>
            </w:pPr>
            <w:r>
              <w:rPr>
                <w:rFonts w:ascii="sans-serif" w:eastAsia="sans-serif" w:hAnsi="sans-serif" w:cs="sans-serif"/>
                <w:b/>
                <w:bCs/>
                <w:color w:val="000000"/>
                <w:sz w:val="15"/>
                <w:szCs w:val="15"/>
              </w:rPr>
              <w:t>Common Stock</w:t>
            </w:r>
          </w:p>
          <w:p w14:paraId="0D8DE34E" w14:textId="77777777" w:rsidR="004C2197" w:rsidRDefault="00863B83">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Pr>
          <w:p w14:paraId="0D8DE34F" w14:textId="77777777" w:rsidR="004C2197" w:rsidRDefault="004C2197">
            <w:pPr>
              <w:rPr>
                <w:rFonts w:ascii="宋体"/>
                <w:vanish/>
              </w:rPr>
            </w:pPr>
          </w:p>
        </w:tc>
        <w:tc>
          <w:tcPr>
            <w:tcW w:w="0" w:type="auto"/>
            <w:gridSpan w:val="3"/>
            <w:shd w:val="clear" w:color="auto" w:fill="auto"/>
          </w:tcPr>
          <w:p w14:paraId="0D8DE350"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351"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352" w14:textId="77777777" w:rsidR="004C2197" w:rsidRDefault="00863B83">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left w:w="20" w:type="dxa"/>
              <w:right w:w="20" w:type="dxa"/>
            </w:tcMar>
            <w:vAlign w:val="bottom"/>
          </w:tcPr>
          <w:p w14:paraId="0D8DE353"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354" w14:textId="77777777" w:rsidR="004C2197" w:rsidRDefault="00863B83">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left w:w="20" w:type="dxa"/>
              <w:right w:w="20" w:type="dxa"/>
            </w:tcMar>
            <w:vAlign w:val="bottom"/>
          </w:tcPr>
          <w:p w14:paraId="0D8DE355"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356" w14:textId="77777777" w:rsidR="004C2197" w:rsidRDefault="00863B83">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left w:w="20" w:type="dxa"/>
              <w:right w:w="20" w:type="dxa"/>
            </w:tcMar>
            <w:vAlign w:val="bottom"/>
          </w:tcPr>
          <w:p w14:paraId="0D8DE357"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358" w14:textId="77777777" w:rsidR="004C2197" w:rsidRDefault="00863B83">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left w:w="20" w:type="dxa"/>
              <w:right w:w="20" w:type="dxa"/>
            </w:tcMar>
            <w:vAlign w:val="bottom"/>
          </w:tcPr>
          <w:p w14:paraId="0D8DE359"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35A" w14:textId="77777777" w:rsidR="004C2197" w:rsidRDefault="00863B83">
            <w:pPr>
              <w:jc w:val="center"/>
              <w:textAlignment w:val="bottom"/>
            </w:pPr>
            <w:r>
              <w:rPr>
                <w:rFonts w:ascii="sans-serif" w:eastAsia="sans-serif" w:hAnsi="sans-serif" w:cs="sans-serif"/>
                <w:b/>
                <w:bCs/>
                <w:color w:val="000000"/>
                <w:sz w:val="15"/>
                <w:szCs w:val="15"/>
              </w:rPr>
              <w:t>Total Shareholders' Equity</w:t>
            </w:r>
          </w:p>
        </w:tc>
      </w:tr>
      <w:tr w:rsidR="004C2197" w14:paraId="0D8DE36F" w14:textId="77777777">
        <w:trPr>
          <w:jc w:val="center"/>
        </w:trPr>
        <w:tc>
          <w:tcPr>
            <w:tcW w:w="0" w:type="auto"/>
            <w:gridSpan w:val="3"/>
            <w:shd w:val="clear" w:color="auto" w:fill="auto"/>
            <w:tcMar>
              <w:top w:w="40" w:type="dxa"/>
              <w:left w:w="20" w:type="dxa"/>
              <w:bottom w:w="40" w:type="dxa"/>
              <w:right w:w="20" w:type="dxa"/>
            </w:tcMar>
            <w:vAlign w:val="bottom"/>
          </w:tcPr>
          <w:p w14:paraId="0D8DE35C" w14:textId="77777777" w:rsidR="004C2197" w:rsidRDefault="00863B83">
            <w:pPr>
              <w:textAlignment w:val="bottom"/>
            </w:pPr>
            <w:r>
              <w:rPr>
                <w:rFonts w:ascii="sans-serif" w:eastAsia="sans-serif" w:hAnsi="sans-serif" w:cs="sans-serif"/>
                <w:b/>
                <w:bCs/>
                <w:color w:val="000000"/>
                <w:sz w:val="15"/>
                <w:szCs w:val="15"/>
              </w:rPr>
              <w:t xml:space="preserve">(In </w:t>
            </w:r>
            <w:r>
              <w:rPr>
                <w:rFonts w:ascii="sans-serif" w:eastAsia="sans-serif" w:hAnsi="sans-serif" w:cs="sans-serif"/>
                <w:b/>
                <w:bCs/>
                <w:color w:val="000000"/>
                <w:sz w:val="15"/>
                <w:szCs w:val="15"/>
              </w:rPr>
              <w:t>millions, except per share data)</w:t>
            </w:r>
          </w:p>
        </w:tc>
        <w:tc>
          <w:tcPr>
            <w:tcW w:w="0" w:type="auto"/>
            <w:gridSpan w:val="3"/>
            <w:shd w:val="clear" w:color="auto" w:fill="auto"/>
            <w:tcMar>
              <w:top w:w="40" w:type="dxa"/>
              <w:left w:w="20" w:type="dxa"/>
              <w:bottom w:w="40" w:type="dxa"/>
              <w:right w:w="20" w:type="dxa"/>
            </w:tcMar>
            <w:vAlign w:val="bottom"/>
          </w:tcPr>
          <w:p w14:paraId="0D8DE35D" w14:textId="77777777" w:rsidR="004C2197" w:rsidRDefault="00863B83">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left w:w="20" w:type="dxa"/>
              <w:right w:w="20" w:type="dxa"/>
            </w:tcMar>
            <w:vAlign w:val="bottom"/>
          </w:tcPr>
          <w:p w14:paraId="0D8DE35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35F" w14:textId="77777777" w:rsidR="004C2197" w:rsidRDefault="00863B83">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left w:w="20" w:type="dxa"/>
              <w:right w:w="20" w:type="dxa"/>
            </w:tcMar>
            <w:vAlign w:val="bottom"/>
          </w:tcPr>
          <w:p w14:paraId="0D8DE360" w14:textId="77777777" w:rsidR="004C2197" w:rsidRDefault="004C2197">
            <w:pPr>
              <w:rPr>
                <w:rFonts w:ascii="宋体"/>
              </w:rPr>
            </w:pPr>
          </w:p>
        </w:tc>
        <w:tc>
          <w:tcPr>
            <w:tcW w:w="0" w:type="auto"/>
            <w:gridSpan w:val="3"/>
            <w:shd w:val="clear" w:color="auto" w:fill="auto"/>
          </w:tcPr>
          <w:p w14:paraId="0D8DE361"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362"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363" w14:textId="77777777" w:rsidR="004C2197" w:rsidRDefault="004C2197">
            <w:pPr>
              <w:jc w:val="center"/>
              <w:rPr>
                <w:rFonts w:ascii="宋体"/>
              </w:rPr>
            </w:pPr>
          </w:p>
        </w:tc>
        <w:tc>
          <w:tcPr>
            <w:tcW w:w="0" w:type="auto"/>
            <w:gridSpan w:val="3"/>
            <w:shd w:val="clear" w:color="auto" w:fill="auto"/>
          </w:tcPr>
          <w:p w14:paraId="0D8DE364" w14:textId="77777777" w:rsidR="004C2197" w:rsidRDefault="004C2197">
            <w:pPr>
              <w:rPr>
                <w:rFonts w:ascii="宋体"/>
                <w:vanish/>
              </w:rPr>
            </w:pPr>
          </w:p>
        </w:tc>
        <w:tc>
          <w:tcPr>
            <w:tcW w:w="0" w:type="auto"/>
            <w:gridSpan w:val="3"/>
            <w:vMerge/>
            <w:shd w:val="clear" w:color="auto" w:fill="auto"/>
            <w:tcMar>
              <w:top w:w="40" w:type="dxa"/>
              <w:left w:w="20" w:type="dxa"/>
              <w:bottom w:w="40" w:type="dxa"/>
              <w:right w:w="20" w:type="dxa"/>
            </w:tcMar>
            <w:vAlign w:val="bottom"/>
          </w:tcPr>
          <w:p w14:paraId="0D8DE365"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E366"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367" w14:textId="77777777" w:rsidR="004C2197" w:rsidRDefault="004C2197">
            <w:pPr>
              <w:jc w:val="center"/>
              <w:rPr>
                <w:rFonts w:ascii="宋体"/>
              </w:rPr>
            </w:pPr>
          </w:p>
        </w:tc>
        <w:tc>
          <w:tcPr>
            <w:tcW w:w="0" w:type="auto"/>
            <w:gridSpan w:val="3"/>
            <w:shd w:val="clear" w:color="auto" w:fill="auto"/>
          </w:tcPr>
          <w:p w14:paraId="0D8DE368" w14:textId="77777777" w:rsidR="004C2197" w:rsidRDefault="004C2197">
            <w:pPr>
              <w:rPr>
                <w:rFonts w:ascii="宋体"/>
                <w:vanish/>
              </w:rPr>
            </w:pPr>
          </w:p>
        </w:tc>
        <w:tc>
          <w:tcPr>
            <w:tcW w:w="0" w:type="auto"/>
            <w:gridSpan w:val="3"/>
            <w:vMerge/>
            <w:shd w:val="clear" w:color="auto" w:fill="auto"/>
            <w:tcMar>
              <w:top w:w="40" w:type="dxa"/>
              <w:left w:w="20" w:type="dxa"/>
              <w:bottom w:w="40" w:type="dxa"/>
              <w:right w:w="20" w:type="dxa"/>
            </w:tcMar>
            <w:vAlign w:val="bottom"/>
          </w:tcPr>
          <w:p w14:paraId="0D8DE369"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E36A"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36B" w14:textId="77777777" w:rsidR="004C2197" w:rsidRDefault="004C2197">
            <w:pPr>
              <w:jc w:val="center"/>
              <w:rPr>
                <w:rFonts w:ascii="宋体"/>
              </w:rPr>
            </w:pPr>
          </w:p>
        </w:tc>
        <w:tc>
          <w:tcPr>
            <w:tcW w:w="0" w:type="auto"/>
            <w:gridSpan w:val="3"/>
            <w:shd w:val="clear" w:color="auto" w:fill="auto"/>
          </w:tcPr>
          <w:p w14:paraId="0D8DE36C"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36D" w14:textId="77777777" w:rsidR="004C2197" w:rsidRDefault="004C2197">
            <w:pPr>
              <w:rPr>
                <w:rFonts w:ascii="宋体"/>
              </w:rPr>
            </w:pPr>
          </w:p>
        </w:tc>
        <w:tc>
          <w:tcPr>
            <w:tcW w:w="0" w:type="auto"/>
            <w:gridSpan w:val="3"/>
            <w:shd w:val="clear" w:color="auto" w:fill="auto"/>
          </w:tcPr>
          <w:p w14:paraId="0D8DE36E" w14:textId="77777777" w:rsidR="004C2197" w:rsidRDefault="004C2197">
            <w:pPr>
              <w:rPr>
                <w:rFonts w:ascii="宋体"/>
                <w:vanish/>
              </w:rPr>
            </w:pPr>
          </w:p>
        </w:tc>
      </w:tr>
      <w:tr w:rsidR="004C2197" w14:paraId="0D8DE39A" w14:textId="77777777">
        <w:trPr>
          <w:jc w:val="center"/>
        </w:trPr>
        <w:tc>
          <w:tcPr>
            <w:tcW w:w="0" w:type="auto"/>
            <w:gridSpan w:val="3"/>
            <w:shd w:val="clear" w:color="auto" w:fill="E2EFD9"/>
            <w:tcMar>
              <w:top w:w="40" w:type="dxa"/>
              <w:left w:w="20" w:type="dxa"/>
              <w:bottom w:w="40" w:type="dxa"/>
              <w:right w:w="20" w:type="dxa"/>
            </w:tcMar>
            <w:vAlign w:val="bottom"/>
          </w:tcPr>
          <w:p w14:paraId="0D8DE370" w14:textId="77777777" w:rsidR="004C2197" w:rsidRDefault="00863B83">
            <w:pPr>
              <w:textAlignment w:val="bottom"/>
            </w:pPr>
            <w:r>
              <w:rPr>
                <w:rFonts w:ascii="sans-serif" w:eastAsia="sans-serif" w:hAnsi="sans-serif" w:cs="sans-serif"/>
                <w:color w:val="000000"/>
                <w:sz w:val="15"/>
                <w:szCs w:val="15"/>
              </w:rPr>
              <w:t>Balances, April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371" w14:textId="77777777" w:rsidR="004C2197" w:rsidRDefault="00863B83">
            <w:pPr>
              <w:jc w:val="right"/>
              <w:textAlignment w:val="bottom"/>
            </w:pPr>
            <w:r>
              <w:rPr>
                <w:rFonts w:ascii="sans-serif" w:eastAsia="sans-serif" w:hAnsi="sans-serif" w:cs="sans-serif"/>
                <w:color w:val="000000"/>
                <w:sz w:val="15"/>
                <w:szCs w:val="15"/>
              </w:rPr>
              <w:t>615 </w:t>
            </w:r>
          </w:p>
        </w:tc>
        <w:tc>
          <w:tcPr>
            <w:tcW w:w="0" w:type="auto"/>
            <w:tcBorders>
              <w:top w:val="single" w:sz="8" w:space="0" w:color="000000"/>
            </w:tcBorders>
            <w:shd w:val="clear" w:color="auto" w:fill="E2EFD9"/>
            <w:tcMar>
              <w:top w:w="40" w:type="dxa"/>
              <w:bottom w:w="40" w:type="dxa"/>
              <w:right w:w="20" w:type="dxa"/>
            </w:tcMar>
            <w:vAlign w:val="bottom"/>
          </w:tcPr>
          <w:p w14:paraId="0D8DE37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73"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74"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75"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0D8DE37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77"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78"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79" w14:textId="77777777" w:rsidR="004C2197" w:rsidRDefault="00863B83">
            <w:pPr>
              <w:jc w:val="right"/>
              <w:textAlignment w:val="bottom"/>
            </w:pPr>
            <w:r>
              <w:rPr>
                <w:rFonts w:ascii="sans-serif" w:eastAsia="sans-serif" w:hAnsi="sans-serif" w:cs="sans-serif"/>
                <w:color w:val="000000"/>
                <w:sz w:val="15"/>
                <w:szCs w:val="15"/>
              </w:rPr>
              <w:t>7,354 </w:t>
            </w:r>
          </w:p>
        </w:tc>
        <w:tc>
          <w:tcPr>
            <w:tcW w:w="0" w:type="auto"/>
            <w:tcBorders>
              <w:top w:val="single" w:sz="8" w:space="0" w:color="000000"/>
            </w:tcBorders>
            <w:shd w:val="clear" w:color="auto" w:fill="E2EFD9"/>
            <w:tcMar>
              <w:top w:w="40" w:type="dxa"/>
              <w:bottom w:w="40" w:type="dxa"/>
              <w:right w:w="20" w:type="dxa"/>
            </w:tcMar>
            <w:vAlign w:val="bottom"/>
          </w:tcPr>
          <w:p w14:paraId="0D8DE37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7B"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7C"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7D" w14:textId="77777777" w:rsidR="004C2197" w:rsidRDefault="00863B83">
            <w:pPr>
              <w:jc w:val="right"/>
              <w:textAlignment w:val="bottom"/>
            </w:pPr>
            <w:r>
              <w:rPr>
                <w:rFonts w:ascii="sans-serif" w:eastAsia="sans-serif" w:hAnsi="sans-serif" w:cs="sans-serif"/>
                <w:color w:val="000000"/>
                <w:sz w:val="15"/>
                <w:szCs w:val="15"/>
              </w:rPr>
              <w:t>(10,036)</w:t>
            </w:r>
          </w:p>
        </w:tc>
        <w:tc>
          <w:tcPr>
            <w:tcW w:w="0" w:type="auto"/>
            <w:tcBorders>
              <w:top w:val="single" w:sz="8" w:space="0" w:color="000000"/>
            </w:tcBorders>
            <w:shd w:val="clear" w:color="auto" w:fill="E2EFD9"/>
            <w:tcMar>
              <w:top w:w="40" w:type="dxa"/>
              <w:bottom w:w="40" w:type="dxa"/>
              <w:right w:w="20" w:type="dxa"/>
            </w:tcMar>
            <w:vAlign w:val="bottom"/>
          </w:tcPr>
          <w:p w14:paraId="0D8DE37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7F"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80"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81" w14:textId="77777777" w:rsidR="004C2197" w:rsidRDefault="00863B83">
            <w:pPr>
              <w:jc w:val="right"/>
              <w:textAlignment w:val="bottom"/>
            </w:pPr>
            <w:r>
              <w:rPr>
                <w:rFonts w:ascii="sans-serif" w:eastAsia="sans-serif" w:hAnsi="sans-serif" w:cs="sans-serif"/>
                <w:color w:val="000000"/>
                <w:sz w:val="15"/>
                <w:szCs w:val="15"/>
              </w:rPr>
              <w:t>(10)</w:t>
            </w:r>
          </w:p>
        </w:tc>
        <w:tc>
          <w:tcPr>
            <w:tcW w:w="0" w:type="auto"/>
            <w:tcBorders>
              <w:top w:val="single" w:sz="8" w:space="0" w:color="000000"/>
            </w:tcBorders>
            <w:shd w:val="clear" w:color="auto" w:fill="E2EFD9"/>
            <w:tcMar>
              <w:top w:w="40" w:type="dxa"/>
              <w:bottom w:w="40" w:type="dxa"/>
              <w:right w:w="20" w:type="dxa"/>
            </w:tcMar>
            <w:vAlign w:val="bottom"/>
          </w:tcPr>
          <w:p w14:paraId="0D8DE38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83"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84"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85" w14:textId="77777777" w:rsidR="004C2197" w:rsidRDefault="00863B83">
            <w:pPr>
              <w:jc w:val="right"/>
              <w:textAlignment w:val="bottom"/>
            </w:pPr>
            <w:r>
              <w:rPr>
                <w:rFonts w:ascii="sans-serif" w:eastAsia="sans-serif" w:hAnsi="sans-serif" w:cs="sans-serif"/>
                <w:color w:val="000000"/>
                <w:sz w:val="15"/>
                <w:szCs w:val="15"/>
              </w:rPr>
              <w:t>15,790 </w:t>
            </w:r>
          </w:p>
        </w:tc>
        <w:tc>
          <w:tcPr>
            <w:tcW w:w="0" w:type="auto"/>
            <w:tcBorders>
              <w:top w:val="single" w:sz="8" w:space="0" w:color="000000"/>
            </w:tcBorders>
            <w:shd w:val="clear" w:color="auto" w:fill="E2EFD9"/>
            <w:tcMar>
              <w:top w:w="40" w:type="dxa"/>
              <w:bottom w:w="40" w:type="dxa"/>
              <w:right w:w="20" w:type="dxa"/>
            </w:tcMar>
            <w:vAlign w:val="bottom"/>
          </w:tcPr>
          <w:p w14:paraId="0D8DE38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87"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388"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389" w14:textId="77777777" w:rsidR="004C2197" w:rsidRDefault="00863B83">
            <w:pPr>
              <w:jc w:val="right"/>
              <w:textAlignment w:val="bottom"/>
            </w:pPr>
            <w:r>
              <w:rPr>
                <w:rFonts w:ascii="sans-serif" w:eastAsia="sans-serif" w:hAnsi="sans-serif" w:cs="sans-serif"/>
                <w:color w:val="000000"/>
                <w:sz w:val="15"/>
                <w:szCs w:val="15"/>
              </w:rPr>
              <w:t>13,099 </w:t>
            </w:r>
          </w:p>
        </w:tc>
        <w:tc>
          <w:tcPr>
            <w:tcW w:w="0" w:type="auto"/>
            <w:tcBorders>
              <w:top w:val="single" w:sz="8" w:space="0" w:color="000000"/>
            </w:tcBorders>
            <w:shd w:val="clear" w:color="auto" w:fill="E2EFD9"/>
            <w:tcMar>
              <w:top w:w="40" w:type="dxa"/>
              <w:bottom w:w="40" w:type="dxa"/>
              <w:right w:w="20" w:type="dxa"/>
            </w:tcMar>
            <w:vAlign w:val="bottom"/>
          </w:tcPr>
          <w:p w14:paraId="0D8DE38A" w14:textId="77777777" w:rsidR="004C2197" w:rsidRDefault="004C2197">
            <w:pPr>
              <w:jc w:val="right"/>
              <w:rPr>
                <w:rFonts w:ascii="宋体"/>
              </w:rPr>
            </w:pPr>
          </w:p>
        </w:tc>
        <w:tc>
          <w:tcPr>
            <w:tcW w:w="0" w:type="auto"/>
            <w:shd w:val="clear" w:color="auto" w:fill="auto"/>
          </w:tcPr>
          <w:p w14:paraId="0D8DE38B" w14:textId="77777777" w:rsidR="004C2197" w:rsidRDefault="004C2197">
            <w:pPr>
              <w:rPr>
                <w:rFonts w:ascii="宋体"/>
              </w:rPr>
            </w:pPr>
          </w:p>
        </w:tc>
        <w:tc>
          <w:tcPr>
            <w:tcW w:w="0" w:type="auto"/>
            <w:shd w:val="clear" w:color="auto" w:fill="auto"/>
          </w:tcPr>
          <w:p w14:paraId="0D8DE38C" w14:textId="77777777" w:rsidR="004C2197" w:rsidRDefault="004C2197">
            <w:pPr>
              <w:rPr>
                <w:rFonts w:ascii="宋体"/>
              </w:rPr>
            </w:pPr>
          </w:p>
        </w:tc>
        <w:tc>
          <w:tcPr>
            <w:tcW w:w="0" w:type="auto"/>
            <w:shd w:val="clear" w:color="auto" w:fill="auto"/>
          </w:tcPr>
          <w:p w14:paraId="0D8DE38D" w14:textId="77777777" w:rsidR="004C2197" w:rsidRDefault="004C2197">
            <w:pPr>
              <w:rPr>
                <w:rFonts w:ascii="宋体"/>
              </w:rPr>
            </w:pPr>
          </w:p>
        </w:tc>
        <w:tc>
          <w:tcPr>
            <w:tcW w:w="0" w:type="auto"/>
            <w:shd w:val="clear" w:color="auto" w:fill="auto"/>
          </w:tcPr>
          <w:p w14:paraId="0D8DE38E" w14:textId="77777777" w:rsidR="004C2197" w:rsidRDefault="004C2197">
            <w:pPr>
              <w:rPr>
                <w:rFonts w:ascii="宋体"/>
              </w:rPr>
            </w:pPr>
          </w:p>
        </w:tc>
        <w:tc>
          <w:tcPr>
            <w:tcW w:w="0" w:type="auto"/>
            <w:shd w:val="clear" w:color="auto" w:fill="auto"/>
          </w:tcPr>
          <w:p w14:paraId="0D8DE38F" w14:textId="77777777" w:rsidR="004C2197" w:rsidRDefault="004C2197">
            <w:pPr>
              <w:rPr>
                <w:rFonts w:ascii="宋体"/>
              </w:rPr>
            </w:pPr>
          </w:p>
        </w:tc>
        <w:tc>
          <w:tcPr>
            <w:tcW w:w="0" w:type="auto"/>
            <w:shd w:val="clear" w:color="auto" w:fill="auto"/>
          </w:tcPr>
          <w:p w14:paraId="0D8DE390" w14:textId="77777777" w:rsidR="004C2197" w:rsidRDefault="004C2197">
            <w:pPr>
              <w:rPr>
                <w:rFonts w:ascii="宋体"/>
              </w:rPr>
            </w:pPr>
          </w:p>
        </w:tc>
        <w:tc>
          <w:tcPr>
            <w:tcW w:w="0" w:type="auto"/>
            <w:shd w:val="clear" w:color="auto" w:fill="auto"/>
          </w:tcPr>
          <w:p w14:paraId="0D8DE391" w14:textId="77777777" w:rsidR="004C2197" w:rsidRDefault="004C2197">
            <w:pPr>
              <w:rPr>
                <w:rFonts w:ascii="宋体"/>
              </w:rPr>
            </w:pPr>
          </w:p>
        </w:tc>
        <w:tc>
          <w:tcPr>
            <w:tcW w:w="0" w:type="auto"/>
            <w:shd w:val="clear" w:color="auto" w:fill="auto"/>
          </w:tcPr>
          <w:p w14:paraId="0D8DE392" w14:textId="77777777" w:rsidR="004C2197" w:rsidRDefault="004C2197">
            <w:pPr>
              <w:rPr>
                <w:rFonts w:ascii="宋体"/>
              </w:rPr>
            </w:pPr>
          </w:p>
        </w:tc>
        <w:tc>
          <w:tcPr>
            <w:tcW w:w="0" w:type="auto"/>
            <w:shd w:val="clear" w:color="auto" w:fill="auto"/>
          </w:tcPr>
          <w:p w14:paraId="0D8DE393" w14:textId="77777777" w:rsidR="004C2197" w:rsidRDefault="004C2197">
            <w:pPr>
              <w:rPr>
                <w:rFonts w:ascii="宋体"/>
              </w:rPr>
            </w:pPr>
          </w:p>
        </w:tc>
        <w:tc>
          <w:tcPr>
            <w:tcW w:w="0" w:type="auto"/>
            <w:shd w:val="clear" w:color="auto" w:fill="auto"/>
          </w:tcPr>
          <w:p w14:paraId="0D8DE394" w14:textId="77777777" w:rsidR="004C2197" w:rsidRDefault="004C2197">
            <w:pPr>
              <w:rPr>
                <w:rFonts w:ascii="宋体"/>
              </w:rPr>
            </w:pPr>
          </w:p>
        </w:tc>
        <w:tc>
          <w:tcPr>
            <w:tcW w:w="0" w:type="auto"/>
            <w:shd w:val="clear" w:color="auto" w:fill="auto"/>
          </w:tcPr>
          <w:p w14:paraId="0D8DE395" w14:textId="77777777" w:rsidR="004C2197" w:rsidRDefault="004C2197">
            <w:pPr>
              <w:rPr>
                <w:rFonts w:ascii="宋体"/>
              </w:rPr>
            </w:pPr>
          </w:p>
        </w:tc>
        <w:tc>
          <w:tcPr>
            <w:tcW w:w="0" w:type="auto"/>
            <w:shd w:val="clear" w:color="auto" w:fill="auto"/>
          </w:tcPr>
          <w:p w14:paraId="0D8DE396" w14:textId="77777777" w:rsidR="004C2197" w:rsidRDefault="004C2197">
            <w:pPr>
              <w:rPr>
                <w:rFonts w:ascii="宋体"/>
              </w:rPr>
            </w:pPr>
          </w:p>
        </w:tc>
        <w:tc>
          <w:tcPr>
            <w:tcW w:w="0" w:type="auto"/>
            <w:shd w:val="clear" w:color="auto" w:fill="auto"/>
          </w:tcPr>
          <w:p w14:paraId="0D8DE397" w14:textId="77777777" w:rsidR="004C2197" w:rsidRDefault="004C2197">
            <w:pPr>
              <w:rPr>
                <w:rFonts w:ascii="宋体"/>
              </w:rPr>
            </w:pPr>
          </w:p>
        </w:tc>
        <w:tc>
          <w:tcPr>
            <w:tcW w:w="0" w:type="auto"/>
            <w:shd w:val="clear" w:color="auto" w:fill="auto"/>
          </w:tcPr>
          <w:p w14:paraId="0D8DE398" w14:textId="77777777" w:rsidR="004C2197" w:rsidRDefault="004C2197">
            <w:pPr>
              <w:rPr>
                <w:rFonts w:ascii="宋体"/>
              </w:rPr>
            </w:pPr>
          </w:p>
        </w:tc>
        <w:tc>
          <w:tcPr>
            <w:tcW w:w="0" w:type="auto"/>
            <w:shd w:val="clear" w:color="auto" w:fill="auto"/>
          </w:tcPr>
          <w:p w14:paraId="0D8DE399" w14:textId="77777777" w:rsidR="004C2197" w:rsidRDefault="004C2197">
            <w:pPr>
              <w:rPr>
                <w:rFonts w:ascii="宋体"/>
              </w:rPr>
            </w:pPr>
          </w:p>
        </w:tc>
      </w:tr>
      <w:tr w:rsidR="004C2197" w14:paraId="0D8DE3BF" w14:textId="77777777">
        <w:trPr>
          <w:jc w:val="center"/>
        </w:trPr>
        <w:tc>
          <w:tcPr>
            <w:tcW w:w="0" w:type="auto"/>
            <w:gridSpan w:val="3"/>
            <w:shd w:val="clear" w:color="auto" w:fill="FFFFFF"/>
            <w:tcMar>
              <w:top w:w="40" w:type="dxa"/>
              <w:left w:w="20" w:type="dxa"/>
              <w:bottom w:w="40" w:type="dxa"/>
              <w:right w:w="20" w:type="dxa"/>
            </w:tcMar>
            <w:vAlign w:val="bottom"/>
          </w:tcPr>
          <w:p w14:paraId="0D8DE39B" w14:textId="77777777" w:rsidR="004C2197" w:rsidRDefault="00863B83">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0D8DE39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9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9E"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9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A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A1"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A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A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A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A5"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A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A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A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A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A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AB" w14:textId="77777777" w:rsidR="004C2197" w:rsidRDefault="00863B83">
            <w:pPr>
              <w:jc w:val="right"/>
              <w:textAlignment w:val="bottom"/>
            </w:pPr>
            <w:r>
              <w:rPr>
                <w:rFonts w:ascii="sans-serif" w:eastAsia="sans-serif" w:hAnsi="sans-serif" w:cs="sans-serif"/>
                <w:color w:val="000000"/>
                <w:sz w:val="15"/>
                <w:szCs w:val="15"/>
              </w:rPr>
              <w:t>622 </w:t>
            </w:r>
          </w:p>
        </w:tc>
        <w:tc>
          <w:tcPr>
            <w:tcW w:w="0" w:type="auto"/>
            <w:shd w:val="clear" w:color="auto" w:fill="FFFFFF"/>
            <w:tcMar>
              <w:top w:w="40" w:type="dxa"/>
              <w:bottom w:w="40" w:type="dxa"/>
              <w:right w:w="20" w:type="dxa"/>
            </w:tcMar>
            <w:vAlign w:val="bottom"/>
          </w:tcPr>
          <w:p w14:paraId="0D8DE3A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A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3AE" w14:textId="77777777" w:rsidR="004C2197" w:rsidRDefault="00863B83">
            <w:pPr>
              <w:jc w:val="right"/>
              <w:textAlignment w:val="bottom"/>
            </w:pPr>
            <w:r>
              <w:rPr>
                <w:rFonts w:ascii="sans-serif" w:eastAsia="sans-serif" w:hAnsi="sans-serif" w:cs="sans-serif"/>
                <w:color w:val="000000"/>
                <w:sz w:val="15"/>
                <w:szCs w:val="15"/>
              </w:rPr>
              <w:t>622 </w:t>
            </w:r>
          </w:p>
        </w:tc>
        <w:tc>
          <w:tcPr>
            <w:tcW w:w="0" w:type="auto"/>
            <w:shd w:val="clear" w:color="auto" w:fill="FFFFFF"/>
            <w:tcMar>
              <w:top w:w="40" w:type="dxa"/>
              <w:bottom w:w="40" w:type="dxa"/>
              <w:right w:w="20" w:type="dxa"/>
            </w:tcMar>
            <w:vAlign w:val="bottom"/>
          </w:tcPr>
          <w:p w14:paraId="0D8DE3AF" w14:textId="77777777" w:rsidR="004C2197" w:rsidRDefault="004C2197">
            <w:pPr>
              <w:jc w:val="right"/>
              <w:rPr>
                <w:rFonts w:ascii="宋体"/>
              </w:rPr>
            </w:pPr>
          </w:p>
        </w:tc>
        <w:tc>
          <w:tcPr>
            <w:tcW w:w="0" w:type="auto"/>
            <w:shd w:val="clear" w:color="auto" w:fill="auto"/>
          </w:tcPr>
          <w:p w14:paraId="0D8DE3B0" w14:textId="77777777" w:rsidR="004C2197" w:rsidRDefault="004C2197">
            <w:pPr>
              <w:rPr>
                <w:rFonts w:ascii="宋体"/>
              </w:rPr>
            </w:pPr>
          </w:p>
        </w:tc>
        <w:tc>
          <w:tcPr>
            <w:tcW w:w="0" w:type="auto"/>
            <w:shd w:val="clear" w:color="auto" w:fill="auto"/>
          </w:tcPr>
          <w:p w14:paraId="0D8DE3B1" w14:textId="77777777" w:rsidR="004C2197" w:rsidRDefault="004C2197">
            <w:pPr>
              <w:rPr>
                <w:rFonts w:ascii="宋体"/>
              </w:rPr>
            </w:pPr>
          </w:p>
        </w:tc>
        <w:tc>
          <w:tcPr>
            <w:tcW w:w="0" w:type="auto"/>
            <w:shd w:val="clear" w:color="auto" w:fill="auto"/>
          </w:tcPr>
          <w:p w14:paraId="0D8DE3B2" w14:textId="77777777" w:rsidR="004C2197" w:rsidRDefault="004C2197">
            <w:pPr>
              <w:rPr>
                <w:rFonts w:ascii="宋体"/>
              </w:rPr>
            </w:pPr>
          </w:p>
        </w:tc>
        <w:tc>
          <w:tcPr>
            <w:tcW w:w="0" w:type="auto"/>
            <w:shd w:val="clear" w:color="auto" w:fill="auto"/>
          </w:tcPr>
          <w:p w14:paraId="0D8DE3B3" w14:textId="77777777" w:rsidR="004C2197" w:rsidRDefault="004C2197">
            <w:pPr>
              <w:rPr>
                <w:rFonts w:ascii="宋体"/>
              </w:rPr>
            </w:pPr>
          </w:p>
        </w:tc>
        <w:tc>
          <w:tcPr>
            <w:tcW w:w="0" w:type="auto"/>
            <w:shd w:val="clear" w:color="auto" w:fill="auto"/>
          </w:tcPr>
          <w:p w14:paraId="0D8DE3B4" w14:textId="77777777" w:rsidR="004C2197" w:rsidRDefault="004C2197">
            <w:pPr>
              <w:rPr>
                <w:rFonts w:ascii="宋体"/>
              </w:rPr>
            </w:pPr>
          </w:p>
        </w:tc>
        <w:tc>
          <w:tcPr>
            <w:tcW w:w="0" w:type="auto"/>
            <w:shd w:val="clear" w:color="auto" w:fill="auto"/>
          </w:tcPr>
          <w:p w14:paraId="0D8DE3B5" w14:textId="77777777" w:rsidR="004C2197" w:rsidRDefault="004C2197">
            <w:pPr>
              <w:rPr>
                <w:rFonts w:ascii="宋体"/>
              </w:rPr>
            </w:pPr>
          </w:p>
        </w:tc>
        <w:tc>
          <w:tcPr>
            <w:tcW w:w="0" w:type="auto"/>
            <w:shd w:val="clear" w:color="auto" w:fill="auto"/>
          </w:tcPr>
          <w:p w14:paraId="0D8DE3B6" w14:textId="77777777" w:rsidR="004C2197" w:rsidRDefault="004C2197">
            <w:pPr>
              <w:rPr>
                <w:rFonts w:ascii="宋体"/>
              </w:rPr>
            </w:pPr>
          </w:p>
        </w:tc>
        <w:tc>
          <w:tcPr>
            <w:tcW w:w="0" w:type="auto"/>
            <w:shd w:val="clear" w:color="auto" w:fill="auto"/>
          </w:tcPr>
          <w:p w14:paraId="0D8DE3B7" w14:textId="77777777" w:rsidR="004C2197" w:rsidRDefault="004C2197">
            <w:pPr>
              <w:rPr>
                <w:rFonts w:ascii="宋体"/>
              </w:rPr>
            </w:pPr>
          </w:p>
        </w:tc>
        <w:tc>
          <w:tcPr>
            <w:tcW w:w="0" w:type="auto"/>
            <w:shd w:val="clear" w:color="auto" w:fill="auto"/>
          </w:tcPr>
          <w:p w14:paraId="0D8DE3B8" w14:textId="77777777" w:rsidR="004C2197" w:rsidRDefault="004C2197">
            <w:pPr>
              <w:rPr>
                <w:rFonts w:ascii="宋体"/>
              </w:rPr>
            </w:pPr>
          </w:p>
        </w:tc>
        <w:tc>
          <w:tcPr>
            <w:tcW w:w="0" w:type="auto"/>
            <w:shd w:val="clear" w:color="auto" w:fill="auto"/>
          </w:tcPr>
          <w:p w14:paraId="0D8DE3B9" w14:textId="77777777" w:rsidR="004C2197" w:rsidRDefault="004C2197">
            <w:pPr>
              <w:rPr>
                <w:rFonts w:ascii="宋体"/>
              </w:rPr>
            </w:pPr>
          </w:p>
        </w:tc>
        <w:tc>
          <w:tcPr>
            <w:tcW w:w="0" w:type="auto"/>
            <w:shd w:val="clear" w:color="auto" w:fill="auto"/>
          </w:tcPr>
          <w:p w14:paraId="0D8DE3BA" w14:textId="77777777" w:rsidR="004C2197" w:rsidRDefault="004C2197">
            <w:pPr>
              <w:rPr>
                <w:rFonts w:ascii="宋体"/>
              </w:rPr>
            </w:pPr>
          </w:p>
        </w:tc>
        <w:tc>
          <w:tcPr>
            <w:tcW w:w="0" w:type="auto"/>
            <w:shd w:val="clear" w:color="auto" w:fill="auto"/>
          </w:tcPr>
          <w:p w14:paraId="0D8DE3BB" w14:textId="77777777" w:rsidR="004C2197" w:rsidRDefault="004C2197">
            <w:pPr>
              <w:rPr>
                <w:rFonts w:ascii="宋体"/>
              </w:rPr>
            </w:pPr>
          </w:p>
        </w:tc>
        <w:tc>
          <w:tcPr>
            <w:tcW w:w="0" w:type="auto"/>
            <w:shd w:val="clear" w:color="auto" w:fill="auto"/>
          </w:tcPr>
          <w:p w14:paraId="0D8DE3BC" w14:textId="77777777" w:rsidR="004C2197" w:rsidRDefault="004C2197">
            <w:pPr>
              <w:rPr>
                <w:rFonts w:ascii="宋体"/>
              </w:rPr>
            </w:pPr>
          </w:p>
        </w:tc>
        <w:tc>
          <w:tcPr>
            <w:tcW w:w="0" w:type="auto"/>
            <w:shd w:val="clear" w:color="auto" w:fill="auto"/>
          </w:tcPr>
          <w:p w14:paraId="0D8DE3BD" w14:textId="77777777" w:rsidR="004C2197" w:rsidRDefault="004C2197">
            <w:pPr>
              <w:rPr>
                <w:rFonts w:ascii="宋体"/>
              </w:rPr>
            </w:pPr>
          </w:p>
        </w:tc>
        <w:tc>
          <w:tcPr>
            <w:tcW w:w="0" w:type="auto"/>
            <w:shd w:val="clear" w:color="auto" w:fill="auto"/>
          </w:tcPr>
          <w:p w14:paraId="0D8DE3BE" w14:textId="77777777" w:rsidR="004C2197" w:rsidRDefault="004C2197">
            <w:pPr>
              <w:rPr>
                <w:rFonts w:ascii="宋体"/>
              </w:rPr>
            </w:pPr>
          </w:p>
        </w:tc>
      </w:tr>
      <w:tr w:rsidR="004C2197" w14:paraId="0D8DE3E4" w14:textId="77777777">
        <w:trPr>
          <w:jc w:val="center"/>
        </w:trPr>
        <w:tc>
          <w:tcPr>
            <w:tcW w:w="0" w:type="auto"/>
            <w:gridSpan w:val="3"/>
            <w:shd w:val="clear" w:color="auto" w:fill="E2EFD9"/>
            <w:tcMar>
              <w:top w:w="40" w:type="dxa"/>
              <w:left w:w="20" w:type="dxa"/>
              <w:bottom w:w="40" w:type="dxa"/>
              <w:right w:w="20" w:type="dxa"/>
            </w:tcMar>
            <w:vAlign w:val="bottom"/>
          </w:tcPr>
          <w:p w14:paraId="0D8DE3C0" w14:textId="77777777" w:rsidR="004C2197" w:rsidRDefault="00863B83">
            <w:pPr>
              <w:textAlignment w:val="bottom"/>
            </w:pPr>
            <w:r>
              <w:rPr>
                <w:rFonts w:ascii="sans-serif" w:eastAsia="sans-serif" w:hAnsi="sans-serif" w:cs="sans-serif"/>
                <w:color w:val="000000"/>
                <w:sz w:val="15"/>
                <w:szCs w:val="15"/>
              </w:rPr>
              <w:t xml:space="preserve">Other </w:t>
            </w:r>
            <w:r>
              <w:rPr>
                <w:rFonts w:ascii="sans-serif" w:eastAsia="sans-serif" w:hAnsi="sans-serif" w:cs="sans-serif"/>
                <w:color w:val="000000"/>
                <w:sz w:val="15"/>
                <w:szCs w:val="15"/>
              </w:rPr>
              <w:t>comprehensive income</w:t>
            </w:r>
          </w:p>
        </w:tc>
        <w:tc>
          <w:tcPr>
            <w:tcW w:w="0" w:type="auto"/>
            <w:gridSpan w:val="2"/>
            <w:shd w:val="clear" w:color="auto" w:fill="E2EFD9"/>
            <w:tcMar>
              <w:top w:w="40" w:type="dxa"/>
              <w:left w:w="20" w:type="dxa"/>
              <w:bottom w:w="40" w:type="dxa"/>
              <w:right w:w="0" w:type="dxa"/>
            </w:tcMar>
            <w:vAlign w:val="bottom"/>
          </w:tcPr>
          <w:p w14:paraId="0D8DE3C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3C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C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C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3C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C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C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3C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C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C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3C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C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CD" w14:textId="77777777" w:rsidR="004C2197" w:rsidRDefault="00863B83">
            <w:pPr>
              <w:jc w:val="right"/>
              <w:textAlignment w:val="bottom"/>
            </w:pPr>
            <w:r>
              <w:rPr>
                <w:rFonts w:ascii="sans-serif" w:eastAsia="sans-serif" w:hAnsi="sans-serif" w:cs="sans-serif"/>
                <w:color w:val="000000"/>
                <w:sz w:val="15"/>
                <w:szCs w:val="15"/>
              </w:rPr>
              <w:t>14 </w:t>
            </w:r>
          </w:p>
        </w:tc>
        <w:tc>
          <w:tcPr>
            <w:tcW w:w="0" w:type="auto"/>
            <w:shd w:val="clear" w:color="auto" w:fill="E2EFD9"/>
            <w:tcMar>
              <w:top w:w="40" w:type="dxa"/>
              <w:bottom w:w="40" w:type="dxa"/>
              <w:right w:w="20" w:type="dxa"/>
            </w:tcMar>
            <w:vAlign w:val="bottom"/>
          </w:tcPr>
          <w:p w14:paraId="0D8DE3C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C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D0"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3D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3D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3D3" w14:textId="77777777" w:rsidR="004C2197" w:rsidRDefault="00863B83">
            <w:pPr>
              <w:jc w:val="right"/>
              <w:textAlignment w:val="bottom"/>
            </w:pPr>
            <w:r>
              <w:rPr>
                <w:rFonts w:ascii="sans-serif" w:eastAsia="sans-serif" w:hAnsi="sans-serif" w:cs="sans-serif"/>
                <w:color w:val="000000"/>
                <w:sz w:val="15"/>
                <w:szCs w:val="15"/>
              </w:rPr>
              <w:t>14 </w:t>
            </w:r>
          </w:p>
        </w:tc>
        <w:tc>
          <w:tcPr>
            <w:tcW w:w="0" w:type="auto"/>
            <w:shd w:val="clear" w:color="auto" w:fill="E2EFD9"/>
            <w:tcMar>
              <w:top w:w="40" w:type="dxa"/>
              <w:bottom w:w="40" w:type="dxa"/>
              <w:right w:w="20" w:type="dxa"/>
            </w:tcMar>
            <w:vAlign w:val="bottom"/>
          </w:tcPr>
          <w:p w14:paraId="0D8DE3D4" w14:textId="77777777" w:rsidR="004C2197" w:rsidRDefault="004C2197">
            <w:pPr>
              <w:jc w:val="right"/>
              <w:rPr>
                <w:rFonts w:ascii="宋体"/>
              </w:rPr>
            </w:pPr>
          </w:p>
        </w:tc>
        <w:tc>
          <w:tcPr>
            <w:tcW w:w="0" w:type="auto"/>
            <w:shd w:val="clear" w:color="auto" w:fill="auto"/>
          </w:tcPr>
          <w:p w14:paraId="0D8DE3D5" w14:textId="77777777" w:rsidR="004C2197" w:rsidRDefault="004C2197">
            <w:pPr>
              <w:rPr>
                <w:rFonts w:ascii="宋体"/>
              </w:rPr>
            </w:pPr>
          </w:p>
        </w:tc>
        <w:tc>
          <w:tcPr>
            <w:tcW w:w="0" w:type="auto"/>
            <w:shd w:val="clear" w:color="auto" w:fill="auto"/>
          </w:tcPr>
          <w:p w14:paraId="0D8DE3D6" w14:textId="77777777" w:rsidR="004C2197" w:rsidRDefault="004C2197">
            <w:pPr>
              <w:rPr>
                <w:rFonts w:ascii="宋体"/>
              </w:rPr>
            </w:pPr>
          </w:p>
        </w:tc>
        <w:tc>
          <w:tcPr>
            <w:tcW w:w="0" w:type="auto"/>
            <w:shd w:val="clear" w:color="auto" w:fill="auto"/>
          </w:tcPr>
          <w:p w14:paraId="0D8DE3D7" w14:textId="77777777" w:rsidR="004C2197" w:rsidRDefault="004C2197">
            <w:pPr>
              <w:rPr>
                <w:rFonts w:ascii="宋体"/>
              </w:rPr>
            </w:pPr>
          </w:p>
        </w:tc>
        <w:tc>
          <w:tcPr>
            <w:tcW w:w="0" w:type="auto"/>
            <w:shd w:val="clear" w:color="auto" w:fill="auto"/>
          </w:tcPr>
          <w:p w14:paraId="0D8DE3D8" w14:textId="77777777" w:rsidR="004C2197" w:rsidRDefault="004C2197">
            <w:pPr>
              <w:rPr>
                <w:rFonts w:ascii="宋体"/>
              </w:rPr>
            </w:pPr>
          </w:p>
        </w:tc>
        <w:tc>
          <w:tcPr>
            <w:tcW w:w="0" w:type="auto"/>
            <w:shd w:val="clear" w:color="auto" w:fill="auto"/>
          </w:tcPr>
          <w:p w14:paraId="0D8DE3D9" w14:textId="77777777" w:rsidR="004C2197" w:rsidRDefault="004C2197">
            <w:pPr>
              <w:rPr>
                <w:rFonts w:ascii="宋体"/>
              </w:rPr>
            </w:pPr>
          </w:p>
        </w:tc>
        <w:tc>
          <w:tcPr>
            <w:tcW w:w="0" w:type="auto"/>
            <w:shd w:val="clear" w:color="auto" w:fill="auto"/>
          </w:tcPr>
          <w:p w14:paraId="0D8DE3DA" w14:textId="77777777" w:rsidR="004C2197" w:rsidRDefault="004C2197">
            <w:pPr>
              <w:rPr>
                <w:rFonts w:ascii="宋体"/>
              </w:rPr>
            </w:pPr>
          </w:p>
        </w:tc>
        <w:tc>
          <w:tcPr>
            <w:tcW w:w="0" w:type="auto"/>
            <w:shd w:val="clear" w:color="auto" w:fill="auto"/>
          </w:tcPr>
          <w:p w14:paraId="0D8DE3DB" w14:textId="77777777" w:rsidR="004C2197" w:rsidRDefault="004C2197">
            <w:pPr>
              <w:rPr>
                <w:rFonts w:ascii="宋体"/>
              </w:rPr>
            </w:pPr>
          </w:p>
        </w:tc>
        <w:tc>
          <w:tcPr>
            <w:tcW w:w="0" w:type="auto"/>
            <w:shd w:val="clear" w:color="auto" w:fill="auto"/>
          </w:tcPr>
          <w:p w14:paraId="0D8DE3DC" w14:textId="77777777" w:rsidR="004C2197" w:rsidRDefault="004C2197">
            <w:pPr>
              <w:rPr>
                <w:rFonts w:ascii="宋体"/>
              </w:rPr>
            </w:pPr>
          </w:p>
        </w:tc>
        <w:tc>
          <w:tcPr>
            <w:tcW w:w="0" w:type="auto"/>
            <w:shd w:val="clear" w:color="auto" w:fill="auto"/>
          </w:tcPr>
          <w:p w14:paraId="0D8DE3DD" w14:textId="77777777" w:rsidR="004C2197" w:rsidRDefault="004C2197">
            <w:pPr>
              <w:rPr>
                <w:rFonts w:ascii="宋体"/>
              </w:rPr>
            </w:pPr>
          </w:p>
        </w:tc>
        <w:tc>
          <w:tcPr>
            <w:tcW w:w="0" w:type="auto"/>
            <w:shd w:val="clear" w:color="auto" w:fill="auto"/>
          </w:tcPr>
          <w:p w14:paraId="0D8DE3DE" w14:textId="77777777" w:rsidR="004C2197" w:rsidRDefault="004C2197">
            <w:pPr>
              <w:rPr>
                <w:rFonts w:ascii="宋体"/>
              </w:rPr>
            </w:pPr>
          </w:p>
        </w:tc>
        <w:tc>
          <w:tcPr>
            <w:tcW w:w="0" w:type="auto"/>
            <w:shd w:val="clear" w:color="auto" w:fill="auto"/>
          </w:tcPr>
          <w:p w14:paraId="0D8DE3DF" w14:textId="77777777" w:rsidR="004C2197" w:rsidRDefault="004C2197">
            <w:pPr>
              <w:rPr>
                <w:rFonts w:ascii="宋体"/>
              </w:rPr>
            </w:pPr>
          </w:p>
        </w:tc>
        <w:tc>
          <w:tcPr>
            <w:tcW w:w="0" w:type="auto"/>
            <w:shd w:val="clear" w:color="auto" w:fill="auto"/>
          </w:tcPr>
          <w:p w14:paraId="0D8DE3E0" w14:textId="77777777" w:rsidR="004C2197" w:rsidRDefault="004C2197">
            <w:pPr>
              <w:rPr>
                <w:rFonts w:ascii="宋体"/>
              </w:rPr>
            </w:pPr>
          </w:p>
        </w:tc>
        <w:tc>
          <w:tcPr>
            <w:tcW w:w="0" w:type="auto"/>
            <w:shd w:val="clear" w:color="auto" w:fill="auto"/>
          </w:tcPr>
          <w:p w14:paraId="0D8DE3E1" w14:textId="77777777" w:rsidR="004C2197" w:rsidRDefault="004C2197">
            <w:pPr>
              <w:rPr>
                <w:rFonts w:ascii="宋体"/>
              </w:rPr>
            </w:pPr>
          </w:p>
        </w:tc>
        <w:tc>
          <w:tcPr>
            <w:tcW w:w="0" w:type="auto"/>
            <w:shd w:val="clear" w:color="auto" w:fill="auto"/>
          </w:tcPr>
          <w:p w14:paraId="0D8DE3E2" w14:textId="77777777" w:rsidR="004C2197" w:rsidRDefault="004C2197">
            <w:pPr>
              <w:rPr>
                <w:rFonts w:ascii="宋体"/>
              </w:rPr>
            </w:pPr>
          </w:p>
        </w:tc>
        <w:tc>
          <w:tcPr>
            <w:tcW w:w="0" w:type="auto"/>
            <w:shd w:val="clear" w:color="auto" w:fill="auto"/>
          </w:tcPr>
          <w:p w14:paraId="0D8DE3E3" w14:textId="77777777" w:rsidR="004C2197" w:rsidRDefault="004C2197">
            <w:pPr>
              <w:rPr>
                <w:rFonts w:ascii="宋体"/>
              </w:rPr>
            </w:pPr>
          </w:p>
        </w:tc>
      </w:tr>
      <w:tr w:rsidR="004C2197" w14:paraId="0D8DE409" w14:textId="77777777">
        <w:trPr>
          <w:jc w:val="center"/>
        </w:trPr>
        <w:tc>
          <w:tcPr>
            <w:tcW w:w="0" w:type="auto"/>
            <w:gridSpan w:val="3"/>
            <w:shd w:val="clear" w:color="auto" w:fill="FFFFFF"/>
            <w:tcMar>
              <w:top w:w="40" w:type="dxa"/>
              <w:left w:w="20" w:type="dxa"/>
              <w:bottom w:w="40" w:type="dxa"/>
              <w:right w:w="20" w:type="dxa"/>
            </w:tcMar>
            <w:vAlign w:val="bottom"/>
          </w:tcPr>
          <w:p w14:paraId="0D8DE3E5" w14:textId="77777777" w:rsidR="004C2197" w:rsidRDefault="00863B83">
            <w:pPr>
              <w:textAlignment w:val="bottom"/>
            </w:pPr>
            <w:r>
              <w:rPr>
                <w:rFonts w:ascii="sans-serif" w:eastAsia="sans-serif" w:hAnsi="sans-serif" w:cs="sans-serif"/>
                <w:color w:val="000000"/>
                <w:sz w:val="15"/>
                <w:szCs w:val="15"/>
              </w:rPr>
              <w:t>Issuance of common stock f</w:t>
            </w:r>
            <w:r>
              <w:rPr>
                <w:rFonts w:ascii="sans-serif" w:eastAsia="sans-serif" w:hAnsi="sans-serif" w:cs="sans-serif"/>
                <w:color w:val="000000"/>
                <w:sz w:val="15"/>
                <w:szCs w:val="15"/>
              </w:rPr>
              <w:t>rom stock plans </w:t>
            </w:r>
          </w:p>
        </w:tc>
        <w:tc>
          <w:tcPr>
            <w:tcW w:w="0" w:type="auto"/>
            <w:gridSpan w:val="2"/>
            <w:shd w:val="clear" w:color="auto" w:fill="FFFFFF"/>
            <w:tcMar>
              <w:top w:w="40" w:type="dxa"/>
              <w:left w:w="20" w:type="dxa"/>
              <w:bottom w:w="40" w:type="dxa"/>
              <w:right w:w="0" w:type="dxa"/>
            </w:tcMar>
            <w:vAlign w:val="bottom"/>
          </w:tcPr>
          <w:p w14:paraId="0D8DE3E6" w14:textId="77777777" w:rsidR="004C2197" w:rsidRDefault="00863B83">
            <w:pPr>
              <w:jc w:val="right"/>
              <w:textAlignment w:val="bottom"/>
            </w:pPr>
            <w:r>
              <w:rPr>
                <w:rFonts w:ascii="sans-serif" w:eastAsia="sans-serif" w:hAnsi="sans-serif" w:cs="sans-serif"/>
                <w:color w:val="000000"/>
                <w:sz w:val="15"/>
                <w:szCs w:val="15"/>
              </w:rPr>
              <w:t>3 </w:t>
            </w:r>
          </w:p>
        </w:tc>
        <w:tc>
          <w:tcPr>
            <w:tcW w:w="0" w:type="auto"/>
            <w:shd w:val="clear" w:color="auto" w:fill="FFFFFF"/>
            <w:tcMar>
              <w:top w:w="40" w:type="dxa"/>
              <w:bottom w:w="40" w:type="dxa"/>
              <w:right w:w="20" w:type="dxa"/>
            </w:tcMar>
            <w:vAlign w:val="bottom"/>
          </w:tcPr>
          <w:p w14:paraId="0D8DE3E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E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E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E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E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EC" w14:textId="77777777" w:rsidR="004C2197" w:rsidRDefault="00863B83">
            <w:pPr>
              <w:jc w:val="right"/>
              <w:textAlignment w:val="bottom"/>
            </w:pPr>
            <w:r>
              <w:rPr>
                <w:rFonts w:ascii="sans-serif" w:eastAsia="sans-serif" w:hAnsi="sans-serif" w:cs="sans-serif"/>
                <w:color w:val="000000"/>
                <w:sz w:val="15"/>
                <w:szCs w:val="15"/>
              </w:rPr>
              <w:t>6 </w:t>
            </w:r>
          </w:p>
        </w:tc>
        <w:tc>
          <w:tcPr>
            <w:tcW w:w="0" w:type="auto"/>
            <w:shd w:val="clear" w:color="auto" w:fill="FFFFFF"/>
            <w:tcMar>
              <w:top w:w="40" w:type="dxa"/>
              <w:bottom w:w="40" w:type="dxa"/>
              <w:right w:w="20" w:type="dxa"/>
            </w:tcMar>
            <w:vAlign w:val="bottom"/>
          </w:tcPr>
          <w:p w14:paraId="0D8DE3E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E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E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F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F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F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F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F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F5"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3F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3F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3F8" w14:textId="77777777" w:rsidR="004C2197" w:rsidRDefault="00863B83">
            <w:pPr>
              <w:jc w:val="right"/>
              <w:textAlignment w:val="bottom"/>
            </w:pPr>
            <w:r>
              <w:rPr>
                <w:rFonts w:ascii="sans-serif" w:eastAsia="sans-serif" w:hAnsi="sans-serif" w:cs="sans-serif"/>
                <w:color w:val="000000"/>
                <w:sz w:val="15"/>
                <w:szCs w:val="15"/>
              </w:rPr>
              <w:t>6 </w:t>
            </w:r>
          </w:p>
        </w:tc>
        <w:tc>
          <w:tcPr>
            <w:tcW w:w="0" w:type="auto"/>
            <w:shd w:val="clear" w:color="auto" w:fill="FFFFFF"/>
            <w:tcMar>
              <w:top w:w="40" w:type="dxa"/>
              <w:bottom w:w="40" w:type="dxa"/>
              <w:right w:w="20" w:type="dxa"/>
            </w:tcMar>
            <w:vAlign w:val="bottom"/>
          </w:tcPr>
          <w:p w14:paraId="0D8DE3F9" w14:textId="77777777" w:rsidR="004C2197" w:rsidRDefault="004C2197">
            <w:pPr>
              <w:jc w:val="right"/>
              <w:rPr>
                <w:rFonts w:ascii="宋体"/>
              </w:rPr>
            </w:pPr>
          </w:p>
        </w:tc>
        <w:tc>
          <w:tcPr>
            <w:tcW w:w="0" w:type="auto"/>
            <w:shd w:val="clear" w:color="auto" w:fill="auto"/>
          </w:tcPr>
          <w:p w14:paraId="0D8DE3FA" w14:textId="77777777" w:rsidR="004C2197" w:rsidRDefault="004C2197">
            <w:pPr>
              <w:rPr>
                <w:rFonts w:ascii="宋体"/>
              </w:rPr>
            </w:pPr>
          </w:p>
        </w:tc>
        <w:tc>
          <w:tcPr>
            <w:tcW w:w="0" w:type="auto"/>
            <w:shd w:val="clear" w:color="auto" w:fill="auto"/>
          </w:tcPr>
          <w:p w14:paraId="0D8DE3FB" w14:textId="77777777" w:rsidR="004C2197" w:rsidRDefault="004C2197">
            <w:pPr>
              <w:rPr>
                <w:rFonts w:ascii="宋体"/>
              </w:rPr>
            </w:pPr>
          </w:p>
        </w:tc>
        <w:tc>
          <w:tcPr>
            <w:tcW w:w="0" w:type="auto"/>
            <w:shd w:val="clear" w:color="auto" w:fill="auto"/>
          </w:tcPr>
          <w:p w14:paraId="0D8DE3FC" w14:textId="77777777" w:rsidR="004C2197" w:rsidRDefault="004C2197">
            <w:pPr>
              <w:rPr>
                <w:rFonts w:ascii="宋体"/>
              </w:rPr>
            </w:pPr>
          </w:p>
        </w:tc>
        <w:tc>
          <w:tcPr>
            <w:tcW w:w="0" w:type="auto"/>
            <w:shd w:val="clear" w:color="auto" w:fill="auto"/>
          </w:tcPr>
          <w:p w14:paraId="0D8DE3FD" w14:textId="77777777" w:rsidR="004C2197" w:rsidRDefault="004C2197">
            <w:pPr>
              <w:rPr>
                <w:rFonts w:ascii="宋体"/>
              </w:rPr>
            </w:pPr>
          </w:p>
        </w:tc>
        <w:tc>
          <w:tcPr>
            <w:tcW w:w="0" w:type="auto"/>
            <w:shd w:val="clear" w:color="auto" w:fill="auto"/>
          </w:tcPr>
          <w:p w14:paraId="0D8DE3FE" w14:textId="77777777" w:rsidR="004C2197" w:rsidRDefault="004C2197">
            <w:pPr>
              <w:rPr>
                <w:rFonts w:ascii="宋体"/>
              </w:rPr>
            </w:pPr>
          </w:p>
        </w:tc>
        <w:tc>
          <w:tcPr>
            <w:tcW w:w="0" w:type="auto"/>
            <w:shd w:val="clear" w:color="auto" w:fill="auto"/>
          </w:tcPr>
          <w:p w14:paraId="0D8DE3FF" w14:textId="77777777" w:rsidR="004C2197" w:rsidRDefault="004C2197">
            <w:pPr>
              <w:rPr>
                <w:rFonts w:ascii="宋体"/>
              </w:rPr>
            </w:pPr>
          </w:p>
        </w:tc>
        <w:tc>
          <w:tcPr>
            <w:tcW w:w="0" w:type="auto"/>
            <w:shd w:val="clear" w:color="auto" w:fill="auto"/>
          </w:tcPr>
          <w:p w14:paraId="0D8DE400" w14:textId="77777777" w:rsidR="004C2197" w:rsidRDefault="004C2197">
            <w:pPr>
              <w:rPr>
                <w:rFonts w:ascii="宋体"/>
              </w:rPr>
            </w:pPr>
          </w:p>
        </w:tc>
        <w:tc>
          <w:tcPr>
            <w:tcW w:w="0" w:type="auto"/>
            <w:shd w:val="clear" w:color="auto" w:fill="auto"/>
          </w:tcPr>
          <w:p w14:paraId="0D8DE401" w14:textId="77777777" w:rsidR="004C2197" w:rsidRDefault="004C2197">
            <w:pPr>
              <w:rPr>
                <w:rFonts w:ascii="宋体"/>
              </w:rPr>
            </w:pPr>
          </w:p>
        </w:tc>
        <w:tc>
          <w:tcPr>
            <w:tcW w:w="0" w:type="auto"/>
            <w:shd w:val="clear" w:color="auto" w:fill="auto"/>
          </w:tcPr>
          <w:p w14:paraId="0D8DE402" w14:textId="77777777" w:rsidR="004C2197" w:rsidRDefault="004C2197">
            <w:pPr>
              <w:rPr>
                <w:rFonts w:ascii="宋体"/>
              </w:rPr>
            </w:pPr>
          </w:p>
        </w:tc>
        <w:tc>
          <w:tcPr>
            <w:tcW w:w="0" w:type="auto"/>
            <w:shd w:val="clear" w:color="auto" w:fill="auto"/>
          </w:tcPr>
          <w:p w14:paraId="0D8DE403" w14:textId="77777777" w:rsidR="004C2197" w:rsidRDefault="004C2197">
            <w:pPr>
              <w:rPr>
                <w:rFonts w:ascii="宋体"/>
              </w:rPr>
            </w:pPr>
          </w:p>
        </w:tc>
        <w:tc>
          <w:tcPr>
            <w:tcW w:w="0" w:type="auto"/>
            <w:shd w:val="clear" w:color="auto" w:fill="auto"/>
          </w:tcPr>
          <w:p w14:paraId="0D8DE404" w14:textId="77777777" w:rsidR="004C2197" w:rsidRDefault="004C2197">
            <w:pPr>
              <w:rPr>
                <w:rFonts w:ascii="宋体"/>
              </w:rPr>
            </w:pPr>
          </w:p>
        </w:tc>
        <w:tc>
          <w:tcPr>
            <w:tcW w:w="0" w:type="auto"/>
            <w:shd w:val="clear" w:color="auto" w:fill="auto"/>
          </w:tcPr>
          <w:p w14:paraId="0D8DE405" w14:textId="77777777" w:rsidR="004C2197" w:rsidRDefault="004C2197">
            <w:pPr>
              <w:rPr>
                <w:rFonts w:ascii="宋体"/>
              </w:rPr>
            </w:pPr>
          </w:p>
        </w:tc>
        <w:tc>
          <w:tcPr>
            <w:tcW w:w="0" w:type="auto"/>
            <w:shd w:val="clear" w:color="auto" w:fill="auto"/>
          </w:tcPr>
          <w:p w14:paraId="0D8DE406" w14:textId="77777777" w:rsidR="004C2197" w:rsidRDefault="004C2197">
            <w:pPr>
              <w:rPr>
                <w:rFonts w:ascii="宋体"/>
              </w:rPr>
            </w:pPr>
          </w:p>
        </w:tc>
        <w:tc>
          <w:tcPr>
            <w:tcW w:w="0" w:type="auto"/>
            <w:shd w:val="clear" w:color="auto" w:fill="auto"/>
          </w:tcPr>
          <w:p w14:paraId="0D8DE407" w14:textId="77777777" w:rsidR="004C2197" w:rsidRDefault="004C2197">
            <w:pPr>
              <w:rPr>
                <w:rFonts w:ascii="宋体"/>
              </w:rPr>
            </w:pPr>
          </w:p>
        </w:tc>
        <w:tc>
          <w:tcPr>
            <w:tcW w:w="0" w:type="auto"/>
            <w:shd w:val="clear" w:color="auto" w:fill="auto"/>
          </w:tcPr>
          <w:p w14:paraId="0D8DE408" w14:textId="77777777" w:rsidR="004C2197" w:rsidRDefault="004C2197">
            <w:pPr>
              <w:rPr>
                <w:rFonts w:ascii="宋体"/>
              </w:rPr>
            </w:pPr>
          </w:p>
        </w:tc>
      </w:tr>
      <w:tr w:rsidR="004C2197" w14:paraId="0D8DE42E" w14:textId="77777777">
        <w:trPr>
          <w:jc w:val="center"/>
        </w:trPr>
        <w:tc>
          <w:tcPr>
            <w:tcW w:w="0" w:type="auto"/>
            <w:gridSpan w:val="3"/>
            <w:shd w:val="clear" w:color="auto" w:fill="E2EFD9"/>
            <w:tcMar>
              <w:top w:w="40" w:type="dxa"/>
              <w:left w:w="20" w:type="dxa"/>
              <w:bottom w:w="40" w:type="dxa"/>
              <w:right w:w="20" w:type="dxa"/>
            </w:tcMar>
            <w:vAlign w:val="bottom"/>
          </w:tcPr>
          <w:p w14:paraId="0D8DE40A" w14:textId="77777777" w:rsidR="004C2197" w:rsidRDefault="00863B83">
            <w:pPr>
              <w:textAlignment w:val="bottom"/>
            </w:pPr>
            <w:r>
              <w:rPr>
                <w:rFonts w:ascii="sans-serif" w:eastAsia="sans-serif" w:hAnsi="sans-serif" w:cs="sans-serif"/>
                <w:color w:val="000000"/>
                <w:sz w:val="15"/>
                <w:szCs w:val="15"/>
              </w:rPr>
              <w:t>Tax withholding related to</w:t>
            </w:r>
            <w:r>
              <w:rPr>
                <w:rFonts w:ascii="sans-serif" w:eastAsia="sans-serif" w:hAnsi="sans-serif" w:cs="sans-serif"/>
                <w:color w:val="000000"/>
                <w:sz w:val="15"/>
                <w:szCs w:val="15"/>
              </w:rPr>
              <w:t xml:space="preserve"> vesting of restricted stock units</w:t>
            </w:r>
          </w:p>
        </w:tc>
        <w:tc>
          <w:tcPr>
            <w:tcW w:w="0" w:type="auto"/>
            <w:gridSpan w:val="2"/>
            <w:shd w:val="clear" w:color="auto" w:fill="E2EFD9"/>
            <w:tcMar>
              <w:top w:w="40" w:type="dxa"/>
              <w:left w:w="20" w:type="dxa"/>
              <w:bottom w:w="40" w:type="dxa"/>
              <w:right w:w="0" w:type="dxa"/>
            </w:tcMar>
            <w:vAlign w:val="bottom"/>
          </w:tcPr>
          <w:p w14:paraId="0D8DE40B" w14:textId="77777777" w:rsidR="004C2197" w:rsidRDefault="00863B83">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bottom w:w="40" w:type="dxa"/>
              <w:right w:w="20" w:type="dxa"/>
            </w:tcMar>
            <w:vAlign w:val="bottom"/>
          </w:tcPr>
          <w:p w14:paraId="0D8DE40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0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0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0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1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1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1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1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14" w14:textId="77777777" w:rsidR="004C2197" w:rsidRDefault="00863B83">
            <w:pPr>
              <w:jc w:val="right"/>
              <w:textAlignment w:val="bottom"/>
            </w:pPr>
            <w:r>
              <w:rPr>
                <w:rFonts w:ascii="sans-serif" w:eastAsia="sans-serif" w:hAnsi="sans-serif" w:cs="sans-serif"/>
                <w:color w:val="000000"/>
                <w:sz w:val="15"/>
                <w:szCs w:val="15"/>
              </w:rPr>
              <w:t>(196)</w:t>
            </w:r>
          </w:p>
        </w:tc>
        <w:tc>
          <w:tcPr>
            <w:tcW w:w="0" w:type="auto"/>
            <w:shd w:val="clear" w:color="auto" w:fill="E2EFD9"/>
            <w:tcMar>
              <w:top w:w="40" w:type="dxa"/>
              <w:bottom w:w="40" w:type="dxa"/>
              <w:right w:w="20" w:type="dxa"/>
            </w:tcMar>
            <w:vAlign w:val="bottom"/>
          </w:tcPr>
          <w:p w14:paraId="0D8DE41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1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1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1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1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1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1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1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41D" w14:textId="77777777" w:rsidR="004C2197" w:rsidRDefault="00863B83">
            <w:pPr>
              <w:jc w:val="right"/>
              <w:textAlignment w:val="bottom"/>
            </w:pPr>
            <w:r>
              <w:rPr>
                <w:rFonts w:ascii="sans-serif" w:eastAsia="sans-serif" w:hAnsi="sans-serif" w:cs="sans-serif"/>
                <w:color w:val="000000"/>
                <w:sz w:val="15"/>
                <w:szCs w:val="15"/>
              </w:rPr>
              <w:t>(196)</w:t>
            </w:r>
          </w:p>
        </w:tc>
        <w:tc>
          <w:tcPr>
            <w:tcW w:w="0" w:type="auto"/>
            <w:shd w:val="clear" w:color="auto" w:fill="E2EFD9"/>
            <w:tcMar>
              <w:top w:w="40" w:type="dxa"/>
              <w:bottom w:w="40" w:type="dxa"/>
              <w:right w:w="20" w:type="dxa"/>
            </w:tcMar>
            <w:vAlign w:val="bottom"/>
          </w:tcPr>
          <w:p w14:paraId="0D8DE41E" w14:textId="77777777" w:rsidR="004C2197" w:rsidRDefault="004C2197">
            <w:pPr>
              <w:jc w:val="right"/>
              <w:rPr>
                <w:rFonts w:ascii="宋体"/>
              </w:rPr>
            </w:pPr>
          </w:p>
        </w:tc>
        <w:tc>
          <w:tcPr>
            <w:tcW w:w="0" w:type="auto"/>
            <w:shd w:val="clear" w:color="auto" w:fill="auto"/>
          </w:tcPr>
          <w:p w14:paraId="0D8DE41F" w14:textId="77777777" w:rsidR="004C2197" w:rsidRDefault="004C2197">
            <w:pPr>
              <w:rPr>
                <w:rFonts w:ascii="宋体"/>
              </w:rPr>
            </w:pPr>
          </w:p>
        </w:tc>
        <w:tc>
          <w:tcPr>
            <w:tcW w:w="0" w:type="auto"/>
            <w:shd w:val="clear" w:color="auto" w:fill="auto"/>
          </w:tcPr>
          <w:p w14:paraId="0D8DE420" w14:textId="77777777" w:rsidR="004C2197" w:rsidRDefault="004C2197">
            <w:pPr>
              <w:rPr>
                <w:rFonts w:ascii="宋体"/>
              </w:rPr>
            </w:pPr>
          </w:p>
        </w:tc>
        <w:tc>
          <w:tcPr>
            <w:tcW w:w="0" w:type="auto"/>
            <w:shd w:val="clear" w:color="auto" w:fill="auto"/>
          </w:tcPr>
          <w:p w14:paraId="0D8DE421" w14:textId="77777777" w:rsidR="004C2197" w:rsidRDefault="004C2197">
            <w:pPr>
              <w:rPr>
                <w:rFonts w:ascii="宋体"/>
              </w:rPr>
            </w:pPr>
          </w:p>
        </w:tc>
        <w:tc>
          <w:tcPr>
            <w:tcW w:w="0" w:type="auto"/>
            <w:shd w:val="clear" w:color="auto" w:fill="auto"/>
          </w:tcPr>
          <w:p w14:paraId="0D8DE422" w14:textId="77777777" w:rsidR="004C2197" w:rsidRDefault="004C2197">
            <w:pPr>
              <w:rPr>
                <w:rFonts w:ascii="宋体"/>
              </w:rPr>
            </w:pPr>
          </w:p>
        </w:tc>
        <w:tc>
          <w:tcPr>
            <w:tcW w:w="0" w:type="auto"/>
            <w:shd w:val="clear" w:color="auto" w:fill="auto"/>
          </w:tcPr>
          <w:p w14:paraId="0D8DE423" w14:textId="77777777" w:rsidR="004C2197" w:rsidRDefault="004C2197">
            <w:pPr>
              <w:rPr>
                <w:rFonts w:ascii="宋体"/>
              </w:rPr>
            </w:pPr>
          </w:p>
        </w:tc>
        <w:tc>
          <w:tcPr>
            <w:tcW w:w="0" w:type="auto"/>
            <w:shd w:val="clear" w:color="auto" w:fill="auto"/>
          </w:tcPr>
          <w:p w14:paraId="0D8DE424" w14:textId="77777777" w:rsidR="004C2197" w:rsidRDefault="004C2197">
            <w:pPr>
              <w:rPr>
                <w:rFonts w:ascii="宋体"/>
              </w:rPr>
            </w:pPr>
          </w:p>
        </w:tc>
        <w:tc>
          <w:tcPr>
            <w:tcW w:w="0" w:type="auto"/>
            <w:shd w:val="clear" w:color="auto" w:fill="auto"/>
          </w:tcPr>
          <w:p w14:paraId="0D8DE425" w14:textId="77777777" w:rsidR="004C2197" w:rsidRDefault="004C2197">
            <w:pPr>
              <w:rPr>
                <w:rFonts w:ascii="宋体"/>
              </w:rPr>
            </w:pPr>
          </w:p>
        </w:tc>
        <w:tc>
          <w:tcPr>
            <w:tcW w:w="0" w:type="auto"/>
            <w:shd w:val="clear" w:color="auto" w:fill="auto"/>
          </w:tcPr>
          <w:p w14:paraId="0D8DE426" w14:textId="77777777" w:rsidR="004C2197" w:rsidRDefault="004C2197">
            <w:pPr>
              <w:rPr>
                <w:rFonts w:ascii="宋体"/>
              </w:rPr>
            </w:pPr>
          </w:p>
        </w:tc>
        <w:tc>
          <w:tcPr>
            <w:tcW w:w="0" w:type="auto"/>
            <w:shd w:val="clear" w:color="auto" w:fill="auto"/>
          </w:tcPr>
          <w:p w14:paraId="0D8DE427" w14:textId="77777777" w:rsidR="004C2197" w:rsidRDefault="004C2197">
            <w:pPr>
              <w:rPr>
                <w:rFonts w:ascii="宋体"/>
              </w:rPr>
            </w:pPr>
          </w:p>
        </w:tc>
        <w:tc>
          <w:tcPr>
            <w:tcW w:w="0" w:type="auto"/>
            <w:shd w:val="clear" w:color="auto" w:fill="auto"/>
          </w:tcPr>
          <w:p w14:paraId="0D8DE428" w14:textId="77777777" w:rsidR="004C2197" w:rsidRDefault="004C2197">
            <w:pPr>
              <w:rPr>
                <w:rFonts w:ascii="宋体"/>
              </w:rPr>
            </w:pPr>
          </w:p>
        </w:tc>
        <w:tc>
          <w:tcPr>
            <w:tcW w:w="0" w:type="auto"/>
            <w:shd w:val="clear" w:color="auto" w:fill="auto"/>
          </w:tcPr>
          <w:p w14:paraId="0D8DE429" w14:textId="77777777" w:rsidR="004C2197" w:rsidRDefault="004C2197">
            <w:pPr>
              <w:rPr>
                <w:rFonts w:ascii="宋体"/>
              </w:rPr>
            </w:pPr>
          </w:p>
        </w:tc>
        <w:tc>
          <w:tcPr>
            <w:tcW w:w="0" w:type="auto"/>
            <w:shd w:val="clear" w:color="auto" w:fill="auto"/>
          </w:tcPr>
          <w:p w14:paraId="0D8DE42A" w14:textId="77777777" w:rsidR="004C2197" w:rsidRDefault="004C2197">
            <w:pPr>
              <w:rPr>
                <w:rFonts w:ascii="宋体"/>
              </w:rPr>
            </w:pPr>
          </w:p>
        </w:tc>
        <w:tc>
          <w:tcPr>
            <w:tcW w:w="0" w:type="auto"/>
            <w:shd w:val="clear" w:color="auto" w:fill="auto"/>
          </w:tcPr>
          <w:p w14:paraId="0D8DE42B" w14:textId="77777777" w:rsidR="004C2197" w:rsidRDefault="004C2197">
            <w:pPr>
              <w:rPr>
                <w:rFonts w:ascii="宋体"/>
              </w:rPr>
            </w:pPr>
          </w:p>
        </w:tc>
        <w:tc>
          <w:tcPr>
            <w:tcW w:w="0" w:type="auto"/>
            <w:shd w:val="clear" w:color="auto" w:fill="auto"/>
          </w:tcPr>
          <w:p w14:paraId="0D8DE42C" w14:textId="77777777" w:rsidR="004C2197" w:rsidRDefault="004C2197">
            <w:pPr>
              <w:rPr>
                <w:rFonts w:ascii="宋体"/>
              </w:rPr>
            </w:pPr>
          </w:p>
        </w:tc>
        <w:tc>
          <w:tcPr>
            <w:tcW w:w="0" w:type="auto"/>
            <w:shd w:val="clear" w:color="auto" w:fill="auto"/>
          </w:tcPr>
          <w:p w14:paraId="0D8DE42D" w14:textId="77777777" w:rsidR="004C2197" w:rsidRDefault="004C2197">
            <w:pPr>
              <w:rPr>
                <w:rFonts w:ascii="宋体"/>
              </w:rPr>
            </w:pPr>
          </w:p>
        </w:tc>
      </w:tr>
      <w:tr w:rsidR="004C2197" w14:paraId="0D8DE44C" w14:textId="77777777">
        <w:trPr>
          <w:jc w:val="center"/>
          <w:hidden/>
        </w:trPr>
        <w:tc>
          <w:tcPr>
            <w:tcW w:w="0" w:type="auto"/>
            <w:gridSpan w:val="3"/>
            <w:shd w:val="clear" w:color="auto" w:fill="auto"/>
          </w:tcPr>
          <w:p w14:paraId="0D8DE42F" w14:textId="77777777" w:rsidR="004C2197" w:rsidRDefault="004C2197">
            <w:pPr>
              <w:rPr>
                <w:rFonts w:ascii="宋体"/>
                <w:vanish/>
              </w:rPr>
            </w:pPr>
          </w:p>
        </w:tc>
        <w:tc>
          <w:tcPr>
            <w:tcW w:w="0" w:type="auto"/>
            <w:gridSpan w:val="3"/>
            <w:shd w:val="clear" w:color="auto" w:fill="auto"/>
          </w:tcPr>
          <w:p w14:paraId="0D8DE430" w14:textId="77777777" w:rsidR="004C2197" w:rsidRDefault="004C2197">
            <w:pPr>
              <w:rPr>
                <w:rFonts w:ascii="宋体"/>
                <w:vanish/>
              </w:rPr>
            </w:pPr>
          </w:p>
        </w:tc>
        <w:tc>
          <w:tcPr>
            <w:tcW w:w="0" w:type="auto"/>
            <w:gridSpan w:val="3"/>
            <w:shd w:val="clear" w:color="auto" w:fill="auto"/>
          </w:tcPr>
          <w:p w14:paraId="0D8DE431" w14:textId="77777777" w:rsidR="004C2197" w:rsidRDefault="004C2197">
            <w:pPr>
              <w:rPr>
                <w:rFonts w:ascii="宋体"/>
                <w:vanish/>
              </w:rPr>
            </w:pPr>
          </w:p>
        </w:tc>
        <w:tc>
          <w:tcPr>
            <w:tcW w:w="0" w:type="auto"/>
            <w:gridSpan w:val="3"/>
            <w:shd w:val="clear" w:color="auto" w:fill="auto"/>
          </w:tcPr>
          <w:p w14:paraId="0D8DE432" w14:textId="77777777" w:rsidR="004C2197" w:rsidRDefault="004C2197">
            <w:pPr>
              <w:rPr>
                <w:rFonts w:ascii="宋体"/>
                <w:vanish/>
              </w:rPr>
            </w:pPr>
          </w:p>
        </w:tc>
        <w:tc>
          <w:tcPr>
            <w:tcW w:w="0" w:type="auto"/>
            <w:gridSpan w:val="3"/>
            <w:shd w:val="clear" w:color="auto" w:fill="auto"/>
          </w:tcPr>
          <w:p w14:paraId="0D8DE433" w14:textId="77777777" w:rsidR="004C2197" w:rsidRDefault="004C2197">
            <w:pPr>
              <w:rPr>
                <w:rFonts w:ascii="宋体"/>
                <w:vanish/>
              </w:rPr>
            </w:pPr>
          </w:p>
        </w:tc>
        <w:tc>
          <w:tcPr>
            <w:tcW w:w="0" w:type="auto"/>
            <w:gridSpan w:val="3"/>
            <w:shd w:val="clear" w:color="auto" w:fill="auto"/>
          </w:tcPr>
          <w:p w14:paraId="0D8DE434" w14:textId="77777777" w:rsidR="004C2197" w:rsidRDefault="004C2197">
            <w:pPr>
              <w:rPr>
                <w:rFonts w:ascii="宋体"/>
                <w:vanish/>
              </w:rPr>
            </w:pPr>
          </w:p>
        </w:tc>
        <w:tc>
          <w:tcPr>
            <w:tcW w:w="0" w:type="auto"/>
            <w:gridSpan w:val="3"/>
            <w:shd w:val="clear" w:color="auto" w:fill="auto"/>
          </w:tcPr>
          <w:p w14:paraId="0D8DE435" w14:textId="77777777" w:rsidR="004C2197" w:rsidRDefault="004C2197">
            <w:pPr>
              <w:rPr>
                <w:rFonts w:ascii="宋体"/>
                <w:vanish/>
              </w:rPr>
            </w:pPr>
          </w:p>
        </w:tc>
        <w:tc>
          <w:tcPr>
            <w:tcW w:w="0" w:type="auto"/>
            <w:gridSpan w:val="3"/>
            <w:shd w:val="clear" w:color="auto" w:fill="auto"/>
          </w:tcPr>
          <w:p w14:paraId="0D8DE436" w14:textId="77777777" w:rsidR="004C2197" w:rsidRDefault="004C2197">
            <w:pPr>
              <w:rPr>
                <w:rFonts w:ascii="宋体"/>
                <w:vanish/>
              </w:rPr>
            </w:pPr>
          </w:p>
        </w:tc>
        <w:tc>
          <w:tcPr>
            <w:tcW w:w="0" w:type="auto"/>
            <w:gridSpan w:val="3"/>
            <w:shd w:val="clear" w:color="auto" w:fill="auto"/>
          </w:tcPr>
          <w:p w14:paraId="0D8DE437" w14:textId="77777777" w:rsidR="004C2197" w:rsidRDefault="004C2197">
            <w:pPr>
              <w:rPr>
                <w:rFonts w:ascii="宋体"/>
                <w:vanish/>
              </w:rPr>
            </w:pPr>
          </w:p>
        </w:tc>
        <w:tc>
          <w:tcPr>
            <w:tcW w:w="0" w:type="auto"/>
            <w:gridSpan w:val="3"/>
            <w:shd w:val="clear" w:color="auto" w:fill="auto"/>
          </w:tcPr>
          <w:p w14:paraId="0D8DE438" w14:textId="77777777" w:rsidR="004C2197" w:rsidRDefault="004C2197">
            <w:pPr>
              <w:rPr>
                <w:rFonts w:ascii="宋体"/>
                <w:vanish/>
              </w:rPr>
            </w:pPr>
          </w:p>
        </w:tc>
        <w:tc>
          <w:tcPr>
            <w:tcW w:w="0" w:type="auto"/>
            <w:gridSpan w:val="3"/>
            <w:shd w:val="clear" w:color="auto" w:fill="auto"/>
          </w:tcPr>
          <w:p w14:paraId="0D8DE439" w14:textId="77777777" w:rsidR="004C2197" w:rsidRDefault="004C2197">
            <w:pPr>
              <w:rPr>
                <w:rFonts w:ascii="宋体"/>
                <w:vanish/>
              </w:rPr>
            </w:pPr>
          </w:p>
        </w:tc>
        <w:tc>
          <w:tcPr>
            <w:tcW w:w="0" w:type="auto"/>
            <w:gridSpan w:val="3"/>
            <w:shd w:val="clear" w:color="auto" w:fill="auto"/>
          </w:tcPr>
          <w:p w14:paraId="0D8DE43A" w14:textId="77777777" w:rsidR="004C2197" w:rsidRDefault="004C2197">
            <w:pPr>
              <w:rPr>
                <w:rFonts w:ascii="宋体"/>
                <w:vanish/>
              </w:rPr>
            </w:pPr>
          </w:p>
        </w:tc>
        <w:tc>
          <w:tcPr>
            <w:tcW w:w="0" w:type="auto"/>
            <w:gridSpan w:val="3"/>
            <w:shd w:val="clear" w:color="auto" w:fill="auto"/>
          </w:tcPr>
          <w:p w14:paraId="0D8DE43B" w14:textId="77777777" w:rsidR="004C2197" w:rsidRDefault="004C2197">
            <w:pPr>
              <w:rPr>
                <w:rFonts w:ascii="宋体"/>
                <w:vanish/>
              </w:rPr>
            </w:pPr>
          </w:p>
        </w:tc>
        <w:tc>
          <w:tcPr>
            <w:tcW w:w="0" w:type="auto"/>
            <w:gridSpan w:val="3"/>
            <w:shd w:val="clear" w:color="auto" w:fill="auto"/>
          </w:tcPr>
          <w:p w14:paraId="0D8DE43C" w14:textId="77777777" w:rsidR="004C2197" w:rsidRDefault="004C2197">
            <w:pPr>
              <w:rPr>
                <w:rFonts w:ascii="宋体"/>
                <w:vanish/>
              </w:rPr>
            </w:pPr>
          </w:p>
        </w:tc>
        <w:tc>
          <w:tcPr>
            <w:tcW w:w="0" w:type="auto"/>
            <w:shd w:val="clear" w:color="auto" w:fill="auto"/>
          </w:tcPr>
          <w:p w14:paraId="0D8DE43D" w14:textId="77777777" w:rsidR="004C2197" w:rsidRDefault="004C2197">
            <w:pPr>
              <w:rPr>
                <w:rFonts w:ascii="宋体"/>
              </w:rPr>
            </w:pPr>
          </w:p>
        </w:tc>
        <w:tc>
          <w:tcPr>
            <w:tcW w:w="0" w:type="auto"/>
            <w:shd w:val="clear" w:color="auto" w:fill="auto"/>
          </w:tcPr>
          <w:p w14:paraId="0D8DE43E" w14:textId="77777777" w:rsidR="004C2197" w:rsidRDefault="004C2197">
            <w:pPr>
              <w:rPr>
                <w:rFonts w:ascii="宋体"/>
              </w:rPr>
            </w:pPr>
          </w:p>
        </w:tc>
        <w:tc>
          <w:tcPr>
            <w:tcW w:w="0" w:type="auto"/>
            <w:shd w:val="clear" w:color="auto" w:fill="auto"/>
          </w:tcPr>
          <w:p w14:paraId="0D8DE43F" w14:textId="77777777" w:rsidR="004C2197" w:rsidRDefault="004C2197">
            <w:pPr>
              <w:rPr>
                <w:rFonts w:ascii="宋体"/>
              </w:rPr>
            </w:pPr>
          </w:p>
        </w:tc>
        <w:tc>
          <w:tcPr>
            <w:tcW w:w="0" w:type="auto"/>
            <w:shd w:val="clear" w:color="auto" w:fill="auto"/>
          </w:tcPr>
          <w:p w14:paraId="0D8DE440" w14:textId="77777777" w:rsidR="004C2197" w:rsidRDefault="004C2197">
            <w:pPr>
              <w:rPr>
                <w:rFonts w:ascii="宋体"/>
              </w:rPr>
            </w:pPr>
          </w:p>
        </w:tc>
        <w:tc>
          <w:tcPr>
            <w:tcW w:w="0" w:type="auto"/>
            <w:shd w:val="clear" w:color="auto" w:fill="auto"/>
          </w:tcPr>
          <w:p w14:paraId="0D8DE441" w14:textId="77777777" w:rsidR="004C2197" w:rsidRDefault="004C2197">
            <w:pPr>
              <w:rPr>
                <w:rFonts w:ascii="宋体"/>
              </w:rPr>
            </w:pPr>
          </w:p>
        </w:tc>
        <w:tc>
          <w:tcPr>
            <w:tcW w:w="0" w:type="auto"/>
            <w:shd w:val="clear" w:color="auto" w:fill="auto"/>
          </w:tcPr>
          <w:p w14:paraId="0D8DE442" w14:textId="77777777" w:rsidR="004C2197" w:rsidRDefault="004C2197">
            <w:pPr>
              <w:rPr>
                <w:rFonts w:ascii="宋体"/>
              </w:rPr>
            </w:pPr>
          </w:p>
        </w:tc>
        <w:tc>
          <w:tcPr>
            <w:tcW w:w="0" w:type="auto"/>
            <w:shd w:val="clear" w:color="auto" w:fill="auto"/>
          </w:tcPr>
          <w:p w14:paraId="0D8DE443" w14:textId="77777777" w:rsidR="004C2197" w:rsidRDefault="004C2197">
            <w:pPr>
              <w:rPr>
                <w:rFonts w:ascii="宋体"/>
              </w:rPr>
            </w:pPr>
          </w:p>
        </w:tc>
        <w:tc>
          <w:tcPr>
            <w:tcW w:w="0" w:type="auto"/>
            <w:shd w:val="clear" w:color="auto" w:fill="auto"/>
          </w:tcPr>
          <w:p w14:paraId="0D8DE444" w14:textId="77777777" w:rsidR="004C2197" w:rsidRDefault="004C2197">
            <w:pPr>
              <w:rPr>
                <w:rFonts w:ascii="宋体"/>
              </w:rPr>
            </w:pPr>
          </w:p>
        </w:tc>
        <w:tc>
          <w:tcPr>
            <w:tcW w:w="0" w:type="auto"/>
            <w:shd w:val="clear" w:color="auto" w:fill="auto"/>
          </w:tcPr>
          <w:p w14:paraId="0D8DE445" w14:textId="77777777" w:rsidR="004C2197" w:rsidRDefault="004C2197">
            <w:pPr>
              <w:rPr>
                <w:rFonts w:ascii="宋体"/>
              </w:rPr>
            </w:pPr>
          </w:p>
        </w:tc>
        <w:tc>
          <w:tcPr>
            <w:tcW w:w="0" w:type="auto"/>
            <w:shd w:val="clear" w:color="auto" w:fill="auto"/>
          </w:tcPr>
          <w:p w14:paraId="0D8DE446" w14:textId="77777777" w:rsidR="004C2197" w:rsidRDefault="004C2197">
            <w:pPr>
              <w:rPr>
                <w:rFonts w:ascii="宋体"/>
              </w:rPr>
            </w:pPr>
          </w:p>
        </w:tc>
        <w:tc>
          <w:tcPr>
            <w:tcW w:w="0" w:type="auto"/>
            <w:shd w:val="clear" w:color="auto" w:fill="auto"/>
          </w:tcPr>
          <w:p w14:paraId="0D8DE447" w14:textId="77777777" w:rsidR="004C2197" w:rsidRDefault="004C2197">
            <w:pPr>
              <w:rPr>
                <w:rFonts w:ascii="宋体"/>
              </w:rPr>
            </w:pPr>
          </w:p>
        </w:tc>
        <w:tc>
          <w:tcPr>
            <w:tcW w:w="0" w:type="auto"/>
            <w:shd w:val="clear" w:color="auto" w:fill="auto"/>
          </w:tcPr>
          <w:p w14:paraId="0D8DE448" w14:textId="77777777" w:rsidR="004C2197" w:rsidRDefault="004C2197">
            <w:pPr>
              <w:rPr>
                <w:rFonts w:ascii="宋体"/>
              </w:rPr>
            </w:pPr>
          </w:p>
        </w:tc>
        <w:tc>
          <w:tcPr>
            <w:tcW w:w="0" w:type="auto"/>
            <w:shd w:val="clear" w:color="auto" w:fill="auto"/>
          </w:tcPr>
          <w:p w14:paraId="0D8DE449" w14:textId="77777777" w:rsidR="004C2197" w:rsidRDefault="004C2197">
            <w:pPr>
              <w:rPr>
                <w:rFonts w:ascii="宋体"/>
              </w:rPr>
            </w:pPr>
          </w:p>
        </w:tc>
        <w:tc>
          <w:tcPr>
            <w:tcW w:w="0" w:type="auto"/>
            <w:shd w:val="clear" w:color="auto" w:fill="auto"/>
          </w:tcPr>
          <w:p w14:paraId="0D8DE44A" w14:textId="77777777" w:rsidR="004C2197" w:rsidRDefault="004C2197">
            <w:pPr>
              <w:rPr>
                <w:rFonts w:ascii="宋体"/>
              </w:rPr>
            </w:pPr>
          </w:p>
        </w:tc>
        <w:tc>
          <w:tcPr>
            <w:tcW w:w="0" w:type="auto"/>
            <w:shd w:val="clear" w:color="auto" w:fill="auto"/>
          </w:tcPr>
          <w:p w14:paraId="0D8DE44B" w14:textId="77777777" w:rsidR="004C2197" w:rsidRDefault="004C2197">
            <w:pPr>
              <w:rPr>
                <w:rFonts w:ascii="宋体"/>
              </w:rPr>
            </w:pPr>
          </w:p>
        </w:tc>
      </w:tr>
      <w:tr w:rsidR="004C2197" w14:paraId="0D8DE471" w14:textId="77777777">
        <w:trPr>
          <w:jc w:val="center"/>
        </w:trPr>
        <w:tc>
          <w:tcPr>
            <w:tcW w:w="0" w:type="auto"/>
            <w:gridSpan w:val="3"/>
            <w:shd w:val="clear" w:color="auto" w:fill="FFFFFF"/>
            <w:tcMar>
              <w:top w:w="40" w:type="dxa"/>
              <w:left w:w="20" w:type="dxa"/>
              <w:bottom w:w="40" w:type="dxa"/>
              <w:right w:w="20" w:type="dxa"/>
            </w:tcMar>
            <w:vAlign w:val="bottom"/>
          </w:tcPr>
          <w:p w14:paraId="0D8DE44D" w14:textId="77777777" w:rsidR="004C2197" w:rsidRDefault="00863B83">
            <w:pPr>
              <w:textAlignment w:val="bottom"/>
            </w:pPr>
            <w:r>
              <w:rPr>
                <w:rFonts w:ascii="sans-serif" w:eastAsia="sans-serif" w:hAnsi="sans-serif" w:cs="sans-serif"/>
                <w:color w:val="000000"/>
                <w:sz w:val="15"/>
                <w:szCs w:val="15"/>
              </w:rPr>
              <w:t>Cash dividends declared and paid ($0.16 per common share)</w:t>
            </w:r>
          </w:p>
        </w:tc>
        <w:tc>
          <w:tcPr>
            <w:tcW w:w="0" w:type="auto"/>
            <w:gridSpan w:val="2"/>
            <w:shd w:val="clear" w:color="auto" w:fill="FFFFFF"/>
            <w:tcMar>
              <w:top w:w="40" w:type="dxa"/>
              <w:left w:w="20" w:type="dxa"/>
              <w:bottom w:w="40" w:type="dxa"/>
              <w:right w:w="0" w:type="dxa"/>
            </w:tcMar>
            <w:vAlign w:val="bottom"/>
          </w:tcPr>
          <w:p w14:paraId="0D8DE44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4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5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5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5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5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5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5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5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5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5D" w14:textId="77777777" w:rsidR="004C2197" w:rsidRDefault="00863B83">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bottom w:w="40" w:type="dxa"/>
              <w:right w:w="20" w:type="dxa"/>
            </w:tcMar>
            <w:vAlign w:val="bottom"/>
          </w:tcPr>
          <w:p w14:paraId="0D8DE45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5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60" w14:textId="77777777" w:rsidR="004C2197" w:rsidRDefault="00863B83">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bottom w:w="40" w:type="dxa"/>
              <w:right w:w="20" w:type="dxa"/>
            </w:tcMar>
            <w:vAlign w:val="bottom"/>
          </w:tcPr>
          <w:p w14:paraId="0D8DE461" w14:textId="77777777" w:rsidR="004C2197" w:rsidRDefault="004C2197">
            <w:pPr>
              <w:jc w:val="right"/>
              <w:rPr>
                <w:rFonts w:ascii="宋体"/>
              </w:rPr>
            </w:pPr>
          </w:p>
        </w:tc>
        <w:tc>
          <w:tcPr>
            <w:tcW w:w="0" w:type="auto"/>
            <w:shd w:val="clear" w:color="auto" w:fill="auto"/>
          </w:tcPr>
          <w:p w14:paraId="0D8DE462" w14:textId="77777777" w:rsidR="004C2197" w:rsidRDefault="004C2197">
            <w:pPr>
              <w:rPr>
                <w:rFonts w:ascii="宋体"/>
              </w:rPr>
            </w:pPr>
          </w:p>
        </w:tc>
        <w:tc>
          <w:tcPr>
            <w:tcW w:w="0" w:type="auto"/>
            <w:shd w:val="clear" w:color="auto" w:fill="auto"/>
          </w:tcPr>
          <w:p w14:paraId="0D8DE463" w14:textId="77777777" w:rsidR="004C2197" w:rsidRDefault="004C2197">
            <w:pPr>
              <w:rPr>
                <w:rFonts w:ascii="宋体"/>
              </w:rPr>
            </w:pPr>
          </w:p>
        </w:tc>
        <w:tc>
          <w:tcPr>
            <w:tcW w:w="0" w:type="auto"/>
            <w:shd w:val="clear" w:color="auto" w:fill="auto"/>
          </w:tcPr>
          <w:p w14:paraId="0D8DE464" w14:textId="77777777" w:rsidR="004C2197" w:rsidRDefault="004C2197">
            <w:pPr>
              <w:rPr>
                <w:rFonts w:ascii="宋体"/>
              </w:rPr>
            </w:pPr>
          </w:p>
        </w:tc>
        <w:tc>
          <w:tcPr>
            <w:tcW w:w="0" w:type="auto"/>
            <w:shd w:val="clear" w:color="auto" w:fill="auto"/>
          </w:tcPr>
          <w:p w14:paraId="0D8DE465" w14:textId="77777777" w:rsidR="004C2197" w:rsidRDefault="004C2197">
            <w:pPr>
              <w:rPr>
                <w:rFonts w:ascii="宋体"/>
              </w:rPr>
            </w:pPr>
          </w:p>
        </w:tc>
        <w:tc>
          <w:tcPr>
            <w:tcW w:w="0" w:type="auto"/>
            <w:shd w:val="clear" w:color="auto" w:fill="auto"/>
          </w:tcPr>
          <w:p w14:paraId="0D8DE466" w14:textId="77777777" w:rsidR="004C2197" w:rsidRDefault="004C2197">
            <w:pPr>
              <w:rPr>
                <w:rFonts w:ascii="宋体"/>
              </w:rPr>
            </w:pPr>
          </w:p>
        </w:tc>
        <w:tc>
          <w:tcPr>
            <w:tcW w:w="0" w:type="auto"/>
            <w:shd w:val="clear" w:color="auto" w:fill="auto"/>
          </w:tcPr>
          <w:p w14:paraId="0D8DE467" w14:textId="77777777" w:rsidR="004C2197" w:rsidRDefault="004C2197">
            <w:pPr>
              <w:rPr>
                <w:rFonts w:ascii="宋体"/>
              </w:rPr>
            </w:pPr>
          </w:p>
        </w:tc>
        <w:tc>
          <w:tcPr>
            <w:tcW w:w="0" w:type="auto"/>
            <w:shd w:val="clear" w:color="auto" w:fill="auto"/>
          </w:tcPr>
          <w:p w14:paraId="0D8DE468" w14:textId="77777777" w:rsidR="004C2197" w:rsidRDefault="004C2197">
            <w:pPr>
              <w:rPr>
                <w:rFonts w:ascii="宋体"/>
              </w:rPr>
            </w:pPr>
          </w:p>
        </w:tc>
        <w:tc>
          <w:tcPr>
            <w:tcW w:w="0" w:type="auto"/>
            <w:shd w:val="clear" w:color="auto" w:fill="auto"/>
          </w:tcPr>
          <w:p w14:paraId="0D8DE469" w14:textId="77777777" w:rsidR="004C2197" w:rsidRDefault="004C2197">
            <w:pPr>
              <w:rPr>
                <w:rFonts w:ascii="宋体"/>
              </w:rPr>
            </w:pPr>
          </w:p>
        </w:tc>
        <w:tc>
          <w:tcPr>
            <w:tcW w:w="0" w:type="auto"/>
            <w:shd w:val="clear" w:color="auto" w:fill="auto"/>
          </w:tcPr>
          <w:p w14:paraId="0D8DE46A" w14:textId="77777777" w:rsidR="004C2197" w:rsidRDefault="004C2197">
            <w:pPr>
              <w:rPr>
                <w:rFonts w:ascii="宋体"/>
              </w:rPr>
            </w:pPr>
          </w:p>
        </w:tc>
        <w:tc>
          <w:tcPr>
            <w:tcW w:w="0" w:type="auto"/>
            <w:shd w:val="clear" w:color="auto" w:fill="auto"/>
          </w:tcPr>
          <w:p w14:paraId="0D8DE46B" w14:textId="77777777" w:rsidR="004C2197" w:rsidRDefault="004C2197">
            <w:pPr>
              <w:rPr>
                <w:rFonts w:ascii="宋体"/>
              </w:rPr>
            </w:pPr>
          </w:p>
        </w:tc>
        <w:tc>
          <w:tcPr>
            <w:tcW w:w="0" w:type="auto"/>
            <w:shd w:val="clear" w:color="auto" w:fill="auto"/>
          </w:tcPr>
          <w:p w14:paraId="0D8DE46C" w14:textId="77777777" w:rsidR="004C2197" w:rsidRDefault="004C2197">
            <w:pPr>
              <w:rPr>
                <w:rFonts w:ascii="宋体"/>
              </w:rPr>
            </w:pPr>
          </w:p>
        </w:tc>
        <w:tc>
          <w:tcPr>
            <w:tcW w:w="0" w:type="auto"/>
            <w:shd w:val="clear" w:color="auto" w:fill="auto"/>
          </w:tcPr>
          <w:p w14:paraId="0D8DE46D" w14:textId="77777777" w:rsidR="004C2197" w:rsidRDefault="004C2197">
            <w:pPr>
              <w:rPr>
                <w:rFonts w:ascii="宋体"/>
              </w:rPr>
            </w:pPr>
          </w:p>
        </w:tc>
        <w:tc>
          <w:tcPr>
            <w:tcW w:w="0" w:type="auto"/>
            <w:shd w:val="clear" w:color="auto" w:fill="auto"/>
          </w:tcPr>
          <w:p w14:paraId="0D8DE46E" w14:textId="77777777" w:rsidR="004C2197" w:rsidRDefault="004C2197">
            <w:pPr>
              <w:rPr>
                <w:rFonts w:ascii="宋体"/>
              </w:rPr>
            </w:pPr>
          </w:p>
        </w:tc>
        <w:tc>
          <w:tcPr>
            <w:tcW w:w="0" w:type="auto"/>
            <w:shd w:val="clear" w:color="auto" w:fill="auto"/>
          </w:tcPr>
          <w:p w14:paraId="0D8DE46F" w14:textId="77777777" w:rsidR="004C2197" w:rsidRDefault="004C2197">
            <w:pPr>
              <w:rPr>
                <w:rFonts w:ascii="宋体"/>
              </w:rPr>
            </w:pPr>
          </w:p>
        </w:tc>
        <w:tc>
          <w:tcPr>
            <w:tcW w:w="0" w:type="auto"/>
            <w:shd w:val="clear" w:color="auto" w:fill="auto"/>
          </w:tcPr>
          <w:p w14:paraId="0D8DE470" w14:textId="77777777" w:rsidR="004C2197" w:rsidRDefault="004C2197">
            <w:pPr>
              <w:rPr>
                <w:rFonts w:ascii="宋体"/>
              </w:rPr>
            </w:pPr>
          </w:p>
        </w:tc>
      </w:tr>
      <w:tr w:rsidR="004C2197" w14:paraId="0D8DE496" w14:textId="77777777">
        <w:trPr>
          <w:jc w:val="center"/>
        </w:trPr>
        <w:tc>
          <w:tcPr>
            <w:tcW w:w="0" w:type="auto"/>
            <w:gridSpan w:val="3"/>
            <w:shd w:val="clear" w:color="auto" w:fill="E2EFD9"/>
            <w:tcMar>
              <w:top w:w="40" w:type="dxa"/>
              <w:left w:w="20" w:type="dxa"/>
              <w:bottom w:w="40" w:type="dxa"/>
              <w:right w:w="20" w:type="dxa"/>
            </w:tcMar>
            <w:vAlign w:val="bottom"/>
          </w:tcPr>
          <w:p w14:paraId="0D8DE472" w14:textId="77777777" w:rsidR="004C2197" w:rsidRDefault="00863B83">
            <w:pPr>
              <w:textAlignment w:val="bottom"/>
            </w:pPr>
            <w:r>
              <w:rPr>
                <w:rFonts w:ascii="sans-serif" w:eastAsia="sans-serif" w:hAnsi="sans-serif" w:cs="sans-serif"/>
                <w:color w:val="000000"/>
                <w:sz w:val="15"/>
                <w:szCs w:val="15"/>
              </w:rPr>
              <w:t>Fair value of partially ve</w:t>
            </w:r>
            <w:r>
              <w:rPr>
                <w:rFonts w:ascii="sans-serif" w:eastAsia="sans-serif" w:hAnsi="sans-serif" w:cs="sans-serif"/>
                <w:color w:val="000000"/>
                <w:sz w:val="15"/>
                <w:szCs w:val="15"/>
              </w:rPr>
              <w:t>sted equity awards assumed in connection with acquisitions</w:t>
            </w:r>
          </w:p>
        </w:tc>
        <w:tc>
          <w:tcPr>
            <w:tcW w:w="0" w:type="auto"/>
            <w:gridSpan w:val="2"/>
            <w:shd w:val="clear" w:color="auto" w:fill="E2EFD9"/>
            <w:tcMar>
              <w:top w:w="40" w:type="dxa"/>
              <w:left w:w="20" w:type="dxa"/>
              <w:bottom w:w="40" w:type="dxa"/>
              <w:right w:w="0" w:type="dxa"/>
            </w:tcMar>
            <w:vAlign w:val="bottom"/>
          </w:tcPr>
          <w:p w14:paraId="0D8DE47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7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7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7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7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7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79" w14:textId="77777777" w:rsidR="004C2197" w:rsidRDefault="00863B83">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bottom w:w="40" w:type="dxa"/>
              <w:right w:w="20" w:type="dxa"/>
            </w:tcMar>
            <w:vAlign w:val="bottom"/>
          </w:tcPr>
          <w:p w14:paraId="0D8DE47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7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7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7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7E"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7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8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81"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8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48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84"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485" w14:textId="77777777" w:rsidR="004C2197" w:rsidRDefault="00863B83">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bottom w:w="40" w:type="dxa"/>
              <w:right w:w="20" w:type="dxa"/>
            </w:tcMar>
            <w:vAlign w:val="bottom"/>
          </w:tcPr>
          <w:p w14:paraId="0D8DE486" w14:textId="77777777" w:rsidR="004C2197" w:rsidRDefault="004C2197">
            <w:pPr>
              <w:jc w:val="right"/>
              <w:rPr>
                <w:rFonts w:ascii="宋体"/>
              </w:rPr>
            </w:pPr>
          </w:p>
        </w:tc>
        <w:tc>
          <w:tcPr>
            <w:tcW w:w="0" w:type="auto"/>
            <w:shd w:val="clear" w:color="auto" w:fill="auto"/>
          </w:tcPr>
          <w:p w14:paraId="0D8DE487" w14:textId="77777777" w:rsidR="004C2197" w:rsidRDefault="004C2197">
            <w:pPr>
              <w:rPr>
                <w:rFonts w:ascii="宋体"/>
              </w:rPr>
            </w:pPr>
          </w:p>
        </w:tc>
        <w:tc>
          <w:tcPr>
            <w:tcW w:w="0" w:type="auto"/>
            <w:shd w:val="clear" w:color="auto" w:fill="auto"/>
          </w:tcPr>
          <w:p w14:paraId="0D8DE488" w14:textId="77777777" w:rsidR="004C2197" w:rsidRDefault="004C2197">
            <w:pPr>
              <w:rPr>
                <w:rFonts w:ascii="宋体"/>
              </w:rPr>
            </w:pPr>
          </w:p>
        </w:tc>
        <w:tc>
          <w:tcPr>
            <w:tcW w:w="0" w:type="auto"/>
            <w:shd w:val="clear" w:color="auto" w:fill="auto"/>
          </w:tcPr>
          <w:p w14:paraId="0D8DE489" w14:textId="77777777" w:rsidR="004C2197" w:rsidRDefault="004C2197">
            <w:pPr>
              <w:rPr>
                <w:rFonts w:ascii="宋体"/>
              </w:rPr>
            </w:pPr>
          </w:p>
        </w:tc>
        <w:tc>
          <w:tcPr>
            <w:tcW w:w="0" w:type="auto"/>
            <w:shd w:val="clear" w:color="auto" w:fill="auto"/>
          </w:tcPr>
          <w:p w14:paraId="0D8DE48A" w14:textId="77777777" w:rsidR="004C2197" w:rsidRDefault="004C2197">
            <w:pPr>
              <w:rPr>
                <w:rFonts w:ascii="宋体"/>
              </w:rPr>
            </w:pPr>
          </w:p>
        </w:tc>
        <w:tc>
          <w:tcPr>
            <w:tcW w:w="0" w:type="auto"/>
            <w:shd w:val="clear" w:color="auto" w:fill="auto"/>
          </w:tcPr>
          <w:p w14:paraId="0D8DE48B" w14:textId="77777777" w:rsidR="004C2197" w:rsidRDefault="004C2197">
            <w:pPr>
              <w:rPr>
                <w:rFonts w:ascii="宋体"/>
              </w:rPr>
            </w:pPr>
          </w:p>
        </w:tc>
        <w:tc>
          <w:tcPr>
            <w:tcW w:w="0" w:type="auto"/>
            <w:shd w:val="clear" w:color="auto" w:fill="auto"/>
          </w:tcPr>
          <w:p w14:paraId="0D8DE48C" w14:textId="77777777" w:rsidR="004C2197" w:rsidRDefault="004C2197">
            <w:pPr>
              <w:rPr>
                <w:rFonts w:ascii="宋体"/>
              </w:rPr>
            </w:pPr>
          </w:p>
        </w:tc>
        <w:tc>
          <w:tcPr>
            <w:tcW w:w="0" w:type="auto"/>
            <w:shd w:val="clear" w:color="auto" w:fill="auto"/>
          </w:tcPr>
          <w:p w14:paraId="0D8DE48D" w14:textId="77777777" w:rsidR="004C2197" w:rsidRDefault="004C2197">
            <w:pPr>
              <w:rPr>
                <w:rFonts w:ascii="宋体"/>
              </w:rPr>
            </w:pPr>
          </w:p>
        </w:tc>
        <w:tc>
          <w:tcPr>
            <w:tcW w:w="0" w:type="auto"/>
            <w:shd w:val="clear" w:color="auto" w:fill="auto"/>
          </w:tcPr>
          <w:p w14:paraId="0D8DE48E" w14:textId="77777777" w:rsidR="004C2197" w:rsidRDefault="004C2197">
            <w:pPr>
              <w:rPr>
                <w:rFonts w:ascii="宋体"/>
              </w:rPr>
            </w:pPr>
          </w:p>
        </w:tc>
        <w:tc>
          <w:tcPr>
            <w:tcW w:w="0" w:type="auto"/>
            <w:shd w:val="clear" w:color="auto" w:fill="auto"/>
          </w:tcPr>
          <w:p w14:paraId="0D8DE48F" w14:textId="77777777" w:rsidR="004C2197" w:rsidRDefault="004C2197">
            <w:pPr>
              <w:rPr>
                <w:rFonts w:ascii="宋体"/>
              </w:rPr>
            </w:pPr>
          </w:p>
        </w:tc>
        <w:tc>
          <w:tcPr>
            <w:tcW w:w="0" w:type="auto"/>
            <w:shd w:val="clear" w:color="auto" w:fill="auto"/>
          </w:tcPr>
          <w:p w14:paraId="0D8DE490" w14:textId="77777777" w:rsidR="004C2197" w:rsidRDefault="004C2197">
            <w:pPr>
              <w:rPr>
                <w:rFonts w:ascii="宋体"/>
              </w:rPr>
            </w:pPr>
          </w:p>
        </w:tc>
        <w:tc>
          <w:tcPr>
            <w:tcW w:w="0" w:type="auto"/>
            <w:shd w:val="clear" w:color="auto" w:fill="auto"/>
          </w:tcPr>
          <w:p w14:paraId="0D8DE491" w14:textId="77777777" w:rsidR="004C2197" w:rsidRDefault="004C2197">
            <w:pPr>
              <w:rPr>
                <w:rFonts w:ascii="宋体"/>
              </w:rPr>
            </w:pPr>
          </w:p>
        </w:tc>
        <w:tc>
          <w:tcPr>
            <w:tcW w:w="0" w:type="auto"/>
            <w:shd w:val="clear" w:color="auto" w:fill="auto"/>
          </w:tcPr>
          <w:p w14:paraId="0D8DE492" w14:textId="77777777" w:rsidR="004C2197" w:rsidRDefault="004C2197">
            <w:pPr>
              <w:rPr>
                <w:rFonts w:ascii="宋体"/>
              </w:rPr>
            </w:pPr>
          </w:p>
        </w:tc>
        <w:tc>
          <w:tcPr>
            <w:tcW w:w="0" w:type="auto"/>
            <w:shd w:val="clear" w:color="auto" w:fill="auto"/>
          </w:tcPr>
          <w:p w14:paraId="0D8DE493" w14:textId="77777777" w:rsidR="004C2197" w:rsidRDefault="004C2197">
            <w:pPr>
              <w:rPr>
                <w:rFonts w:ascii="宋体"/>
              </w:rPr>
            </w:pPr>
          </w:p>
        </w:tc>
        <w:tc>
          <w:tcPr>
            <w:tcW w:w="0" w:type="auto"/>
            <w:shd w:val="clear" w:color="auto" w:fill="auto"/>
          </w:tcPr>
          <w:p w14:paraId="0D8DE494" w14:textId="77777777" w:rsidR="004C2197" w:rsidRDefault="004C2197">
            <w:pPr>
              <w:rPr>
                <w:rFonts w:ascii="宋体"/>
              </w:rPr>
            </w:pPr>
          </w:p>
        </w:tc>
        <w:tc>
          <w:tcPr>
            <w:tcW w:w="0" w:type="auto"/>
            <w:shd w:val="clear" w:color="auto" w:fill="auto"/>
          </w:tcPr>
          <w:p w14:paraId="0D8DE495" w14:textId="77777777" w:rsidR="004C2197" w:rsidRDefault="004C2197">
            <w:pPr>
              <w:rPr>
                <w:rFonts w:ascii="宋体"/>
              </w:rPr>
            </w:pPr>
          </w:p>
        </w:tc>
      </w:tr>
      <w:tr w:rsidR="004C2197" w14:paraId="0D8DE4BB" w14:textId="77777777">
        <w:trPr>
          <w:jc w:val="center"/>
        </w:trPr>
        <w:tc>
          <w:tcPr>
            <w:tcW w:w="0" w:type="auto"/>
            <w:gridSpan w:val="3"/>
            <w:shd w:val="clear" w:color="auto" w:fill="FFFFFF"/>
            <w:tcMar>
              <w:top w:w="40" w:type="dxa"/>
              <w:left w:w="20" w:type="dxa"/>
              <w:bottom w:w="40" w:type="dxa"/>
              <w:right w:w="20" w:type="dxa"/>
            </w:tcMar>
            <w:vAlign w:val="bottom"/>
          </w:tcPr>
          <w:p w14:paraId="0D8DE497" w14:textId="77777777" w:rsidR="004C2197" w:rsidRDefault="00863B83">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0D8DE498" w14:textId="77777777" w:rsidR="004C2197" w:rsidRDefault="00863B83">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9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9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9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9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9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9E" w14:textId="77777777" w:rsidR="004C2197" w:rsidRDefault="00863B83">
            <w:pPr>
              <w:jc w:val="right"/>
              <w:textAlignment w:val="bottom"/>
            </w:pPr>
            <w:r>
              <w:rPr>
                <w:rFonts w:ascii="sans-serif" w:eastAsia="sans-serif" w:hAnsi="sans-serif" w:cs="sans-serif"/>
                <w:color w:val="000000"/>
                <w:sz w:val="15"/>
                <w:szCs w:val="15"/>
              </w:rPr>
              <w:t>382 </w:t>
            </w:r>
          </w:p>
        </w:tc>
        <w:tc>
          <w:tcPr>
            <w:tcW w:w="0" w:type="auto"/>
            <w:shd w:val="clear" w:color="auto" w:fill="FFFFFF"/>
            <w:tcMar>
              <w:top w:w="40" w:type="dxa"/>
              <w:bottom w:w="40" w:type="dxa"/>
              <w:right w:w="20" w:type="dxa"/>
            </w:tcMar>
            <w:vAlign w:val="bottom"/>
          </w:tcPr>
          <w:p w14:paraId="0D8DE49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A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A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A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A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A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A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A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A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4A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A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4AA" w14:textId="77777777" w:rsidR="004C2197" w:rsidRDefault="00863B83">
            <w:pPr>
              <w:jc w:val="right"/>
              <w:textAlignment w:val="bottom"/>
            </w:pPr>
            <w:r>
              <w:rPr>
                <w:rFonts w:ascii="sans-serif" w:eastAsia="sans-serif" w:hAnsi="sans-serif" w:cs="sans-serif"/>
                <w:color w:val="000000"/>
                <w:sz w:val="15"/>
                <w:szCs w:val="15"/>
              </w:rPr>
              <w:t>382 </w:t>
            </w:r>
          </w:p>
        </w:tc>
        <w:tc>
          <w:tcPr>
            <w:tcW w:w="0" w:type="auto"/>
            <w:shd w:val="clear" w:color="auto" w:fill="FFFFFF"/>
            <w:tcMar>
              <w:top w:w="40" w:type="dxa"/>
              <w:bottom w:w="40" w:type="dxa"/>
              <w:right w:w="20" w:type="dxa"/>
            </w:tcMar>
            <w:vAlign w:val="bottom"/>
          </w:tcPr>
          <w:p w14:paraId="0D8DE4AB" w14:textId="77777777" w:rsidR="004C2197" w:rsidRDefault="004C2197">
            <w:pPr>
              <w:jc w:val="right"/>
              <w:rPr>
                <w:rFonts w:ascii="宋体"/>
              </w:rPr>
            </w:pPr>
          </w:p>
        </w:tc>
        <w:tc>
          <w:tcPr>
            <w:tcW w:w="0" w:type="auto"/>
            <w:shd w:val="clear" w:color="auto" w:fill="auto"/>
          </w:tcPr>
          <w:p w14:paraId="0D8DE4AC" w14:textId="77777777" w:rsidR="004C2197" w:rsidRDefault="004C2197">
            <w:pPr>
              <w:rPr>
                <w:rFonts w:ascii="宋体"/>
              </w:rPr>
            </w:pPr>
          </w:p>
        </w:tc>
        <w:tc>
          <w:tcPr>
            <w:tcW w:w="0" w:type="auto"/>
            <w:shd w:val="clear" w:color="auto" w:fill="auto"/>
          </w:tcPr>
          <w:p w14:paraId="0D8DE4AD" w14:textId="77777777" w:rsidR="004C2197" w:rsidRDefault="004C2197">
            <w:pPr>
              <w:rPr>
                <w:rFonts w:ascii="宋体"/>
              </w:rPr>
            </w:pPr>
          </w:p>
        </w:tc>
        <w:tc>
          <w:tcPr>
            <w:tcW w:w="0" w:type="auto"/>
            <w:shd w:val="clear" w:color="auto" w:fill="auto"/>
          </w:tcPr>
          <w:p w14:paraId="0D8DE4AE" w14:textId="77777777" w:rsidR="004C2197" w:rsidRDefault="004C2197">
            <w:pPr>
              <w:rPr>
                <w:rFonts w:ascii="宋体"/>
              </w:rPr>
            </w:pPr>
          </w:p>
        </w:tc>
        <w:tc>
          <w:tcPr>
            <w:tcW w:w="0" w:type="auto"/>
            <w:shd w:val="clear" w:color="auto" w:fill="auto"/>
          </w:tcPr>
          <w:p w14:paraId="0D8DE4AF" w14:textId="77777777" w:rsidR="004C2197" w:rsidRDefault="004C2197">
            <w:pPr>
              <w:rPr>
                <w:rFonts w:ascii="宋体"/>
              </w:rPr>
            </w:pPr>
          </w:p>
        </w:tc>
        <w:tc>
          <w:tcPr>
            <w:tcW w:w="0" w:type="auto"/>
            <w:shd w:val="clear" w:color="auto" w:fill="auto"/>
          </w:tcPr>
          <w:p w14:paraId="0D8DE4B0" w14:textId="77777777" w:rsidR="004C2197" w:rsidRDefault="004C2197">
            <w:pPr>
              <w:rPr>
                <w:rFonts w:ascii="宋体"/>
              </w:rPr>
            </w:pPr>
          </w:p>
        </w:tc>
        <w:tc>
          <w:tcPr>
            <w:tcW w:w="0" w:type="auto"/>
            <w:shd w:val="clear" w:color="auto" w:fill="auto"/>
          </w:tcPr>
          <w:p w14:paraId="0D8DE4B1" w14:textId="77777777" w:rsidR="004C2197" w:rsidRDefault="004C2197">
            <w:pPr>
              <w:rPr>
                <w:rFonts w:ascii="宋体"/>
              </w:rPr>
            </w:pPr>
          </w:p>
        </w:tc>
        <w:tc>
          <w:tcPr>
            <w:tcW w:w="0" w:type="auto"/>
            <w:shd w:val="clear" w:color="auto" w:fill="auto"/>
          </w:tcPr>
          <w:p w14:paraId="0D8DE4B2" w14:textId="77777777" w:rsidR="004C2197" w:rsidRDefault="004C2197">
            <w:pPr>
              <w:rPr>
                <w:rFonts w:ascii="宋体"/>
              </w:rPr>
            </w:pPr>
          </w:p>
        </w:tc>
        <w:tc>
          <w:tcPr>
            <w:tcW w:w="0" w:type="auto"/>
            <w:shd w:val="clear" w:color="auto" w:fill="auto"/>
          </w:tcPr>
          <w:p w14:paraId="0D8DE4B3" w14:textId="77777777" w:rsidR="004C2197" w:rsidRDefault="004C2197">
            <w:pPr>
              <w:rPr>
                <w:rFonts w:ascii="宋体"/>
              </w:rPr>
            </w:pPr>
          </w:p>
        </w:tc>
        <w:tc>
          <w:tcPr>
            <w:tcW w:w="0" w:type="auto"/>
            <w:shd w:val="clear" w:color="auto" w:fill="auto"/>
          </w:tcPr>
          <w:p w14:paraId="0D8DE4B4" w14:textId="77777777" w:rsidR="004C2197" w:rsidRDefault="004C2197">
            <w:pPr>
              <w:rPr>
                <w:rFonts w:ascii="宋体"/>
              </w:rPr>
            </w:pPr>
          </w:p>
        </w:tc>
        <w:tc>
          <w:tcPr>
            <w:tcW w:w="0" w:type="auto"/>
            <w:shd w:val="clear" w:color="auto" w:fill="auto"/>
          </w:tcPr>
          <w:p w14:paraId="0D8DE4B5" w14:textId="77777777" w:rsidR="004C2197" w:rsidRDefault="004C2197">
            <w:pPr>
              <w:rPr>
                <w:rFonts w:ascii="宋体"/>
              </w:rPr>
            </w:pPr>
          </w:p>
        </w:tc>
        <w:tc>
          <w:tcPr>
            <w:tcW w:w="0" w:type="auto"/>
            <w:shd w:val="clear" w:color="auto" w:fill="auto"/>
          </w:tcPr>
          <w:p w14:paraId="0D8DE4B6" w14:textId="77777777" w:rsidR="004C2197" w:rsidRDefault="004C2197">
            <w:pPr>
              <w:rPr>
                <w:rFonts w:ascii="宋体"/>
              </w:rPr>
            </w:pPr>
          </w:p>
        </w:tc>
        <w:tc>
          <w:tcPr>
            <w:tcW w:w="0" w:type="auto"/>
            <w:shd w:val="clear" w:color="auto" w:fill="auto"/>
          </w:tcPr>
          <w:p w14:paraId="0D8DE4B7" w14:textId="77777777" w:rsidR="004C2197" w:rsidRDefault="004C2197">
            <w:pPr>
              <w:rPr>
                <w:rFonts w:ascii="宋体"/>
              </w:rPr>
            </w:pPr>
          </w:p>
        </w:tc>
        <w:tc>
          <w:tcPr>
            <w:tcW w:w="0" w:type="auto"/>
            <w:shd w:val="clear" w:color="auto" w:fill="auto"/>
          </w:tcPr>
          <w:p w14:paraId="0D8DE4B8" w14:textId="77777777" w:rsidR="004C2197" w:rsidRDefault="004C2197">
            <w:pPr>
              <w:rPr>
                <w:rFonts w:ascii="宋体"/>
              </w:rPr>
            </w:pPr>
          </w:p>
        </w:tc>
        <w:tc>
          <w:tcPr>
            <w:tcW w:w="0" w:type="auto"/>
            <w:shd w:val="clear" w:color="auto" w:fill="auto"/>
          </w:tcPr>
          <w:p w14:paraId="0D8DE4B9" w14:textId="77777777" w:rsidR="004C2197" w:rsidRDefault="004C2197">
            <w:pPr>
              <w:rPr>
                <w:rFonts w:ascii="宋体"/>
              </w:rPr>
            </w:pPr>
          </w:p>
        </w:tc>
        <w:tc>
          <w:tcPr>
            <w:tcW w:w="0" w:type="auto"/>
            <w:shd w:val="clear" w:color="auto" w:fill="auto"/>
          </w:tcPr>
          <w:p w14:paraId="0D8DE4BA" w14:textId="77777777" w:rsidR="004C2197" w:rsidRDefault="004C2197">
            <w:pPr>
              <w:rPr>
                <w:rFonts w:ascii="宋体"/>
              </w:rPr>
            </w:pPr>
          </w:p>
        </w:tc>
      </w:tr>
      <w:tr w:rsidR="004C2197" w14:paraId="0D8DE4E6" w14:textId="77777777">
        <w:trPr>
          <w:jc w:val="center"/>
        </w:trPr>
        <w:tc>
          <w:tcPr>
            <w:tcW w:w="0" w:type="auto"/>
            <w:gridSpan w:val="3"/>
            <w:shd w:val="clear" w:color="auto" w:fill="E2EFD9"/>
            <w:tcMar>
              <w:top w:w="40" w:type="dxa"/>
              <w:left w:w="20" w:type="dxa"/>
              <w:bottom w:w="40" w:type="dxa"/>
              <w:right w:w="20" w:type="dxa"/>
            </w:tcMar>
            <w:vAlign w:val="bottom"/>
          </w:tcPr>
          <w:p w14:paraId="0D8DE4BC" w14:textId="77777777" w:rsidR="004C2197" w:rsidRDefault="00863B83">
            <w:pPr>
              <w:textAlignment w:val="bottom"/>
            </w:pPr>
            <w:r>
              <w:rPr>
                <w:rFonts w:ascii="sans-serif" w:eastAsia="sans-serif" w:hAnsi="sans-serif" w:cs="sans-serif"/>
                <w:color w:val="000000"/>
                <w:sz w:val="15"/>
                <w:szCs w:val="15"/>
              </w:rPr>
              <w:t>Balances, July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4BD" w14:textId="77777777" w:rsidR="004C2197" w:rsidRDefault="00863B83">
            <w:pPr>
              <w:jc w:val="right"/>
              <w:textAlignment w:val="bottom"/>
            </w:pPr>
            <w:r>
              <w:rPr>
                <w:rFonts w:ascii="sans-serif" w:eastAsia="sans-serif" w:hAnsi="sans-serif" w:cs="sans-serif"/>
                <w:color w:val="000000"/>
                <w:sz w:val="15"/>
                <w:szCs w:val="15"/>
              </w:rPr>
              <w:t>61</w:t>
            </w:r>
            <w:r>
              <w:rPr>
                <w:rFonts w:ascii="sans-serif" w:eastAsia="sans-serif" w:hAnsi="sans-serif" w:cs="sans-serif"/>
                <w:color w:val="000000"/>
                <w:sz w:val="15"/>
                <w:szCs w:val="15"/>
              </w:rPr>
              <w:t>7 </w:t>
            </w:r>
          </w:p>
        </w:tc>
        <w:tc>
          <w:tcPr>
            <w:tcW w:w="0" w:type="auto"/>
            <w:tcBorders>
              <w:top w:val="single" w:sz="8" w:space="0" w:color="000000"/>
            </w:tcBorders>
            <w:shd w:val="clear" w:color="auto" w:fill="E2EFD9"/>
            <w:tcMar>
              <w:top w:w="40" w:type="dxa"/>
              <w:bottom w:w="40" w:type="dxa"/>
              <w:right w:w="20" w:type="dxa"/>
            </w:tcMar>
            <w:vAlign w:val="bottom"/>
          </w:tcPr>
          <w:p w14:paraId="0D8DE4B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BF"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C0"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C1"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0D8DE4C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C3"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C4"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C5" w14:textId="77777777" w:rsidR="004C2197" w:rsidRDefault="00863B83">
            <w:pPr>
              <w:jc w:val="right"/>
              <w:textAlignment w:val="bottom"/>
            </w:pPr>
            <w:r>
              <w:rPr>
                <w:rFonts w:ascii="sans-serif" w:eastAsia="sans-serif" w:hAnsi="sans-serif" w:cs="sans-serif"/>
                <w:color w:val="000000"/>
                <w:sz w:val="15"/>
                <w:szCs w:val="15"/>
              </w:rPr>
              <w:t>7,828 </w:t>
            </w:r>
          </w:p>
        </w:tc>
        <w:tc>
          <w:tcPr>
            <w:tcW w:w="0" w:type="auto"/>
            <w:tcBorders>
              <w:top w:val="single" w:sz="8" w:space="0" w:color="000000"/>
            </w:tcBorders>
            <w:shd w:val="clear" w:color="auto" w:fill="E2EFD9"/>
            <w:tcMar>
              <w:top w:w="40" w:type="dxa"/>
              <w:bottom w:w="40" w:type="dxa"/>
              <w:right w:w="20" w:type="dxa"/>
            </w:tcMar>
            <w:vAlign w:val="bottom"/>
          </w:tcPr>
          <w:p w14:paraId="0D8DE4C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C7"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C8"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C9" w14:textId="77777777" w:rsidR="004C2197" w:rsidRDefault="00863B83">
            <w:pPr>
              <w:jc w:val="right"/>
              <w:textAlignment w:val="bottom"/>
            </w:pPr>
            <w:r>
              <w:rPr>
                <w:rFonts w:ascii="sans-serif" w:eastAsia="sans-serif" w:hAnsi="sans-serif" w:cs="sans-serif"/>
                <w:color w:val="000000"/>
                <w:sz w:val="15"/>
                <w:szCs w:val="15"/>
              </w:rPr>
              <w:t>(10,232)</w:t>
            </w:r>
          </w:p>
        </w:tc>
        <w:tc>
          <w:tcPr>
            <w:tcW w:w="0" w:type="auto"/>
            <w:tcBorders>
              <w:top w:val="single" w:sz="8" w:space="0" w:color="000000"/>
            </w:tcBorders>
            <w:shd w:val="clear" w:color="auto" w:fill="E2EFD9"/>
            <w:tcMar>
              <w:top w:w="40" w:type="dxa"/>
              <w:bottom w:w="40" w:type="dxa"/>
              <w:right w:w="20" w:type="dxa"/>
            </w:tcMar>
            <w:vAlign w:val="bottom"/>
          </w:tcPr>
          <w:p w14:paraId="0D8DE4C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CB"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CC"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CD" w14:textId="77777777" w:rsidR="004C2197" w:rsidRDefault="00863B83">
            <w:pPr>
              <w:jc w:val="right"/>
              <w:textAlignment w:val="bottom"/>
            </w:pPr>
            <w:r>
              <w:rPr>
                <w:rFonts w:ascii="sans-serif" w:eastAsia="sans-serif" w:hAnsi="sans-serif" w:cs="sans-serif"/>
                <w:color w:val="000000"/>
                <w:sz w:val="15"/>
                <w:szCs w:val="15"/>
              </w:rPr>
              <w:t>4 </w:t>
            </w:r>
          </w:p>
        </w:tc>
        <w:tc>
          <w:tcPr>
            <w:tcW w:w="0" w:type="auto"/>
            <w:tcBorders>
              <w:top w:val="single" w:sz="8" w:space="0" w:color="000000"/>
            </w:tcBorders>
            <w:shd w:val="clear" w:color="auto" w:fill="E2EFD9"/>
            <w:tcMar>
              <w:top w:w="40" w:type="dxa"/>
              <w:bottom w:w="40" w:type="dxa"/>
              <w:right w:w="20" w:type="dxa"/>
            </w:tcMar>
            <w:vAlign w:val="bottom"/>
          </w:tcPr>
          <w:p w14:paraId="0D8DE4C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CF"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D0"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D1" w14:textId="77777777" w:rsidR="004C2197" w:rsidRDefault="00863B83">
            <w:pPr>
              <w:jc w:val="right"/>
              <w:textAlignment w:val="bottom"/>
            </w:pPr>
            <w:r>
              <w:rPr>
                <w:rFonts w:ascii="sans-serif" w:eastAsia="sans-serif" w:hAnsi="sans-serif" w:cs="sans-serif"/>
                <w:color w:val="000000"/>
                <w:sz w:val="15"/>
                <w:szCs w:val="15"/>
              </w:rPr>
              <w:t>16,313 </w:t>
            </w:r>
          </w:p>
        </w:tc>
        <w:tc>
          <w:tcPr>
            <w:tcW w:w="0" w:type="auto"/>
            <w:tcBorders>
              <w:top w:val="single" w:sz="8" w:space="0" w:color="000000"/>
            </w:tcBorders>
            <w:shd w:val="clear" w:color="auto" w:fill="E2EFD9"/>
            <w:tcMar>
              <w:top w:w="40" w:type="dxa"/>
              <w:bottom w:w="40" w:type="dxa"/>
              <w:right w:w="20" w:type="dxa"/>
            </w:tcMar>
            <w:vAlign w:val="bottom"/>
          </w:tcPr>
          <w:p w14:paraId="0D8DE4D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4D3"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4D4"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4D5" w14:textId="77777777" w:rsidR="004C2197" w:rsidRDefault="00863B83">
            <w:pPr>
              <w:jc w:val="right"/>
              <w:textAlignment w:val="bottom"/>
            </w:pPr>
            <w:r>
              <w:rPr>
                <w:rFonts w:ascii="sans-serif" w:eastAsia="sans-serif" w:hAnsi="sans-serif" w:cs="sans-serif"/>
                <w:color w:val="000000"/>
                <w:sz w:val="15"/>
                <w:szCs w:val="15"/>
              </w:rPr>
              <w:t>13,914 </w:t>
            </w:r>
          </w:p>
        </w:tc>
        <w:tc>
          <w:tcPr>
            <w:tcW w:w="0" w:type="auto"/>
            <w:tcBorders>
              <w:top w:val="single" w:sz="8" w:space="0" w:color="000000"/>
            </w:tcBorders>
            <w:shd w:val="clear" w:color="auto" w:fill="E2EFD9"/>
            <w:tcMar>
              <w:top w:w="40" w:type="dxa"/>
              <w:bottom w:w="40" w:type="dxa"/>
              <w:right w:w="20" w:type="dxa"/>
            </w:tcMar>
            <w:vAlign w:val="bottom"/>
          </w:tcPr>
          <w:p w14:paraId="0D8DE4D6" w14:textId="77777777" w:rsidR="004C2197" w:rsidRDefault="004C2197">
            <w:pPr>
              <w:jc w:val="right"/>
              <w:rPr>
                <w:rFonts w:ascii="宋体"/>
              </w:rPr>
            </w:pPr>
          </w:p>
        </w:tc>
        <w:tc>
          <w:tcPr>
            <w:tcW w:w="0" w:type="auto"/>
            <w:shd w:val="clear" w:color="auto" w:fill="auto"/>
          </w:tcPr>
          <w:p w14:paraId="0D8DE4D7" w14:textId="77777777" w:rsidR="004C2197" w:rsidRDefault="004C2197">
            <w:pPr>
              <w:rPr>
                <w:rFonts w:ascii="宋体"/>
              </w:rPr>
            </w:pPr>
          </w:p>
        </w:tc>
        <w:tc>
          <w:tcPr>
            <w:tcW w:w="0" w:type="auto"/>
            <w:shd w:val="clear" w:color="auto" w:fill="auto"/>
          </w:tcPr>
          <w:p w14:paraId="0D8DE4D8" w14:textId="77777777" w:rsidR="004C2197" w:rsidRDefault="004C2197">
            <w:pPr>
              <w:rPr>
                <w:rFonts w:ascii="宋体"/>
              </w:rPr>
            </w:pPr>
          </w:p>
        </w:tc>
        <w:tc>
          <w:tcPr>
            <w:tcW w:w="0" w:type="auto"/>
            <w:shd w:val="clear" w:color="auto" w:fill="auto"/>
          </w:tcPr>
          <w:p w14:paraId="0D8DE4D9" w14:textId="77777777" w:rsidR="004C2197" w:rsidRDefault="004C2197">
            <w:pPr>
              <w:rPr>
                <w:rFonts w:ascii="宋体"/>
              </w:rPr>
            </w:pPr>
          </w:p>
        </w:tc>
        <w:tc>
          <w:tcPr>
            <w:tcW w:w="0" w:type="auto"/>
            <w:shd w:val="clear" w:color="auto" w:fill="auto"/>
          </w:tcPr>
          <w:p w14:paraId="0D8DE4DA" w14:textId="77777777" w:rsidR="004C2197" w:rsidRDefault="004C2197">
            <w:pPr>
              <w:rPr>
                <w:rFonts w:ascii="宋体"/>
              </w:rPr>
            </w:pPr>
          </w:p>
        </w:tc>
        <w:tc>
          <w:tcPr>
            <w:tcW w:w="0" w:type="auto"/>
            <w:shd w:val="clear" w:color="auto" w:fill="auto"/>
          </w:tcPr>
          <w:p w14:paraId="0D8DE4DB" w14:textId="77777777" w:rsidR="004C2197" w:rsidRDefault="004C2197">
            <w:pPr>
              <w:rPr>
                <w:rFonts w:ascii="宋体"/>
              </w:rPr>
            </w:pPr>
          </w:p>
        </w:tc>
        <w:tc>
          <w:tcPr>
            <w:tcW w:w="0" w:type="auto"/>
            <w:shd w:val="clear" w:color="auto" w:fill="auto"/>
          </w:tcPr>
          <w:p w14:paraId="0D8DE4DC" w14:textId="77777777" w:rsidR="004C2197" w:rsidRDefault="004C2197">
            <w:pPr>
              <w:rPr>
                <w:rFonts w:ascii="宋体"/>
              </w:rPr>
            </w:pPr>
          </w:p>
        </w:tc>
        <w:tc>
          <w:tcPr>
            <w:tcW w:w="0" w:type="auto"/>
            <w:shd w:val="clear" w:color="auto" w:fill="auto"/>
          </w:tcPr>
          <w:p w14:paraId="0D8DE4DD" w14:textId="77777777" w:rsidR="004C2197" w:rsidRDefault="004C2197">
            <w:pPr>
              <w:rPr>
                <w:rFonts w:ascii="宋体"/>
              </w:rPr>
            </w:pPr>
          </w:p>
        </w:tc>
        <w:tc>
          <w:tcPr>
            <w:tcW w:w="0" w:type="auto"/>
            <w:shd w:val="clear" w:color="auto" w:fill="auto"/>
          </w:tcPr>
          <w:p w14:paraId="0D8DE4DE" w14:textId="77777777" w:rsidR="004C2197" w:rsidRDefault="004C2197">
            <w:pPr>
              <w:rPr>
                <w:rFonts w:ascii="宋体"/>
              </w:rPr>
            </w:pPr>
          </w:p>
        </w:tc>
        <w:tc>
          <w:tcPr>
            <w:tcW w:w="0" w:type="auto"/>
            <w:shd w:val="clear" w:color="auto" w:fill="auto"/>
          </w:tcPr>
          <w:p w14:paraId="0D8DE4DF" w14:textId="77777777" w:rsidR="004C2197" w:rsidRDefault="004C2197">
            <w:pPr>
              <w:rPr>
                <w:rFonts w:ascii="宋体"/>
              </w:rPr>
            </w:pPr>
          </w:p>
        </w:tc>
        <w:tc>
          <w:tcPr>
            <w:tcW w:w="0" w:type="auto"/>
            <w:shd w:val="clear" w:color="auto" w:fill="auto"/>
          </w:tcPr>
          <w:p w14:paraId="0D8DE4E0" w14:textId="77777777" w:rsidR="004C2197" w:rsidRDefault="004C2197">
            <w:pPr>
              <w:rPr>
                <w:rFonts w:ascii="宋体"/>
              </w:rPr>
            </w:pPr>
          </w:p>
        </w:tc>
        <w:tc>
          <w:tcPr>
            <w:tcW w:w="0" w:type="auto"/>
            <w:shd w:val="clear" w:color="auto" w:fill="auto"/>
          </w:tcPr>
          <w:p w14:paraId="0D8DE4E1" w14:textId="77777777" w:rsidR="004C2197" w:rsidRDefault="004C2197">
            <w:pPr>
              <w:rPr>
                <w:rFonts w:ascii="宋体"/>
              </w:rPr>
            </w:pPr>
          </w:p>
        </w:tc>
        <w:tc>
          <w:tcPr>
            <w:tcW w:w="0" w:type="auto"/>
            <w:shd w:val="clear" w:color="auto" w:fill="auto"/>
          </w:tcPr>
          <w:p w14:paraId="0D8DE4E2" w14:textId="77777777" w:rsidR="004C2197" w:rsidRDefault="004C2197">
            <w:pPr>
              <w:rPr>
                <w:rFonts w:ascii="宋体"/>
              </w:rPr>
            </w:pPr>
          </w:p>
        </w:tc>
        <w:tc>
          <w:tcPr>
            <w:tcW w:w="0" w:type="auto"/>
            <w:shd w:val="clear" w:color="auto" w:fill="auto"/>
          </w:tcPr>
          <w:p w14:paraId="0D8DE4E3" w14:textId="77777777" w:rsidR="004C2197" w:rsidRDefault="004C2197">
            <w:pPr>
              <w:rPr>
                <w:rFonts w:ascii="宋体"/>
              </w:rPr>
            </w:pPr>
          </w:p>
        </w:tc>
        <w:tc>
          <w:tcPr>
            <w:tcW w:w="0" w:type="auto"/>
            <w:shd w:val="clear" w:color="auto" w:fill="auto"/>
          </w:tcPr>
          <w:p w14:paraId="0D8DE4E4" w14:textId="77777777" w:rsidR="004C2197" w:rsidRDefault="004C2197">
            <w:pPr>
              <w:rPr>
                <w:rFonts w:ascii="宋体"/>
              </w:rPr>
            </w:pPr>
          </w:p>
        </w:tc>
        <w:tc>
          <w:tcPr>
            <w:tcW w:w="0" w:type="auto"/>
            <w:shd w:val="clear" w:color="auto" w:fill="auto"/>
          </w:tcPr>
          <w:p w14:paraId="0D8DE4E5" w14:textId="77777777" w:rsidR="004C2197" w:rsidRDefault="004C2197">
            <w:pPr>
              <w:rPr>
                <w:rFonts w:ascii="宋体"/>
              </w:rPr>
            </w:pPr>
          </w:p>
        </w:tc>
      </w:tr>
      <w:tr w:rsidR="004C2197" w14:paraId="0D8DE511" w14:textId="77777777">
        <w:trPr>
          <w:jc w:val="center"/>
        </w:trPr>
        <w:tc>
          <w:tcPr>
            <w:tcW w:w="0" w:type="auto"/>
            <w:gridSpan w:val="3"/>
            <w:shd w:val="clear" w:color="auto" w:fill="FFFFFF"/>
            <w:tcMar>
              <w:top w:w="40" w:type="dxa"/>
              <w:left w:w="20" w:type="dxa"/>
              <w:bottom w:w="40" w:type="dxa"/>
              <w:right w:w="20" w:type="dxa"/>
            </w:tcMar>
            <w:vAlign w:val="bottom"/>
          </w:tcPr>
          <w:p w14:paraId="0D8DE4E7" w14:textId="77777777" w:rsidR="004C2197" w:rsidRDefault="00863B83">
            <w:pPr>
              <w:textAlignment w:val="bottom"/>
            </w:pPr>
            <w:r>
              <w:rPr>
                <w:rFonts w:ascii="sans-serif" w:eastAsia="sans-serif" w:hAnsi="sans-serif" w:cs="sans-serif"/>
                <w:color w:val="000000"/>
                <w:sz w:val="15"/>
                <w:szCs w:val="15"/>
              </w:rPr>
              <w:t>Balances, April 28, 2019</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E4E8" w14:textId="77777777" w:rsidR="004C2197" w:rsidRDefault="00863B83">
            <w:pPr>
              <w:jc w:val="right"/>
              <w:textAlignment w:val="bottom"/>
            </w:pPr>
            <w:r>
              <w:rPr>
                <w:rFonts w:ascii="sans-serif" w:eastAsia="sans-serif" w:hAnsi="sans-serif" w:cs="sans-serif"/>
                <w:color w:val="000000"/>
                <w:sz w:val="15"/>
                <w:szCs w:val="15"/>
              </w:rPr>
              <w:t>609 </w:t>
            </w:r>
          </w:p>
        </w:tc>
        <w:tc>
          <w:tcPr>
            <w:tcW w:w="0" w:type="auto"/>
            <w:tcBorders>
              <w:top w:val="double" w:sz="6" w:space="0" w:color="000000"/>
            </w:tcBorders>
            <w:shd w:val="clear" w:color="auto" w:fill="FFFFFF"/>
            <w:tcMar>
              <w:top w:w="40" w:type="dxa"/>
              <w:bottom w:w="40" w:type="dxa"/>
              <w:right w:w="20" w:type="dxa"/>
            </w:tcMar>
            <w:vAlign w:val="bottom"/>
          </w:tcPr>
          <w:p w14:paraId="0D8DE4E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EA"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EB"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4EC"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FFFFFF"/>
            <w:tcMar>
              <w:top w:w="40" w:type="dxa"/>
              <w:bottom w:w="40" w:type="dxa"/>
              <w:right w:w="20" w:type="dxa"/>
            </w:tcMar>
            <w:vAlign w:val="bottom"/>
          </w:tcPr>
          <w:p w14:paraId="0D8DE4E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EE"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EF"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4F0" w14:textId="77777777" w:rsidR="004C2197" w:rsidRDefault="00863B83">
            <w:pPr>
              <w:jc w:val="right"/>
              <w:textAlignment w:val="bottom"/>
            </w:pPr>
            <w:r>
              <w:rPr>
                <w:rFonts w:ascii="sans-serif" w:eastAsia="sans-serif" w:hAnsi="sans-serif" w:cs="sans-serif"/>
                <w:color w:val="000000"/>
                <w:sz w:val="15"/>
                <w:szCs w:val="15"/>
              </w:rPr>
              <w:t>6,317 </w:t>
            </w:r>
          </w:p>
        </w:tc>
        <w:tc>
          <w:tcPr>
            <w:tcW w:w="0" w:type="auto"/>
            <w:tcBorders>
              <w:top w:val="double" w:sz="6" w:space="0" w:color="000000"/>
            </w:tcBorders>
            <w:shd w:val="clear" w:color="auto" w:fill="FFFFFF"/>
            <w:tcMar>
              <w:top w:w="40" w:type="dxa"/>
              <w:bottom w:w="40" w:type="dxa"/>
              <w:right w:w="20" w:type="dxa"/>
            </w:tcMar>
            <w:vAlign w:val="bottom"/>
          </w:tcPr>
          <w:p w14:paraId="0D8DE4F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F2"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F3"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4F4" w14:textId="77777777" w:rsidR="004C2197" w:rsidRDefault="00863B83">
            <w:pPr>
              <w:jc w:val="right"/>
              <w:textAlignment w:val="bottom"/>
            </w:pPr>
            <w:r>
              <w:rPr>
                <w:rFonts w:ascii="sans-serif" w:eastAsia="sans-serif" w:hAnsi="sans-serif" w:cs="sans-serif"/>
                <w:color w:val="000000"/>
                <w:sz w:val="15"/>
                <w:szCs w:val="15"/>
              </w:rPr>
              <w:t>(9,474)</w:t>
            </w:r>
          </w:p>
        </w:tc>
        <w:tc>
          <w:tcPr>
            <w:tcW w:w="0" w:type="auto"/>
            <w:tcBorders>
              <w:top w:val="double" w:sz="6" w:space="0" w:color="000000"/>
            </w:tcBorders>
            <w:shd w:val="clear" w:color="auto" w:fill="FFFFFF"/>
            <w:tcMar>
              <w:top w:w="40" w:type="dxa"/>
              <w:bottom w:w="40" w:type="dxa"/>
              <w:right w:w="20" w:type="dxa"/>
            </w:tcMar>
            <w:vAlign w:val="bottom"/>
          </w:tcPr>
          <w:p w14:paraId="0D8DE4F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F6"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F7"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4F8" w14:textId="77777777" w:rsidR="004C2197" w:rsidRDefault="00863B83">
            <w:pPr>
              <w:jc w:val="right"/>
              <w:textAlignment w:val="bottom"/>
            </w:pPr>
            <w:r>
              <w:rPr>
                <w:rFonts w:ascii="sans-serif" w:eastAsia="sans-serif" w:hAnsi="sans-serif" w:cs="sans-serif"/>
                <w:color w:val="000000"/>
                <w:sz w:val="15"/>
                <w:szCs w:val="15"/>
              </w:rPr>
              <w:t>(2)</w:t>
            </w:r>
          </w:p>
        </w:tc>
        <w:tc>
          <w:tcPr>
            <w:tcW w:w="0" w:type="auto"/>
            <w:tcBorders>
              <w:top w:val="double" w:sz="6" w:space="0" w:color="000000"/>
            </w:tcBorders>
            <w:shd w:val="clear" w:color="auto" w:fill="FFFFFF"/>
            <w:tcMar>
              <w:top w:w="40" w:type="dxa"/>
              <w:bottom w:w="40" w:type="dxa"/>
              <w:right w:w="20" w:type="dxa"/>
            </w:tcMar>
            <w:vAlign w:val="bottom"/>
          </w:tcPr>
          <w:p w14:paraId="0D8DE4F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FA"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FB"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4FC" w14:textId="77777777" w:rsidR="004C2197" w:rsidRDefault="00863B83">
            <w:pPr>
              <w:jc w:val="right"/>
              <w:textAlignment w:val="bottom"/>
            </w:pPr>
            <w:r>
              <w:rPr>
                <w:rFonts w:ascii="sans-serif" w:eastAsia="sans-serif" w:hAnsi="sans-serif" w:cs="sans-serif"/>
                <w:color w:val="000000"/>
                <w:sz w:val="15"/>
                <w:szCs w:val="15"/>
              </w:rPr>
              <w:t>12,862 </w:t>
            </w:r>
          </w:p>
        </w:tc>
        <w:tc>
          <w:tcPr>
            <w:tcW w:w="0" w:type="auto"/>
            <w:tcBorders>
              <w:top w:val="double" w:sz="6" w:space="0" w:color="000000"/>
            </w:tcBorders>
            <w:shd w:val="clear" w:color="auto" w:fill="FFFFFF"/>
            <w:tcMar>
              <w:top w:w="40" w:type="dxa"/>
              <w:bottom w:w="40" w:type="dxa"/>
              <w:right w:w="20" w:type="dxa"/>
            </w:tcMar>
            <w:vAlign w:val="bottom"/>
          </w:tcPr>
          <w:p w14:paraId="0D8DE4F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4FE"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4FF"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500" w14:textId="77777777" w:rsidR="004C2197" w:rsidRDefault="00863B83">
            <w:pPr>
              <w:jc w:val="right"/>
              <w:textAlignment w:val="bottom"/>
            </w:pPr>
            <w:r>
              <w:rPr>
                <w:rFonts w:ascii="sans-serif" w:eastAsia="sans-serif" w:hAnsi="sans-serif" w:cs="sans-serif"/>
                <w:color w:val="000000"/>
                <w:sz w:val="15"/>
                <w:szCs w:val="15"/>
              </w:rPr>
              <w:t>9,704 </w:t>
            </w:r>
          </w:p>
        </w:tc>
        <w:tc>
          <w:tcPr>
            <w:tcW w:w="0" w:type="auto"/>
            <w:tcBorders>
              <w:top w:val="double" w:sz="6" w:space="0" w:color="000000"/>
            </w:tcBorders>
            <w:shd w:val="clear" w:color="auto" w:fill="FFFFFF"/>
            <w:tcMar>
              <w:top w:w="40" w:type="dxa"/>
              <w:bottom w:w="40" w:type="dxa"/>
              <w:right w:w="20" w:type="dxa"/>
            </w:tcMar>
            <w:vAlign w:val="bottom"/>
          </w:tcPr>
          <w:p w14:paraId="0D8DE501" w14:textId="77777777" w:rsidR="004C2197" w:rsidRDefault="004C2197">
            <w:pPr>
              <w:jc w:val="right"/>
              <w:rPr>
                <w:rFonts w:ascii="宋体"/>
              </w:rPr>
            </w:pPr>
          </w:p>
        </w:tc>
        <w:tc>
          <w:tcPr>
            <w:tcW w:w="0" w:type="auto"/>
            <w:shd w:val="clear" w:color="auto" w:fill="auto"/>
          </w:tcPr>
          <w:p w14:paraId="0D8DE502" w14:textId="77777777" w:rsidR="004C2197" w:rsidRDefault="004C2197">
            <w:pPr>
              <w:rPr>
                <w:rFonts w:ascii="宋体"/>
              </w:rPr>
            </w:pPr>
          </w:p>
        </w:tc>
        <w:tc>
          <w:tcPr>
            <w:tcW w:w="0" w:type="auto"/>
            <w:shd w:val="clear" w:color="auto" w:fill="auto"/>
          </w:tcPr>
          <w:p w14:paraId="0D8DE503" w14:textId="77777777" w:rsidR="004C2197" w:rsidRDefault="004C2197">
            <w:pPr>
              <w:rPr>
                <w:rFonts w:ascii="宋体"/>
              </w:rPr>
            </w:pPr>
          </w:p>
        </w:tc>
        <w:tc>
          <w:tcPr>
            <w:tcW w:w="0" w:type="auto"/>
            <w:shd w:val="clear" w:color="auto" w:fill="auto"/>
          </w:tcPr>
          <w:p w14:paraId="0D8DE504" w14:textId="77777777" w:rsidR="004C2197" w:rsidRDefault="004C2197">
            <w:pPr>
              <w:rPr>
                <w:rFonts w:ascii="宋体"/>
              </w:rPr>
            </w:pPr>
          </w:p>
        </w:tc>
        <w:tc>
          <w:tcPr>
            <w:tcW w:w="0" w:type="auto"/>
            <w:shd w:val="clear" w:color="auto" w:fill="auto"/>
          </w:tcPr>
          <w:p w14:paraId="0D8DE505" w14:textId="77777777" w:rsidR="004C2197" w:rsidRDefault="004C2197">
            <w:pPr>
              <w:rPr>
                <w:rFonts w:ascii="宋体"/>
              </w:rPr>
            </w:pPr>
          </w:p>
        </w:tc>
        <w:tc>
          <w:tcPr>
            <w:tcW w:w="0" w:type="auto"/>
            <w:shd w:val="clear" w:color="auto" w:fill="auto"/>
          </w:tcPr>
          <w:p w14:paraId="0D8DE506" w14:textId="77777777" w:rsidR="004C2197" w:rsidRDefault="004C2197">
            <w:pPr>
              <w:rPr>
                <w:rFonts w:ascii="宋体"/>
              </w:rPr>
            </w:pPr>
          </w:p>
        </w:tc>
        <w:tc>
          <w:tcPr>
            <w:tcW w:w="0" w:type="auto"/>
            <w:shd w:val="clear" w:color="auto" w:fill="auto"/>
          </w:tcPr>
          <w:p w14:paraId="0D8DE507" w14:textId="77777777" w:rsidR="004C2197" w:rsidRDefault="004C2197">
            <w:pPr>
              <w:rPr>
                <w:rFonts w:ascii="宋体"/>
              </w:rPr>
            </w:pPr>
          </w:p>
        </w:tc>
        <w:tc>
          <w:tcPr>
            <w:tcW w:w="0" w:type="auto"/>
            <w:shd w:val="clear" w:color="auto" w:fill="auto"/>
          </w:tcPr>
          <w:p w14:paraId="0D8DE508" w14:textId="77777777" w:rsidR="004C2197" w:rsidRDefault="004C2197">
            <w:pPr>
              <w:rPr>
                <w:rFonts w:ascii="宋体"/>
              </w:rPr>
            </w:pPr>
          </w:p>
        </w:tc>
        <w:tc>
          <w:tcPr>
            <w:tcW w:w="0" w:type="auto"/>
            <w:shd w:val="clear" w:color="auto" w:fill="auto"/>
          </w:tcPr>
          <w:p w14:paraId="0D8DE509" w14:textId="77777777" w:rsidR="004C2197" w:rsidRDefault="004C2197">
            <w:pPr>
              <w:rPr>
                <w:rFonts w:ascii="宋体"/>
              </w:rPr>
            </w:pPr>
          </w:p>
        </w:tc>
        <w:tc>
          <w:tcPr>
            <w:tcW w:w="0" w:type="auto"/>
            <w:shd w:val="clear" w:color="auto" w:fill="auto"/>
          </w:tcPr>
          <w:p w14:paraId="0D8DE50A" w14:textId="77777777" w:rsidR="004C2197" w:rsidRDefault="004C2197">
            <w:pPr>
              <w:rPr>
                <w:rFonts w:ascii="宋体"/>
              </w:rPr>
            </w:pPr>
          </w:p>
        </w:tc>
        <w:tc>
          <w:tcPr>
            <w:tcW w:w="0" w:type="auto"/>
            <w:shd w:val="clear" w:color="auto" w:fill="auto"/>
          </w:tcPr>
          <w:p w14:paraId="0D8DE50B" w14:textId="77777777" w:rsidR="004C2197" w:rsidRDefault="004C2197">
            <w:pPr>
              <w:rPr>
                <w:rFonts w:ascii="宋体"/>
              </w:rPr>
            </w:pPr>
          </w:p>
        </w:tc>
        <w:tc>
          <w:tcPr>
            <w:tcW w:w="0" w:type="auto"/>
            <w:shd w:val="clear" w:color="auto" w:fill="auto"/>
          </w:tcPr>
          <w:p w14:paraId="0D8DE50C" w14:textId="77777777" w:rsidR="004C2197" w:rsidRDefault="004C2197">
            <w:pPr>
              <w:rPr>
                <w:rFonts w:ascii="宋体"/>
              </w:rPr>
            </w:pPr>
          </w:p>
        </w:tc>
        <w:tc>
          <w:tcPr>
            <w:tcW w:w="0" w:type="auto"/>
            <w:shd w:val="clear" w:color="auto" w:fill="auto"/>
          </w:tcPr>
          <w:p w14:paraId="0D8DE50D" w14:textId="77777777" w:rsidR="004C2197" w:rsidRDefault="004C2197">
            <w:pPr>
              <w:rPr>
                <w:rFonts w:ascii="宋体"/>
              </w:rPr>
            </w:pPr>
          </w:p>
        </w:tc>
        <w:tc>
          <w:tcPr>
            <w:tcW w:w="0" w:type="auto"/>
            <w:shd w:val="clear" w:color="auto" w:fill="auto"/>
          </w:tcPr>
          <w:p w14:paraId="0D8DE50E" w14:textId="77777777" w:rsidR="004C2197" w:rsidRDefault="004C2197">
            <w:pPr>
              <w:rPr>
                <w:rFonts w:ascii="宋体"/>
              </w:rPr>
            </w:pPr>
          </w:p>
        </w:tc>
        <w:tc>
          <w:tcPr>
            <w:tcW w:w="0" w:type="auto"/>
            <w:shd w:val="clear" w:color="auto" w:fill="auto"/>
          </w:tcPr>
          <w:p w14:paraId="0D8DE50F" w14:textId="77777777" w:rsidR="004C2197" w:rsidRDefault="004C2197">
            <w:pPr>
              <w:rPr>
                <w:rFonts w:ascii="宋体"/>
              </w:rPr>
            </w:pPr>
          </w:p>
        </w:tc>
        <w:tc>
          <w:tcPr>
            <w:tcW w:w="0" w:type="auto"/>
            <w:shd w:val="clear" w:color="auto" w:fill="auto"/>
          </w:tcPr>
          <w:p w14:paraId="0D8DE510" w14:textId="77777777" w:rsidR="004C2197" w:rsidRDefault="004C2197">
            <w:pPr>
              <w:rPr>
                <w:rFonts w:ascii="宋体"/>
              </w:rPr>
            </w:pPr>
          </w:p>
        </w:tc>
      </w:tr>
      <w:tr w:rsidR="004C2197" w14:paraId="0D8DE536" w14:textId="77777777">
        <w:trPr>
          <w:jc w:val="center"/>
        </w:trPr>
        <w:tc>
          <w:tcPr>
            <w:tcW w:w="0" w:type="auto"/>
            <w:gridSpan w:val="3"/>
            <w:shd w:val="clear" w:color="auto" w:fill="E2EFD9"/>
            <w:tcMar>
              <w:top w:w="40" w:type="dxa"/>
              <w:left w:w="20" w:type="dxa"/>
              <w:bottom w:w="40" w:type="dxa"/>
              <w:right w:w="20" w:type="dxa"/>
            </w:tcMar>
            <w:vAlign w:val="bottom"/>
          </w:tcPr>
          <w:p w14:paraId="0D8DE512" w14:textId="77777777" w:rsidR="004C2197" w:rsidRDefault="00863B83">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0D8DE51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1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1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1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1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1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1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1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1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1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1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1E"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1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2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21"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22" w14:textId="77777777" w:rsidR="004C2197" w:rsidRDefault="00863B83">
            <w:pPr>
              <w:jc w:val="right"/>
              <w:textAlignment w:val="bottom"/>
            </w:pPr>
            <w:r>
              <w:rPr>
                <w:rFonts w:ascii="sans-serif" w:eastAsia="sans-serif" w:hAnsi="sans-serif" w:cs="sans-serif"/>
                <w:color w:val="000000"/>
                <w:sz w:val="15"/>
                <w:szCs w:val="15"/>
              </w:rPr>
              <w:t>552 </w:t>
            </w:r>
          </w:p>
        </w:tc>
        <w:tc>
          <w:tcPr>
            <w:tcW w:w="0" w:type="auto"/>
            <w:shd w:val="clear" w:color="auto" w:fill="E2EFD9"/>
            <w:tcMar>
              <w:top w:w="40" w:type="dxa"/>
              <w:bottom w:w="40" w:type="dxa"/>
              <w:right w:w="20" w:type="dxa"/>
            </w:tcMar>
            <w:vAlign w:val="bottom"/>
          </w:tcPr>
          <w:p w14:paraId="0D8DE52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24"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25" w14:textId="77777777" w:rsidR="004C2197" w:rsidRDefault="00863B83">
            <w:pPr>
              <w:jc w:val="right"/>
              <w:textAlignment w:val="bottom"/>
            </w:pPr>
            <w:r>
              <w:rPr>
                <w:rFonts w:ascii="sans-serif" w:eastAsia="sans-serif" w:hAnsi="sans-serif" w:cs="sans-serif"/>
                <w:color w:val="000000"/>
                <w:sz w:val="15"/>
                <w:szCs w:val="15"/>
              </w:rPr>
              <w:t>552 </w:t>
            </w:r>
          </w:p>
        </w:tc>
        <w:tc>
          <w:tcPr>
            <w:tcW w:w="0" w:type="auto"/>
            <w:shd w:val="clear" w:color="auto" w:fill="E2EFD9"/>
            <w:tcMar>
              <w:top w:w="40" w:type="dxa"/>
              <w:bottom w:w="40" w:type="dxa"/>
              <w:right w:w="20" w:type="dxa"/>
            </w:tcMar>
            <w:vAlign w:val="bottom"/>
          </w:tcPr>
          <w:p w14:paraId="0D8DE526" w14:textId="77777777" w:rsidR="004C2197" w:rsidRDefault="004C2197">
            <w:pPr>
              <w:jc w:val="right"/>
              <w:rPr>
                <w:rFonts w:ascii="宋体"/>
              </w:rPr>
            </w:pPr>
          </w:p>
        </w:tc>
        <w:tc>
          <w:tcPr>
            <w:tcW w:w="0" w:type="auto"/>
            <w:shd w:val="clear" w:color="auto" w:fill="auto"/>
          </w:tcPr>
          <w:p w14:paraId="0D8DE527" w14:textId="77777777" w:rsidR="004C2197" w:rsidRDefault="004C2197">
            <w:pPr>
              <w:rPr>
                <w:rFonts w:ascii="宋体"/>
              </w:rPr>
            </w:pPr>
          </w:p>
        </w:tc>
        <w:tc>
          <w:tcPr>
            <w:tcW w:w="0" w:type="auto"/>
            <w:shd w:val="clear" w:color="auto" w:fill="auto"/>
          </w:tcPr>
          <w:p w14:paraId="0D8DE528" w14:textId="77777777" w:rsidR="004C2197" w:rsidRDefault="004C2197">
            <w:pPr>
              <w:rPr>
                <w:rFonts w:ascii="宋体"/>
              </w:rPr>
            </w:pPr>
          </w:p>
        </w:tc>
        <w:tc>
          <w:tcPr>
            <w:tcW w:w="0" w:type="auto"/>
            <w:shd w:val="clear" w:color="auto" w:fill="auto"/>
          </w:tcPr>
          <w:p w14:paraId="0D8DE529" w14:textId="77777777" w:rsidR="004C2197" w:rsidRDefault="004C2197">
            <w:pPr>
              <w:rPr>
                <w:rFonts w:ascii="宋体"/>
              </w:rPr>
            </w:pPr>
          </w:p>
        </w:tc>
        <w:tc>
          <w:tcPr>
            <w:tcW w:w="0" w:type="auto"/>
            <w:shd w:val="clear" w:color="auto" w:fill="auto"/>
          </w:tcPr>
          <w:p w14:paraId="0D8DE52A" w14:textId="77777777" w:rsidR="004C2197" w:rsidRDefault="004C2197">
            <w:pPr>
              <w:rPr>
                <w:rFonts w:ascii="宋体"/>
              </w:rPr>
            </w:pPr>
          </w:p>
        </w:tc>
        <w:tc>
          <w:tcPr>
            <w:tcW w:w="0" w:type="auto"/>
            <w:shd w:val="clear" w:color="auto" w:fill="auto"/>
          </w:tcPr>
          <w:p w14:paraId="0D8DE52B" w14:textId="77777777" w:rsidR="004C2197" w:rsidRDefault="004C2197">
            <w:pPr>
              <w:rPr>
                <w:rFonts w:ascii="宋体"/>
              </w:rPr>
            </w:pPr>
          </w:p>
        </w:tc>
        <w:tc>
          <w:tcPr>
            <w:tcW w:w="0" w:type="auto"/>
            <w:shd w:val="clear" w:color="auto" w:fill="auto"/>
          </w:tcPr>
          <w:p w14:paraId="0D8DE52C" w14:textId="77777777" w:rsidR="004C2197" w:rsidRDefault="004C2197">
            <w:pPr>
              <w:rPr>
                <w:rFonts w:ascii="宋体"/>
              </w:rPr>
            </w:pPr>
          </w:p>
        </w:tc>
        <w:tc>
          <w:tcPr>
            <w:tcW w:w="0" w:type="auto"/>
            <w:shd w:val="clear" w:color="auto" w:fill="auto"/>
          </w:tcPr>
          <w:p w14:paraId="0D8DE52D" w14:textId="77777777" w:rsidR="004C2197" w:rsidRDefault="004C2197">
            <w:pPr>
              <w:rPr>
                <w:rFonts w:ascii="宋体"/>
              </w:rPr>
            </w:pPr>
          </w:p>
        </w:tc>
        <w:tc>
          <w:tcPr>
            <w:tcW w:w="0" w:type="auto"/>
            <w:shd w:val="clear" w:color="auto" w:fill="auto"/>
          </w:tcPr>
          <w:p w14:paraId="0D8DE52E" w14:textId="77777777" w:rsidR="004C2197" w:rsidRDefault="004C2197">
            <w:pPr>
              <w:rPr>
                <w:rFonts w:ascii="宋体"/>
              </w:rPr>
            </w:pPr>
          </w:p>
        </w:tc>
        <w:tc>
          <w:tcPr>
            <w:tcW w:w="0" w:type="auto"/>
            <w:shd w:val="clear" w:color="auto" w:fill="auto"/>
          </w:tcPr>
          <w:p w14:paraId="0D8DE52F" w14:textId="77777777" w:rsidR="004C2197" w:rsidRDefault="004C2197">
            <w:pPr>
              <w:rPr>
                <w:rFonts w:ascii="宋体"/>
              </w:rPr>
            </w:pPr>
          </w:p>
        </w:tc>
        <w:tc>
          <w:tcPr>
            <w:tcW w:w="0" w:type="auto"/>
            <w:shd w:val="clear" w:color="auto" w:fill="auto"/>
          </w:tcPr>
          <w:p w14:paraId="0D8DE530" w14:textId="77777777" w:rsidR="004C2197" w:rsidRDefault="004C2197">
            <w:pPr>
              <w:rPr>
                <w:rFonts w:ascii="宋体"/>
              </w:rPr>
            </w:pPr>
          </w:p>
        </w:tc>
        <w:tc>
          <w:tcPr>
            <w:tcW w:w="0" w:type="auto"/>
            <w:shd w:val="clear" w:color="auto" w:fill="auto"/>
          </w:tcPr>
          <w:p w14:paraId="0D8DE531" w14:textId="77777777" w:rsidR="004C2197" w:rsidRDefault="004C2197">
            <w:pPr>
              <w:rPr>
                <w:rFonts w:ascii="宋体"/>
              </w:rPr>
            </w:pPr>
          </w:p>
        </w:tc>
        <w:tc>
          <w:tcPr>
            <w:tcW w:w="0" w:type="auto"/>
            <w:shd w:val="clear" w:color="auto" w:fill="auto"/>
          </w:tcPr>
          <w:p w14:paraId="0D8DE532" w14:textId="77777777" w:rsidR="004C2197" w:rsidRDefault="004C2197">
            <w:pPr>
              <w:rPr>
                <w:rFonts w:ascii="宋体"/>
              </w:rPr>
            </w:pPr>
          </w:p>
        </w:tc>
        <w:tc>
          <w:tcPr>
            <w:tcW w:w="0" w:type="auto"/>
            <w:shd w:val="clear" w:color="auto" w:fill="auto"/>
          </w:tcPr>
          <w:p w14:paraId="0D8DE533" w14:textId="77777777" w:rsidR="004C2197" w:rsidRDefault="004C2197">
            <w:pPr>
              <w:rPr>
                <w:rFonts w:ascii="宋体"/>
              </w:rPr>
            </w:pPr>
          </w:p>
        </w:tc>
        <w:tc>
          <w:tcPr>
            <w:tcW w:w="0" w:type="auto"/>
            <w:shd w:val="clear" w:color="auto" w:fill="auto"/>
          </w:tcPr>
          <w:p w14:paraId="0D8DE534" w14:textId="77777777" w:rsidR="004C2197" w:rsidRDefault="004C2197">
            <w:pPr>
              <w:rPr>
                <w:rFonts w:ascii="宋体"/>
              </w:rPr>
            </w:pPr>
          </w:p>
        </w:tc>
        <w:tc>
          <w:tcPr>
            <w:tcW w:w="0" w:type="auto"/>
            <w:shd w:val="clear" w:color="auto" w:fill="auto"/>
          </w:tcPr>
          <w:p w14:paraId="0D8DE535" w14:textId="77777777" w:rsidR="004C2197" w:rsidRDefault="004C2197">
            <w:pPr>
              <w:rPr>
                <w:rFonts w:ascii="宋体"/>
              </w:rPr>
            </w:pPr>
          </w:p>
        </w:tc>
      </w:tr>
      <w:tr w:rsidR="004C2197" w14:paraId="0D8DE55B" w14:textId="77777777">
        <w:trPr>
          <w:jc w:val="center"/>
        </w:trPr>
        <w:tc>
          <w:tcPr>
            <w:tcW w:w="0" w:type="auto"/>
            <w:gridSpan w:val="3"/>
            <w:shd w:val="clear" w:color="auto" w:fill="FFFFFF"/>
            <w:tcMar>
              <w:top w:w="40" w:type="dxa"/>
              <w:left w:w="20" w:type="dxa"/>
              <w:bottom w:w="40" w:type="dxa"/>
              <w:right w:w="20" w:type="dxa"/>
            </w:tcMar>
            <w:vAlign w:val="bottom"/>
          </w:tcPr>
          <w:p w14:paraId="0D8DE537" w14:textId="77777777" w:rsidR="004C2197" w:rsidRDefault="00863B83">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0D8DE53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3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3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3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3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3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3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3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4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4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4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4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44"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bottom w:w="40" w:type="dxa"/>
              <w:right w:w="20" w:type="dxa"/>
            </w:tcMar>
            <w:vAlign w:val="bottom"/>
          </w:tcPr>
          <w:p w14:paraId="0D8DE54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46"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4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4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49"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4A"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bottom w:w="40" w:type="dxa"/>
              <w:right w:w="20" w:type="dxa"/>
            </w:tcMar>
            <w:vAlign w:val="bottom"/>
          </w:tcPr>
          <w:p w14:paraId="0D8DE54B" w14:textId="77777777" w:rsidR="004C2197" w:rsidRDefault="004C2197">
            <w:pPr>
              <w:jc w:val="right"/>
              <w:rPr>
                <w:rFonts w:ascii="宋体"/>
              </w:rPr>
            </w:pPr>
          </w:p>
        </w:tc>
        <w:tc>
          <w:tcPr>
            <w:tcW w:w="0" w:type="auto"/>
            <w:shd w:val="clear" w:color="auto" w:fill="auto"/>
          </w:tcPr>
          <w:p w14:paraId="0D8DE54C" w14:textId="77777777" w:rsidR="004C2197" w:rsidRDefault="004C2197">
            <w:pPr>
              <w:rPr>
                <w:rFonts w:ascii="宋体"/>
              </w:rPr>
            </w:pPr>
          </w:p>
        </w:tc>
        <w:tc>
          <w:tcPr>
            <w:tcW w:w="0" w:type="auto"/>
            <w:shd w:val="clear" w:color="auto" w:fill="auto"/>
          </w:tcPr>
          <w:p w14:paraId="0D8DE54D" w14:textId="77777777" w:rsidR="004C2197" w:rsidRDefault="004C2197">
            <w:pPr>
              <w:rPr>
                <w:rFonts w:ascii="宋体"/>
              </w:rPr>
            </w:pPr>
          </w:p>
        </w:tc>
        <w:tc>
          <w:tcPr>
            <w:tcW w:w="0" w:type="auto"/>
            <w:shd w:val="clear" w:color="auto" w:fill="auto"/>
          </w:tcPr>
          <w:p w14:paraId="0D8DE54E" w14:textId="77777777" w:rsidR="004C2197" w:rsidRDefault="004C2197">
            <w:pPr>
              <w:rPr>
                <w:rFonts w:ascii="宋体"/>
              </w:rPr>
            </w:pPr>
          </w:p>
        </w:tc>
        <w:tc>
          <w:tcPr>
            <w:tcW w:w="0" w:type="auto"/>
            <w:shd w:val="clear" w:color="auto" w:fill="auto"/>
          </w:tcPr>
          <w:p w14:paraId="0D8DE54F" w14:textId="77777777" w:rsidR="004C2197" w:rsidRDefault="004C2197">
            <w:pPr>
              <w:rPr>
                <w:rFonts w:ascii="宋体"/>
              </w:rPr>
            </w:pPr>
          </w:p>
        </w:tc>
        <w:tc>
          <w:tcPr>
            <w:tcW w:w="0" w:type="auto"/>
            <w:shd w:val="clear" w:color="auto" w:fill="auto"/>
          </w:tcPr>
          <w:p w14:paraId="0D8DE550" w14:textId="77777777" w:rsidR="004C2197" w:rsidRDefault="004C2197">
            <w:pPr>
              <w:rPr>
                <w:rFonts w:ascii="宋体"/>
              </w:rPr>
            </w:pPr>
          </w:p>
        </w:tc>
        <w:tc>
          <w:tcPr>
            <w:tcW w:w="0" w:type="auto"/>
            <w:shd w:val="clear" w:color="auto" w:fill="auto"/>
          </w:tcPr>
          <w:p w14:paraId="0D8DE551" w14:textId="77777777" w:rsidR="004C2197" w:rsidRDefault="004C2197">
            <w:pPr>
              <w:rPr>
                <w:rFonts w:ascii="宋体"/>
              </w:rPr>
            </w:pPr>
          </w:p>
        </w:tc>
        <w:tc>
          <w:tcPr>
            <w:tcW w:w="0" w:type="auto"/>
            <w:shd w:val="clear" w:color="auto" w:fill="auto"/>
          </w:tcPr>
          <w:p w14:paraId="0D8DE552" w14:textId="77777777" w:rsidR="004C2197" w:rsidRDefault="004C2197">
            <w:pPr>
              <w:rPr>
                <w:rFonts w:ascii="宋体"/>
              </w:rPr>
            </w:pPr>
          </w:p>
        </w:tc>
        <w:tc>
          <w:tcPr>
            <w:tcW w:w="0" w:type="auto"/>
            <w:shd w:val="clear" w:color="auto" w:fill="auto"/>
          </w:tcPr>
          <w:p w14:paraId="0D8DE553" w14:textId="77777777" w:rsidR="004C2197" w:rsidRDefault="004C2197">
            <w:pPr>
              <w:rPr>
                <w:rFonts w:ascii="宋体"/>
              </w:rPr>
            </w:pPr>
          </w:p>
        </w:tc>
        <w:tc>
          <w:tcPr>
            <w:tcW w:w="0" w:type="auto"/>
            <w:shd w:val="clear" w:color="auto" w:fill="auto"/>
          </w:tcPr>
          <w:p w14:paraId="0D8DE554" w14:textId="77777777" w:rsidR="004C2197" w:rsidRDefault="004C2197">
            <w:pPr>
              <w:rPr>
                <w:rFonts w:ascii="宋体"/>
              </w:rPr>
            </w:pPr>
          </w:p>
        </w:tc>
        <w:tc>
          <w:tcPr>
            <w:tcW w:w="0" w:type="auto"/>
            <w:shd w:val="clear" w:color="auto" w:fill="auto"/>
          </w:tcPr>
          <w:p w14:paraId="0D8DE555" w14:textId="77777777" w:rsidR="004C2197" w:rsidRDefault="004C2197">
            <w:pPr>
              <w:rPr>
                <w:rFonts w:ascii="宋体"/>
              </w:rPr>
            </w:pPr>
          </w:p>
        </w:tc>
        <w:tc>
          <w:tcPr>
            <w:tcW w:w="0" w:type="auto"/>
            <w:shd w:val="clear" w:color="auto" w:fill="auto"/>
          </w:tcPr>
          <w:p w14:paraId="0D8DE556" w14:textId="77777777" w:rsidR="004C2197" w:rsidRDefault="004C2197">
            <w:pPr>
              <w:rPr>
                <w:rFonts w:ascii="宋体"/>
              </w:rPr>
            </w:pPr>
          </w:p>
        </w:tc>
        <w:tc>
          <w:tcPr>
            <w:tcW w:w="0" w:type="auto"/>
            <w:shd w:val="clear" w:color="auto" w:fill="auto"/>
          </w:tcPr>
          <w:p w14:paraId="0D8DE557" w14:textId="77777777" w:rsidR="004C2197" w:rsidRDefault="004C2197">
            <w:pPr>
              <w:rPr>
                <w:rFonts w:ascii="宋体"/>
              </w:rPr>
            </w:pPr>
          </w:p>
        </w:tc>
        <w:tc>
          <w:tcPr>
            <w:tcW w:w="0" w:type="auto"/>
            <w:shd w:val="clear" w:color="auto" w:fill="auto"/>
          </w:tcPr>
          <w:p w14:paraId="0D8DE558" w14:textId="77777777" w:rsidR="004C2197" w:rsidRDefault="004C2197">
            <w:pPr>
              <w:rPr>
                <w:rFonts w:ascii="宋体"/>
              </w:rPr>
            </w:pPr>
          </w:p>
        </w:tc>
        <w:tc>
          <w:tcPr>
            <w:tcW w:w="0" w:type="auto"/>
            <w:shd w:val="clear" w:color="auto" w:fill="auto"/>
          </w:tcPr>
          <w:p w14:paraId="0D8DE559" w14:textId="77777777" w:rsidR="004C2197" w:rsidRDefault="004C2197">
            <w:pPr>
              <w:rPr>
                <w:rFonts w:ascii="宋体"/>
              </w:rPr>
            </w:pPr>
          </w:p>
        </w:tc>
        <w:tc>
          <w:tcPr>
            <w:tcW w:w="0" w:type="auto"/>
            <w:shd w:val="clear" w:color="auto" w:fill="auto"/>
          </w:tcPr>
          <w:p w14:paraId="0D8DE55A" w14:textId="77777777" w:rsidR="004C2197" w:rsidRDefault="004C2197">
            <w:pPr>
              <w:rPr>
                <w:rFonts w:ascii="宋体"/>
              </w:rPr>
            </w:pPr>
          </w:p>
        </w:tc>
      </w:tr>
      <w:tr w:rsidR="004C2197" w14:paraId="0D8DE579" w14:textId="77777777">
        <w:trPr>
          <w:jc w:val="center"/>
          <w:hidden/>
        </w:trPr>
        <w:tc>
          <w:tcPr>
            <w:tcW w:w="0" w:type="auto"/>
            <w:gridSpan w:val="3"/>
            <w:shd w:val="clear" w:color="auto" w:fill="auto"/>
          </w:tcPr>
          <w:p w14:paraId="0D8DE55C" w14:textId="77777777" w:rsidR="004C2197" w:rsidRDefault="004C2197">
            <w:pPr>
              <w:rPr>
                <w:rFonts w:ascii="宋体"/>
                <w:vanish/>
              </w:rPr>
            </w:pPr>
          </w:p>
        </w:tc>
        <w:tc>
          <w:tcPr>
            <w:tcW w:w="0" w:type="auto"/>
            <w:gridSpan w:val="3"/>
            <w:shd w:val="clear" w:color="auto" w:fill="auto"/>
          </w:tcPr>
          <w:p w14:paraId="0D8DE55D" w14:textId="77777777" w:rsidR="004C2197" w:rsidRDefault="004C2197">
            <w:pPr>
              <w:rPr>
                <w:rFonts w:ascii="宋体"/>
                <w:vanish/>
              </w:rPr>
            </w:pPr>
          </w:p>
        </w:tc>
        <w:tc>
          <w:tcPr>
            <w:tcW w:w="0" w:type="auto"/>
            <w:gridSpan w:val="3"/>
            <w:shd w:val="clear" w:color="auto" w:fill="auto"/>
          </w:tcPr>
          <w:p w14:paraId="0D8DE55E" w14:textId="77777777" w:rsidR="004C2197" w:rsidRDefault="004C2197">
            <w:pPr>
              <w:rPr>
                <w:rFonts w:ascii="宋体"/>
                <w:vanish/>
              </w:rPr>
            </w:pPr>
          </w:p>
        </w:tc>
        <w:tc>
          <w:tcPr>
            <w:tcW w:w="0" w:type="auto"/>
            <w:gridSpan w:val="3"/>
            <w:shd w:val="clear" w:color="auto" w:fill="auto"/>
          </w:tcPr>
          <w:p w14:paraId="0D8DE55F" w14:textId="77777777" w:rsidR="004C2197" w:rsidRDefault="004C2197">
            <w:pPr>
              <w:rPr>
                <w:rFonts w:ascii="宋体"/>
                <w:vanish/>
              </w:rPr>
            </w:pPr>
          </w:p>
        </w:tc>
        <w:tc>
          <w:tcPr>
            <w:tcW w:w="0" w:type="auto"/>
            <w:gridSpan w:val="3"/>
            <w:shd w:val="clear" w:color="auto" w:fill="auto"/>
          </w:tcPr>
          <w:p w14:paraId="0D8DE560" w14:textId="77777777" w:rsidR="004C2197" w:rsidRDefault="004C2197">
            <w:pPr>
              <w:rPr>
                <w:rFonts w:ascii="宋体"/>
                <w:vanish/>
              </w:rPr>
            </w:pPr>
          </w:p>
        </w:tc>
        <w:tc>
          <w:tcPr>
            <w:tcW w:w="0" w:type="auto"/>
            <w:gridSpan w:val="3"/>
            <w:shd w:val="clear" w:color="auto" w:fill="auto"/>
          </w:tcPr>
          <w:p w14:paraId="0D8DE561" w14:textId="77777777" w:rsidR="004C2197" w:rsidRDefault="004C2197">
            <w:pPr>
              <w:rPr>
                <w:rFonts w:ascii="宋体"/>
                <w:vanish/>
              </w:rPr>
            </w:pPr>
          </w:p>
        </w:tc>
        <w:tc>
          <w:tcPr>
            <w:tcW w:w="0" w:type="auto"/>
            <w:gridSpan w:val="3"/>
            <w:shd w:val="clear" w:color="auto" w:fill="auto"/>
          </w:tcPr>
          <w:p w14:paraId="0D8DE562" w14:textId="77777777" w:rsidR="004C2197" w:rsidRDefault="004C2197">
            <w:pPr>
              <w:rPr>
                <w:rFonts w:ascii="宋体"/>
                <w:vanish/>
              </w:rPr>
            </w:pPr>
          </w:p>
        </w:tc>
        <w:tc>
          <w:tcPr>
            <w:tcW w:w="0" w:type="auto"/>
            <w:gridSpan w:val="3"/>
            <w:shd w:val="clear" w:color="auto" w:fill="auto"/>
          </w:tcPr>
          <w:p w14:paraId="0D8DE563" w14:textId="77777777" w:rsidR="004C2197" w:rsidRDefault="004C2197">
            <w:pPr>
              <w:rPr>
                <w:rFonts w:ascii="宋体"/>
                <w:vanish/>
              </w:rPr>
            </w:pPr>
          </w:p>
        </w:tc>
        <w:tc>
          <w:tcPr>
            <w:tcW w:w="0" w:type="auto"/>
            <w:gridSpan w:val="3"/>
            <w:shd w:val="clear" w:color="auto" w:fill="auto"/>
          </w:tcPr>
          <w:p w14:paraId="0D8DE564" w14:textId="77777777" w:rsidR="004C2197" w:rsidRDefault="004C2197">
            <w:pPr>
              <w:rPr>
                <w:rFonts w:ascii="宋体"/>
                <w:vanish/>
              </w:rPr>
            </w:pPr>
          </w:p>
        </w:tc>
        <w:tc>
          <w:tcPr>
            <w:tcW w:w="0" w:type="auto"/>
            <w:gridSpan w:val="3"/>
            <w:shd w:val="clear" w:color="auto" w:fill="auto"/>
          </w:tcPr>
          <w:p w14:paraId="0D8DE565" w14:textId="77777777" w:rsidR="004C2197" w:rsidRDefault="004C2197">
            <w:pPr>
              <w:rPr>
                <w:rFonts w:ascii="宋体"/>
                <w:vanish/>
              </w:rPr>
            </w:pPr>
          </w:p>
        </w:tc>
        <w:tc>
          <w:tcPr>
            <w:tcW w:w="0" w:type="auto"/>
            <w:gridSpan w:val="3"/>
            <w:shd w:val="clear" w:color="auto" w:fill="auto"/>
          </w:tcPr>
          <w:p w14:paraId="0D8DE566" w14:textId="77777777" w:rsidR="004C2197" w:rsidRDefault="004C2197">
            <w:pPr>
              <w:rPr>
                <w:rFonts w:ascii="宋体"/>
                <w:vanish/>
              </w:rPr>
            </w:pPr>
          </w:p>
        </w:tc>
        <w:tc>
          <w:tcPr>
            <w:tcW w:w="0" w:type="auto"/>
            <w:gridSpan w:val="3"/>
            <w:shd w:val="clear" w:color="auto" w:fill="auto"/>
          </w:tcPr>
          <w:p w14:paraId="0D8DE567" w14:textId="77777777" w:rsidR="004C2197" w:rsidRDefault="004C2197">
            <w:pPr>
              <w:rPr>
                <w:rFonts w:ascii="宋体"/>
                <w:vanish/>
              </w:rPr>
            </w:pPr>
          </w:p>
        </w:tc>
        <w:tc>
          <w:tcPr>
            <w:tcW w:w="0" w:type="auto"/>
            <w:gridSpan w:val="3"/>
            <w:shd w:val="clear" w:color="auto" w:fill="auto"/>
          </w:tcPr>
          <w:p w14:paraId="0D8DE568" w14:textId="77777777" w:rsidR="004C2197" w:rsidRDefault="004C2197">
            <w:pPr>
              <w:rPr>
                <w:rFonts w:ascii="宋体"/>
                <w:vanish/>
              </w:rPr>
            </w:pPr>
          </w:p>
        </w:tc>
        <w:tc>
          <w:tcPr>
            <w:tcW w:w="0" w:type="auto"/>
            <w:gridSpan w:val="3"/>
            <w:shd w:val="clear" w:color="auto" w:fill="auto"/>
          </w:tcPr>
          <w:p w14:paraId="0D8DE569" w14:textId="77777777" w:rsidR="004C2197" w:rsidRDefault="004C2197">
            <w:pPr>
              <w:rPr>
                <w:rFonts w:ascii="宋体"/>
                <w:vanish/>
              </w:rPr>
            </w:pPr>
          </w:p>
        </w:tc>
        <w:tc>
          <w:tcPr>
            <w:tcW w:w="0" w:type="auto"/>
            <w:shd w:val="clear" w:color="auto" w:fill="auto"/>
          </w:tcPr>
          <w:p w14:paraId="0D8DE56A" w14:textId="77777777" w:rsidR="004C2197" w:rsidRDefault="004C2197">
            <w:pPr>
              <w:rPr>
                <w:rFonts w:ascii="宋体"/>
              </w:rPr>
            </w:pPr>
          </w:p>
        </w:tc>
        <w:tc>
          <w:tcPr>
            <w:tcW w:w="0" w:type="auto"/>
            <w:shd w:val="clear" w:color="auto" w:fill="auto"/>
          </w:tcPr>
          <w:p w14:paraId="0D8DE56B" w14:textId="77777777" w:rsidR="004C2197" w:rsidRDefault="004C2197">
            <w:pPr>
              <w:rPr>
                <w:rFonts w:ascii="宋体"/>
              </w:rPr>
            </w:pPr>
          </w:p>
        </w:tc>
        <w:tc>
          <w:tcPr>
            <w:tcW w:w="0" w:type="auto"/>
            <w:shd w:val="clear" w:color="auto" w:fill="auto"/>
          </w:tcPr>
          <w:p w14:paraId="0D8DE56C" w14:textId="77777777" w:rsidR="004C2197" w:rsidRDefault="004C2197">
            <w:pPr>
              <w:rPr>
                <w:rFonts w:ascii="宋体"/>
              </w:rPr>
            </w:pPr>
          </w:p>
        </w:tc>
        <w:tc>
          <w:tcPr>
            <w:tcW w:w="0" w:type="auto"/>
            <w:shd w:val="clear" w:color="auto" w:fill="auto"/>
          </w:tcPr>
          <w:p w14:paraId="0D8DE56D" w14:textId="77777777" w:rsidR="004C2197" w:rsidRDefault="004C2197">
            <w:pPr>
              <w:rPr>
                <w:rFonts w:ascii="宋体"/>
              </w:rPr>
            </w:pPr>
          </w:p>
        </w:tc>
        <w:tc>
          <w:tcPr>
            <w:tcW w:w="0" w:type="auto"/>
            <w:shd w:val="clear" w:color="auto" w:fill="auto"/>
          </w:tcPr>
          <w:p w14:paraId="0D8DE56E" w14:textId="77777777" w:rsidR="004C2197" w:rsidRDefault="004C2197">
            <w:pPr>
              <w:rPr>
                <w:rFonts w:ascii="宋体"/>
              </w:rPr>
            </w:pPr>
          </w:p>
        </w:tc>
        <w:tc>
          <w:tcPr>
            <w:tcW w:w="0" w:type="auto"/>
            <w:shd w:val="clear" w:color="auto" w:fill="auto"/>
          </w:tcPr>
          <w:p w14:paraId="0D8DE56F" w14:textId="77777777" w:rsidR="004C2197" w:rsidRDefault="004C2197">
            <w:pPr>
              <w:rPr>
                <w:rFonts w:ascii="宋体"/>
              </w:rPr>
            </w:pPr>
          </w:p>
        </w:tc>
        <w:tc>
          <w:tcPr>
            <w:tcW w:w="0" w:type="auto"/>
            <w:shd w:val="clear" w:color="auto" w:fill="auto"/>
          </w:tcPr>
          <w:p w14:paraId="0D8DE570" w14:textId="77777777" w:rsidR="004C2197" w:rsidRDefault="004C2197">
            <w:pPr>
              <w:rPr>
                <w:rFonts w:ascii="宋体"/>
              </w:rPr>
            </w:pPr>
          </w:p>
        </w:tc>
        <w:tc>
          <w:tcPr>
            <w:tcW w:w="0" w:type="auto"/>
            <w:shd w:val="clear" w:color="auto" w:fill="auto"/>
          </w:tcPr>
          <w:p w14:paraId="0D8DE571" w14:textId="77777777" w:rsidR="004C2197" w:rsidRDefault="004C2197">
            <w:pPr>
              <w:rPr>
                <w:rFonts w:ascii="宋体"/>
              </w:rPr>
            </w:pPr>
          </w:p>
        </w:tc>
        <w:tc>
          <w:tcPr>
            <w:tcW w:w="0" w:type="auto"/>
            <w:shd w:val="clear" w:color="auto" w:fill="auto"/>
          </w:tcPr>
          <w:p w14:paraId="0D8DE572" w14:textId="77777777" w:rsidR="004C2197" w:rsidRDefault="004C2197">
            <w:pPr>
              <w:rPr>
                <w:rFonts w:ascii="宋体"/>
              </w:rPr>
            </w:pPr>
          </w:p>
        </w:tc>
        <w:tc>
          <w:tcPr>
            <w:tcW w:w="0" w:type="auto"/>
            <w:shd w:val="clear" w:color="auto" w:fill="auto"/>
          </w:tcPr>
          <w:p w14:paraId="0D8DE573" w14:textId="77777777" w:rsidR="004C2197" w:rsidRDefault="004C2197">
            <w:pPr>
              <w:rPr>
                <w:rFonts w:ascii="宋体"/>
              </w:rPr>
            </w:pPr>
          </w:p>
        </w:tc>
        <w:tc>
          <w:tcPr>
            <w:tcW w:w="0" w:type="auto"/>
            <w:shd w:val="clear" w:color="auto" w:fill="auto"/>
          </w:tcPr>
          <w:p w14:paraId="0D8DE574" w14:textId="77777777" w:rsidR="004C2197" w:rsidRDefault="004C2197">
            <w:pPr>
              <w:rPr>
                <w:rFonts w:ascii="宋体"/>
              </w:rPr>
            </w:pPr>
          </w:p>
        </w:tc>
        <w:tc>
          <w:tcPr>
            <w:tcW w:w="0" w:type="auto"/>
            <w:shd w:val="clear" w:color="auto" w:fill="auto"/>
          </w:tcPr>
          <w:p w14:paraId="0D8DE575" w14:textId="77777777" w:rsidR="004C2197" w:rsidRDefault="004C2197">
            <w:pPr>
              <w:rPr>
                <w:rFonts w:ascii="宋体"/>
              </w:rPr>
            </w:pPr>
          </w:p>
        </w:tc>
        <w:tc>
          <w:tcPr>
            <w:tcW w:w="0" w:type="auto"/>
            <w:shd w:val="clear" w:color="auto" w:fill="auto"/>
          </w:tcPr>
          <w:p w14:paraId="0D8DE576" w14:textId="77777777" w:rsidR="004C2197" w:rsidRDefault="004C2197">
            <w:pPr>
              <w:rPr>
                <w:rFonts w:ascii="宋体"/>
              </w:rPr>
            </w:pPr>
          </w:p>
        </w:tc>
        <w:tc>
          <w:tcPr>
            <w:tcW w:w="0" w:type="auto"/>
            <w:shd w:val="clear" w:color="auto" w:fill="auto"/>
          </w:tcPr>
          <w:p w14:paraId="0D8DE577" w14:textId="77777777" w:rsidR="004C2197" w:rsidRDefault="004C2197">
            <w:pPr>
              <w:rPr>
                <w:rFonts w:ascii="宋体"/>
              </w:rPr>
            </w:pPr>
          </w:p>
        </w:tc>
        <w:tc>
          <w:tcPr>
            <w:tcW w:w="0" w:type="auto"/>
            <w:shd w:val="clear" w:color="auto" w:fill="auto"/>
          </w:tcPr>
          <w:p w14:paraId="0D8DE578" w14:textId="77777777" w:rsidR="004C2197" w:rsidRDefault="004C2197">
            <w:pPr>
              <w:rPr>
                <w:rFonts w:ascii="宋体"/>
              </w:rPr>
            </w:pPr>
          </w:p>
        </w:tc>
      </w:tr>
      <w:tr w:rsidR="004C2197" w14:paraId="0D8DE59E" w14:textId="77777777">
        <w:trPr>
          <w:jc w:val="center"/>
        </w:trPr>
        <w:tc>
          <w:tcPr>
            <w:tcW w:w="0" w:type="auto"/>
            <w:gridSpan w:val="3"/>
            <w:shd w:val="clear" w:color="auto" w:fill="E2EFD9"/>
            <w:tcMar>
              <w:top w:w="40" w:type="dxa"/>
              <w:left w:w="20" w:type="dxa"/>
              <w:bottom w:w="40" w:type="dxa"/>
              <w:right w:w="20" w:type="dxa"/>
            </w:tcMar>
            <w:vAlign w:val="bottom"/>
          </w:tcPr>
          <w:p w14:paraId="0D8DE57A" w14:textId="77777777" w:rsidR="004C2197" w:rsidRDefault="00863B83">
            <w:pPr>
              <w:textAlignment w:val="bottom"/>
            </w:pPr>
            <w:r>
              <w:rPr>
                <w:rFonts w:ascii="sans-serif" w:eastAsia="sans-serif" w:hAnsi="sans-serif" w:cs="sans-serif"/>
                <w:color w:val="000000"/>
                <w:sz w:val="15"/>
                <w:szCs w:val="15"/>
              </w:rPr>
              <w:t>Tax withholding related to vesting of restricted stock units</w:t>
            </w:r>
          </w:p>
        </w:tc>
        <w:tc>
          <w:tcPr>
            <w:tcW w:w="0" w:type="auto"/>
            <w:gridSpan w:val="2"/>
            <w:shd w:val="clear" w:color="auto" w:fill="E2EFD9"/>
            <w:tcMar>
              <w:top w:w="40" w:type="dxa"/>
              <w:left w:w="20" w:type="dxa"/>
              <w:bottom w:w="40" w:type="dxa"/>
              <w:right w:w="0" w:type="dxa"/>
            </w:tcMar>
            <w:vAlign w:val="bottom"/>
          </w:tcPr>
          <w:p w14:paraId="0D8DE57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7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7D"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7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7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80"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8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8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83"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84" w14:textId="77777777" w:rsidR="004C2197" w:rsidRDefault="00863B83">
            <w:pPr>
              <w:jc w:val="right"/>
              <w:textAlignment w:val="bottom"/>
            </w:pPr>
            <w:r>
              <w:rPr>
                <w:rFonts w:ascii="sans-serif" w:eastAsia="sans-serif" w:hAnsi="sans-serif" w:cs="sans-serif"/>
                <w:color w:val="000000"/>
                <w:sz w:val="15"/>
                <w:szCs w:val="15"/>
              </w:rPr>
              <w:t>(50)</w:t>
            </w:r>
          </w:p>
        </w:tc>
        <w:tc>
          <w:tcPr>
            <w:tcW w:w="0" w:type="auto"/>
            <w:shd w:val="clear" w:color="auto" w:fill="E2EFD9"/>
            <w:tcMar>
              <w:top w:w="40" w:type="dxa"/>
              <w:bottom w:w="40" w:type="dxa"/>
              <w:right w:w="20" w:type="dxa"/>
            </w:tcMar>
            <w:vAlign w:val="bottom"/>
          </w:tcPr>
          <w:p w14:paraId="0D8DE58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86"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8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8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89"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8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8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8C"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8D" w14:textId="77777777" w:rsidR="004C2197" w:rsidRDefault="00863B83">
            <w:pPr>
              <w:jc w:val="right"/>
              <w:textAlignment w:val="bottom"/>
            </w:pPr>
            <w:r>
              <w:rPr>
                <w:rFonts w:ascii="sans-serif" w:eastAsia="sans-serif" w:hAnsi="sans-serif" w:cs="sans-serif"/>
                <w:color w:val="000000"/>
                <w:sz w:val="15"/>
                <w:szCs w:val="15"/>
              </w:rPr>
              <w:t>(50)</w:t>
            </w:r>
          </w:p>
        </w:tc>
        <w:tc>
          <w:tcPr>
            <w:tcW w:w="0" w:type="auto"/>
            <w:shd w:val="clear" w:color="auto" w:fill="E2EFD9"/>
            <w:tcMar>
              <w:top w:w="40" w:type="dxa"/>
              <w:bottom w:w="40" w:type="dxa"/>
              <w:right w:w="20" w:type="dxa"/>
            </w:tcMar>
            <w:vAlign w:val="bottom"/>
          </w:tcPr>
          <w:p w14:paraId="0D8DE58E" w14:textId="77777777" w:rsidR="004C2197" w:rsidRDefault="004C2197">
            <w:pPr>
              <w:jc w:val="right"/>
              <w:rPr>
                <w:rFonts w:ascii="宋体"/>
              </w:rPr>
            </w:pPr>
          </w:p>
        </w:tc>
        <w:tc>
          <w:tcPr>
            <w:tcW w:w="0" w:type="auto"/>
            <w:shd w:val="clear" w:color="auto" w:fill="auto"/>
          </w:tcPr>
          <w:p w14:paraId="0D8DE58F" w14:textId="77777777" w:rsidR="004C2197" w:rsidRDefault="004C2197">
            <w:pPr>
              <w:rPr>
                <w:rFonts w:ascii="宋体"/>
              </w:rPr>
            </w:pPr>
          </w:p>
        </w:tc>
        <w:tc>
          <w:tcPr>
            <w:tcW w:w="0" w:type="auto"/>
            <w:shd w:val="clear" w:color="auto" w:fill="auto"/>
          </w:tcPr>
          <w:p w14:paraId="0D8DE590" w14:textId="77777777" w:rsidR="004C2197" w:rsidRDefault="004C2197">
            <w:pPr>
              <w:rPr>
                <w:rFonts w:ascii="宋体"/>
              </w:rPr>
            </w:pPr>
          </w:p>
        </w:tc>
        <w:tc>
          <w:tcPr>
            <w:tcW w:w="0" w:type="auto"/>
            <w:shd w:val="clear" w:color="auto" w:fill="auto"/>
          </w:tcPr>
          <w:p w14:paraId="0D8DE591" w14:textId="77777777" w:rsidR="004C2197" w:rsidRDefault="004C2197">
            <w:pPr>
              <w:rPr>
                <w:rFonts w:ascii="宋体"/>
              </w:rPr>
            </w:pPr>
          </w:p>
        </w:tc>
        <w:tc>
          <w:tcPr>
            <w:tcW w:w="0" w:type="auto"/>
            <w:shd w:val="clear" w:color="auto" w:fill="auto"/>
          </w:tcPr>
          <w:p w14:paraId="0D8DE592" w14:textId="77777777" w:rsidR="004C2197" w:rsidRDefault="004C2197">
            <w:pPr>
              <w:rPr>
                <w:rFonts w:ascii="宋体"/>
              </w:rPr>
            </w:pPr>
          </w:p>
        </w:tc>
        <w:tc>
          <w:tcPr>
            <w:tcW w:w="0" w:type="auto"/>
            <w:shd w:val="clear" w:color="auto" w:fill="auto"/>
          </w:tcPr>
          <w:p w14:paraId="0D8DE593" w14:textId="77777777" w:rsidR="004C2197" w:rsidRDefault="004C2197">
            <w:pPr>
              <w:rPr>
                <w:rFonts w:ascii="宋体"/>
              </w:rPr>
            </w:pPr>
          </w:p>
        </w:tc>
        <w:tc>
          <w:tcPr>
            <w:tcW w:w="0" w:type="auto"/>
            <w:shd w:val="clear" w:color="auto" w:fill="auto"/>
          </w:tcPr>
          <w:p w14:paraId="0D8DE594" w14:textId="77777777" w:rsidR="004C2197" w:rsidRDefault="004C2197">
            <w:pPr>
              <w:rPr>
                <w:rFonts w:ascii="宋体"/>
              </w:rPr>
            </w:pPr>
          </w:p>
        </w:tc>
        <w:tc>
          <w:tcPr>
            <w:tcW w:w="0" w:type="auto"/>
            <w:shd w:val="clear" w:color="auto" w:fill="auto"/>
          </w:tcPr>
          <w:p w14:paraId="0D8DE595" w14:textId="77777777" w:rsidR="004C2197" w:rsidRDefault="004C2197">
            <w:pPr>
              <w:rPr>
                <w:rFonts w:ascii="宋体"/>
              </w:rPr>
            </w:pPr>
          </w:p>
        </w:tc>
        <w:tc>
          <w:tcPr>
            <w:tcW w:w="0" w:type="auto"/>
            <w:shd w:val="clear" w:color="auto" w:fill="auto"/>
          </w:tcPr>
          <w:p w14:paraId="0D8DE596" w14:textId="77777777" w:rsidR="004C2197" w:rsidRDefault="004C2197">
            <w:pPr>
              <w:rPr>
                <w:rFonts w:ascii="宋体"/>
              </w:rPr>
            </w:pPr>
          </w:p>
        </w:tc>
        <w:tc>
          <w:tcPr>
            <w:tcW w:w="0" w:type="auto"/>
            <w:shd w:val="clear" w:color="auto" w:fill="auto"/>
          </w:tcPr>
          <w:p w14:paraId="0D8DE597" w14:textId="77777777" w:rsidR="004C2197" w:rsidRDefault="004C2197">
            <w:pPr>
              <w:rPr>
                <w:rFonts w:ascii="宋体"/>
              </w:rPr>
            </w:pPr>
          </w:p>
        </w:tc>
        <w:tc>
          <w:tcPr>
            <w:tcW w:w="0" w:type="auto"/>
            <w:shd w:val="clear" w:color="auto" w:fill="auto"/>
          </w:tcPr>
          <w:p w14:paraId="0D8DE598" w14:textId="77777777" w:rsidR="004C2197" w:rsidRDefault="004C2197">
            <w:pPr>
              <w:rPr>
                <w:rFonts w:ascii="宋体"/>
              </w:rPr>
            </w:pPr>
          </w:p>
        </w:tc>
        <w:tc>
          <w:tcPr>
            <w:tcW w:w="0" w:type="auto"/>
            <w:shd w:val="clear" w:color="auto" w:fill="auto"/>
          </w:tcPr>
          <w:p w14:paraId="0D8DE599" w14:textId="77777777" w:rsidR="004C2197" w:rsidRDefault="004C2197">
            <w:pPr>
              <w:rPr>
                <w:rFonts w:ascii="宋体"/>
              </w:rPr>
            </w:pPr>
          </w:p>
        </w:tc>
        <w:tc>
          <w:tcPr>
            <w:tcW w:w="0" w:type="auto"/>
            <w:shd w:val="clear" w:color="auto" w:fill="auto"/>
          </w:tcPr>
          <w:p w14:paraId="0D8DE59A" w14:textId="77777777" w:rsidR="004C2197" w:rsidRDefault="004C2197">
            <w:pPr>
              <w:rPr>
                <w:rFonts w:ascii="宋体"/>
              </w:rPr>
            </w:pPr>
          </w:p>
        </w:tc>
        <w:tc>
          <w:tcPr>
            <w:tcW w:w="0" w:type="auto"/>
            <w:shd w:val="clear" w:color="auto" w:fill="auto"/>
          </w:tcPr>
          <w:p w14:paraId="0D8DE59B" w14:textId="77777777" w:rsidR="004C2197" w:rsidRDefault="004C2197">
            <w:pPr>
              <w:rPr>
                <w:rFonts w:ascii="宋体"/>
              </w:rPr>
            </w:pPr>
          </w:p>
        </w:tc>
        <w:tc>
          <w:tcPr>
            <w:tcW w:w="0" w:type="auto"/>
            <w:shd w:val="clear" w:color="auto" w:fill="auto"/>
          </w:tcPr>
          <w:p w14:paraId="0D8DE59C" w14:textId="77777777" w:rsidR="004C2197" w:rsidRDefault="004C2197">
            <w:pPr>
              <w:rPr>
                <w:rFonts w:ascii="宋体"/>
              </w:rPr>
            </w:pPr>
          </w:p>
        </w:tc>
        <w:tc>
          <w:tcPr>
            <w:tcW w:w="0" w:type="auto"/>
            <w:shd w:val="clear" w:color="auto" w:fill="auto"/>
          </w:tcPr>
          <w:p w14:paraId="0D8DE59D" w14:textId="77777777" w:rsidR="004C2197" w:rsidRDefault="004C2197">
            <w:pPr>
              <w:rPr>
                <w:rFonts w:ascii="宋体"/>
              </w:rPr>
            </w:pPr>
          </w:p>
        </w:tc>
      </w:tr>
      <w:tr w:rsidR="004C2197" w14:paraId="0D8DE5BC" w14:textId="77777777">
        <w:trPr>
          <w:jc w:val="center"/>
          <w:hidden/>
        </w:trPr>
        <w:tc>
          <w:tcPr>
            <w:tcW w:w="0" w:type="auto"/>
            <w:gridSpan w:val="3"/>
            <w:shd w:val="clear" w:color="auto" w:fill="auto"/>
          </w:tcPr>
          <w:p w14:paraId="0D8DE59F" w14:textId="77777777" w:rsidR="004C2197" w:rsidRDefault="004C2197">
            <w:pPr>
              <w:rPr>
                <w:rFonts w:ascii="宋体"/>
                <w:vanish/>
              </w:rPr>
            </w:pPr>
          </w:p>
        </w:tc>
        <w:tc>
          <w:tcPr>
            <w:tcW w:w="0" w:type="auto"/>
            <w:gridSpan w:val="3"/>
            <w:shd w:val="clear" w:color="auto" w:fill="auto"/>
          </w:tcPr>
          <w:p w14:paraId="0D8DE5A0" w14:textId="77777777" w:rsidR="004C2197" w:rsidRDefault="004C2197">
            <w:pPr>
              <w:rPr>
                <w:rFonts w:ascii="宋体"/>
                <w:vanish/>
              </w:rPr>
            </w:pPr>
          </w:p>
        </w:tc>
        <w:tc>
          <w:tcPr>
            <w:tcW w:w="0" w:type="auto"/>
            <w:gridSpan w:val="3"/>
            <w:shd w:val="clear" w:color="auto" w:fill="auto"/>
          </w:tcPr>
          <w:p w14:paraId="0D8DE5A1" w14:textId="77777777" w:rsidR="004C2197" w:rsidRDefault="004C2197">
            <w:pPr>
              <w:rPr>
                <w:rFonts w:ascii="宋体"/>
                <w:vanish/>
              </w:rPr>
            </w:pPr>
          </w:p>
        </w:tc>
        <w:tc>
          <w:tcPr>
            <w:tcW w:w="0" w:type="auto"/>
            <w:gridSpan w:val="3"/>
            <w:shd w:val="clear" w:color="auto" w:fill="auto"/>
          </w:tcPr>
          <w:p w14:paraId="0D8DE5A2" w14:textId="77777777" w:rsidR="004C2197" w:rsidRDefault="004C2197">
            <w:pPr>
              <w:rPr>
                <w:rFonts w:ascii="宋体"/>
                <w:vanish/>
              </w:rPr>
            </w:pPr>
          </w:p>
        </w:tc>
        <w:tc>
          <w:tcPr>
            <w:tcW w:w="0" w:type="auto"/>
            <w:gridSpan w:val="3"/>
            <w:shd w:val="clear" w:color="auto" w:fill="auto"/>
          </w:tcPr>
          <w:p w14:paraId="0D8DE5A3" w14:textId="77777777" w:rsidR="004C2197" w:rsidRDefault="004C2197">
            <w:pPr>
              <w:rPr>
                <w:rFonts w:ascii="宋体"/>
                <w:vanish/>
              </w:rPr>
            </w:pPr>
          </w:p>
        </w:tc>
        <w:tc>
          <w:tcPr>
            <w:tcW w:w="0" w:type="auto"/>
            <w:gridSpan w:val="3"/>
            <w:shd w:val="clear" w:color="auto" w:fill="auto"/>
          </w:tcPr>
          <w:p w14:paraId="0D8DE5A4" w14:textId="77777777" w:rsidR="004C2197" w:rsidRDefault="004C2197">
            <w:pPr>
              <w:rPr>
                <w:rFonts w:ascii="宋体"/>
                <w:vanish/>
              </w:rPr>
            </w:pPr>
          </w:p>
        </w:tc>
        <w:tc>
          <w:tcPr>
            <w:tcW w:w="0" w:type="auto"/>
            <w:gridSpan w:val="3"/>
            <w:shd w:val="clear" w:color="auto" w:fill="auto"/>
          </w:tcPr>
          <w:p w14:paraId="0D8DE5A5" w14:textId="77777777" w:rsidR="004C2197" w:rsidRDefault="004C2197">
            <w:pPr>
              <w:rPr>
                <w:rFonts w:ascii="宋体"/>
                <w:vanish/>
              </w:rPr>
            </w:pPr>
          </w:p>
        </w:tc>
        <w:tc>
          <w:tcPr>
            <w:tcW w:w="0" w:type="auto"/>
            <w:gridSpan w:val="3"/>
            <w:shd w:val="clear" w:color="auto" w:fill="auto"/>
          </w:tcPr>
          <w:p w14:paraId="0D8DE5A6" w14:textId="77777777" w:rsidR="004C2197" w:rsidRDefault="004C2197">
            <w:pPr>
              <w:rPr>
                <w:rFonts w:ascii="宋体"/>
                <w:vanish/>
              </w:rPr>
            </w:pPr>
          </w:p>
        </w:tc>
        <w:tc>
          <w:tcPr>
            <w:tcW w:w="0" w:type="auto"/>
            <w:gridSpan w:val="3"/>
            <w:shd w:val="clear" w:color="auto" w:fill="auto"/>
          </w:tcPr>
          <w:p w14:paraId="0D8DE5A7" w14:textId="77777777" w:rsidR="004C2197" w:rsidRDefault="004C2197">
            <w:pPr>
              <w:rPr>
                <w:rFonts w:ascii="宋体"/>
                <w:vanish/>
              </w:rPr>
            </w:pPr>
          </w:p>
        </w:tc>
        <w:tc>
          <w:tcPr>
            <w:tcW w:w="0" w:type="auto"/>
            <w:gridSpan w:val="3"/>
            <w:shd w:val="clear" w:color="auto" w:fill="auto"/>
          </w:tcPr>
          <w:p w14:paraId="0D8DE5A8" w14:textId="77777777" w:rsidR="004C2197" w:rsidRDefault="004C2197">
            <w:pPr>
              <w:rPr>
                <w:rFonts w:ascii="宋体"/>
                <w:vanish/>
              </w:rPr>
            </w:pPr>
          </w:p>
        </w:tc>
        <w:tc>
          <w:tcPr>
            <w:tcW w:w="0" w:type="auto"/>
            <w:gridSpan w:val="3"/>
            <w:shd w:val="clear" w:color="auto" w:fill="auto"/>
          </w:tcPr>
          <w:p w14:paraId="0D8DE5A9" w14:textId="77777777" w:rsidR="004C2197" w:rsidRDefault="004C2197">
            <w:pPr>
              <w:rPr>
                <w:rFonts w:ascii="宋体"/>
                <w:vanish/>
              </w:rPr>
            </w:pPr>
          </w:p>
        </w:tc>
        <w:tc>
          <w:tcPr>
            <w:tcW w:w="0" w:type="auto"/>
            <w:gridSpan w:val="3"/>
            <w:shd w:val="clear" w:color="auto" w:fill="auto"/>
          </w:tcPr>
          <w:p w14:paraId="0D8DE5AA" w14:textId="77777777" w:rsidR="004C2197" w:rsidRDefault="004C2197">
            <w:pPr>
              <w:rPr>
                <w:rFonts w:ascii="宋体"/>
                <w:vanish/>
              </w:rPr>
            </w:pPr>
          </w:p>
        </w:tc>
        <w:tc>
          <w:tcPr>
            <w:tcW w:w="0" w:type="auto"/>
            <w:gridSpan w:val="3"/>
            <w:shd w:val="clear" w:color="auto" w:fill="auto"/>
          </w:tcPr>
          <w:p w14:paraId="0D8DE5AB" w14:textId="77777777" w:rsidR="004C2197" w:rsidRDefault="004C2197">
            <w:pPr>
              <w:rPr>
                <w:rFonts w:ascii="宋体"/>
                <w:vanish/>
              </w:rPr>
            </w:pPr>
          </w:p>
        </w:tc>
        <w:tc>
          <w:tcPr>
            <w:tcW w:w="0" w:type="auto"/>
            <w:gridSpan w:val="3"/>
            <w:shd w:val="clear" w:color="auto" w:fill="auto"/>
          </w:tcPr>
          <w:p w14:paraId="0D8DE5AC" w14:textId="77777777" w:rsidR="004C2197" w:rsidRDefault="004C2197">
            <w:pPr>
              <w:rPr>
                <w:rFonts w:ascii="宋体"/>
                <w:vanish/>
              </w:rPr>
            </w:pPr>
          </w:p>
        </w:tc>
        <w:tc>
          <w:tcPr>
            <w:tcW w:w="0" w:type="auto"/>
            <w:shd w:val="clear" w:color="auto" w:fill="auto"/>
          </w:tcPr>
          <w:p w14:paraId="0D8DE5AD" w14:textId="77777777" w:rsidR="004C2197" w:rsidRDefault="004C2197">
            <w:pPr>
              <w:rPr>
                <w:rFonts w:ascii="宋体"/>
              </w:rPr>
            </w:pPr>
          </w:p>
        </w:tc>
        <w:tc>
          <w:tcPr>
            <w:tcW w:w="0" w:type="auto"/>
            <w:shd w:val="clear" w:color="auto" w:fill="auto"/>
          </w:tcPr>
          <w:p w14:paraId="0D8DE5AE" w14:textId="77777777" w:rsidR="004C2197" w:rsidRDefault="004C2197">
            <w:pPr>
              <w:rPr>
                <w:rFonts w:ascii="宋体"/>
              </w:rPr>
            </w:pPr>
          </w:p>
        </w:tc>
        <w:tc>
          <w:tcPr>
            <w:tcW w:w="0" w:type="auto"/>
            <w:shd w:val="clear" w:color="auto" w:fill="auto"/>
          </w:tcPr>
          <w:p w14:paraId="0D8DE5AF" w14:textId="77777777" w:rsidR="004C2197" w:rsidRDefault="004C2197">
            <w:pPr>
              <w:rPr>
                <w:rFonts w:ascii="宋体"/>
              </w:rPr>
            </w:pPr>
          </w:p>
        </w:tc>
        <w:tc>
          <w:tcPr>
            <w:tcW w:w="0" w:type="auto"/>
            <w:shd w:val="clear" w:color="auto" w:fill="auto"/>
          </w:tcPr>
          <w:p w14:paraId="0D8DE5B0" w14:textId="77777777" w:rsidR="004C2197" w:rsidRDefault="004C2197">
            <w:pPr>
              <w:rPr>
                <w:rFonts w:ascii="宋体"/>
              </w:rPr>
            </w:pPr>
          </w:p>
        </w:tc>
        <w:tc>
          <w:tcPr>
            <w:tcW w:w="0" w:type="auto"/>
            <w:shd w:val="clear" w:color="auto" w:fill="auto"/>
          </w:tcPr>
          <w:p w14:paraId="0D8DE5B1" w14:textId="77777777" w:rsidR="004C2197" w:rsidRDefault="004C2197">
            <w:pPr>
              <w:rPr>
                <w:rFonts w:ascii="宋体"/>
              </w:rPr>
            </w:pPr>
          </w:p>
        </w:tc>
        <w:tc>
          <w:tcPr>
            <w:tcW w:w="0" w:type="auto"/>
            <w:shd w:val="clear" w:color="auto" w:fill="auto"/>
          </w:tcPr>
          <w:p w14:paraId="0D8DE5B2" w14:textId="77777777" w:rsidR="004C2197" w:rsidRDefault="004C2197">
            <w:pPr>
              <w:rPr>
                <w:rFonts w:ascii="宋体"/>
              </w:rPr>
            </w:pPr>
          </w:p>
        </w:tc>
        <w:tc>
          <w:tcPr>
            <w:tcW w:w="0" w:type="auto"/>
            <w:shd w:val="clear" w:color="auto" w:fill="auto"/>
          </w:tcPr>
          <w:p w14:paraId="0D8DE5B3" w14:textId="77777777" w:rsidR="004C2197" w:rsidRDefault="004C2197">
            <w:pPr>
              <w:rPr>
                <w:rFonts w:ascii="宋体"/>
              </w:rPr>
            </w:pPr>
          </w:p>
        </w:tc>
        <w:tc>
          <w:tcPr>
            <w:tcW w:w="0" w:type="auto"/>
            <w:shd w:val="clear" w:color="auto" w:fill="auto"/>
          </w:tcPr>
          <w:p w14:paraId="0D8DE5B4" w14:textId="77777777" w:rsidR="004C2197" w:rsidRDefault="004C2197">
            <w:pPr>
              <w:rPr>
                <w:rFonts w:ascii="宋体"/>
              </w:rPr>
            </w:pPr>
          </w:p>
        </w:tc>
        <w:tc>
          <w:tcPr>
            <w:tcW w:w="0" w:type="auto"/>
            <w:shd w:val="clear" w:color="auto" w:fill="auto"/>
          </w:tcPr>
          <w:p w14:paraId="0D8DE5B5" w14:textId="77777777" w:rsidR="004C2197" w:rsidRDefault="004C2197">
            <w:pPr>
              <w:rPr>
                <w:rFonts w:ascii="宋体"/>
              </w:rPr>
            </w:pPr>
          </w:p>
        </w:tc>
        <w:tc>
          <w:tcPr>
            <w:tcW w:w="0" w:type="auto"/>
            <w:shd w:val="clear" w:color="auto" w:fill="auto"/>
          </w:tcPr>
          <w:p w14:paraId="0D8DE5B6" w14:textId="77777777" w:rsidR="004C2197" w:rsidRDefault="004C2197">
            <w:pPr>
              <w:rPr>
                <w:rFonts w:ascii="宋体"/>
              </w:rPr>
            </w:pPr>
          </w:p>
        </w:tc>
        <w:tc>
          <w:tcPr>
            <w:tcW w:w="0" w:type="auto"/>
            <w:shd w:val="clear" w:color="auto" w:fill="auto"/>
          </w:tcPr>
          <w:p w14:paraId="0D8DE5B7" w14:textId="77777777" w:rsidR="004C2197" w:rsidRDefault="004C2197">
            <w:pPr>
              <w:rPr>
                <w:rFonts w:ascii="宋体"/>
              </w:rPr>
            </w:pPr>
          </w:p>
        </w:tc>
        <w:tc>
          <w:tcPr>
            <w:tcW w:w="0" w:type="auto"/>
            <w:shd w:val="clear" w:color="auto" w:fill="auto"/>
          </w:tcPr>
          <w:p w14:paraId="0D8DE5B8" w14:textId="77777777" w:rsidR="004C2197" w:rsidRDefault="004C2197">
            <w:pPr>
              <w:rPr>
                <w:rFonts w:ascii="宋体"/>
              </w:rPr>
            </w:pPr>
          </w:p>
        </w:tc>
        <w:tc>
          <w:tcPr>
            <w:tcW w:w="0" w:type="auto"/>
            <w:shd w:val="clear" w:color="auto" w:fill="auto"/>
          </w:tcPr>
          <w:p w14:paraId="0D8DE5B9" w14:textId="77777777" w:rsidR="004C2197" w:rsidRDefault="004C2197">
            <w:pPr>
              <w:rPr>
                <w:rFonts w:ascii="宋体"/>
              </w:rPr>
            </w:pPr>
          </w:p>
        </w:tc>
        <w:tc>
          <w:tcPr>
            <w:tcW w:w="0" w:type="auto"/>
            <w:shd w:val="clear" w:color="auto" w:fill="auto"/>
          </w:tcPr>
          <w:p w14:paraId="0D8DE5BA" w14:textId="77777777" w:rsidR="004C2197" w:rsidRDefault="004C2197">
            <w:pPr>
              <w:rPr>
                <w:rFonts w:ascii="宋体"/>
              </w:rPr>
            </w:pPr>
          </w:p>
        </w:tc>
        <w:tc>
          <w:tcPr>
            <w:tcW w:w="0" w:type="auto"/>
            <w:shd w:val="clear" w:color="auto" w:fill="auto"/>
          </w:tcPr>
          <w:p w14:paraId="0D8DE5BB" w14:textId="77777777" w:rsidR="004C2197" w:rsidRDefault="004C2197">
            <w:pPr>
              <w:rPr>
                <w:rFonts w:ascii="宋体"/>
              </w:rPr>
            </w:pPr>
          </w:p>
        </w:tc>
      </w:tr>
      <w:tr w:rsidR="004C2197" w14:paraId="0D8DE5E1" w14:textId="77777777">
        <w:trPr>
          <w:jc w:val="center"/>
        </w:trPr>
        <w:tc>
          <w:tcPr>
            <w:tcW w:w="0" w:type="auto"/>
            <w:gridSpan w:val="3"/>
            <w:shd w:val="clear" w:color="auto" w:fill="FFFFFF"/>
            <w:tcMar>
              <w:top w:w="40" w:type="dxa"/>
              <w:left w:w="20" w:type="dxa"/>
              <w:bottom w:w="40" w:type="dxa"/>
              <w:right w:w="20" w:type="dxa"/>
            </w:tcMar>
            <w:vAlign w:val="bottom"/>
          </w:tcPr>
          <w:p w14:paraId="0D8DE5BD" w14:textId="77777777" w:rsidR="004C2197" w:rsidRDefault="00863B83">
            <w:pPr>
              <w:textAlignment w:val="bottom"/>
            </w:pPr>
            <w:r>
              <w:rPr>
                <w:rFonts w:ascii="sans-serif" w:eastAsia="sans-serif" w:hAnsi="sans-serif" w:cs="sans-serif"/>
                <w:color w:val="000000"/>
                <w:sz w:val="15"/>
                <w:szCs w:val="15"/>
              </w:rPr>
              <w:t>Cash dividends declared and paid ($0.16 per common share)</w:t>
            </w:r>
          </w:p>
        </w:tc>
        <w:tc>
          <w:tcPr>
            <w:tcW w:w="0" w:type="auto"/>
            <w:gridSpan w:val="2"/>
            <w:shd w:val="clear" w:color="auto" w:fill="FFFFFF"/>
            <w:tcMar>
              <w:top w:w="40" w:type="dxa"/>
              <w:left w:w="20" w:type="dxa"/>
              <w:bottom w:w="40" w:type="dxa"/>
              <w:right w:w="0" w:type="dxa"/>
            </w:tcMar>
            <w:vAlign w:val="bottom"/>
          </w:tcPr>
          <w:p w14:paraId="0D8DE5B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B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C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C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C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C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6"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C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C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9"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C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5C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C"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CD" w14:textId="77777777" w:rsidR="004C2197" w:rsidRDefault="00863B83">
            <w:pPr>
              <w:jc w:val="right"/>
              <w:textAlignment w:val="bottom"/>
            </w:pPr>
            <w:r>
              <w:rPr>
                <w:rFonts w:ascii="sans-serif" w:eastAsia="sans-serif" w:hAnsi="sans-serif" w:cs="sans-serif"/>
                <w:color w:val="000000"/>
                <w:sz w:val="15"/>
                <w:szCs w:val="15"/>
              </w:rPr>
              <w:t>(97)</w:t>
            </w:r>
          </w:p>
        </w:tc>
        <w:tc>
          <w:tcPr>
            <w:tcW w:w="0" w:type="auto"/>
            <w:shd w:val="clear" w:color="auto" w:fill="FFFFFF"/>
            <w:tcMar>
              <w:top w:w="40" w:type="dxa"/>
              <w:bottom w:w="40" w:type="dxa"/>
              <w:right w:w="20" w:type="dxa"/>
            </w:tcMar>
            <w:vAlign w:val="bottom"/>
          </w:tcPr>
          <w:p w14:paraId="0D8DE5C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5CF"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5D0" w14:textId="77777777" w:rsidR="004C2197" w:rsidRDefault="00863B83">
            <w:pPr>
              <w:jc w:val="right"/>
              <w:textAlignment w:val="bottom"/>
            </w:pPr>
            <w:r>
              <w:rPr>
                <w:rFonts w:ascii="sans-serif" w:eastAsia="sans-serif" w:hAnsi="sans-serif" w:cs="sans-serif"/>
                <w:color w:val="000000"/>
                <w:sz w:val="15"/>
                <w:szCs w:val="15"/>
              </w:rPr>
              <w:t>(97)</w:t>
            </w:r>
          </w:p>
        </w:tc>
        <w:tc>
          <w:tcPr>
            <w:tcW w:w="0" w:type="auto"/>
            <w:shd w:val="clear" w:color="auto" w:fill="FFFFFF"/>
            <w:tcMar>
              <w:top w:w="40" w:type="dxa"/>
              <w:bottom w:w="40" w:type="dxa"/>
              <w:right w:w="20" w:type="dxa"/>
            </w:tcMar>
            <w:vAlign w:val="bottom"/>
          </w:tcPr>
          <w:p w14:paraId="0D8DE5D1" w14:textId="77777777" w:rsidR="004C2197" w:rsidRDefault="004C2197">
            <w:pPr>
              <w:jc w:val="right"/>
              <w:rPr>
                <w:rFonts w:ascii="宋体"/>
              </w:rPr>
            </w:pPr>
          </w:p>
        </w:tc>
        <w:tc>
          <w:tcPr>
            <w:tcW w:w="0" w:type="auto"/>
            <w:shd w:val="clear" w:color="auto" w:fill="auto"/>
          </w:tcPr>
          <w:p w14:paraId="0D8DE5D2" w14:textId="77777777" w:rsidR="004C2197" w:rsidRDefault="004C2197">
            <w:pPr>
              <w:rPr>
                <w:rFonts w:ascii="宋体"/>
              </w:rPr>
            </w:pPr>
          </w:p>
        </w:tc>
        <w:tc>
          <w:tcPr>
            <w:tcW w:w="0" w:type="auto"/>
            <w:shd w:val="clear" w:color="auto" w:fill="auto"/>
          </w:tcPr>
          <w:p w14:paraId="0D8DE5D3" w14:textId="77777777" w:rsidR="004C2197" w:rsidRDefault="004C2197">
            <w:pPr>
              <w:rPr>
                <w:rFonts w:ascii="宋体"/>
              </w:rPr>
            </w:pPr>
          </w:p>
        </w:tc>
        <w:tc>
          <w:tcPr>
            <w:tcW w:w="0" w:type="auto"/>
            <w:shd w:val="clear" w:color="auto" w:fill="auto"/>
          </w:tcPr>
          <w:p w14:paraId="0D8DE5D4" w14:textId="77777777" w:rsidR="004C2197" w:rsidRDefault="004C2197">
            <w:pPr>
              <w:rPr>
                <w:rFonts w:ascii="宋体"/>
              </w:rPr>
            </w:pPr>
          </w:p>
        </w:tc>
        <w:tc>
          <w:tcPr>
            <w:tcW w:w="0" w:type="auto"/>
            <w:shd w:val="clear" w:color="auto" w:fill="auto"/>
          </w:tcPr>
          <w:p w14:paraId="0D8DE5D5" w14:textId="77777777" w:rsidR="004C2197" w:rsidRDefault="004C2197">
            <w:pPr>
              <w:rPr>
                <w:rFonts w:ascii="宋体"/>
              </w:rPr>
            </w:pPr>
          </w:p>
        </w:tc>
        <w:tc>
          <w:tcPr>
            <w:tcW w:w="0" w:type="auto"/>
            <w:shd w:val="clear" w:color="auto" w:fill="auto"/>
          </w:tcPr>
          <w:p w14:paraId="0D8DE5D6" w14:textId="77777777" w:rsidR="004C2197" w:rsidRDefault="004C2197">
            <w:pPr>
              <w:rPr>
                <w:rFonts w:ascii="宋体"/>
              </w:rPr>
            </w:pPr>
          </w:p>
        </w:tc>
        <w:tc>
          <w:tcPr>
            <w:tcW w:w="0" w:type="auto"/>
            <w:shd w:val="clear" w:color="auto" w:fill="auto"/>
          </w:tcPr>
          <w:p w14:paraId="0D8DE5D7" w14:textId="77777777" w:rsidR="004C2197" w:rsidRDefault="004C2197">
            <w:pPr>
              <w:rPr>
                <w:rFonts w:ascii="宋体"/>
              </w:rPr>
            </w:pPr>
          </w:p>
        </w:tc>
        <w:tc>
          <w:tcPr>
            <w:tcW w:w="0" w:type="auto"/>
            <w:shd w:val="clear" w:color="auto" w:fill="auto"/>
          </w:tcPr>
          <w:p w14:paraId="0D8DE5D8" w14:textId="77777777" w:rsidR="004C2197" w:rsidRDefault="004C2197">
            <w:pPr>
              <w:rPr>
                <w:rFonts w:ascii="宋体"/>
              </w:rPr>
            </w:pPr>
          </w:p>
        </w:tc>
        <w:tc>
          <w:tcPr>
            <w:tcW w:w="0" w:type="auto"/>
            <w:shd w:val="clear" w:color="auto" w:fill="auto"/>
          </w:tcPr>
          <w:p w14:paraId="0D8DE5D9" w14:textId="77777777" w:rsidR="004C2197" w:rsidRDefault="004C2197">
            <w:pPr>
              <w:rPr>
                <w:rFonts w:ascii="宋体"/>
              </w:rPr>
            </w:pPr>
          </w:p>
        </w:tc>
        <w:tc>
          <w:tcPr>
            <w:tcW w:w="0" w:type="auto"/>
            <w:shd w:val="clear" w:color="auto" w:fill="auto"/>
          </w:tcPr>
          <w:p w14:paraId="0D8DE5DA" w14:textId="77777777" w:rsidR="004C2197" w:rsidRDefault="004C2197">
            <w:pPr>
              <w:rPr>
                <w:rFonts w:ascii="宋体"/>
              </w:rPr>
            </w:pPr>
          </w:p>
        </w:tc>
        <w:tc>
          <w:tcPr>
            <w:tcW w:w="0" w:type="auto"/>
            <w:shd w:val="clear" w:color="auto" w:fill="auto"/>
          </w:tcPr>
          <w:p w14:paraId="0D8DE5DB" w14:textId="77777777" w:rsidR="004C2197" w:rsidRDefault="004C2197">
            <w:pPr>
              <w:rPr>
                <w:rFonts w:ascii="宋体"/>
              </w:rPr>
            </w:pPr>
          </w:p>
        </w:tc>
        <w:tc>
          <w:tcPr>
            <w:tcW w:w="0" w:type="auto"/>
            <w:shd w:val="clear" w:color="auto" w:fill="auto"/>
          </w:tcPr>
          <w:p w14:paraId="0D8DE5DC" w14:textId="77777777" w:rsidR="004C2197" w:rsidRDefault="004C2197">
            <w:pPr>
              <w:rPr>
                <w:rFonts w:ascii="宋体"/>
              </w:rPr>
            </w:pPr>
          </w:p>
        </w:tc>
        <w:tc>
          <w:tcPr>
            <w:tcW w:w="0" w:type="auto"/>
            <w:shd w:val="clear" w:color="auto" w:fill="auto"/>
          </w:tcPr>
          <w:p w14:paraId="0D8DE5DD" w14:textId="77777777" w:rsidR="004C2197" w:rsidRDefault="004C2197">
            <w:pPr>
              <w:rPr>
                <w:rFonts w:ascii="宋体"/>
              </w:rPr>
            </w:pPr>
          </w:p>
        </w:tc>
        <w:tc>
          <w:tcPr>
            <w:tcW w:w="0" w:type="auto"/>
            <w:shd w:val="clear" w:color="auto" w:fill="auto"/>
          </w:tcPr>
          <w:p w14:paraId="0D8DE5DE" w14:textId="77777777" w:rsidR="004C2197" w:rsidRDefault="004C2197">
            <w:pPr>
              <w:rPr>
                <w:rFonts w:ascii="宋体"/>
              </w:rPr>
            </w:pPr>
          </w:p>
        </w:tc>
        <w:tc>
          <w:tcPr>
            <w:tcW w:w="0" w:type="auto"/>
            <w:shd w:val="clear" w:color="auto" w:fill="auto"/>
          </w:tcPr>
          <w:p w14:paraId="0D8DE5DF" w14:textId="77777777" w:rsidR="004C2197" w:rsidRDefault="004C2197">
            <w:pPr>
              <w:rPr>
                <w:rFonts w:ascii="宋体"/>
              </w:rPr>
            </w:pPr>
          </w:p>
        </w:tc>
        <w:tc>
          <w:tcPr>
            <w:tcW w:w="0" w:type="auto"/>
            <w:shd w:val="clear" w:color="auto" w:fill="auto"/>
          </w:tcPr>
          <w:p w14:paraId="0D8DE5E0" w14:textId="77777777" w:rsidR="004C2197" w:rsidRDefault="004C2197">
            <w:pPr>
              <w:rPr>
                <w:rFonts w:ascii="宋体"/>
              </w:rPr>
            </w:pPr>
          </w:p>
        </w:tc>
      </w:tr>
      <w:tr w:rsidR="004C2197" w14:paraId="0D8DE606" w14:textId="77777777">
        <w:trPr>
          <w:jc w:val="center"/>
        </w:trPr>
        <w:tc>
          <w:tcPr>
            <w:tcW w:w="0" w:type="auto"/>
            <w:gridSpan w:val="3"/>
            <w:shd w:val="clear" w:color="auto" w:fill="E2EFD9"/>
            <w:tcMar>
              <w:top w:w="40" w:type="dxa"/>
              <w:left w:w="20" w:type="dxa"/>
              <w:bottom w:w="40" w:type="dxa"/>
              <w:right w:w="20" w:type="dxa"/>
            </w:tcMar>
            <w:vAlign w:val="bottom"/>
          </w:tcPr>
          <w:p w14:paraId="0D8DE5E2" w14:textId="77777777" w:rsidR="004C2197" w:rsidRDefault="00863B83">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0D8DE5E3" w14:textId="77777777" w:rsidR="004C2197" w:rsidRDefault="00863B83">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E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E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E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E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E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E9" w14:textId="77777777" w:rsidR="004C2197" w:rsidRDefault="00863B83">
            <w:pPr>
              <w:jc w:val="right"/>
              <w:textAlignment w:val="bottom"/>
            </w:pPr>
            <w:r>
              <w:rPr>
                <w:rFonts w:ascii="sans-serif" w:eastAsia="sans-serif" w:hAnsi="sans-serif" w:cs="sans-serif"/>
                <w:color w:val="000000"/>
                <w:sz w:val="15"/>
                <w:szCs w:val="15"/>
              </w:rPr>
              <w:t>226 </w:t>
            </w:r>
          </w:p>
        </w:tc>
        <w:tc>
          <w:tcPr>
            <w:tcW w:w="0" w:type="auto"/>
            <w:shd w:val="clear" w:color="auto" w:fill="E2EFD9"/>
            <w:tcMar>
              <w:top w:w="40" w:type="dxa"/>
              <w:bottom w:w="40" w:type="dxa"/>
              <w:right w:w="20" w:type="dxa"/>
            </w:tcMar>
            <w:vAlign w:val="bottom"/>
          </w:tcPr>
          <w:p w14:paraId="0D8DE5E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E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E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E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EE"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E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F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F1"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F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5F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5F4"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5F5" w14:textId="77777777" w:rsidR="004C2197" w:rsidRDefault="00863B83">
            <w:pPr>
              <w:jc w:val="right"/>
              <w:textAlignment w:val="bottom"/>
            </w:pPr>
            <w:r>
              <w:rPr>
                <w:rFonts w:ascii="sans-serif" w:eastAsia="sans-serif" w:hAnsi="sans-serif" w:cs="sans-serif"/>
                <w:color w:val="000000"/>
                <w:sz w:val="15"/>
                <w:szCs w:val="15"/>
              </w:rPr>
              <w:t>226 </w:t>
            </w:r>
          </w:p>
        </w:tc>
        <w:tc>
          <w:tcPr>
            <w:tcW w:w="0" w:type="auto"/>
            <w:shd w:val="clear" w:color="auto" w:fill="E2EFD9"/>
            <w:tcMar>
              <w:top w:w="40" w:type="dxa"/>
              <w:bottom w:w="40" w:type="dxa"/>
              <w:right w:w="20" w:type="dxa"/>
            </w:tcMar>
            <w:vAlign w:val="bottom"/>
          </w:tcPr>
          <w:p w14:paraId="0D8DE5F6" w14:textId="77777777" w:rsidR="004C2197" w:rsidRDefault="004C2197">
            <w:pPr>
              <w:jc w:val="right"/>
              <w:rPr>
                <w:rFonts w:ascii="宋体"/>
              </w:rPr>
            </w:pPr>
          </w:p>
        </w:tc>
        <w:tc>
          <w:tcPr>
            <w:tcW w:w="0" w:type="auto"/>
            <w:shd w:val="clear" w:color="auto" w:fill="auto"/>
          </w:tcPr>
          <w:p w14:paraId="0D8DE5F7" w14:textId="77777777" w:rsidR="004C2197" w:rsidRDefault="004C2197">
            <w:pPr>
              <w:rPr>
                <w:rFonts w:ascii="宋体"/>
              </w:rPr>
            </w:pPr>
          </w:p>
        </w:tc>
        <w:tc>
          <w:tcPr>
            <w:tcW w:w="0" w:type="auto"/>
            <w:shd w:val="clear" w:color="auto" w:fill="auto"/>
          </w:tcPr>
          <w:p w14:paraId="0D8DE5F8" w14:textId="77777777" w:rsidR="004C2197" w:rsidRDefault="004C2197">
            <w:pPr>
              <w:rPr>
                <w:rFonts w:ascii="宋体"/>
              </w:rPr>
            </w:pPr>
          </w:p>
        </w:tc>
        <w:tc>
          <w:tcPr>
            <w:tcW w:w="0" w:type="auto"/>
            <w:shd w:val="clear" w:color="auto" w:fill="auto"/>
          </w:tcPr>
          <w:p w14:paraId="0D8DE5F9" w14:textId="77777777" w:rsidR="004C2197" w:rsidRDefault="004C2197">
            <w:pPr>
              <w:rPr>
                <w:rFonts w:ascii="宋体"/>
              </w:rPr>
            </w:pPr>
          </w:p>
        </w:tc>
        <w:tc>
          <w:tcPr>
            <w:tcW w:w="0" w:type="auto"/>
            <w:shd w:val="clear" w:color="auto" w:fill="auto"/>
          </w:tcPr>
          <w:p w14:paraId="0D8DE5FA" w14:textId="77777777" w:rsidR="004C2197" w:rsidRDefault="004C2197">
            <w:pPr>
              <w:rPr>
                <w:rFonts w:ascii="宋体"/>
              </w:rPr>
            </w:pPr>
          </w:p>
        </w:tc>
        <w:tc>
          <w:tcPr>
            <w:tcW w:w="0" w:type="auto"/>
            <w:shd w:val="clear" w:color="auto" w:fill="auto"/>
          </w:tcPr>
          <w:p w14:paraId="0D8DE5FB" w14:textId="77777777" w:rsidR="004C2197" w:rsidRDefault="004C2197">
            <w:pPr>
              <w:rPr>
                <w:rFonts w:ascii="宋体"/>
              </w:rPr>
            </w:pPr>
          </w:p>
        </w:tc>
        <w:tc>
          <w:tcPr>
            <w:tcW w:w="0" w:type="auto"/>
            <w:shd w:val="clear" w:color="auto" w:fill="auto"/>
          </w:tcPr>
          <w:p w14:paraId="0D8DE5FC" w14:textId="77777777" w:rsidR="004C2197" w:rsidRDefault="004C2197">
            <w:pPr>
              <w:rPr>
                <w:rFonts w:ascii="宋体"/>
              </w:rPr>
            </w:pPr>
          </w:p>
        </w:tc>
        <w:tc>
          <w:tcPr>
            <w:tcW w:w="0" w:type="auto"/>
            <w:shd w:val="clear" w:color="auto" w:fill="auto"/>
          </w:tcPr>
          <w:p w14:paraId="0D8DE5FD" w14:textId="77777777" w:rsidR="004C2197" w:rsidRDefault="004C2197">
            <w:pPr>
              <w:rPr>
                <w:rFonts w:ascii="宋体"/>
              </w:rPr>
            </w:pPr>
          </w:p>
        </w:tc>
        <w:tc>
          <w:tcPr>
            <w:tcW w:w="0" w:type="auto"/>
            <w:shd w:val="clear" w:color="auto" w:fill="auto"/>
          </w:tcPr>
          <w:p w14:paraId="0D8DE5FE" w14:textId="77777777" w:rsidR="004C2197" w:rsidRDefault="004C2197">
            <w:pPr>
              <w:rPr>
                <w:rFonts w:ascii="宋体"/>
              </w:rPr>
            </w:pPr>
          </w:p>
        </w:tc>
        <w:tc>
          <w:tcPr>
            <w:tcW w:w="0" w:type="auto"/>
            <w:shd w:val="clear" w:color="auto" w:fill="auto"/>
          </w:tcPr>
          <w:p w14:paraId="0D8DE5FF" w14:textId="77777777" w:rsidR="004C2197" w:rsidRDefault="004C2197">
            <w:pPr>
              <w:rPr>
                <w:rFonts w:ascii="宋体"/>
              </w:rPr>
            </w:pPr>
          </w:p>
        </w:tc>
        <w:tc>
          <w:tcPr>
            <w:tcW w:w="0" w:type="auto"/>
            <w:shd w:val="clear" w:color="auto" w:fill="auto"/>
          </w:tcPr>
          <w:p w14:paraId="0D8DE600" w14:textId="77777777" w:rsidR="004C2197" w:rsidRDefault="004C2197">
            <w:pPr>
              <w:rPr>
                <w:rFonts w:ascii="宋体"/>
              </w:rPr>
            </w:pPr>
          </w:p>
        </w:tc>
        <w:tc>
          <w:tcPr>
            <w:tcW w:w="0" w:type="auto"/>
            <w:shd w:val="clear" w:color="auto" w:fill="auto"/>
          </w:tcPr>
          <w:p w14:paraId="0D8DE601" w14:textId="77777777" w:rsidR="004C2197" w:rsidRDefault="004C2197">
            <w:pPr>
              <w:rPr>
                <w:rFonts w:ascii="宋体"/>
              </w:rPr>
            </w:pPr>
          </w:p>
        </w:tc>
        <w:tc>
          <w:tcPr>
            <w:tcW w:w="0" w:type="auto"/>
            <w:shd w:val="clear" w:color="auto" w:fill="auto"/>
          </w:tcPr>
          <w:p w14:paraId="0D8DE602" w14:textId="77777777" w:rsidR="004C2197" w:rsidRDefault="004C2197">
            <w:pPr>
              <w:rPr>
                <w:rFonts w:ascii="宋体"/>
              </w:rPr>
            </w:pPr>
          </w:p>
        </w:tc>
        <w:tc>
          <w:tcPr>
            <w:tcW w:w="0" w:type="auto"/>
            <w:shd w:val="clear" w:color="auto" w:fill="auto"/>
          </w:tcPr>
          <w:p w14:paraId="0D8DE603" w14:textId="77777777" w:rsidR="004C2197" w:rsidRDefault="004C2197">
            <w:pPr>
              <w:rPr>
                <w:rFonts w:ascii="宋体"/>
              </w:rPr>
            </w:pPr>
          </w:p>
        </w:tc>
        <w:tc>
          <w:tcPr>
            <w:tcW w:w="0" w:type="auto"/>
            <w:shd w:val="clear" w:color="auto" w:fill="auto"/>
          </w:tcPr>
          <w:p w14:paraId="0D8DE604" w14:textId="77777777" w:rsidR="004C2197" w:rsidRDefault="004C2197">
            <w:pPr>
              <w:rPr>
                <w:rFonts w:ascii="宋体"/>
              </w:rPr>
            </w:pPr>
          </w:p>
        </w:tc>
        <w:tc>
          <w:tcPr>
            <w:tcW w:w="0" w:type="auto"/>
            <w:shd w:val="clear" w:color="auto" w:fill="auto"/>
          </w:tcPr>
          <w:p w14:paraId="0D8DE605" w14:textId="77777777" w:rsidR="004C2197" w:rsidRDefault="004C2197">
            <w:pPr>
              <w:rPr>
                <w:rFonts w:ascii="宋体"/>
              </w:rPr>
            </w:pPr>
          </w:p>
        </w:tc>
      </w:tr>
      <w:tr w:rsidR="004C2197" w14:paraId="0D8DE631" w14:textId="77777777">
        <w:trPr>
          <w:jc w:val="center"/>
        </w:trPr>
        <w:tc>
          <w:tcPr>
            <w:tcW w:w="0" w:type="auto"/>
            <w:gridSpan w:val="3"/>
            <w:shd w:val="clear" w:color="auto" w:fill="FFFFFF"/>
            <w:tcMar>
              <w:top w:w="40" w:type="dxa"/>
              <w:left w:w="20" w:type="dxa"/>
              <w:bottom w:w="40" w:type="dxa"/>
              <w:right w:w="20" w:type="dxa"/>
            </w:tcMar>
            <w:vAlign w:val="bottom"/>
          </w:tcPr>
          <w:p w14:paraId="0D8DE607" w14:textId="77777777" w:rsidR="004C2197" w:rsidRDefault="00863B83">
            <w:pPr>
              <w:textAlignment w:val="bottom"/>
            </w:pPr>
            <w:r>
              <w:rPr>
                <w:rFonts w:ascii="sans-serif" w:eastAsia="sans-serif" w:hAnsi="sans-serif" w:cs="sans-serif"/>
                <w:color w:val="000000"/>
                <w:sz w:val="15"/>
                <w:szCs w:val="15"/>
              </w:rPr>
              <w:t>Balances, July 28, 2019</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DE608" w14:textId="77777777" w:rsidR="004C2197" w:rsidRDefault="00863B83">
            <w:pPr>
              <w:jc w:val="right"/>
              <w:textAlignment w:val="bottom"/>
            </w:pPr>
            <w:r>
              <w:rPr>
                <w:rFonts w:ascii="sans-serif" w:eastAsia="sans-serif" w:hAnsi="sans-serif" w:cs="sans-serif"/>
                <w:color w:val="000000"/>
                <w:sz w:val="15"/>
                <w:szCs w:val="15"/>
              </w:rPr>
              <w:t>60</w:t>
            </w:r>
            <w:r>
              <w:rPr>
                <w:rFonts w:ascii="sans-serif" w:eastAsia="sans-serif" w:hAnsi="sans-serif" w:cs="sans-serif"/>
                <w:color w:val="000000"/>
                <w:sz w:val="15"/>
                <w:szCs w:val="15"/>
              </w:rPr>
              <w:t>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0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0A"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0B"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0C"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0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0E"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0F"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10" w14:textId="77777777" w:rsidR="004C2197" w:rsidRDefault="00863B83">
            <w:pPr>
              <w:jc w:val="right"/>
              <w:textAlignment w:val="bottom"/>
            </w:pPr>
            <w:r>
              <w:rPr>
                <w:rFonts w:ascii="sans-serif" w:eastAsia="sans-serif" w:hAnsi="sans-serif" w:cs="sans-serif"/>
                <w:color w:val="000000"/>
                <w:sz w:val="15"/>
                <w:szCs w:val="15"/>
              </w:rPr>
              <w:t>6,543 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1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12"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13"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14" w14:textId="77777777" w:rsidR="004C2197" w:rsidRDefault="00863B83">
            <w:pPr>
              <w:jc w:val="right"/>
              <w:textAlignment w:val="bottom"/>
            </w:pPr>
            <w:r>
              <w:rPr>
                <w:rFonts w:ascii="sans-serif" w:eastAsia="sans-serif" w:hAnsi="sans-serif" w:cs="sans-serif"/>
                <w:color w:val="000000"/>
                <w:sz w:val="15"/>
                <w:szCs w:val="15"/>
              </w:rPr>
              <w:t>(9,524)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1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16"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17"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18" w14:textId="77777777" w:rsidR="004C2197" w:rsidRDefault="00863B83">
            <w:pPr>
              <w:jc w:val="right"/>
              <w:textAlignment w:val="bottom"/>
            </w:pPr>
            <w:r>
              <w:rPr>
                <w:rFonts w:ascii="sans-serif" w:eastAsia="sans-serif" w:hAnsi="sans-serif" w:cs="sans-serif"/>
                <w:color w:val="000000"/>
                <w:sz w:val="15"/>
                <w:szCs w:val="15"/>
              </w:rPr>
              <w:t>(1)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1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1A"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1B"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1C" w14:textId="77777777" w:rsidR="004C2197" w:rsidRDefault="00863B83">
            <w:pPr>
              <w:jc w:val="right"/>
              <w:textAlignment w:val="bottom"/>
            </w:pPr>
            <w:r>
              <w:rPr>
                <w:rFonts w:ascii="sans-serif" w:eastAsia="sans-serif" w:hAnsi="sans-serif" w:cs="sans-serif"/>
                <w:color w:val="000000"/>
                <w:sz w:val="15"/>
                <w:szCs w:val="15"/>
              </w:rPr>
              <w:t>13,317 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1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1E"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61F"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620" w14:textId="77777777" w:rsidR="004C2197" w:rsidRDefault="00863B83">
            <w:pPr>
              <w:jc w:val="right"/>
              <w:textAlignment w:val="bottom"/>
            </w:pPr>
            <w:r>
              <w:rPr>
                <w:rFonts w:ascii="sans-serif" w:eastAsia="sans-serif" w:hAnsi="sans-serif" w:cs="sans-serif"/>
                <w:color w:val="000000"/>
                <w:sz w:val="15"/>
                <w:szCs w:val="15"/>
              </w:rPr>
              <w:t>10,336 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621" w14:textId="77777777" w:rsidR="004C2197" w:rsidRDefault="004C2197">
            <w:pPr>
              <w:jc w:val="right"/>
              <w:rPr>
                <w:rFonts w:ascii="宋体"/>
              </w:rPr>
            </w:pPr>
          </w:p>
        </w:tc>
        <w:tc>
          <w:tcPr>
            <w:tcW w:w="0" w:type="auto"/>
            <w:shd w:val="clear" w:color="auto" w:fill="auto"/>
          </w:tcPr>
          <w:p w14:paraId="0D8DE622" w14:textId="77777777" w:rsidR="004C2197" w:rsidRDefault="004C2197">
            <w:pPr>
              <w:rPr>
                <w:rFonts w:ascii="宋体"/>
              </w:rPr>
            </w:pPr>
          </w:p>
        </w:tc>
        <w:tc>
          <w:tcPr>
            <w:tcW w:w="0" w:type="auto"/>
            <w:shd w:val="clear" w:color="auto" w:fill="auto"/>
          </w:tcPr>
          <w:p w14:paraId="0D8DE623" w14:textId="77777777" w:rsidR="004C2197" w:rsidRDefault="004C2197">
            <w:pPr>
              <w:rPr>
                <w:rFonts w:ascii="宋体"/>
              </w:rPr>
            </w:pPr>
          </w:p>
        </w:tc>
        <w:tc>
          <w:tcPr>
            <w:tcW w:w="0" w:type="auto"/>
            <w:shd w:val="clear" w:color="auto" w:fill="auto"/>
          </w:tcPr>
          <w:p w14:paraId="0D8DE624" w14:textId="77777777" w:rsidR="004C2197" w:rsidRDefault="004C2197">
            <w:pPr>
              <w:rPr>
                <w:rFonts w:ascii="宋体"/>
              </w:rPr>
            </w:pPr>
          </w:p>
        </w:tc>
        <w:tc>
          <w:tcPr>
            <w:tcW w:w="0" w:type="auto"/>
            <w:shd w:val="clear" w:color="auto" w:fill="auto"/>
          </w:tcPr>
          <w:p w14:paraId="0D8DE625" w14:textId="77777777" w:rsidR="004C2197" w:rsidRDefault="004C2197">
            <w:pPr>
              <w:rPr>
                <w:rFonts w:ascii="宋体"/>
              </w:rPr>
            </w:pPr>
          </w:p>
        </w:tc>
        <w:tc>
          <w:tcPr>
            <w:tcW w:w="0" w:type="auto"/>
            <w:shd w:val="clear" w:color="auto" w:fill="auto"/>
          </w:tcPr>
          <w:p w14:paraId="0D8DE626" w14:textId="77777777" w:rsidR="004C2197" w:rsidRDefault="004C2197">
            <w:pPr>
              <w:rPr>
                <w:rFonts w:ascii="宋体"/>
              </w:rPr>
            </w:pPr>
          </w:p>
        </w:tc>
        <w:tc>
          <w:tcPr>
            <w:tcW w:w="0" w:type="auto"/>
            <w:shd w:val="clear" w:color="auto" w:fill="auto"/>
          </w:tcPr>
          <w:p w14:paraId="0D8DE627" w14:textId="77777777" w:rsidR="004C2197" w:rsidRDefault="004C2197">
            <w:pPr>
              <w:rPr>
                <w:rFonts w:ascii="宋体"/>
              </w:rPr>
            </w:pPr>
          </w:p>
        </w:tc>
        <w:tc>
          <w:tcPr>
            <w:tcW w:w="0" w:type="auto"/>
            <w:shd w:val="clear" w:color="auto" w:fill="auto"/>
          </w:tcPr>
          <w:p w14:paraId="0D8DE628" w14:textId="77777777" w:rsidR="004C2197" w:rsidRDefault="004C2197">
            <w:pPr>
              <w:rPr>
                <w:rFonts w:ascii="宋体"/>
              </w:rPr>
            </w:pPr>
          </w:p>
        </w:tc>
        <w:tc>
          <w:tcPr>
            <w:tcW w:w="0" w:type="auto"/>
            <w:shd w:val="clear" w:color="auto" w:fill="auto"/>
          </w:tcPr>
          <w:p w14:paraId="0D8DE629" w14:textId="77777777" w:rsidR="004C2197" w:rsidRDefault="004C2197">
            <w:pPr>
              <w:rPr>
                <w:rFonts w:ascii="宋体"/>
              </w:rPr>
            </w:pPr>
          </w:p>
        </w:tc>
        <w:tc>
          <w:tcPr>
            <w:tcW w:w="0" w:type="auto"/>
            <w:shd w:val="clear" w:color="auto" w:fill="auto"/>
          </w:tcPr>
          <w:p w14:paraId="0D8DE62A" w14:textId="77777777" w:rsidR="004C2197" w:rsidRDefault="004C2197">
            <w:pPr>
              <w:rPr>
                <w:rFonts w:ascii="宋体"/>
              </w:rPr>
            </w:pPr>
          </w:p>
        </w:tc>
        <w:tc>
          <w:tcPr>
            <w:tcW w:w="0" w:type="auto"/>
            <w:shd w:val="clear" w:color="auto" w:fill="auto"/>
          </w:tcPr>
          <w:p w14:paraId="0D8DE62B" w14:textId="77777777" w:rsidR="004C2197" w:rsidRDefault="004C2197">
            <w:pPr>
              <w:rPr>
                <w:rFonts w:ascii="宋体"/>
              </w:rPr>
            </w:pPr>
          </w:p>
        </w:tc>
        <w:tc>
          <w:tcPr>
            <w:tcW w:w="0" w:type="auto"/>
            <w:shd w:val="clear" w:color="auto" w:fill="auto"/>
          </w:tcPr>
          <w:p w14:paraId="0D8DE62C" w14:textId="77777777" w:rsidR="004C2197" w:rsidRDefault="004C2197">
            <w:pPr>
              <w:rPr>
                <w:rFonts w:ascii="宋体"/>
              </w:rPr>
            </w:pPr>
          </w:p>
        </w:tc>
        <w:tc>
          <w:tcPr>
            <w:tcW w:w="0" w:type="auto"/>
            <w:shd w:val="clear" w:color="auto" w:fill="auto"/>
          </w:tcPr>
          <w:p w14:paraId="0D8DE62D" w14:textId="77777777" w:rsidR="004C2197" w:rsidRDefault="004C2197">
            <w:pPr>
              <w:rPr>
                <w:rFonts w:ascii="宋体"/>
              </w:rPr>
            </w:pPr>
          </w:p>
        </w:tc>
        <w:tc>
          <w:tcPr>
            <w:tcW w:w="0" w:type="auto"/>
            <w:shd w:val="clear" w:color="auto" w:fill="auto"/>
          </w:tcPr>
          <w:p w14:paraId="0D8DE62E" w14:textId="77777777" w:rsidR="004C2197" w:rsidRDefault="004C2197">
            <w:pPr>
              <w:rPr>
                <w:rFonts w:ascii="宋体"/>
              </w:rPr>
            </w:pPr>
          </w:p>
        </w:tc>
        <w:tc>
          <w:tcPr>
            <w:tcW w:w="0" w:type="auto"/>
            <w:shd w:val="clear" w:color="auto" w:fill="auto"/>
          </w:tcPr>
          <w:p w14:paraId="0D8DE62F" w14:textId="77777777" w:rsidR="004C2197" w:rsidRDefault="004C2197">
            <w:pPr>
              <w:rPr>
                <w:rFonts w:ascii="宋体"/>
              </w:rPr>
            </w:pPr>
          </w:p>
        </w:tc>
        <w:tc>
          <w:tcPr>
            <w:tcW w:w="0" w:type="auto"/>
            <w:shd w:val="clear" w:color="auto" w:fill="auto"/>
          </w:tcPr>
          <w:p w14:paraId="0D8DE630" w14:textId="77777777" w:rsidR="004C2197" w:rsidRDefault="004C2197">
            <w:pPr>
              <w:rPr>
                <w:rFonts w:ascii="宋体"/>
              </w:rPr>
            </w:pPr>
          </w:p>
        </w:tc>
      </w:tr>
    </w:tbl>
    <w:p w14:paraId="0D8DE632" w14:textId="77777777" w:rsidR="004C2197" w:rsidRDefault="00863B83">
      <w:pPr>
        <w:spacing w:after="180"/>
        <w:jc w:val="center"/>
      </w:pPr>
      <w:r>
        <w:rPr>
          <w:rFonts w:ascii="sans-serif" w:eastAsia="sans-serif" w:hAnsi="sans-serif" w:cs="sans-serif"/>
          <w:color w:val="000000"/>
          <w:sz w:val="20"/>
          <w:szCs w:val="20"/>
        </w:rPr>
        <w:t>See accompanying Notes to Condensed Consolidated Financial Statements.</w:t>
      </w:r>
    </w:p>
    <w:p w14:paraId="0D8DE633" w14:textId="77777777" w:rsidR="004C2197" w:rsidRDefault="004C2197">
      <w:pPr>
        <w:spacing w:after="180"/>
        <w:jc w:val="center"/>
      </w:pPr>
    </w:p>
    <w:p w14:paraId="0D8DE634" w14:textId="77777777" w:rsidR="004C2197" w:rsidRDefault="00863B83">
      <w:pPr>
        <w:spacing w:after="180"/>
        <w:jc w:val="center"/>
      </w:pPr>
      <w:r>
        <w:rPr>
          <w:rFonts w:ascii="sans-serif" w:eastAsia="sans-serif" w:hAnsi="sans-serif" w:cs="sans-serif"/>
          <w:color w:val="000000"/>
          <w:sz w:val="20"/>
          <w:szCs w:val="20"/>
        </w:rPr>
        <w:t>6</w:t>
      </w:r>
    </w:p>
    <w:p w14:paraId="0D8DE635" w14:textId="77777777" w:rsidR="004C2197" w:rsidRDefault="00863B83">
      <w:r>
        <w:pict w14:anchorId="0D8E0CAA">
          <v:rect id="_x0000_i1030" style="width:415.3pt;height:1.5pt" o:hralign="center" o:hrstd="t" o:hr="t" fillcolor="#a0a0a0" stroked="f"/>
        </w:pict>
      </w:r>
    </w:p>
    <w:p w14:paraId="0D8DE636" w14:textId="77777777" w:rsidR="004C2197" w:rsidRDefault="004C2197">
      <w:pPr>
        <w:spacing w:after="180"/>
        <w:jc w:val="both"/>
      </w:pPr>
    </w:p>
    <w:p w14:paraId="0D8DE637" w14:textId="77777777" w:rsidR="004C2197" w:rsidRDefault="00863B83">
      <w:pPr>
        <w:spacing w:after="180"/>
        <w:jc w:val="center"/>
      </w:pPr>
      <w:r>
        <w:rPr>
          <w:rFonts w:ascii="sans-serif" w:eastAsia="sans-serif" w:hAnsi="sans-serif" w:cs="sans-serif"/>
          <w:b/>
          <w:bCs/>
          <w:color w:val="000000"/>
          <w:sz w:val="20"/>
          <w:szCs w:val="20"/>
        </w:rPr>
        <w:t>NVIDIA CORPORATION AND SUBSIDIAR</w:t>
      </w:r>
      <w:r>
        <w:rPr>
          <w:rFonts w:ascii="sans-serif" w:eastAsia="sans-serif" w:hAnsi="sans-serif" w:cs="sans-serif"/>
          <w:b/>
          <w:bCs/>
          <w:color w:val="000000"/>
          <w:sz w:val="20"/>
          <w:szCs w:val="20"/>
        </w:rPr>
        <w:t>IES</w:t>
      </w:r>
    </w:p>
    <w:p w14:paraId="0D8DE638" w14:textId="77777777" w:rsidR="004C2197" w:rsidRDefault="00863B83">
      <w:pPr>
        <w:jc w:val="center"/>
      </w:pPr>
      <w:r>
        <w:rPr>
          <w:rFonts w:ascii="sans-serif" w:eastAsia="sans-serif" w:hAnsi="sans-serif" w:cs="sans-serif"/>
          <w:b/>
          <w:bCs/>
          <w:color w:val="000000"/>
          <w:sz w:val="20"/>
          <w:szCs w:val="20"/>
        </w:rPr>
        <w:t>CONDENSED CONSOLIDATED STATEMENTS OF SHAREHOLDERS’ EQUITY</w:t>
      </w:r>
    </w:p>
    <w:p w14:paraId="0D8DE639" w14:textId="77777777" w:rsidR="004C2197" w:rsidRDefault="00863B83">
      <w:pPr>
        <w:jc w:val="center"/>
      </w:pPr>
      <w:r>
        <w:rPr>
          <w:rFonts w:ascii="sans-serif" w:eastAsia="sans-serif" w:hAnsi="sans-serif" w:cs="sans-serif"/>
          <w:b/>
          <w:bCs/>
          <w:color w:val="000000"/>
          <w:sz w:val="20"/>
          <w:szCs w:val="20"/>
        </w:rPr>
        <w:t>FOR THE SIX MONTHS ENDED JULY 26, 2020 AND JULY 28, 2019</w:t>
      </w:r>
    </w:p>
    <w:p w14:paraId="0D8DE63A" w14:textId="77777777" w:rsidR="004C2197" w:rsidRDefault="00863B83">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514"/>
        <w:gridCol w:w="37"/>
        <w:gridCol w:w="73"/>
        <w:gridCol w:w="389"/>
        <w:gridCol w:w="42"/>
        <w:gridCol w:w="37"/>
        <w:gridCol w:w="37"/>
        <w:gridCol w:w="36"/>
        <w:gridCol w:w="113"/>
        <w:gridCol w:w="452"/>
        <w:gridCol w:w="41"/>
        <w:gridCol w:w="36"/>
        <w:gridCol w:w="36"/>
        <w:gridCol w:w="36"/>
        <w:gridCol w:w="112"/>
        <w:gridCol w:w="391"/>
        <w:gridCol w:w="41"/>
        <w:gridCol w:w="36"/>
        <w:gridCol w:w="36"/>
        <w:gridCol w:w="36"/>
        <w:gridCol w:w="113"/>
        <w:gridCol w:w="584"/>
        <w:gridCol w:w="41"/>
        <w:gridCol w:w="36"/>
        <w:gridCol w:w="36"/>
        <w:gridCol w:w="36"/>
        <w:gridCol w:w="113"/>
        <w:gridCol w:w="526"/>
        <w:gridCol w:w="41"/>
        <w:gridCol w:w="36"/>
        <w:gridCol w:w="36"/>
        <w:gridCol w:w="36"/>
        <w:gridCol w:w="144"/>
        <w:gridCol w:w="854"/>
        <w:gridCol w:w="41"/>
        <w:gridCol w:w="36"/>
        <w:gridCol w:w="36"/>
        <w:gridCol w:w="36"/>
        <w:gridCol w:w="112"/>
        <w:gridCol w:w="467"/>
        <w:gridCol w:w="41"/>
        <w:gridCol w:w="36"/>
        <w:gridCol w:w="36"/>
        <w:gridCol w:w="36"/>
        <w:gridCol w:w="299"/>
        <w:gridCol w:w="299"/>
        <w:gridCol w:w="299"/>
        <w:gridCol w:w="36"/>
        <w:gridCol w:w="36"/>
        <w:gridCol w:w="36"/>
        <w:gridCol w:w="36"/>
        <w:gridCol w:w="36"/>
        <w:gridCol w:w="36"/>
        <w:gridCol w:w="36"/>
        <w:gridCol w:w="36"/>
        <w:gridCol w:w="36"/>
      </w:tblGrid>
      <w:tr w:rsidR="004C2197" w14:paraId="0D8DE665" w14:textId="77777777">
        <w:trPr>
          <w:gridAfter w:val="15"/>
          <w:jc w:val="center"/>
        </w:trPr>
        <w:tc>
          <w:tcPr>
            <w:tcW w:w="50" w:type="pct"/>
            <w:shd w:val="clear" w:color="auto" w:fill="auto"/>
          </w:tcPr>
          <w:p w14:paraId="0D8DE63B" w14:textId="77777777" w:rsidR="004C2197" w:rsidRDefault="004C2197">
            <w:pPr>
              <w:rPr>
                <w:rFonts w:ascii="宋体"/>
              </w:rPr>
            </w:pPr>
          </w:p>
        </w:tc>
        <w:tc>
          <w:tcPr>
            <w:tcW w:w="1883" w:type="pct"/>
            <w:shd w:val="clear" w:color="auto" w:fill="auto"/>
          </w:tcPr>
          <w:p w14:paraId="0D8DE63C" w14:textId="77777777" w:rsidR="004C2197" w:rsidRDefault="004C2197">
            <w:pPr>
              <w:rPr>
                <w:rFonts w:ascii="宋体"/>
              </w:rPr>
            </w:pPr>
          </w:p>
        </w:tc>
        <w:tc>
          <w:tcPr>
            <w:tcW w:w="5" w:type="pct"/>
            <w:shd w:val="clear" w:color="auto" w:fill="auto"/>
          </w:tcPr>
          <w:p w14:paraId="0D8DE63D" w14:textId="77777777" w:rsidR="004C2197" w:rsidRDefault="004C2197">
            <w:pPr>
              <w:rPr>
                <w:rFonts w:ascii="宋体"/>
              </w:rPr>
            </w:pPr>
          </w:p>
        </w:tc>
        <w:tc>
          <w:tcPr>
            <w:tcW w:w="50" w:type="pct"/>
            <w:shd w:val="clear" w:color="auto" w:fill="auto"/>
          </w:tcPr>
          <w:p w14:paraId="0D8DE63E" w14:textId="77777777" w:rsidR="004C2197" w:rsidRDefault="004C2197">
            <w:pPr>
              <w:rPr>
                <w:rFonts w:ascii="宋体"/>
              </w:rPr>
            </w:pPr>
          </w:p>
        </w:tc>
        <w:tc>
          <w:tcPr>
            <w:tcW w:w="268" w:type="pct"/>
            <w:shd w:val="clear" w:color="auto" w:fill="auto"/>
          </w:tcPr>
          <w:p w14:paraId="0D8DE63F" w14:textId="77777777" w:rsidR="004C2197" w:rsidRDefault="004C2197">
            <w:pPr>
              <w:rPr>
                <w:rFonts w:ascii="宋体"/>
              </w:rPr>
            </w:pPr>
          </w:p>
        </w:tc>
        <w:tc>
          <w:tcPr>
            <w:tcW w:w="5" w:type="pct"/>
            <w:shd w:val="clear" w:color="auto" w:fill="auto"/>
          </w:tcPr>
          <w:p w14:paraId="0D8DE640" w14:textId="77777777" w:rsidR="004C2197" w:rsidRDefault="004C2197">
            <w:pPr>
              <w:rPr>
                <w:rFonts w:ascii="宋体"/>
              </w:rPr>
            </w:pPr>
          </w:p>
        </w:tc>
        <w:tc>
          <w:tcPr>
            <w:tcW w:w="5" w:type="pct"/>
            <w:shd w:val="clear" w:color="auto" w:fill="auto"/>
          </w:tcPr>
          <w:p w14:paraId="0D8DE641" w14:textId="77777777" w:rsidR="004C2197" w:rsidRDefault="004C2197">
            <w:pPr>
              <w:rPr>
                <w:rFonts w:ascii="宋体"/>
              </w:rPr>
            </w:pPr>
          </w:p>
        </w:tc>
        <w:tc>
          <w:tcPr>
            <w:tcW w:w="26" w:type="pct"/>
            <w:shd w:val="clear" w:color="auto" w:fill="auto"/>
          </w:tcPr>
          <w:p w14:paraId="0D8DE642" w14:textId="77777777" w:rsidR="004C2197" w:rsidRDefault="004C2197">
            <w:pPr>
              <w:rPr>
                <w:rFonts w:ascii="宋体"/>
              </w:rPr>
            </w:pPr>
          </w:p>
        </w:tc>
        <w:tc>
          <w:tcPr>
            <w:tcW w:w="5" w:type="pct"/>
            <w:shd w:val="clear" w:color="auto" w:fill="auto"/>
          </w:tcPr>
          <w:p w14:paraId="0D8DE643" w14:textId="77777777" w:rsidR="004C2197" w:rsidRDefault="004C2197">
            <w:pPr>
              <w:rPr>
                <w:rFonts w:ascii="宋体"/>
              </w:rPr>
            </w:pPr>
          </w:p>
        </w:tc>
        <w:tc>
          <w:tcPr>
            <w:tcW w:w="50" w:type="pct"/>
            <w:shd w:val="clear" w:color="auto" w:fill="auto"/>
          </w:tcPr>
          <w:p w14:paraId="0D8DE644" w14:textId="77777777" w:rsidR="004C2197" w:rsidRDefault="004C2197">
            <w:pPr>
              <w:rPr>
                <w:rFonts w:ascii="宋体"/>
              </w:rPr>
            </w:pPr>
          </w:p>
        </w:tc>
        <w:tc>
          <w:tcPr>
            <w:tcW w:w="260" w:type="pct"/>
            <w:shd w:val="clear" w:color="auto" w:fill="auto"/>
          </w:tcPr>
          <w:p w14:paraId="0D8DE645" w14:textId="77777777" w:rsidR="004C2197" w:rsidRDefault="004C2197">
            <w:pPr>
              <w:rPr>
                <w:rFonts w:ascii="宋体"/>
              </w:rPr>
            </w:pPr>
          </w:p>
        </w:tc>
        <w:tc>
          <w:tcPr>
            <w:tcW w:w="5" w:type="pct"/>
            <w:shd w:val="clear" w:color="auto" w:fill="auto"/>
          </w:tcPr>
          <w:p w14:paraId="0D8DE646" w14:textId="77777777" w:rsidR="004C2197" w:rsidRDefault="004C2197">
            <w:pPr>
              <w:rPr>
                <w:rFonts w:ascii="宋体"/>
              </w:rPr>
            </w:pPr>
          </w:p>
        </w:tc>
        <w:tc>
          <w:tcPr>
            <w:tcW w:w="5" w:type="pct"/>
            <w:shd w:val="clear" w:color="auto" w:fill="auto"/>
          </w:tcPr>
          <w:p w14:paraId="0D8DE647" w14:textId="77777777" w:rsidR="004C2197" w:rsidRDefault="004C2197">
            <w:pPr>
              <w:rPr>
                <w:rFonts w:ascii="宋体"/>
              </w:rPr>
            </w:pPr>
          </w:p>
        </w:tc>
        <w:tc>
          <w:tcPr>
            <w:tcW w:w="26" w:type="pct"/>
            <w:shd w:val="clear" w:color="auto" w:fill="auto"/>
          </w:tcPr>
          <w:p w14:paraId="0D8DE648" w14:textId="77777777" w:rsidR="004C2197" w:rsidRDefault="004C2197">
            <w:pPr>
              <w:rPr>
                <w:rFonts w:ascii="宋体"/>
              </w:rPr>
            </w:pPr>
          </w:p>
        </w:tc>
        <w:tc>
          <w:tcPr>
            <w:tcW w:w="5" w:type="pct"/>
            <w:shd w:val="clear" w:color="auto" w:fill="auto"/>
          </w:tcPr>
          <w:p w14:paraId="0D8DE649" w14:textId="77777777" w:rsidR="004C2197" w:rsidRDefault="004C2197">
            <w:pPr>
              <w:rPr>
                <w:rFonts w:ascii="宋体"/>
              </w:rPr>
            </w:pPr>
          </w:p>
        </w:tc>
        <w:tc>
          <w:tcPr>
            <w:tcW w:w="50" w:type="pct"/>
            <w:shd w:val="clear" w:color="auto" w:fill="auto"/>
          </w:tcPr>
          <w:p w14:paraId="0D8DE64A" w14:textId="77777777" w:rsidR="004C2197" w:rsidRDefault="004C2197">
            <w:pPr>
              <w:rPr>
                <w:rFonts w:ascii="宋体"/>
              </w:rPr>
            </w:pPr>
          </w:p>
        </w:tc>
        <w:tc>
          <w:tcPr>
            <w:tcW w:w="334" w:type="pct"/>
            <w:shd w:val="clear" w:color="auto" w:fill="auto"/>
          </w:tcPr>
          <w:p w14:paraId="0D8DE64B" w14:textId="77777777" w:rsidR="004C2197" w:rsidRDefault="004C2197">
            <w:pPr>
              <w:rPr>
                <w:rFonts w:ascii="宋体"/>
              </w:rPr>
            </w:pPr>
          </w:p>
        </w:tc>
        <w:tc>
          <w:tcPr>
            <w:tcW w:w="5" w:type="pct"/>
            <w:shd w:val="clear" w:color="auto" w:fill="auto"/>
          </w:tcPr>
          <w:p w14:paraId="0D8DE64C" w14:textId="77777777" w:rsidR="004C2197" w:rsidRDefault="004C2197">
            <w:pPr>
              <w:rPr>
                <w:rFonts w:ascii="宋体"/>
              </w:rPr>
            </w:pPr>
          </w:p>
        </w:tc>
        <w:tc>
          <w:tcPr>
            <w:tcW w:w="5" w:type="pct"/>
            <w:shd w:val="clear" w:color="auto" w:fill="auto"/>
          </w:tcPr>
          <w:p w14:paraId="0D8DE64D" w14:textId="77777777" w:rsidR="004C2197" w:rsidRDefault="004C2197">
            <w:pPr>
              <w:rPr>
                <w:rFonts w:ascii="宋体"/>
              </w:rPr>
            </w:pPr>
          </w:p>
        </w:tc>
        <w:tc>
          <w:tcPr>
            <w:tcW w:w="26" w:type="pct"/>
            <w:shd w:val="clear" w:color="auto" w:fill="auto"/>
          </w:tcPr>
          <w:p w14:paraId="0D8DE64E" w14:textId="77777777" w:rsidR="004C2197" w:rsidRDefault="004C2197">
            <w:pPr>
              <w:rPr>
                <w:rFonts w:ascii="宋体"/>
              </w:rPr>
            </w:pPr>
          </w:p>
        </w:tc>
        <w:tc>
          <w:tcPr>
            <w:tcW w:w="5" w:type="pct"/>
            <w:shd w:val="clear" w:color="auto" w:fill="auto"/>
          </w:tcPr>
          <w:p w14:paraId="0D8DE64F" w14:textId="77777777" w:rsidR="004C2197" w:rsidRDefault="004C2197">
            <w:pPr>
              <w:rPr>
                <w:rFonts w:ascii="宋体"/>
              </w:rPr>
            </w:pPr>
          </w:p>
        </w:tc>
        <w:tc>
          <w:tcPr>
            <w:tcW w:w="50" w:type="pct"/>
            <w:shd w:val="clear" w:color="auto" w:fill="auto"/>
          </w:tcPr>
          <w:p w14:paraId="0D8DE650" w14:textId="77777777" w:rsidR="004C2197" w:rsidRDefault="004C2197">
            <w:pPr>
              <w:rPr>
                <w:rFonts w:ascii="宋体"/>
              </w:rPr>
            </w:pPr>
          </w:p>
        </w:tc>
        <w:tc>
          <w:tcPr>
            <w:tcW w:w="304" w:type="pct"/>
            <w:shd w:val="clear" w:color="auto" w:fill="auto"/>
          </w:tcPr>
          <w:p w14:paraId="0D8DE651" w14:textId="77777777" w:rsidR="004C2197" w:rsidRDefault="004C2197">
            <w:pPr>
              <w:rPr>
                <w:rFonts w:ascii="宋体"/>
              </w:rPr>
            </w:pPr>
          </w:p>
        </w:tc>
        <w:tc>
          <w:tcPr>
            <w:tcW w:w="5" w:type="pct"/>
            <w:shd w:val="clear" w:color="auto" w:fill="auto"/>
          </w:tcPr>
          <w:p w14:paraId="0D8DE652" w14:textId="77777777" w:rsidR="004C2197" w:rsidRDefault="004C2197">
            <w:pPr>
              <w:rPr>
                <w:rFonts w:ascii="宋体"/>
              </w:rPr>
            </w:pPr>
          </w:p>
        </w:tc>
        <w:tc>
          <w:tcPr>
            <w:tcW w:w="5" w:type="pct"/>
            <w:shd w:val="clear" w:color="auto" w:fill="auto"/>
          </w:tcPr>
          <w:p w14:paraId="0D8DE653" w14:textId="77777777" w:rsidR="004C2197" w:rsidRDefault="004C2197">
            <w:pPr>
              <w:rPr>
                <w:rFonts w:ascii="宋体"/>
              </w:rPr>
            </w:pPr>
          </w:p>
        </w:tc>
        <w:tc>
          <w:tcPr>
            <w:tcW w:w="26" w:type="pct"/>
            <w:shd w:val="clear" w:color="auto" w:fill="auto"/>
          </w:tcPr>
          <w:p w14:paraId="0D8DE654" w14:textId="77777777" w:rsidR="004C2197" w:rsidRDefault="004C2197">
            <w:pPr>
              <w:rPr>
                <w:rFonts w:ascii="宋体"/>
              </w:rPr>
            </w:pPr>
          </w:p>
        </w:tc>
        <w:tc>
          <w:tcPr>
            <w:tcW w:w="5" w:type="pct"/>
            <w:shd w:val="clear" w:color="auto" w:fill="auto"/>
          </w:tcPr>
          <w:p w14:paraId="0D8DE655" w14:textId="77777777" w:rsidR="004C2197" w:rsidRDefault="004C2197">
            <w:pPr>
              <w:rPr>
                <w:rFonts w:ascii="宋体"/>
              </w:rPr>
            </w:pPr>
          </w:p>
        </w:tc>
        <w:tc>
          <w:tcPr>
            <w:tcW w:w="50" w:type="pct"/>
            <w:shd w:val="clear" w:color="auto" w:fill="auto"/>
          </w:tcPr>
          <w:p w14:paraId="0D8DE656" w14:textId="77777777" w:rsidR="004C2197" w:rsidRDefault="004C2197">
            <w:pPr>
              <w:rPr>
                <w:rFonts w:ascii="宋体"/>
              </w:rPr>
            </w:pPr>
          </w:p>
        </w:tc>
        <w:tc>
          <w:tcPr>
            <w:tcW w:w="525" w:type="pct"/>
            <w:shd w:val="clear" w:color="auto" w:fill="auto"/>
          </w:tcPr>
          <w:p w14:paraId="0D8DE657" w14:textId="77777777" w:rsidR="004C2197" w:rsidRDefault="004C2197">
            <w:pPr>
              <w:rPr>
                <w:rFonts w:ascii="宋体"/>
              </w:rPr>
            </w:pPr>
          </w:p>
        </w:tc>
        <w:tc>
          <w:tcPr>
            <w:tcW w:w="5" w:type="pct"/>
            <w:shd w:val="clear" w:color="auto" w:fill="auto"/>
          </w:tcPr>
          <w:p w14:paraId="0D8DE658" w14:textId="77777777" w:rsidR="004C2197" w:rsidRDefault="004C2197">
            <w:pPr>
              <w:rPr>
                <w:rFonts w:ascii="宋体"/>
              </w:rPr>
            </w:pPr>
          </w:p>
        </w:tc>
        <w:tc>
          <w:tcPr>
            <w:tcW w:w="5" w:type="pct"/>
            <w:shd w:val="clear" w:color="auto" w:fill="auto"/>
          </w:tcPr>
          <w:p w14:paraId="0D8DE659" w14:textId="77777777" w:rsidR="004C2197" w:rsidRDefault="004C2197">
            <w:pPr>
              <w:rPr>
                <w:rFonts w:ascii="宋体"/>
              </w:rPr>
            </w:pPr>
          </w:p>
        </w:tc>
        <w:tc>
          <w:tcPr>
            <w:tcW w:w="26" w:type="pct"/>
            <w:shd w:val="clear" w:color="auto" w:fill="auto"/>
          </w:tcPr>
          <w:p w14:paraId="0D8DE65A" w14:textId="77777777" w:rsidR="004C2197" w:rsidRDefault="004C2197">
            <w:pPr>
              <w:rPr>
                <w:rFonts w:ascii="宋体"/>
              </w:rPr>
            </w:pPr>
          </w:p>
        </w:tc>
        <w:tc>
          <w:tcPr>
            <w:tcW w:w="5" w:type="pct"/>
            <w:shd w:val="clear" w:color="auto" w:fill="auto"/>
          </w:tcPr>
          <w:p w14:paraId="0D8DE65B" w14:textId="77777777" w:rsidR="004C2197" w:rsidRDefault="004C2197">
            <w:pPr>
              <w:rPr>
                <w:rFonts w:ascii="宋体"/>
              </w:rPr>
            </w:pPr>
          </w:p>
        </w:tc>
        <w:tc>
          <w:tcPr>
            <w:tcW w:w="50" w:type="pct"/>
            <w:shd w:val="clear" w:color="auto" w:fill="auto"/>
          </w:tcPr>
          <w:p w14:paraId="0D8DE65C" w14:textId="77777777" w:rsidR="004C2197" w:rsidRDefault="004C2197">
            <w:pPr>
              <w:rPr>
                <w:rFonts w:ascii="宋体"/>
              </w:rPr>
            </w:pPr>
          </w:p>
        </w:tc>
        <w:tc>
          <w:tcPr>
            <w:tcW w:w="297" w:type="pct"/>
            <w:shd w:val="clear" w:color="auto" w:fill="auto"/>
          </w:tcPr>
          <w:p w14:paraId="0D8DE65D" w14:textId="77777777" w:rsidR="004C2197" w:rsidRDefault="004C2197">
            <w:pPr>
              <w:rPr>
                <w:rFonts w:ascii="宋体"/>
              </w:rPr>
            </w:pPr>
          </w:p>
        </w:tc>
        <w:tc>
          <w:tcPr>
            <w:tcW w:w="5" w:type="pct"/>
            <w:shd w:val="clear" w:color="auto" w:fill="auto"/>
          </w:tcPr>
          <w:p w14:paraId="0D8DE65E" w14:textId="77777777" w:rsidR="004C2197" w:rsidRDefault="004C2197">
            <w:pPr>
              <w:rPr>
                <w:rFonts w:ascii="宋体"/>
              </w:rPr>
            </w:pPr>
          </w:p>
        </w:tc>
        <w:tc>
          <w:tcPr>
            <w:tcW w:w="5" w:type="pct"/>
            <w:shd w:val="clear" w:color="auto" w:fill="auto"/>
          </w:tcPr>
          <w:p w14:paraId="0D8DE65F" w14:textId="77777777" w:rsidR="004C2197" w:rsidRDefault="004C2197">
            <w:pPr>
              <w:rPr>
                <w:rFonts w:ascii="宋体"/>
              </w:rPr>
            </w:pPr>
          </w:p>
        </w:tc>
        <w:tc>
          <w:tcPr>
            <w:tcW w:w="26" w:type="pct"/>
            <w:shd w:val="clear" w:color="auto" w:fill="auto"/>
          </w:tcPr>
          <w:p w14:paraId="0D8DE660" w14:textId="77777777" w:rsidR="004C2197" w:rsidRDefault="004C2197">
            <w:pPr>
              <w:rPr>
                <w:rFonts w:ascii="宋体"/>
              </w:rPr>
            </w:pPr>
          </w:p>
        </w:tc>
        <w:tc>
          <w:tcPr>
            <w:tcW w:w="5" w:type="pct"/>
            <w:shd w:val="clear" w:color="auto" w:fill="auto"/>
          </w:tcPr>
          <w:p w14:paraId="0D8DE661" w14:textId="77777777" w:rsidR="004C2197" w:rsidRDefault="004C2197">
            <w:pPr>
              <w:rPr>
                <w:rFonts w:ascii="宋体"/>
              </w:rPr>
            </w:pPr>
          </w:p>
        </w:tc>
        <w:tc>
          <w:tcPr>
            <w:tcW w:w="50" w:type="pct"/>
            <w:shd w:val="clear" w:color="auto" w:fill="auto"/>
          </w:tcPr>
          <w:p w14:paraId="0D8DE662" w14:textId="77777777" w:rsidR="004C2197" w:rsidRDefault="004C2197">
            <w:pPr>
              <w:rPr>
                <w:rFonts w:ascii="宋体"/>
              </w:rPr>
            </w:pPr>
          </w:p>
        </w:tc>
        <w:tc>
          <w:tcPr>
            <w:tcW w:w="466" w:type="pct"/>
            <w:shd w:val="clear" w:color="auto" w:fill="auto"/>
          </w:tcPr>
          <w:p w14:paraId="0D8DE663" w14:textId="77777777" w:rsidR="004C2197" w:rsidRDefault="004C2197">
            <w:pPr>
              <w:rPr>
                <w:rFonts w:ascii="宋体"/>
              </w:rPr>
            </w:pPr>
          </w:p>
        </w:tc>
        <w:tc>
          <w:tcPr>
            <w:tcW w:w="5" w:type="pct"/>
            <w:shd w:val="clear" w:color="auto" w:fill="auto"/>
          </w:tcPr>
          <w:p w14:paraId="0D8DE664" w14:textId="77777777" w:rsidR="004C2197" w:rsidRDefault="004C2197">
            <w:pPr>
              <w:rPr>
                <w:rFonts w:ascii="宋体"/>
              </w:rPr>
            </w:pPr>
          </w:p>
        </w:tc>
      </w:tr>
      <w:tr w:rsidR="004C2197" w14:paraId="0D8DE675" w14:textId="77777777">
        <w:trPr>
          <w:gridAfter w:val="9"/>
          <w:jc w:val="center"/>
        </w:trPr>
        <w:tc>
          <w:tcPr>
            <w:tcW w:w="0" w:type="auto"/>
            <w:gridSpan w:val="3"/>
            <w:shd w:val="clear" w:color="auto" w:fill="auto"/>
            <w:tcMar>
              <w:left w:w="20" w:type="dxa"/>
              <w:right w:w="20" w:type="dxa"/>
            </w:tcMar>
            <w:vAlign w:val="bottom"/>
          </w:tcPr>
          <w:p w14:paraId="0D8DE666"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667" w14:textId="77777777" w:rsidR="004C2197" w:rsidRDefault="00863B83">
            <w:pPr>
              <w:jc w:val="center"/>
              <w:textAlignment w:val="bottom"/>
            </w:pPr>
            <w:r>
              <w:rPr>
                <w:rFonts w:ascii="sans-serif" w:eastAsia="sans-serif" w:hAnsi="sans-serif" w:cs="sans-serif"/>
                <w:b/>
                <w:bCs/>
                <w:color w:val="000000"/>
                <w:sz w:val="15"/>
                <w:szCs w:val="15"/>
              </w:rPr>
              <w:t>Common Stock</w:t>
            </w:r>
          </w:p>
          <w:p w14:paraId="0D8DE668" w14:textId="77777777" w:rsidR="004C2197" w:rsidRDefault="00863B83">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Pr>
          <w:p w14:paraId="0D8DE669" w14:textId="77777777" w:rsidR="004C2197" w:rsidRDefault="004C2197">
            <w:pPr>
              <w:rPr>
                <w:rFonts w:ascii="宋体"/>
                <w:vanish/>
              </w:rPr>
            </w:pPr>
          </w:p>
        </w:tc>
        <w:tc>
          <w:tcPr>
            <w:tcW w:w="0" w:type="auto"/>
            <w:gridSpan w:val="3"/>
            <w:shd w:val="clear" w:color="auto" w:fill="auto"/>
          </w:tcPr>
          <w:p w14:paraId="0D8DE66A"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66B"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66C" w14:textId="77777777" w:rsidR="004C2197" w:rsidRDefault="00863B83">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left w:w="20" w:type="dxa"/>
              <w:right w:w="20" w:type="dxa"/>
            </w:tcMar>
            <w:vAlign w:val="bottom"/>
          </w:tcPr>
          <w:p w14:paraId="0D8DE66D"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66E" w14:textId="77777777" w:rsidR="004C2197" w:rsidRDefault="00863B83">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left w:w="20" w:type="dxa"/>
              <w:right w:w="20" w:type="dxa"/>
            </w:tcMar>
            <w:vAlign w:val="bottom"/>
          </w:tcPr>
          <w:p w14:paraId="0D8DE66F"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670" w14:textId="77777777" w:rsidR="004C2197" w:rsidRDefault="00863B83">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left w:w="20" w:type="dxa"/>
              <w:right w:w="20" w:type="dxa"/>
            </w:tcMar>
            <w:vAlign w:val="bottom"/>
          </w:tcPr>
          <w:p w14:paraId="0D8DE671"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672" w14:textId="77777777" w:rsidR="004C2197" w:rsidRDefault="00863B83">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left w:w="20" w:type="dxa"/>
              <w:right w:w="20" w:type="dxa"/>
            </w:tcMar>
            <w:vAlign w:val="bottom"/>
          </w:tcPr>
          <w:p w14:paraId="0D8DE673" w14:textId="77777777" w:rsidR="004C2197" w:rsidRDefault="004C219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8DE674" w14:textId="77777777" w:rsidR="004C2197" w:rsidRDefault="00863B83">
            <w:pPr>
              <w:jc w:val="center"/>
              <w:textAlignment w:val="bottom"/>
            </w:pPr>
            <w:r>
              <w:rPr>
                <w:rFonts w:ascii="sans-serif" w:eastAsia="sans-serif" w:hAnsi="sans-serif" w:cs="sans-serif"/>
                <w:b/>
                <w:bCs/>
                <w:color w:val="000000"/>
                <w:sz w:val="15"/>
                <w:szCs w:val="15"/>
              </w:rPr>
              <w:t>Total Shareholders' Equity</w:t>
            </w:r>
          </w:p>
        </w:tc>
      </w:tr>
      <w:tr w:rsidR="004C2197" w14:paraId="0D8DE689" w14:textId="77777777">
        <w:trPr>
          <w:jc w:val="center"/>
        </w:trPr>
        <w:tc>
          <w:tcPr>
            <w:tcW w:w="0" w:type="auto"/>
            <w:gridSpan w:val="3"/>
            <w:shd w:val="clear" w:color="auto" w:fill="auto"/>
            <w:tcMar>
              <w:top w:w="40" w:type="dxa"/>
              <w:left w:w="20" w:type="dxa"/>
              <w:bottom w:w="40" w:type="dxa"/>
              <w:right w:w="20" w:type="dxa"/>
            </w:tcMar>
            <w:vAlign w:val="bottom"/>
          </w:tcPr>
          <w:p w14:paraId="0D8DE676" w14:textId="77777777" w:rsidR="004C2197" w:rsidRDefault="00863B83">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0D8DE677" w14:textId="77777777" w:rsidR="004C2197" w:rsidRDefault="00863B83">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left w:w="20" w:type="dxa"/>
              <w:right w:w="20" w:type="dxa"/>
            </w:tcMar>
            <w:vAlign w:val="bottom"/>
          </w:tcPr>
          <w:p w14:paraId="0D8DE678"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679" w14:textId="77777777" w:rsidR="004C2197" w:rsidRDefault="00863B83">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left w:w="20" w:type="dxa"/>
              <w:right w:w="20" w:type="dxa"/>
            </w:tcMar>
            <w:vAlign w:val="bottom"/>
          </w:tcPr>
          <w:p w14:paraId="0D8DE67A" w14:textId="77777777" w:rsidR="004C2197" w:rsidRDefault="004C2197">
            <w:pPr>
              <w:rPr>
                <w:rFonts w:ascii="宋体"/>
              </w:rPr>
            </w:pPr>
          </w:p>
        </w:tc>
        <w:tc>
          <w:tcPr>
            <w:tcW w:w="0" w:type="auto"/>
            <w:gridSpan w:val="3"/>
            <w:shd w:val="clear" w:color="auto" w:fill="auto"/>
          </w:tcPr>
          <w:p w14:paraId="0D8DE67B"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67C"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67D" w14:textId="77777777" w:rsidR="004C2197" w:rsidRDefault="004C2197">
            <w:pPr>
              <w:jc w:val="center"/>
              <w:rPr>
                <w:rFonts w:ascii="宋体"/>
              </w:rPr>
            </w:pPr>
          </w:p>
        </w:tc>
        <w:tc>
          <w:tcPr>
            <w:tcW w:w="0" w:type="auto"/>
            <w:gridSpan w:val="3"/>
            <w:shd w:val="clear" w:color="auto" w:fill="auto"/>
          </w:tcPr>
          <w:p w14:paraId="0D8DE67E" w14:textId="77777777" w:rsidR="004C2197" w:rsidRDefault="004C2197">
            <w:pPr>
              <w:rPr>
                <w:rFonts w:ascii="宋体"/>
                <w:vanish/>
              </w:rPr>
            </w:pPr>
          </w:p>
        </w:tc>
        <w:tc>
          <w:tcPr>
            <w:tcW w:w="0" w:type="auto"/>
            <w:gridSpan w:val="3"/>
            <w:vMerge/>
            <w:shd w:val="clear" w:color="auto" w:fill="auto"/>
            <w:tcMar>
              <w:top w:w="40" w:type="dxa"/>
              <w:left w:w="20" w:type="dxa"/>
              <w:bottom w:w="40" w:type="dxa"/>
              <w:right w:w="20" w:type="dxa"/>
            </w:tcMar>
            <w:vAlign w:val="bottom"/>
          </w:tcPr>
          <w:p w14:paraId="0D8DE67F"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E680"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681" w14:textId="77777777" w:rsidR="004C2197" w:rsidRDefault="004C2197">
            <w:pPr>
              <w:jc w:val="center"/>
              <w:rPr>
                <w:rFonts w:ascii="宋体"/>
              </w:rPr>
            </w:pPr>
          </w:p>
        </w:tc>
        <w:tc>
          <w:tcPr>
            <w:tcW w:w="0" w:type="auto"/>
            <w:gridSpan w:val="3"/>
            <w:shd w:val="clear" w:color="auto" w:fill="auto"/>
          </w:tcPr>
          <w:p w14:paraId="0D8DE682" w14:textId="77777777" w:rsidR="004C2197" w:rsidRDefault="004C2197">
            <w:pPr>
              <w:rPr>
                <w:rFonts w:ascii="宋体"/>
                <w:vanish/>
              </w:rPr>
            </w:pPr>
          </w:p>
        </w:tc>
        <w:tc>
          <w:tcPr>
            <w:tcW w:w="0" w:type="auto"/>
            <w:gridSpan w:val="3"/>
            <w:vMerge/>
            <w:shd w:val="clear" w:color="auto" w:fill="auto"/>
            <w:tcMar>
              <w:top w:w="40" w:type="dxa"/>
              <w:left w:w="20" w:type="dxa"/>
              <w:bottom w:w="40" w:type="dxa"/>
              <w:right w:w="20" w:type="dxa"/>
            </w:tcMar>
            <w:vAlign w:val="bottom"/>
          </w:tcPr>
          <w:p w14:paraId="0D8DE683"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E684" w14:textId="77777777" w:rsidR="004C2197" w:rsidRDefault="004C2197">
            <w:pPr>
              <w:rPr>
                <w:rFonts w:ascii="宋体"/>
              </w:rPr>
            </w:pPr>
          </w:p>
        </w:tc>
        <w:tc>
          <w:tcPr>
            <w:tcW w:w="0" w:type="auto"/>
            <w:gridSpan w:val="3"/>
            <w:vMerge/>
            <w:shd w:val="clear" w:color="auto" w:fill="auto"/>
            <w:tcMar>
              <w:top w:w="40" w:type="dxa"/>
              <w:left w:w="20" w:type="dxa"/>
              <w:bottom w:w="40" w:type="dxa"/>
              <w:right w:w="20" w:type="dxa"/>
            </w:tcMar>
            <w:vAlign w:val="bottom"/>
          </w:tcPr>
          <w:p w14:paraId="0D8DE685" w14:textId="77777777" w:rsidR="004C2197" w:rsidRDefault="004C2197">
            <w:pPr>
              <w:jc w:val="center"/>
              <w:rPr>
                <w:rFonts w:ascii="宋体"/>
              </w:rPr>
            </w:pPr>
          </w:p>
        </w:tc>
        <w:tc>
          <w:tcPr>
            <w:tcW w:w="0" w:type="auto"/>
            <w:gridSpan w:val="3"/>
            <w:shd w:val="clear" w:color="auto" w:fill="auto"/>
          </w:tcPr>
          <w:p w14:paraId="0D8DE686"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687" w14:textId="77777777" w:rsidR="004C2197" w:rsidRDefault="004C2197">
            <w:pPr>
              <w:rPr>
                <w:rFonts w:ascii="宋体"/>
              </w:rPr>
            </w:pPr>
          </w:p>
        </w:tc>
        <w:tc>
          <w:tcPr>
            <w:tcW w:w="0" w:type="auto"/>
            <w:gridSpan w:val="3"/>
            <w:shd w:val="clear" w:color="auto" w:fill="auto"/>
          </w:tcPr>
          <w:p w14:paraId="0D8DE688" w14:textId="77777777" w:rsidR="004C2197" w:rsidRDefault="004C2197">
            <w:pPr>
              <w:rPr>
                <w:rFonts w:ascii="宋体"/>
                <w:vanish/>
              </w:rPr>
            </w:pPr>
          </w:p>
        </w:tc>
      </w:tr>
      <w:tr w:rsidR="004C2197" w14:paraId="0D8DE6B4" w14:textId="77777777">
        <w:trPr>
          <w:jc w:val="center"/>
        </w:trPr>
        <w:tc>
          <w:tcPr>
            <w:tcW w:w="0" w:type="auto"/>
            <w:gridSpan w:val="3"/>
            <w:shd w:val="clear" w:color="auto" w:fill="E2EFD9"/>
            <w:tcMar>
              <w:top w:w="40" w:type="dxa"/>
              <w:left w:w="20" w:type="dxa"/>
              <w:bottom w:w="40" w:type="dxa"/>
              <w:right w:w="20" w:type="dxa"/>
            </w:tcMar>
            <w:vAlign w:val="bottom"/>
          </w:tcPr>
          <w:p w14:paraId="0D8DE68A" w14:textId="77777777" w:rsidR="004C2197" w:rsidRDefault="00863B83">
            <w:pPr>
              <w:textAlignment w:val="bottom"/>
            </w:pPr>
            <w:r>
              <w:rPr>
                <w:rFonts w:ascii="sans-serif" w:eastAsia="sans-serif" w:hAnsi="sans-serif" w:cs="sans-serif"/>
                <w:color w:val="000000"/>
                <w:sz w:val="15"/>
                <w:szCs w:val="15"/>
              </w:rPr>
              <w:t>Balances, January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68B" w14:textId="77777777" w:rsidR="004C2197" w:rsidRDefault="00863B83">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tcBorders>
            <w:shd w:val="clear" w:color="auto" w:fill="E2EFD9"/>
            <w:tcMar>
              <w:top w:w="40" w:type="dxa"/>
              <w:bottom w:w="40" w:type="dxa"/>
              <w:right w:w="20" w:type="dxa"/>
            </w:tcMar>
            <w:vAlign w:val="bottom"/>
          </w:tcPr>
          <w:p w14:paraId="0D8DE68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8D"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8E"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8F"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0D8DE69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91"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92"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93" w14:textId="77777777" w:rsidR="004C2197" w:rsidRDefault="00863B83">
            <w:pPr>
              <w:jc w:val="right"/>
              <w:textAlignment w:val="bottom"/>
            </w:pPr>
            <w:r>
              <w:rPr>
                <w:rFonts w:ascii="sans-serif" w:eastAsia="sans-serif" w:hAnsi="sans-serif" w:cs="sans-serif"/>
                <w:color w:val="000000"/>
                <w:sz w:val="15"/>
                <w:szCs w:val="15"/>
              </w:rPr>
              <w:t>7,045 </w:t>
            </w:r>
          </w:p>
        </w:tc>
        <w:tc>
          <w:tcPr>
            <w:tcW w:w="0" w:type="auto"/>
            <w:tcBorders>
              <w:top w:val="single" w:sz="8" w:space="0" w:color="000000"/>
            </w:tcBorders>
            <w:shd w:val="clear" w:color="auto" w:fill="E2EFD9"/>
            <w:tcMar>
              <w:top w:w="40" w:type="dxa"/>
              <w:bottom w:w="40" w:type="dxa"/>
              <w:right w:w="20" w:type="dxa"/>
            </w:tcMar>
            <w:vAlign w:val="bottom"/>
          </w:tcPr>
          <w:p w14:paraId="0D8DE69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95"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96"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97" w14:textId="77777777" w:rsidR="004C2197" w:rsidRDefault="00863B83">
            <w:pPr>
              <w:jc w:val="right"/>
              <w:textAlignment w:val="bottom"/>
            </w:pPr>
            <w:r>
              <w:rPr>
                <w:rFonts w:ascii="sans-serif" w:eastAsia="sans-serif" w:hAnsi="sans-serif" w:cs="sans-serif"/>
                <w:color w:val="000000"/>
                <w:sz w:val="15"/>
                <w:szCs w:val="15"/>
              </w:rPr>
              <w:t>(9,814)</w:t>
            </w:r>
          </w:p>
        </w:tc>
        <w:tc>
          <w:tcPr>
            <w:tcW w:w="0" w:type="auto"/>
            <w:tcBorders>
              <w:top w:val="single" w:sz="8" w:space="0" w:color="000000"/>
            </w:tcBorders>
            <w:shd w:val="clear" w:color="auto" w:fill="E2EFD9"/>
            <w:tcMar>
              <w:top w:w="40" w:type="dxa"/>
              <w:bottom w:w="40" w:type="dxa"/>
              <w:right w:w="20" w:type="dxa"/>
            </w:tcMar>
            <w:vAlign w:val="bottom"/>
          </w:tcPr>
          <w:p w14:paraId="0D8DE69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99"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9A"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9B"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0D8DE69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9D"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9E"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9F" w14:textId="77777777" w:rsidR="004C2197" w:rsidRDefault="00863B83">
            <w:pPr>
              <w:jc w:val="right"/>
              <w:textAlignment w:val="bottom"/>
            </w:pPr>
            <w:r>
              <w:rPr>
                <w:rFonts w:ascii="sans-serif" w:eastAsia="sans-serif" w:hAnsi="sans-serif" w:cs="sans-serif"/>
                <w:color w:val="000000"/>
                <w:sz w:val="15"/>
                <w:szCs w:val="15"/>
              </w:rPr>
              <w:t>14,971 </w:t>
            </w:r>
          </w:p>
        </w:tc>
        <w:tc>
          <w:tcPr>
            <w:tcW w:w="0" w:type="auto"/>
            <w:tcBorders>
              <w:top w:val="single" w:sz="8" w:space="0" w:color="000000"/>
            </w:tcBorders>
            <w:shd w:val="clear" w:color="auto" w:fill="E2EFD9"/>
            <w:tcMar>
              <w:top w:w="40" w:type="dxa"/>
              <w:bottom w:w="40" w:type="dxa"/>
              <w:right w:w="20" w:type="dxa"/>
            </w:tcMar>
            <w:vAlign w:val="bottom"/>
          </w:tcPr>
          <w:p w14:paraId="0D8DE6A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A1"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6A2"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6A3" w14:textId="77777777" w:rsidR="004C2197" w:rsidRDefault="00863B83">
            <w:pPr>
              <w:jc w:val="right"/>
              <w:textAlignment w:val="bottom"/>
            </w:pPr>
            <w:r>
              <w:rPr>
                <w:rFonts w:ascii="sans-serif" w:eastAsia="sans-serif" w:hAnsi="sans-serif" w:cs="sans-serif"/>
                <w:color w:val="000000"/>
                <w:sz w:val="15"/>
                <w:szCs w:val="15"/>
              </w:rPr>
              <w:t>12,204 </w:t>
            </w:r>
          </w:p>
        </w:tc>
        <w:tc>
          <w:tcPr>
            <w:tcW w:w="0" w:type="auto"/>
            <w:tcBorders>
              <w:top w:val="single" w:sz="8" w:space="0" w:color="000000"/>
            </w:tcBorders>
            <w:shd w:val="clear" w:color="auto" w:fill="E2EFD9"/>
            <w:tcMar>
              <w:top w:w="40" w:type="dxa"/>
              <w:bottom w:w="40" w:type="dxa"/>
              <w:right w:w="20" w:type="dxa"/>
            </w:tcMar>
            <w:vAlign w:val="bottom"/>
          </w:tcPr>
          <w:p w14:paraId="0D8DE6A4" w14:textId="77777777" w:rsidR="004C2197" w:rsidRDefault="004C2197">
            <w:pPr>
              <w:jc w:val="right"/>
              <w:rPr>
                <w:rFonts w:ascii="宋体"/>
              </w:rPr>
            </w:pPr>
          </w:p>
        </w:tc>
        <w:tc>
          <w:tcPr>
            <w:tcW w:w="0" w:type="auto"/>
            <w:shd w:val="clear" w:color="auto" w:fill="auto"/>
          </w:tcPr>
          <w:p w14:paraId="0D8DE6A5" w14:textId="77777777" w:rsidR="004C2197" w:rsidRDefault="004C2197">
            <w:pPr>
              <w:rPr>
                <w:rFonts w:ascii="宋体"/>
              </w:rPr>
            </w:pPr>
          </w:p>
        </w:tc>
        <w:tc>
          <w:tcPr>
            <w:tcW w:w="0" w:type="auto"/>
            <w:shd w:val="clear" w:color="auto" w:fill="auto"/>
          </w:tcPr>
          <w:p w14:paraId="0D8DE6A6" w14:textId="77777777" w:rsidR="004C2197" w:rsidRDefault="004C2197">
            <w:pPr>
              <w:rPr>
                <w:rFonts w:ascii="宋体"/>
              </w:rPr>
            </w:pPr>
          </w:p>
        </w:tc>
        <w:tc>
          <w:tcPr>
            <w:tcW w:w="0" w:type="auto"/>
            <w:shd w:val="clear" w:color="auto" w:fill="auto"/>
          </w:tcPr>
          <w:p w14:paraId="0D8DE6A7" w14:textId="77777777" w:rsidR="004C2197" w:rsidRDefault="004C2197">
            <w:pPr>
              <w:rPr>
                <w:rFonts w:ascii="宋体"/>
              </w:rPr>
            </w:pPr>
          </w:p>
        </w:tc>
        <w:tc>
          <w:tcPr>
            <w:tcW w:w="0" w:type="auto"/>
            <w:shd w:val="clear" w:color="auto" w:fill="auto"/>
          </w:tcPr>
          <w:p w14:paraId="0D8DE6A8" w14:textId="77777777" w:rsidR="004C2197" w:rsidRDefault="004C2197">
            <w:pPr>
              <w:rPr>
                <w:rFonts w:ascii="宋体"/>
              </w:rPr>
            </w:pPr>
          </w:p>
        </w:tc>
        <w:tc>
          <w:tcPr>
            <w:tcW w:w="0" w:type="auto"/>
            <w:shd w:val="clear" w:color="auto" w:fill="auto"/>
          </w:tcPr>
          <w:p w14:paraId="0D8DE6A9" w14:textId="77777777" w:rsidR="004C2197" w:rsidRDefault="004C2197">
            <w:pPr>
              <w:rPr>
                <w:rFonts w:ascii="宋体"/>
              </w:rPr>
            </w:pPr>
          </w:p>
        </w:tc>
        <w:tc>
          <w:tcPr>
            <w:tcW w:w="0" w:type="auto"/>
            <w:shd w:val="clear" w:color="auto" w:fill="auto"/>
          </w:tcPr>
          <w:p w14:paraId="0D8DE6AA" w14:textId="77777777" w:rsidR="004C2197" w:rsidRDefault="004C2197">
            <w:pPr>
              <w:rPr>
                <w:rFonts w:ascii="宋体"/>
              </w:rPr>
            </w:pPr>
          </w:p>
        </w:tc>
        <w:tc>
          <w:tcPr>
            <w:tcW w:w="0" w:type="auto"/>
            <w:shd w:val="clear" w:color="auto" w:fill="auto"/>
          </w:tcPr>
          <w:p w14:paraId="0D8DE6AB" w14:textId="77777777" w:rsidR="004C2197" w:rsidRDefault="004C2197">
            <w:pPr>
              <w:rPr>
                <w:rFonts w:ascii="宋体"/>
              </w:rPr>
            </w:pPr>
          </w:p>
        </w:tc>
        <w:tc>
          <w:tcPr>
            <w:tcW w:w="0" w:type="auto"/>
            <w:shd w:val="clear" w:color="auto" w:fill="auto"/>
          </w:tcPr>
          <w:p w14:paraId="0D8DE6AC" w14:textId="77777777" w:rsidR="004C2197" w:rsidRDefault="004C2197">
            <w:pPr>
              <w:rPr>
                <w:rFonts w:ascii="宋体"/>
              </w:rPr>
            </w:pPr>
          </w:p>
        </w:tc>
        <w:tc>
          <w:tcPr>
            <w:tcW w:w="0" w:type="auto"/>
            <w:shd w:val="clear" w:color="auto" w:fill="auto"/>
          </w:tcPr>
          <w:p w14:paraId="0D8DE6AD" w14:textId="77777777" w:rsidR="004C2197" w:rsidRDefault="004C2197">
            <w:pPr>
              <w:rPr>
                <w:rFonts w:ascii="宋体"/>
              </w:rPr>
            </w:pPr>
          </w:p>
        </w:tc>
        <w:tc>
          <w:tcPr>
            <w:tcW w:w="0" w:type="auto"/>
            <w:shd w:val="clear" w:color="auto" w:fill="auto"/>
          </w:tcPr>
          <w:p w14:paraId="0D8DE6AE" w14:textId="77777777" w:rsidR="004C2197" w:rsidRDefault="004C2197">
            <w:pPr>
              <w:rPr>
                <w:rFonts w:ascii="宋体"/>
              </w:rPr>
            </w:pPr>
          </w:p>
        </w:tc>
        <w:tc>
          <w:tcPr>
            <w:tcW w:w="0" w:type="auto"/>
            <w:shd w:val="clear" w:color="auto" w:fill="auto"/>
          </w:tcPr>
          <w:p w14:paraId="0D8DE6AF" w14:textId="77777777" w:rsidR="004C2197" w:rsidRDefault="004C2197">
            <w:pPr>
              <w:rPr>
                <w:rFonts w:ascii="宋体"/>
              </w:rPr>
            </w:pPr>
          </w:p>
        </w:tc>
        <w:tc>
          <w:tcPr>
            <w:tcW w:w="0" w:type="auto"/>
            <w:shd w:val="clear" w:color="auto" w:fill="auto"/>
          </w:tcPr>
          <w:p w14:paraId="0D8DE6B0" w14:textId="77777777" w:rsidR="004C2197" w:rsidRDefault="004C2197">
            <w:pPr>
              <w:rPr>
                <w:rFonts w:ascii="宋体"/>
              </w:rPr>
            </w:pPr>
          </w:p>
        </w:tc>
        <w:tc>
          <w:tcPr>
            <w:tcW w:w="0" w:type="auto"/>
            <w:shd w:val="clear" w:color="auto" w:fill="auto"/>
          </w:tcPr>
          <w:p w14:paraId="0D8DE6B1" w14:textId="77777777" w:rsidR="004C2197" w:rsidRDefault="004C2197">
            <w:pPr>
              <w:rPr>
                <w:rFonts w:ascii="宋体"/>
              </w:rPr>
            </w:pPr>
          </w:p>
        </w:tc>
        <w:tc>
          <w:tcPr>
            <w:tcW w:w="0" w:type="auto"/>
            <w:shd w:val="clear" w:color="auto" w:fill="auto"/>
          </w:tcPr>
          <w:p w14:paraId="0D8DE6B2" w14:textId="77777777" w:rsidR="004C2197" w:rsidRDefault="004C2197">
            <w:pPr>
              <w:rPr>
                <w:rFonts w:ascii="宋体"/>
              </w:rPr>
            </w:pPr>
          </w:p>
        </w:tc>
        <w:tc>
          <w:tcPr>
            <w:tcW w:w="0" w:type="auto"/>
            <w:shd w:val="clear" w:color="auto" w:fill="auto"/>
          </w:tcPr>
          <w:p w14:paraId="0D8DE6B3" w14:textId="77777777" w:rsidR="004C2197" w:rsidRDefault="004C2197">
            <w:pPr>
              <w:rPr>
                <w:rFonts w:ascii="宋体"/>
              </w:rPr>
            </w:pPr>
          </w:p>
        </w:tc>
      </w:tr>
      <w:tr w:rsidR="004C2197" w14:paraId="0D8DE6D9" w14:textId="77777777">
        <w:trPr>
          <w:jc w:val="center"/>
        </w:trPr>
        <w:tc>
          <w:tcPr>
            <w:tcW w:w="0" w:type="auto"/>
            <w:gridSpan w:val="3"/>
            <w:shd w:val="clear" w:color="auto" w:fill="FFFFFF"/>
            <w:tcMar>
              <w:top w:w="40" w:type="dxa"/>
              <w:left w:w="20" w:type="dxa"/>
              <w:bottom w:w="40" w:type="dxa"/>
              <w:right w:w="20" w:type="dxa"/>
            </w:tcMar>
            <w:vAlign w:val="bottom"/>
          </w:tcPr>
          <w:p w14:paraId="0D8DE6B5" w14:textId="77777777" w:rsidR="004C2197" w:rsidRDefault="00863B83">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0D8DE6B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6B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B8"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B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6B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BB"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B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6B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BE"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B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6C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C1"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C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6C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C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C5" w14:textId="77777777" w:rsidR="004C2197" w:rsidRDefault="00863B83">
            <w:pPr>
              <w:jc w:val="right"/>
              <w:textAlignment w:val="bottom"/>
            </w:pPr>
            <w:r>
              <w:rPr>
                <w:rFonts w:ascii="sans-serif" w:eastAsia="sans-serif" w:hAnsi="sans-serif" w:cs="sans-serif"/>
                <w:color w:val="000000"/>
                <w:sz w:val="15"/>
                <w:szCs w:val="15"/>
              </w:rPr>
              <w:t>1,539 </w:t>
            </w:r>
          </w:p>
        </w:tc>
        <w:tc>
          <w:tcPr>
            <w:tcW w:w="0" w:type="auto"/>
            <w:shd w:val="clear" w:color="auto" w:fill="FFFFFF"/>
            <w:tcMar>
              <w:top w:w="40" w:type="dxa"/>
              <w:bottom w:w="40" w:type="dxa"/>
              <w:right w:w="20" w:type="dxa"/>
            </w:tcMar>
            <w:vAlign w:val="bottom"/>
          </w:tcPr>
          <w:p w14:paraId="0D8DE6C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6C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6C8" w14:textId="77777777" w:rsidR="004C2197" w:rsidRDefault="00863B83">
            <w:pPr>
              <w:jc w:val="right"/>
              <w:textAlignment w:val="bottom"/>
            </w:pPr>
            <w:r>
              <w:rPr>
                <w:rFonts w:ascii="sans-serif" w:eastAsia="sans-serif" w:hAnsi="sans-serif" w:cs="sans-serif"/>
                <w:color w:val="000000"/>
                <w:sz w:val="15"/>
                <w:szCs w:val="15"/>
              </w:rPr>
              <w:t>1,539 </w:t>
            </w:r>
          </w:p>
        </w:tc>
        <w:tc>
          <w:tcPr>
            <w:tcW w:w="0" w:type="auto"/>
            <w:shd w:val="clear" w:color="auto" w:fill="FFFFFF"/>
            <w:tcMar>
              <w:top w:w="40" w:type="dxa"/>
              <w:bottom w:w="40" w:type="dxa"/>
              <w:right w:w="20" w:type="dxa"/>
            </w:tcMar>
            <w:vAlign w:val="bottom"/>
          </w:tcPr>
          <w:p w14:paraId="0D8DE6C9" w14:textId="77777777" w:rsidR="004C2197" w:rsidRDefault="004C2197">
            <w:pPr>
              <w:jc w:val="right"/>
              <w:rPr>
                <w:rFonts w:ascii="宋体"/>
              </w:rPr>
            </w:pPr>
          </w:p>
        </w:tc>
        <w:tc>
          <w:tcPr>
            <w:tcW w:w="0" w:type="auto"/>
            <w:shd w:val="clear" w:color="auto" w:fill="auto"/>
          </w:tcPr>
          <w:p w14:paraId="0D8DE6CA" w14:textId="77777777" w:rsidR="004C2197" w:rsidRDefault="004C2197">
            <w:pPr>
              <w:rPr>
                <w:rFonts w:ascii="宋体"/>
              </w:rPr>
            </w:pPr>
          </w:p>
        </w:tc>
        <w:tc>
          <w:tcPr>
            <w:tcW w:w="0" w:type="auto"/>
            <w:shd w:val="clear" w:color="auto" w:fill="auto"/>
          </w:tcPr>
          <w:p w14:paraId="0D8DE6CB" w14:textId="77777777" w:rsidR="004C2197" w:rsidRDefault="004C2197">
            <w:pPr>
              <w:rPr>
                <w:rFonts w:ascii="宋体"/>
              </w:rPr>
            </w:pPr>
          </w:p>
        </w:tc>
        <w:tc>
          <w:tcPr>
            <w:tcW w:w="0" w:type="auto"/>
            <w:shd w:val="clear" w:color="auto" w:fill="auto"/>
          </w:tcPr>
          <w:p w14:paraId="0D8DE6CC" w14:textId="77777777" w:rsidR="004C2197" w:rsidRDefault="004C2197">
            <w:pPr>
              <w:rPr>
                <w:rFonts w:ascii="宋体"/>
              </w:rPr>
            </w:pPr>
          </w:p>
        </w:tc>
        <w:tc>
          <w:tcPr>
            <w:tcW w:w="0" w:type="auto"/>
            <w:shd w:val="clear" w:color="auto" w:fill="auto"/>
          </w:tcPr>
          <w:p w14:paraId="0D8DE6CD" w14:textId="77777777" w:rsidR="004C2197" w:rsidRDefault="004C2197">
            <w:pPr>
              <w:rPr>
                <w:rFonts w:ascii="宋体"/>
              </w:rPr>
            </w:pPr>
          </w:p>
        </w:tc>
        <w:tc>
          <w:tcPr>
            <w:tcW w:w="0" w:type="auto"/>
            <w:shd w:val="clear" w:color="auto" w:fill="auto"/>
          </w:tcPr>
          <w:p w14:paraId="0D8DE6CE" w14:textId="77777777" w:rsidR="004C2197" w:rsidRDefault="004C2197">
            <w:pPr>
              <w:rPr>
                <w:rFonts w:ascii="宋体"/>
              </w:rPr>
            </w:pPr>
          </w:p>
        </w:tc>
        <w:tc>
          <w:tcPr>
            <w:tcW w:w="0" w:type="auto"/>
            <w:shd w:val="clear" w:color="auto" w:fill="auto"/>
          </w:tcPr>
          <w:p w14:paraId="0D8DE6CF" w14:textId="77777777" w:rsidR="004C2197" w:rsidRDefault="004C2197">
            <w:pPr>
              <w:rPr>
                <w:rFonts w:ascii="宋体"/>
              </w:rPr>
            </w:pPr>
          </w:p>
        </w:tc>
        <w:tc>
          <w:tcPr>
            <w:tcW w:w="0" w:type="auto"/>
            <w:shd w:val="clear" w:color="auto" w:fill="auto"/>
          </w:tcPr>
          <w:p w14:paraId="0D8DE6D0" w14:textId="77777777" w:rsidR="004C2197" w:rsidRDefault="004C2197">
            <w:pPr>
              <w:rPr>
                <w:rFonts w:ascii="宋体"/>
              </w:rPr>
            </w:pPr>
          </w:p>
        </w:tc>
        <w:tc>
          <w:tcPr>
            <w:tcW w:w="0" w:type="auto"/>
            <w:shd w:val="clear" w:color="auto" w:fill="auto"/>
          </w:tcPr>
          <w:p w14:paraId="0D8DE6D1" w14:textId="77777777" w:rsidR="004C2197" w:rsidRDefault="004C2197">
            <w:pPr>
              <w:rPr>
                <w:rFonts w:ascii="宋体"/>
              </w:rPr>
            </w:pPr>
          </w:p>
        </w:tc>
        <w:tc>
          <w:tcPr>
            <w:tcW w:w="0" w:type="auto"/>
            <w:shd w:val="clear" w:color="auto" w:fill="auto"/>
          </w:tcPr>
          <w:p w14:paraId="0D8DE6D2" w14:textId="77777777" w:rsidR="004C2197" w:rsidRDefault="004C2197">
            <w:pPr>
              <w:rPr>
                <w:rFonts w:ascii="宋体"/>
              </w:rPr>
            </w:pPr>
          </w:p>
        </w:tc>
        <w:tc>
          <w:tcPr>
            <w:tcW w:w="0" w:type="auto"/>
            <w:shd w:val="clear" w:color="auto" w:fill="auto"/>
          </w:tcPr>
          <w:p w14:paraId="0D8DE6D3" w14:textId="77777777" w:rsidR="004C2197" w:rsidRDefault="004C2197">
            <w:pPr>
              <w:rPr>
                <w:rFonts w:ascii="宋体"/>
              </w:rPr>
            </w:pPr>
          </w:p>
        </w:tc>
        <w:tc>
          <w:tcPr>
            <w:tcW w:w="0" w:type="auto"/>
            <w:shd w:val="clear" w:color="auto" w:fill="auto"/>
          </w:tcPr>
          <w:p w14:paraId="0D8DE6D4" w14:textId="77777777" w:rsidR="004C2197" w:rsidRDefault="004C2197">
            <w:pPr>
              <w:rPr>
                <w:rFonts w:ascii="宋体"/>
              </w:rPr>
            </w:pPr>
          </w:p>
        </w:tc>
        <w:tc>
          <w:tcPr>
            <w:tcW w:w="0" w:type="auto"/>
            <w:shd w:val="clear" w:color="auto" w:fill="auto"/>
          </w:tcPr>
          <w:p w14:paraId="0D8DE6D5" w14:textId="77777777" w:rsidR="004C2197" w:rsidRDefault="004C2197">
            <w:pPr>
              <w:rPr>
                <w:rFonts w:ascii="宋体"/>
              </w:rPr>
            </w:pPr>
          </w:p>
        </w:tc>
        <w:tc>
          <w:tcPr>
            <w:tcW w:w="0" w:type="auto"/>
            <w:shd w:val="clear" w:color="auto" w:fill="auto"/>
          </w:tcPr>
          <w:p w14:paraId="0D8DE6D6" w14:textId="77777777" w:rsidR="004C2197" w:rsidRDefault="004C2197">
            <w:pPr>
              <w:rPr>
                <w:rFonts w:ascii="宋体"/>
              </w:rPr>
            </w:pPr>
          </w:p>
        </w:tc>
        <w:tc>
          <w:tcPr>
            <w:tcW w:w="0" w:type="auto"/>
            <w:shd w:val="clear" w:color="auto" w:fill="auto"/>
          </w:tcPr>
          <w:p w14:paraId="0D8DE6D7" w14:textId="77777777" w:rsidR="004C2197" w:rsidRDefault="004C2197">
            <w:pPr>
              <w:rPr>
                <w:rFonts w:ascii="宋体"/>
              </w:rPr>
            </w:pPr>
          </w:p>
        </w:tc>
        <w:tc>
          <w:tcPr>
            <w:tcW w:w="0" w:type="auto"/>
            <w:shd w:val="clear" w:color="auto" w:fill="auto"/>
          </w:tcPr>
          <w:p w14:paraId="0D8DE6D8" w14:textId="77777777" w:rsidR="004C2197" w:rsidRDefault="004C2197">
            <w:pPr>
              <w:rPr>
                <w:rFonts w:ascii="宋体"/>
              </w:rPr>
            </w:pPr>
          </w:p>
        </w:tc>
      </w:tr>
      <w:tr w:rsidR="004C2197" w14:paraId="0D8DE6FE" w14:textId="77777777">
        <w:trPr>
          <w:jc w:val="center"/>
        </w:trPr>
        <w:tc>
          <w:tcPr>
            <w:tcW w:w="0" w:type="auto"/>
            <w:gridSpan w:val="3"/>
            <w:shd w:val="clear" w:color="auto" w:fill="E2EFD9"/>
            <w:tcMar>
              <w:top w:w="40" w:type="dxa"/>
              <w:left w:w="20" w:type="dxa"/>
              <w:bottom w:w="40" w:type="dxa"/>
              <w:right w:w="20" w:type="dxa"/>
            </w:tcMar>
            <w:vAlign w:val="bottom"/>
          </w:tcPr>
          <w:p w14:paraId="0D8DE6DA" w14:textId="77777777" w:rsidR="004C2197" w:rsidRDefault="00863B83">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0D8DE6D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6D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DD"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D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6D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E0"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E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6E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E3"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E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6E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E6"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E7" w14:textId="77777777" w:rsidR="004C2197" w:rsidRDefault="00863B83">
            <w:pPr>
              <w:jc w:val="right"/>
              <w:textAlignment w:val="bottom"/>
            </w:pPr>
            <w:r>
              <w:rPr>
                <w:rFonts w:ascii="sans-serif" w:eastAsia="sans-serif" w:hAnsi="sans-serif" w:cs="sans-serif"/>
                <w:color w:val="000000"/>
                <w:sz w:val="15"/>
                <w:szCs w:val="15"/>
              </w:rPr>
              <w:t>3 </w:t>
            </w:r>
          </w:p>
        </w:tc>
        <w:tc>
          <w:tcPr>
            <w:tcW w:w="0" w:type="auto"/>
            <w:shd w:val="clear" w:color="auto" w:fill="E2EFD9"/>
            <w:tcMar>
              <w:top w:w="40" w:type="dxa"/>
              <w:bottom w:w="40" w:type="dxa"/>
              <w:right w:w="20" w:type="dxa"/>
            </w:tcMar>
            <w:vAlign w:val="bottom"/>
          </w:tcPr>
          <w:p w14:paraId="0D8DE6E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E9"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E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6E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6EC"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6ED" w14:textId="77777777" w:rsidR="004C2197" w:rsidRDefault="00863B83">
            <w:pPr>
              <w:jc w:val="right"/>
              <w:textAlignment w:val="bottom"/>
            </w:pPr>
            <w:r>
              <w:rPr>
                <w:rFonts w:ascii="sans-serif" w:eastAsia="sans-serif" w:hAnsi="sans-serif" w:cs="sans-serif"/>
                <w:color w:val="000000"/>
                <w:sz w:val="15"/>
                <w:szCs w:val="15"/>
              </w:rPr>
              <w:t>3 </w:t>
            </w:r>
          </w:p>
        </w:tc>
        <w:tc>
          <w:tcPr>
            <w:tcW w:w="0" w:type="auto"/>
            <w:shd w:val="clear" w:color="auto" w:fill="E2EFD9"/>
            <w:tcMar>
              <w:top w:w="40" w:type="dxa"/>
              <w:bottom w:w="40" w:type="dxa"/>
              <w:right w:w="20" w:type="dxa"/>
            </w:tcMar>
            <w:vAlign w:val="bottom"/>
          </w:tcPr>
          <w:p w14:paraId="0D8DE6EE" w14:textId="77777777" w:rsidR="004C2197" w:rsidRDefault="004C2197">
            <w:pPr>
              <w:jc w:val="right"/>
              <w:rPr>
                <w:rFonts w:ascii="宋体"/>
              </w:rPr>
            </w:pPr>
          </w:p>
        </w:tc>
        <w:tc>
          <w:tcPr>
            <w:tcW w:w="0" w:type="auto"/>
            <w:shd w:val="clear" w:color="auto" w:fill="auto"/>
          </w:tcPr>
          <w:p w14:paraId="0D8DE6EF" w14:textId="77777777" w:rsidR="004C2197" w:rsidRDefault="004C2197">
            <w:pPr>
              <w:rPr>
                <w:rFonts w:ascii="宋体"/>
              </w:rPr>
            </w:pPr>
          </w:p>
        </w:tc>
        <w:tc>
          <w:tcPr>
            <w:tcW w:w="0" w:type="auto"/>
            <w:shd w:val="clear" w:color="auto" w:fill="auto"/>
          </w:tcPr>
          <w:p w14:paraId="0D8DE6F0" w14:textId="77777777" w:rsidR="004C2197" w:rsidRDefault="004C2197">
            <w:pPr>
              <w:rPr>
                <w:rFonts w:ascii="宋体"/>
              </w:rPr>
            </w:pPr>
          </w:p>
        </w:tc>
        <w:tc>
          <w:tcPr>
            <w:tcW w:w="0" w:type="auto"/>
            <w:shd w:val="clear" w:color="auto" w:fill="auto"/>
          </w:tcPr>
          <w:p w14:paraId="0D8DE6F1" w14:textId="77777777" w:rsidR="004C2197" w:rsidRDefault="004C2197">
            <w:pPr>
              <w:rPr>
                <w:rFonts w:ascii="宋体"/>
              </w:rPr>
            </w:pPr>
          </w:p>
        </w:tc>
        <w:tc>
          <w:tcPr>
            <w:tcW w:w="0" w:type="auto"/>
            <w:shd w:val="clear" w:color="auto" w:fill="auto"/>
          </w:tcPr>
          <w:p w14:paraId="0D8DE6F2" w14:textId="77777777" w:rsidR="004C2197" w:rsidRDefault="004C2197">
            <w:pPr>
              <w:rPr>
                <w:rFonts w:ascii="宋体"/>
              </w:rPr>
            </w:pPr>
          </w:p>
        </w:tc>
        <w:tc>
          <w:tcPr>
            <w:tcW w:w="0" w:type="auto"/>
            <w:shd w:val="clear" w:color="auto" w:fill="auto"/>
          </w:tcPr>
          <w:p w14:paraId="0D8DE6F3" w14:textId="77777777" w:rsidR="004C2197" w:rsidRDefault="004C2197">
            <w:pPr>
              <w:rPr>
                <w:rFonts w:ascii="宋体"/>
              </w:rPr>
            </w:pPr>
          </w:p>
        </w:tc>
        <w:tc>
          <w:tcPr>
            <w:tcW w:w="0" w:type="auto"/>
            <w:shd w:val="clear" w:color="auto" w:fill="auto"/>
          </w:tcPr>
          <w:p w14:paraId="0D8DE6F4" w14:textId="77777777" w:rsidR="004C2197" w:rsidRDefault="004C2197">
            <w:pPr>
              <w:rPr>
                <w:rFonts w:ascii="宋体"/>
              </w:rPr>
            </w:pPr>
          </w:p>
        </w:tc>
        <w:tc>
          <w:tcPr>
            <w:tcW w:w="0" w:type="auto"/>
            <w:shd w:val="clear" w:color="auto" w:fill="auto"/>
          </w:tcPr>
          <w:p w14:paraId="0D8DE6F5" w14:textId="77777777" w:rsidR="004C2197" w:rsidRDefault="004C2197">
            <w:pPr>
              <w:rPr>
                <w:rFonts w:ascii="宋体"/>
              </w:rPr>
            </w:pPr>
          </w:p>
        </w:tc>
        <w:tc>
          <w:tcPr>
            <w:tcW w:w="0" w:type="auto"/>
            <w:shd w:val="clear" w:color="auto" w:fill="auto"/>
          </w:tcPr>
          <w:p w14:paraId="0D8DE6F6" w14:textId="77777777" w:rsidR="004C2197" w:rsidRDefault="004C2197">
            <w:pPr>
              <w:rPr>
                <w:rFonts w:ascii="宋体"/>
              </w:rPr>
            </w:pPr>
          </w:p>
        </w:tc>
        <w:tc>
          <w:tcPr>
            <w:tcW w:w="0" w:type="auto"/>
            <w:shd w:val="clear" w:color="auto" w:fill="auto"/>
          </w:tcPr>
          <w:p w14:paraId="0D8DE6F7" w14:textId="77777777" w:rsidR="004C2197" w:rsidRDefault="004C2197">
            <w:pPr>
              <w:rPr>
                <w:rFonts w:ascii="宋体"/>
              </w:rPr>
            </w:pPr>
          </w:p>
        </w:tc>
        <w:tc>
          <w:tcPr>
            <w:tcW w:w="0" w:type="auto"/>
            <w:shd w:val="clear" w:color="auto" w:fill="auto"/>
          </w:tcPr>
          <w:p w14:paraId="0D8DE6F8" w14:textId="77777777" w:rsidR="004C2197" w:rsidRDefault="004C2197">
            <w:pPr>
              <w:rPr>
                <w:rFonts w:ascii="宋体"/>
              </w:rPr>
            </w:pPr>
          </w:p>
        </w:tc>
        <w:tc>
          <w:tcPr>
            <w:tcW w:w="0" w:type="auto"/>
            <w:shd w:val="clear" w:color="auto" w:fill="auto"/>
          </w:tcPr>
          <w:p w14:paraId="0D8DE6F9" w14:textId="77777777" w:rsidR="004C2197" w:rsidRDefault="004C2197">
            <w:pPr>
              <w:rPr>
                <w:rFonts w:ascii="宋体"/>
              </w:rPr>
            </w:pPr>
          </w:p>
        </w:tc>
        <w:tc>
          <w:tcPr>
            <w:tcW w:w="0" w:type="auto"/>
            <w:shd w:val="clear" w:color="auto" w:fill="auto"/>
          </w:tcPr>
          <w:p w14:paraId="0D8DE6FA" w14:textId="77777777" w:rsidR="004C2197" w:rsidRDefault="004C2197">
            <w:pPr>
              <w:rPr>
                <w:rFonts w:ascii="宋体"/>
              </w:rPr>
            </w:pPr>
          </w:p>
        </w:tc>
        <w:tc>
          <w:tcPr>
            <w:tcW w:w="0" w:type="auto"/>
            <w:shd w:val="clear" w:color="auto" w:fill="auto"/>
          </w:tcPr>
          <w:p w14:paraId="0D8DE6FB" w14:textId="77777777" w:rsidR="004C2197" w:rsidRDefault="004C2197">
            <w:pPr>
              <w:rPr>
                <w:rFonts w:ascii="宋体"/>
              </w:rPr>
            </w:pPr>
          </w:p>
        </w:tc>
        <w:tc>
          <w:tcPr>
            <w:tcW w:w="0" w:type="auto"/>
            <w:shd w:val="clear" w:color="auto" w:fill="auto"/>
          </w:tcPr>
          <w:p w14:paraId="0D8DE6FC" w14:textId="77777777" w:rsidR="004C2197" w:rsidRDefault="004C2197">
            <w:pPr>
              <w:rPr>
                <w:rFonts w:ascii="宋体"/>
              </w:rPr>
            </w:pPr>
          </w:p>
        </w:tc>
        <w:tc>
          <w:tcPr>
            <w:tcW w:w="0" w:type="auto"/>
            <w:shd w:val="clear" w:color="auto" w:fill="auto"/>
          </w:tcPr>
          <w:p w14:paraId="0D8DE6FD" w14:textId="77777777" w:rsidR="004C2197" w:rsidRDefault="004C2197">
            <w:pPr>
              <w:rPr>
                <w:rFonts w:ascii="宋体"/>
              </w:rPr>
            </w:pPr>
          </w:p>
        </w:tc>
      </w:tr>
      <w:tr w:rsidR="004C2197" w14:paraId="0D8DE723" w14:textId="77777777">
        <w:trPr>
          <w:jc w:val="center"/>
        </w:trPr>
        <w:tc>
          <w:tcPr>
            <w:tcW w:w="0" w:type="auto"/>
            <w:gridSpan w:val="3"/>
            <w:shd w:val="clear" w:color="auto" w:fill="FFFFFF"/>
            <w:tcMar>
              <w:top w:w="40" w:type="dxa"/>
              <w:left w:w="20" w:type="dxa"/>
              <w:bottom w:w="40" w:type="dxa"/>
              <w:right w:w="20" w:type="dxa"/>
            </w:tcMar>
            <w:vAlign w:val="bottom"/>
          </w:tcPr>
          <w:p w14:paraId="0D8DE6FF" w14:textId="77777777" w:rsidR="004C2197" w:rsidRDefault="00863B83">
            <w:pPr>
              <w:textAlignment w:val="bottom"/>
            </w:pPr>
            <w:r>
              <w:rPr>
                <w:rFonts w:ascii="sans-serif" w:eastAsia="sans-serif" w:hAnsi="sans-serif" w:cs="sans-serif"/>
                <w:color w:val="000000"/>
                <w:sz w:val="15"/>
                <w:szCs w:val="15"/>
              </w:rPr>
              <w:t>Issuance of common stock f</w:t>
            </w:r>
            <w:r>
              <w:rPr>
                <w:rFonts w:ascii="sans-serif" w:eastAsia="sans-serif" w:hAnsi="sans-serif" w:cs="sans-serif"/>
                <w:color w:val="000000"/>
                <w:sz w:val="15"/>
                <w:szCs w:val="15"/>
              </w:rPr>
              <w:t>rom stock plans </w:t>
            </w:r>
          </w:p>
        </w:tc>
        <w:tc>
          <w:tcPr>
            <w:tcW w:w="0" w:type="auto"/>
            <w:gridSpan w:val="2"/>
            <w:shd w:val="clear" w:color="auto" w:fill="FFFFFF"/>
            <w:tcMar>
              <w:top w:w="40" w:type="dxa"/>
              <w:left w:w="20" w:type="dxa"/>
              <w:bottom w:w="40" w:type="dxa"/>
              <w:right w:w="0" w:type="dxa"/>
            </w:tcMar>
            <w:vAlign w:val="bottom"/>
          </w:tcPr>
          <w:p w14:paraId="0D8DE700" w14:textId="77777777" w:rsidR="004C2197" w:rsidRDefault="00863B83">
            <w:pPr>
              <w:jc w:val="right"/>
              <w:textAlignment w:val="bottom"/>
            </w:pPr>
            <w:r>
              <w:rPr>
                <w:rFonts w:ascii="sans-serif" w:eastAsia="sans-serif" w:hAnsi="sans-serif" w:cs="sans-serif"/>
                <w:color w:val="000000"/>
                <w:sz w:val="15"/>
                <w:szCs w:val="15"/>
              </w:rPr>
              <w:t>7 </w:t>
            </w:r>
          </w:p>
        </w:tc>
        <w:tc>
          <w:tcPr>
            <w:tcW w:w="0" w:type="auto"/>
            <w:shd w:val="clear" w:color="auto" w:fill="FFFFFF"/>
            <w:tcMar>
              <w:top w:w="40" w:type="dxa"/>
              <w:bottom w:w="40" w:type="dxa"/>
              <w:right w:w="20" w:type="dxa"/>
            </w:tcMar>
            <w:vAlign w:val="bottom"/>
          </w:tcPr>
          <w:p w14:paraId="0D8DE70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02"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0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0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05"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06" w14:textId="77777777" w:rsidR="004C2197" w:rsidRDefault="00863B83">
            <w:pPr>
              <w:jc w:val="right"/>
              <w:textAlignment w:val="bottom"/>
            </w:pPr>
            <w:r>
              <w:rPr>
                <w:rFonts w:ascii="sans-serif" w:eastAsia="sans-serif" w:hAnsi="sans-serif" w:cs="sans-serif"/>
                <w:color w:val="000000"/>
                <w:sz w:val="15"/>
                <w:szCs w:val="15"/>
              </w:rPr>
              <w:t>94 </w:t>
            </w:r>
          </w:p>
        </w:tc>
        <w:tc>
          <w:tcPr>
            <w:tcW w:w="0" w:type="auto"/>
            <w:shd w:val="clear" w:color="auto" w:fill="FFFFFF"/>
            <w:tcMar>
              <w:top w:w="40" w:type="dxa"/>
              <w:bottom w:w="40" w:type="dxa"/>
              <w:right w:w="20" w:type="dxa"/>
            </w:tcMar>
            <w:vAlign w:val="bottom"/>
          </w:tcPr>
          <w:p w14:paraId="0D8DE70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08"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0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0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0B"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0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0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0E"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0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1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11"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12" w14:textId="77777777" w:rsidR="004C2197" w:rsidRDefault="00863B83">
            <w:pPr>
              <w:jc w:val="right"/>
              <w:textAlignment w:val="bottom"/>
            </w:pPr>
            <w:r>
              <w:rPr>
                <w:rFonts w:ascii="sans-serif" w:eastAsia="sans-serif" w:hAnsi="sans-serif" w:cs="sans-serif"/>
                <w:color w:val="000000"/>
                <w:sz w:val="15"/>
                <w:szCs w:val="15"/>
              </w:rPr>
              <w:t>94 </w:t>
            </w:r>
          </w:p>
        </w:tc>
        <w:tc>
          <w:tcPr>
            <w:tcW w:w="0" w:type="auto"/>
            <w:shd w:val="clear" w:color="auto" w:fill="FFFFFF"/>
            <w:tcMar>
              <w:top w:w="40" w:type="dxa"/>
              <w:bottom w:w="40" w:type="dxa"/>
              <w:right w:w="20" w:type="dxa"/>
            </w:tcMar>
            <w:vAlign w:val="bottom"/>
          </w:tcPr>
          <w:p w14:paraId="0D8DE713" w14:textId="77777777" w:rsidR="004C2197" w:rsidRDefault="004C2197">
            <w:pPr>
              <w:jc w:val="right"/>
              <w:rPr>
                <w:rFonts w:ascii="宋体"/>
              </w:rPr>
            </w:pPr>
          </w:p>
        </w:tc>
        <w:tc>
          <w:tcPr>
            <w:tcW w:w="0" w:type="auto"/>
            <w:shd w:val="clear" w:color="auto" w:fill="auto"/>
          </w:tcPr>
          <w:p w14:paraId="0D8DE714" w14:textId="77777777" w:rsidR="004C2197" w:rsidRDefault="004C2197">
            <w:pPr>
              <w:rPr>
                <w:rFonts w:ascii="宋体"/>
              </w:rPr>
            </w:pPr>
          </w:p>
        </w:tc>
        <w:tc>
          <w:tcPr>
            <w:tcW w:w="0" w:type="auto"/>
            <w:shd w:val="clear" w:color="auto" w:fill="auto"/>
          </w:tcPr>
          <w:p w14:paraId="0D8DE715" w14:textId="77777777" w:rsidR="004C2197" w:rsidRDefault="004C2197">
            <w:pPr>
              <w:rPr>
                <w:rFonts w:ascii="宋体"/>
              </w:rPr>
            </w:pPr>
          </w:p>
        </w:tc>
        <w:tc>
          <w:tcPr>
            <w:tcW w:w="0" w:type="auto"/>
            <w:shd w:val="clear" w:color="auto" w:fill="auto"/>
          </w:tcPr>
          <w:p w14:paraId="0D8DE716" w14:textId="77777777" w:rsidR="004C2197" w:rsidRDefault="004C2197">
            <w:pPr>
              <w:rPr>
                <w:rFonts w:ascii="宋体"/>
              </w:rPr>
            </w:pPr>
          </w:p>
        </w:tc>
        <w:tc>
          <w:tcPr>
            <w:tcW w:w="0" w:type="auto"/>
            <w:shd w:val="clear" w:color="auto" w:fill="auto"/>
          </w:tcPr>
          <w:p w14:paraId="0D8DE717" w14:textId="77777777" w:rsidR="004C2197" w:rsidRDefault="004C2197">
            <w:pPr>
              <w:rPr>
                <w:rFonts w:ascii="宋体"/>
              </w:rPr>
            </w:pPr>
          </w:p>
        </w:tc>
        <w:tc>
          <w:tcPr>
            <w:tcW w:w="0" w:type="auto"/>
            <w:shd w:val="clear" w:color="auto" w:fill="auto"/>
          </w:tcPr>
          <w:p w14:paraId="0D8DE718" w14:textId="77777777" w:rsidR="004C2197" w:rsidRDefault="004C2197">
            <w:pPr>
              <w:rPr>
                <w:rFonts w:ascii="宋体"/>
              </w:rPr>
            </w:pPr>
          </w:p>
        </w:tc>
        <w:tc>
          <w:tcPr>
            <w:tcW w:w="0" w:type="auto"/>
            <w:shd w:val="clear" w:color="auto" w:fill="auto"/>
          </w:tcPr>
          <w:p w14:paraId="0D8DE719" w14:textId="77777777" w:rsidR="004C2197" w:rsidRDefault="004C2197">
            <w:pPr>
              <w:rPr>
                <w:rFonts w:ascii="宋体"/>
              </w:rPr>
            </w:pPr>
          </w:p>
        </w:tc>
        <w:tc>
          <w:tcPr>
            <w:tcW w:w="0" w:type="auto"/>
            <w:shd w:val="clear" w:color="auto" w:fill="auto"/>
          </w:tcPr>
          <w:p w14:paraId="0D8DE71A" w14:textId="77777777" w:rsidR="004C2197" w:rsidRDefault="004C2197">
            <w:pPr>
              <w:rPr>
                <w:rFonts w:ascii="宋体"/>
              </w:rPr>
            </w:pPr>
          </w:p>
        </w:tc>
        <w:tc>
          <w:tcPr>
            <w:tcW w:w="0" w:type="auto"/>
            <w:shd w:val="clear" w:color="auto" w:fill="auto"/>
          </w:tcPr>
          <w:p w14:paraId="0D8DE71B" w14:textId="77777777" w:rsidR="004C2197" w:rsidRDefault="004C2197">
            <w:pPr>
              <w:rPr>
                <w:rFonts w:ascii="宋体"/>
              </w:rPr>
            </w:pPr>
          </w:p>
        </w:tc>
        <w:tc>
          <w:tcPr>
            <w:tcW w:w="0" w:type="auto"/>
            <w:shd w:val="clear" w:color="auto" w:fill="auto"/>
          </w:tcPr>
          <w:p w14:paraId="0D8DE71C" w14:textId="77777777" w:rsidR="004C2197" w:rsidRDefault="004C2197">
            <w:pPr>
              <w:rPr>
                <w:rFonts w:ascii="宋体"/>
              </w:rPr>
            </w:pPr>
          </w:p>
        </w:tc>
        <w:tc>
          <w:tcPr>
            <w:tcW w:w="0" w:type="auto"/>
            <w:shd w:val="clear" w:color="auto" w:fill="auto"/>
          </w:tcPr>
          <w:p w14:paraId="0D8DE71D" w14:textId="77777777" w:rsidR="004C2197" w:rsidRDefault="004C2197">
            <w:pPr>
              <w:rPr>
                <w:rFonts w:ascii="宋体"/>
              </w:rPr>
            </w:pPr>
          </w:p>
        </w:tc>
        <w:tc>
          <w:tcPr>
            <w:tcW w:w="0" w:type="auto"/>
            <w:shd w:val="clear" w:color="auto" w:fill="auto"/>
          </w:tcPr>
          <w:p w14:paraId="0D8DE71E" w14:textId="77777777" w:rsidR="004C2197" w:rsidRDefault="004C2197">
            <w:pPr>
              <w:rPr>
                <w:rFonts w:ascii="宋体"/>
              </w:rPr>
            </w:pPr>
          </w:p>
        </w:tc>
        <w:tc>
          <w:tcPr>
            <w:tcW w:w="0" w:type="auto"/>
            <w:shd w:val="clear" w:color="auto" w:fill="auto"/>
          </w:tcPr>
          <w:p w14:paraId="0D8DE71F" w14:textId="77777777" w:rsidR="004C2197" w:rsidRDefault="004C2197">
            <w:pPr>
              <w:rPr>
                <w:rFonts w:ascii="宋体"/>
              </w:rPr>
            </w:pPr>
          </w:p>
        </w:tc>
        <w:tc>
          <w:tcPr>
            <w:tcW w:w="0" w:type="auto"/>
            <w:shd w:val="clear" w:color="auto" w:fill="auto"/>
          </w:tcPr>
          <w:p w14:paraId="0D8DE720" w14:textId="77777777" w:rsidR="004C2197" w:rsidRDefault="004C2197">
            <w:pPr>
              <w:rPr>
                <w:rFonts w:ascii="宋体"/>
              </w:rPr>
            </w:pPr>
          </w:p>
        </w:tc>
        <w:tc>
          <w:tcPr>
            <w:tcW w:w="0" w:type="auto"/>
            <w:shd w:val="clear" w:color="auto" w:fill="auto"/>
          </w:tcPr>
          <w:p w14:paraId="0D8DE721" w14:textId="77777777" w:rsidR="004C2197" w:rsidRDefault="004C2197">
            <w:pPr>
              <w:rPr>
                <w:rFonts w:ascii="宋体"/>
              </w:rPr>
            </w:pPr>
          </w:p>
        </w:tc>
        <w:tc>
          <w:tcPr>
            <w:tcW w:w="0" w:type="auto"/>
            <w:shd w:val="clear" w:color="auto" w:fill="auto"/>
          </w:tcPr>
          <w:p w14:paraId="0D8DE722" w14:textId="77777777" w:rsidR="004C2197" w:rsidRDefault="004C2197">
            <w:pPr>
              <w:rPr>
                <w:rFonts w:ascii="宋体"/>
              </w:rPr>
            </w:pPr>
          </w:p>
        </w:tc>
      </w:tr>
      <w:tr w:rsidR="004C2197" w14:paraId="0D8DE748" w14:textId="77777777">
        <w:trPr>
          <w:jc w:val="center"/>
        </w:trPr>
        <w:tc>
          <w:tcPr>
            <w:tcW w:w="0" w:type="auto"/>
            <w:gridSpan w:val="3"/>
            <w:shd w:val="clear" w:color="auto" w:fill="E2EFD9"/>
            <w:tcMar>
              <w:top w:w="40" w:type="dxa"/>
              <w:left w:w="20" w:type="dxa"/>
              <w:bottom w:w="40" w:type="dxa"/>
              <w:right w:w="20" w:type="dxa"/>
            </w:tcMar>
            <w:vAlign w:val="bottom"/>
          </w:tcPr>
          <w:p w14:paraId="0D8DE724" w14:textId="77777777" w:rsidR="004C2197" w:rsidRDefault="00863B83">
            <w:pPr>
              <w:textAlignment w:val="bottom"/>
            </w:pPr>
            <w:r>
              <w:rPr>
                <w:rFonts w:ascii="sans-serif" w:eastAsia="sans-serif" w:hAnsi="sans-serif" w:cs="sans-serif"/>
                <w:color w:val="000000"/>
                <w:sz w:val="15"/>
                <w:szCs w:val="15"/>
              </w:rPr>
              <w:t>Tax withholding related to</w:t>
            </w:r>
            <w:r>
              <w:rPr>
                <w:rFonts w:ascii="sans-serif" w:eastAsia="sans-serif" w:hAnsi="sans-serif" w:cs="sans-serif"/>
                <w:color w:val="000000"/>
                <w:sz w:val="15"/>
                <w:szCs w:val="15"/>
              </w:rPr>
              <w:t xml:space="preserve"> vesting of restricted stock units</w:t>
            </w:r>
          </w:p>
        </w:tc>
        <w:tc>
          <w:tcPr>
            <w:tcW w:w="0" w:type="auto"/>
            <w:gridSpan w:val="2"/>
            <w:shd w:val="clear" w:color="auto" w:fill="E2EFD9"/>
            <w:tcMar>
              <w:top w:w="40" w:type="dxa"/>
              <w:left w:w="20" w:type="dxa"/>
              <w:bottom w:w="40" w:type="dxa"/>
              <w:right w:w="0" w:type="dxa"/>
            </w:tcMar>
            <w:vAlign w:val="bottom"/>
          </w:tcPr>
          <w:p w14:paraId="0D8DE725" w14:textId="77777777" w:rsidR="004C2197" w:rsidRDefault="00863B83">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bottom w:w="40" w:type="dxa"/>
              <w:right w:w="20" w:type="dxa"/>
            </w:tcMar>
            <w:vAlign w:val="bottom"/>
          </w:tcPr>
          <w:p w14:paraId="0D8DE72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27"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2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2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2A"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2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2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2D"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2E" w14:textId="77777777" w:rsidR="004C2197" w:rsidRDefault="00863B83">
            <w:pPr>
              <w:jc w:val="right"/>
              <w:textAlignment w:val="bottom"/>
            </w:pPr>
            <w:r>
              <w:rPr>
                <w:rFonts w:ascii="sans-serif" w:eastAsia="sans-serif" w:hAnsi="sans-serif" w:cs="sans-serif"/>
                <w:color w:val="000000"/>
                <w:sz w:val="15"/>
                <w:szCs w:val="15"/>
              </w:rPr>
              <w:t>(418)</w:t>
            </w:r>
          </w:p>
        </w:tc>
        <w:tc>
          <w:tcPr>
            <w:tcW w:w="0" w:type="auto"/>
            <w:shd w:val="clear" w:color="auto" w:fill="E2EFD9"/>
            <w:tcMar>
              <w:top w:w="40" w:type="dxa"/>
              <w:bottom w:w="40" w:type="dxa"/>
              <w:right w:w="20" w:type="dxa"/>
            </w:tcMar>
            <w:vAlign w:val="bottom"/>
          </w:tcPr>
          <w:p w14:paraId="0D8DE72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30"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3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3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33"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3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3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36"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37" w14:textId="77777777" w:rsidR="004C2197" w:rsidRDefault="00863B83">
            <w:pPr>
              <w:jc w:val="right"/>
              <w:textAlignment w:val="bottom"/>
            </w:pPr>
            <w:r>
              <w:rPr>
                <w:rFonts w:ascii="sans-serif" w:eastAsia="sans-serif" w:hAnsi="sans-serif" w:cs="sans-serif"/>
                <w:color w:val="000000"/>
                <w:sz w:val="15"/>
                <w:szCs w:val="15"/>
              </w:rPr>
              <w:t>(418)</w:t>
            </w:r>
          </w:p>
        </w:tc>
        <w:tc>
          <w:tcPr>
            <w:tcW w:w="0" w:type="auto"/>
            <w:shd w:val="clear" w:color="auto" w:fill="E2EFD9"/>
            <w:tcMar>
              <w:top w:w="40" w:type="dxa"/>
              <w:bottom w:w="40" w:type="dxa"/>
              <w:right w:w="20" w:type="dxa"/>
            </w:tcMar>
            <w:vAlign w:val="bottom"/>
          </w:tcPr>
          <w:p w14:paraId="0D8DE738" w14:textId="77777777" w:rsidR="004C2197" w:rsidRDefault="004C2197">
            <w:pPr>
              <w:jc w:val="right"/>
              <w:rPr>
                <w:rFonts w:ascii="宋体"/>
              </w:rPr>
            </w:pPr>
          </w:p>
        </w:tc>
        <w:tc>
          <w:tcPr>
            <w:tcW w:w="0" w:type="auto"/>
            <w:shd w:val="clear" w:color="auto" w:fill="auto"/>
          </w:tcPr>
          <w:p w14:paraId="0D8DE739" w14:textId="77777777" w:rsidR="004C2197" w:rsidRDefault="004C2197">
            <w:pPr>
              <w:rPr>
                <w:rFonts w:ascii="宋体"/>
              </w:rPr>
            </w:pPr>
          </w:p>
        </w:tc>
        <w:tc>
          <w:tcPr>
            <w:tcW w:w="0" w:type="auto"/>
            <w:shd w:val="clear" w:color="auto" w:fill="auto"/>
          </w:tcPr>
          <w:p w14:paraId="0D8DE73A" w14:textId="77777777" w:rsidR="004C2197" w:rsidRDefault="004C2197">
            <w:pPr>
              <w:rPr>
                <w:rFonts w:ascii="宋体"/>
              </w:rPr>
            </w:pPr>
          </w:p>
        </w:tc>
        <w:tc>
          <w:tcPr>
            <w:tcW w:w="0" w:type="auto"/>
            <w:shd w:val="clear" w:color="auto" w:fill="auto"/>
          </w:tcPr>
          <w:p w14:paraId="0D8DE73B" w14:textId="77777777" w:rsidR="004C2197" w:rsidRDefault="004C2197">
            <w:pPr>
              <w:rPr>
                <w:rFonts w:ascii="宋体"/>
              </w:rPr>
            </w:pPr>
          </w:p>
        </w:tc>
        <w:tc>
          <w:tcPr>
            <w:tcW w:w="0" w:type="auto"/>
            <w:shd w:val="clear" w:color="auto" w:fill="auto"/>
          </w:tcPr>
          <w:p w14:paraId="0D8DE73C" w14:textId="77777777" w:rsidR="004C2197" w:rsidRDefault="004C2197">
            <w:pPr>
              <w:rPr>
                <w:rFonts w:ascii="宋体"/>
              </w:rPr>
            </w:pPr>
          </w:p>
        </w:tc>
        <w:tc>
          <w:tcPr>
            <w:tcW w:w="0" w:type="auto"/>
            <w:shd w:val="clear" w:color="auto" w:fill="auto"/>
          </w:tcPr>
          <w:p w14:paraId="0D8DE73D" w14:textId="77777777" w:rsidR="004C2197" w:rsidRDefault="004C2197">
            <w:pPr>
              <w:rPr>
                <w:rFonts w:ascii="宋体"/>
              </w:rPr>
            </w:pPr>
          </w:p>
        </w:tc>
        <w:tc>
          <w:tcPr>
            <w:tcW w:w="0" w:type="auto"/>
            <w:shd w:val="clear" w:color="auto" w:fill="auto"/>
          </w:tcPr>
          <w:p w14:paraId="0D8DE73E" w14:textId="77777777" w:rsidR="004C2197" w:rsidRDefault="004C2197">
            <w:pPr>
              <w:rPr>
                <w:rFonts w:ascii="宋体"/>
              </w:rPr>
            </w:pPr>
          </w:p>
        </w:tc>
        <w:tc>
          <w:tcPr>
            <w:tcW w:w="0" w:type="auto"/>
            <w:shd w:val="clear" w:color="auto" w:fill="auto"/>
          </w:tcPr>
          <w:p w14:paraId="0D8DE73F" w14:textId="77777777" w:rsidR="004C2197" w:rsidRDefault="004C2197">
            <w:pPr>
              <w:rPr>
                <w:rFonts w:ascii="宋体"/>
              </w:rPr>
            </w:pPr>
          </w:p>
        </w:tc>
        <w:tc>
          <w:tcPr>
            <w:tcW w:w="0" w:type="auto"/>
            <w:shd w:val="clear" w:color="auto" w:fill="auto"/>
          </w:tcPr>
          <w:p w14:paraId="0D8DE740" w14:textId="77777777" w:rsidR="004C2197" w:rsidRDefault="004C2197">
            <w:pPr>
              <w:rPr>
                <w:rFonts w:ascii="宋体"/>
              </w:rPr>
            </w:pPr>
          </w:p>
        </w:tc>
        <w:tc>
          <w:tcPr>
            <w:tcW w:w="0" w:type="auto"/>
            <w:shd w:val="clear" w:color="auto" w:fill="auto"/>
          </w:tcPr>
          <w:p w14:paraId="0D8DE741" w14:textId="77777777" w:rsidR="004C2197" w:rsidRDefault="004C2197">
            <w:pPr>
              <w:rPr>
                <w:rFonts w:ascii="宋体"/>
              </w:rPr>
            </w:pPr>
          </w:p>
        </w:tc>
        <w:tc>
          <w:tcPr>
            <w:tcW w:w="0" w:type="auto"/>
            <w:shd w:val="clear" w:color="auto" w:fill="auto"/>
          </w:tcPr>
          <w:p w14:paraId="0D8DE742" w14:textId="77777777" w:rsidR="004C2197" w:rsidRDefault="004C2197">
            <w:pPr>
              <w:rPr>
                <w:rFonts w:ascii="宋体"/>
              </w:rPr>
            </w:pPr>
          </w:p>
        </w:tc>
        <w:tc>
          <w:tcPr>
            <w:tcW w:w="0" w:type="auto"/>
            <w:shd w:val="clear" w:color="auto" w:fill="auto"/>
          </w:tcPr>
          <w:p w14:paraId="0D8DE743" w14:textId="77777777" w:rsidR="004C2197" w:rsidRDefault="004C2197">
            <w:pPr>
              <w:rPr>
                <w:rFonts w:ascii="宋体"/>
              </w:rPr>
            </w:pPr>
          </w:p>
        </w:tc>
        <w:tc>
          <w:tcPr>
            <w:tcW w:w="0" w:type="auto"/>
            <w:shd w:val="clear" w:color="auto" w:fill="auto"/>
          </w:tcPr>
          <w:p w14:paraId="0D8DE744" w14:textId="77777777" w:rsidR="004C2197" w:rsidRDefault="004C2197">
            <w:pPr>
              <w:rPr>
                <w:rFonts w:ascii="宋体"/>
              </w:rPr>
            </w:pPr>
          </w:p>
        </w:tc>
        <w:tc>
          <w:tcPr>
            <w:tcW w:w="0" w:type="auto"/>
            <w:shd w:val="clear" w:color="auto" w:fill="auto"/>
          </w:tcPr>
          <w:p w14:paraId="0D8DE745" w14:textId="77777777" w:rsidR="004C2197" w:rsidRDefault="004C2197">
            <w:pPr>
              <w:rPr>
                <w:rFonts w:ascii="宋体"/>
              </w:rPr>
            </w:pPr>
          </w:p>
        </w:tc>
        <w:tc>
          <w:tcPr>
            <w:tcW w:w="0" w:type="auto"/>
            <w:shd w:val="clear" w:color="auto" w:fill="auto"/>
          </w:tcPr>
          <w:p w14:paraId="0D8DE746" w14:textId="77777777" w:rsidR="004C2197" w:rsidRDefault="004C2197">
            <w:pPr>
              <w:rPr>
                <w:rFonts w:ascii="宋体"/>
              </w:rPr>
            </w:pPr>
          </w:p>
        </w:tc>
        <w:tc>
          <w:tcPr>
            <w:tcW w:w="0" w:type="auto"/>
            <w:shd w:val="clear" w:color="auto" w:fill="auto"/>
          </w:tcPr>
          <w:p w14:paraId="0D8DE747" w14:textId="77777777" w:rsidR="004C2197" w:rsidRDefault="004C2197">
            <w:pPr>
              <w:rPr>
                <w:rFonts w:ascii="宋体"/>
              </w:rPr>
            </w:pPr>
          </w:p>
        </w:tc>
      </w:tr>
      <w:tr w:rsidR="004C2197" w14:paraId="0D8DE766" w14:textId="77777777">
        <w:trPr>
          <w:jc w:val="center"/>
          <w:hidden/>
        </w:trPr>
        <w:tc>
          <w:tcPr>
            <w:tcW w:w="0" w:type="auto"/>
            <w:gridSpan w:val="3"/>
            <w:shd w:val="clear" w:color="auto" w:fill="auto"/>
          </w:tcPr>
          <w:p w14:paraId="0D8DE749" w14:textId="77777777" w:rsidR="004C2197" w:rsidRDefault="004C2197">
            <w:pPr>
              <w:rPr>
                <w:rFonts w:ascii="宋体"/>
                <w:vanish/>
              </w:rPr>
            </w:pPr>
          </w:p>
        </w:tc>
        <w:tc>
          <w:tcPr>
            <w:tcW w:w="0" w:type="auto"/>
            <w:gridSpan w:val="3"/>
            <w:shd w:val="clear" w:color="auto" w:fill="auto"/>
          </w:tcPr>
          <w:p w14:paraId="0D8DE74A" w14:textId="77777777" w:rsidR="004C2197" w:rsidRDefault="004C2197">
            <w:pPr>
              <w:rPr>
                <w:rFonts w:ascii="宋体"/>
                <w:vanish/>
              </w:rPr>
            </w:pPr>
          </w:p>
        </w:tc>
        <w:tc>
          <w:tcPr>
            <w:tcW w:w="0" w:type="auto"/>
            <w:gridSpan w:val="3"/>
            <w:shd w:val="clear" w:color="auto" w:fill="auto"/>
          </w:tcPr>
          <w:p w14:paraId="0D8DE74B" w14:textId="77777777" w:rsidR="004C2197" w:rsidRDefault="004C2197">
            <w:pPr>
              <w:rPr>
                <w:rFonts w:ascii="宋体"/>
                <w:vanish/>
              </w:rPr>
            </w:pPr>
          </w:p>
        </w:tc>
        <w:tc>
          <w:tcPr>
            <w:tcW w:w="0" w:type="auto"/>
            <w:gridSpan w:val="3"/>
            <w:shd w:val="clear" w:color="auto" w:fill="auto"/>
          </w:tcPr>
          <w:p w14:paraId="0D8DE74C" w14:textId="77777777" w:rsidR="004C2197" w:rsidRDefault="004C2197">
            <w:pPr>
              <w:rPr>
                <w:rFonts w:ascii="宋体"/>
                <w:vanish/>
              </w:rPr>
            </w:pPr>
          </w:p>
        </w:tc>
        <w:tc>
          <w:tcPr>
            <w:tcW w:w="0" w:type="auto"/>
            <w:gridSpan w:val="3"/>
            <w:shd w:val="clear" w:color="auto" w:fill="auto"/>
          </w:tcPr>
          <w:p w14:paraId="0D8DE74D" w14:textId="77777777" w:rsidR="004C2197" w:rsidRDefault="004C2197">
            <w:pPr>
              <w:rPr>
                <w:rFonts w:ascii="宋体"/>
                <w:vanish/>
              </w:rPr>
            </w:pPr>
          </w:p>
        </w:tc>
        <w:tc>
          <w:tcPr>
            <w:tcW w:w="0" w:type="auto"/>
            <w:gridSpan w:val="3"/>
            <w:shd w:val="clear" w:color="auto" w:fill="auto"/>
          </w:tcPr>
          <w:p w14:paraId="0D8DE74E" w14:textId="77777777" w:rsidR="004C2197" w:rsidRDefault="004C2197">
            <w:pPr>
              <w:rPr>
                <w:rFonts w:ascii="宋体"/>
                <w:vanish/>
              </w:rPr>
            </w:pPr>
          </w:p>
        </w:tc>
        <w:tc>
          <w:tcPr>
            <w:tcW w:w="0" w:type="auto"/>
            <w:gridSpan w:val="3"/>
            <w:shd w:val="clear" w:color="auto" w:fill="auto"/>
          </w:tcPr>
          <w:p w14:paraId="0D8DE74F" w14:textId="77777777" w:rsidR="004C2197" w:rsidRDefault="004C2197">
            <w:pPr>
              <w:rPr>
                <w:rFonts w:ascii="宋体"/>
                <w:vanish/>
              </w:rPr>
            </w:pPr>
          </w:p>
        </w:tc>
        <w:tc>
          <w:tcPr>
            <w:tcW w:w="0" w:type="auto"/>
            <w:gridSpan w:val="3"/>
            <w:shd w:val="clear" w:color="auto" w:fill="auto"/>
          </w:tcPr>
          <w:p w14:paraId="0D8DE750" w14:textId="77777777" w:rsidR="004C2197" w:rsidRDefault="004C2197">
            <w:pPr>
              <w:rPr>
                <w:rFonts w:ascii="宋体"/>
                <w:vanish/>
              </w:rPr>
            </w:pPr>
          </w:p>
        </w:tc>
        <w:tc>
          <w:tcPr>
            <w:tcW w:w="0" w:type="auto"/>
            <w:gridSpan w:val="3"/>
            <w:shd w:val="clear" w:color="auto" w:fill="auto"/>
          </w:tcPr>
          <w:p w14:paraId="0D8DE751" w14:textId="77777777" w:rsidR="004C2197" w:rsidRDefault="004C2197">
            <w:pPr>
              <w:rPr>
                <w:rFonts w:ascii="宋体"/>
                <w:vanish/>
              </w:rPr>
            </w:pPr>
          </w:p>
        </w:tc>
        <w:tc>
          <w:tcPr>
            <w:tcW w:w="0" w:type="auto"/>
            <w:gridSpan w:val="3"/>
            <w:shd w:val="clear" w:color="auto" w:fill="auto"/>
          </w:tcPr>
          <w:p w14:paraId="0D8DE752" w14:textId="77777777" w:rsidR="004C2197" w:rsidRDefault="004C2197">
            <w:pPr>
              <w:rPr>
                <w:rFonts w:ascii="宋体"/>
                <w:vanish/>
              </w:rPr>
            </w:pPr>
          </w:p>
        </w:tc>
        <w:tc>
          <w:tcPr>
            <w:tcW w:w="0" w:type="auto"/>
            <w:gridSpan w:val="3"/>
            <w:shd w:val="clear" w:color="auto" w:fill="auto"/>
          </w:tcPr>
          <w:p w14:paraId="0D8DE753" w14:textId="77777777" w:rsidR="004C2197" w:rsidRDefault="004C2197">
            <w:pPr>
              <w:rPr>
                <w:rFonts w:ascii="宋体"/>
                <w:vanish/>
              </w:rPr>
            </w:pPr>
          </w:p>
        </w:tc>
        <w:tc>
          <w:tcPr>
            <w:tcW w:w="0" w:type="auto"/>
            <w:gridSpan w:val="3"/>
            <w:shd w:val="clear" w:color="auto" w:fill="auto"/>
          </w:tcPr>
          <w:p w14:paraId="0D8DE754" w14:textId="77777777" w:rsidR="004C2197" w:rsidRDefault="004C2197">
            <w:pPr>
              <w:rPr>
                <w:rFonts w:ascii="宋体"/>
                <w:vanish/>
              </w:rPr>
            </w:pPr>
          </w:p>
        </w:tc>
        <w:tc>
          <w:tcPr>
            <w:tcW w:w="0" w:type="auto"/>
            <w:gridSpan w:val="3"/>
            <w:shd w:val="clear" w:color="auto" w:fill="auto"/>
          </w:tcPr>
          <w:p w14:paraId="0D8DE755" w14:textId="77777777" w:rsidR="004C2197" w:rsidRDefault="004C2197">
            <w:pPr>
              <w:rPr>
                <w:rFonts w:ascii="宋体"/>
                <w:vanish/>
              </w:rPr>
            </w:pPr>
          </w:p>
        </w:tc>
        <w:tc>
          <w:tcPr>
            <w:tcW w:w="0" w:type="auto"/>
            <w:gridSpan w:val="3"/>
            <w:shd w:val="clear" w:color="auto" w:fill="auto"/>
          </w:tcPr>
          <w:p w14:paraId="0D8DE756" w14:textId="77777777" w:rsidR="004C2197" w:rsidRDefault="004C2197">
            <w:pPr>
              <w:rPr>
                <w:rFonts w:ascii="宋体"/>
                <w:vanish/>
              </w:rPr>
            </w:pPr>
          </w:p>
        </w:tc>
        <w:tc>
          <w:tcPr>
            <w:tcW w:w="0" w:type="auto"/>
            <w:shd w:val="clear" w:color="auto" w:fill="auto"/>
          </w:tcPr>
          <w:p w14:paraId="0D8DE757" w14:textId="77777777" w:rsidR="004C2197" w:rsidRDefault="004C2197">
            <w:pPr>
              <w:rPr>
                <w:rFonts w:ascii="宋体"/>
              </w:rPr>
            </w:pPr>
          </w:p>
        </w:tc>
        <w:tc>
          <w:tcPr>
            <w:tcW w:w="0" w:type="auto"/>
            <w:shd w:val="clear" w:color="auto" w:fill="auto"/>
          </w:tcPr>
          <w:p w14:paraId="0D8DE758" w14:textId="77777777" w:rsidR="004C2197" w:rsidRDefault="004C2197">
            <w:pPr>
              <w:rPr>
                <w:rFonts w:ascii="宋体"/>
              </w:rPr>
            </w:pPr>
          </w:p>
        </w:tc>
        <w:tc>
          <w:tcPr>
            <w:tcW w:w="0" w:type="auto"/>
            <w:shd w:val="clear" w:color="auto" w:fill="auto"/>
          </w:tcPr>
          <w:p w14:paraId="0D8DE759" w14:textId="77777777" w:rsidR="004C2197" w:rsidRDefault="004C2197">
            <w:pPr>
              <w:rPr>
                <w:rFonts w:ascii="宋体"/>
              </w:rPr>
            </w:pPr>
          </w:p>
        </w:tc>
        <w:tc>
          <w:tcPr>
            <w:tcW w:w="0" w:type="auto"/>
            <w:shd w:val="clear" w:color="auto" w:fill="auto"/>
          </w:tcPr>
          <w:p w14:paraId="0D8DE75A" w14:textId="77777777" w:rsidR="004C2197" w:rsidRDefault="004C2197">
            <w:pPr>
              <w:rPr>
                <w:rFonts w:ascii="宋体"/>
              </w:rPr>
            </w:pPr>
          </w:p>
        </w:tc>
        <w:tc>
          <w:tcPr>
            <w:tcW w:w="0" w:type="auto"/>
            <w:shd w:val="clear" w:color="auto" w:fill="auto"/>
          </w:tcPr>
          <w:p w14:paraId="0D8DE75B" w14:textId="77777777" w:rsidR="004C2197" w:rsidRDefault="004C2197">
            <w:pPr>
              <w:rPr>
                <w:rFonts w:ascii="宋体"/>
              </w:rPr>
            </w:pPr>
          </w:p>
        </w:tc>
        <w:tc>
          <w:tcPr>
            <w:tcW w:w="0" w:type="auto"/>
            <w:shd w:val="clear" w:color="auto" w:fill="auto"/>
          </w:tcPr>
          <w:p w14:paraId="0D8DE75C" w14:textId="77777777" w:rsidR="004C2197" w:rsidRDefault="004C2197">
            <w:pPr>
              <w:rPr>
                <w:rFonts w:ascii="宋体"/>
              </w:rPr>
            </w:pPr>
          </w:p>
        </w:tc>
        <w:tc>
          <w:tcPr>
            <w:tcW w:w="0" w:type="auto"/>
            <w:shd w:val="clear" w:color="auto" w:fill="auto"/>
          </w:tcPr>
          <w:p w14:paraId="0D8DE75D" w14:textId="77777777" w:rsidR="004C2197" w:rsidRDefault="004C2197">
            <w:pPr>
              <w:rPr>
                <w:rFonts w:ascii="宋体"/>
              </w:rPr>
            </w:pPr>
          </w:p>
        </w:tc>
        <w:tc>
          <w:tcPr>
            <w:tcW w:w="0" w:type="auto"/>
            <w:shd w:val="clear" w:color="auto" w:fill="auto"/>
          </w:tcPr>
          <w:p w14:paraId="0D8DE75E" w14:textId="77777777" w:rsidR="004C2197" w:rsidRDefault="004C2197">
            <w:pPr>
              <w:rPr>
                <w:rFonts w:ascii="宋体"/>
              </w:rPr>
            </w:pPr>
          </w:p>
        </w:tc>
        <w:tc>
          <w:tcPr>
            <w:tcW w:w="0" w:type="auto"/>
            <w:shd w:val="clear" w:color="auto" w:fill="auto"/>
          </w:tcPr>
          <w:p w14:paraId="0D8DE75F" w14:textId="77777777" w:rsidR="004C2197" w:rsidRDefault="004C2197">
            <w:pPr>
              <w:rPr>
                <w:rFonts w:ascii="宋体"/>
              </w:rPr>
            </w:pPr>
          </w:p>
        </w:tc>
        <w:tc>
          <w:tcPr>
            <w:tcW w:w="0" w:type="auto"/>
            <w:shd w:val="clear" w:color="auto" w:fill="auto"/>
          </w:tcPr>
          <w:p w14:paraId="0D8DE760" w14:textId="77777777" w:rsidR="004C2197" w:rsidRDefault="004C2197">
            <w:pPr>
              <w:rPr>
                <w:rFonts w:ascii="宋体"/>
              </w:rPr>
            </w:pPr>
          </w:p>
        </w:tc>
        <w:tc>
          <w:tcPr>
            <w:tcW w:w="0" w:type="auto"/>
            <w:shd w:val="clear" w:color="auto" w:fill="auto"/>
          </w:tcPr>
          <w:p w14:paraId="0D8DE761" w14:textId="77777777" w:rsidR="004C2197" w:rsidRDefault="004C2197">
            <w:pPr>
              <w:rPr>
                <w:rFonts w:ascii="宋体"/>
              </w:rPr>
            </w:pPr>
          </w:p>
        </w:tc>
        <w:tc>
          <w:tcPr>
            <w:tcW w:w="0" w:type="auto"/>
            <w:shd w:val="clear" w:color="auto" w:fill="auto"/>
          </w:tcPr>
          <w:p w14:paraId="0D8DE762" w14:textId="77777777" w:rsidR="004C2197" w:rsidRDefault="004C2197">
            <w:pPr>
              <w:rPr>
                <w:rFonts w:ascii="宋体"/>
              </w:rPr>
            </w:pPr>
          </w:p>
        </w:tc>
        <w:tc>
          <w:tcPr>
            <w:tcW w:w="0" w:type="auto"/>
            <w:shd w:val="clear" w:color="auto" w:fill="auto"/>
          </w:tcPr>
          <w:p w14:paraId="0D8DE763" w14:textId="77777777" w:rsidR="004C2197" w:rsidRDefault="004C2197">
            <w:pPr>
              <w:rPr>
                <w:rFonts w:ascii="宋体"/>
              </w:rPr>
            </w:pPr>
          </w:p>
        </w:tc>
        <w:tc>
          <w:tcPr>
            <w:tcW w:w="0" w:type="auto"/>
            <w:shd w:val="clear" w:color="auto" w:fill="auto"/>
          </w:tcPr>
          <w:p w14:paraId="0D8DE764" w14:textId="77777777" w:rsidR="004C2197" w:rsidRDefault="004C2197">
            <w:pPr>
              <w:rPr>
                <w:rFonts w:ascii="宋体"/>
              </w:rPr>
            </w:pPr>
          </w:p>
        </w:tc>
        <w:tc>
          <w:tcPr>
            <w:tcW w:w="0" w:type="auto"/>
            <w:shd w:val="clear" w:color="auto" w:fill="auto"/>
          </w:tcPr>
          <w:p w14:paraId="0D8DE765" w14:textId="77777777" w:rsidR="004C2197" w:rsidRDefault="004C2197">
            <w:pPr>
              <w:rPr>
                <w:rFonts w:ascii="宋体"/>
              </w:rPr>
            </w:pPr>
          </w:p>
        </w:tc>
      </w:tr>
      <w:tr w:rsidR="004C2197" w14:paraId="0D8DE78B" w14:textId="77777777">
        <w:trPr>
          <w:jc w:val="center"/>
        </w:trPr>
        <w:tc>
          <w:tcPr>
            <w:tcW w:w="0" w:type="auto"/>
            <w:gridSpan w:val="3"/>
            <w:shd w:val="clear" w:color="auto" w:fill="FFFFFF"/>
            <w:tcMar>
              <w:top w:w="40" w:type="dxa"/>
              <w:left w:w="20" w:type="dxa"/>
              <w:bottom w:w="40" w:type="dxa"/>
              <w:right w:w="20" w:type="dxa"/>
            </w:tcMar>
            <w:vAlign w:val="bottom"/>
          </w:tcPr>
          <w:p w14:paraId="0D8DE767" w14:textId="77777777" w:rsidR="004C2197" w:rsidRDefault="00863B83">
            <w:pPr>
              <w:textAlignment w:val="bottom"/>
            </w:pPr>
            <w:r>
              <w:rPr>
                <w:rFonts w:ascii="sans-serif" w:eastAsia="sans-serif" w:hAnsi="sans-serif" w:cs="sans-serif"/>
                <w:color w:val="000000"/>
                <w:sz w:val="15"/>
                <w:szCs w:val="15"/>
              </w:rPr>
              <w:t>Cash dividends declared and paid ($0.32 per common share)</w:t>
            </w:r>
          </w:p>
        </w:tc>
        <w:tc>
          <w:tcPr>
            <w:tcW w:w="0" w:type="auto"/>
            <w:gridSpan w:val="2"/>
            <w:shd w:val="clear" w:color="auto" w:fill="FFFFFF"/>
            <w:tcMar>
              <w:top w:w="40" w:type="dxa"/>
              <w:left w:w="20" w:type="dxa"/>
              <w:bottom w:w="40" w:type="dxa"/>
              <w:right w:w="0" w:type="dxa"/>
            </w:tcMar>
            <w:vAlign w:val="bottom"/>
          </w:tcPr>
          <w:p w14:paraId="0D8DE76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6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6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6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6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6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6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6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7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7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7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7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74"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7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76"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77" w14:textId="77777777" w:rsidR="004C2197" w:rsidRDefault="00863B83">
            <w:pPr>
              <w:jc w:val="right"/>
              <w:textAlignment w:val="bottom"/>
            </w:pPr>
            <w:r>
              <w:rPr>
                <w:rFonts w:ascii="sans-serif" w:eastAsia="sans-serif" w:hAnsi="sans-serif" w:cs="sans-serif"/>
                <w:color w:val="000000"/>
                <w:sz w:val="15"/>
                <w:szCs w:val="15"/>
              </w:rPr>
              <w:t>(197)</w:t>
            </w:r>
          </w:p>
        </w:tc>
        <w:tc>
          <w:tcPr>
            <w:tcW w:w="0" w:type="auto"/>
            <w:shd w:val="clear" w:color="auto" w:fill="FFFFFF"/>
            <w:tcMar>
              <w:top w:w="40" w:type="dxa"/>
              <w:bottom w:w="40" w:type="dxa"/>
              <w:right w:w="20" w:type="dxa"/>
            </w:tcMar>
            <w:vAlign w:val="bottom"/>
          </w:tcPr>
          <w:p w14:paraId="0D8DE77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79"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7A" w14:textId="77777777" w:rsidR="004C2197" w:rsidRDefault="00863B83">
            <w:pPr>
              <w:jc w:val="right"/>
              <w:textAlignment w:val="bottom"/>
            </w:pPr>
            <w:r>
              <w:rPr>
                <w:rFonts w:ascii="sans-serif" w:eastAsia="sans-serif" w:hAnsi="sans-serif" w:cs="sans-serif"/>
                <w:color w:val="000000"/>
                <w:sz w:val="15"/>
                <w:szCs w:val="15"/>
              </w:rPr>
              <w:t>(197)</w:t>
            </w:r>
          </w:p>
        </w:tc>
        <w:tc>
          <w:tcPr>
            <w:tcW w:w="0" w:type="auto"/>
            <w:shd w:val="clear" w:color="auto" w:fill="FFFFFF"/>
            <w:tcMar>
              <w:top w:w="40" w:type="dxa"/>
              <w:bottom w:w="40" w:type="dxa"/>
              <w:right w:w="20" w:type="dxa"/>
            </w:tcMar>
            <w:vAlign w:val="bottom"/>
          </w:tcPr>
          <w:p w14:paraId="0D8DE77B" w14:textId="77777777" w:rsidR="004C2197" w:rsidRDefault="004C2197">
            <w:pPr>
              <w:jc w:val="right"/>
              <w:rPr>
                <w:rFonts w:ascii="宋体"/>
              </w:rPr>
            </w:pPr>
          </w:p>
        </w:tc>
        <w:tc>
          <w:tcPr>
            <w:tcW w:w="0" w:type="auto"/>
            <w:shd w:val="clear" w:color="auto" w:fill="auto"/>
          </w:tcPr>
          <w:p w14:paraId="0D8DE77C" w14:textId="77777777" w:rsidR="004C2197" w:rsidRDefault="004C2197">
            <w:pPr>
              <w:rPr>
                <w:rFonts w:ascii="宋体"/>
              </w:rPr>
            </w:pPr>
          </w:p>
        </w:tc>
        <w:tc>
          <w:tcPr>
            <w:tcW w:w="0" w:type="auto"/>
            <w:shd w:val="clear" w:color="auto" w:fill="auto"/>
          </w:tcPr>
          <w:p w14:paraId="0D8DE77D" w14:textId="77777777" w:rsidR="004C2197" w:rsidRDefault="004C2197">
            <w:pPr>
              <w:rPr>
                <w:rFonts w:ascii="宋体"/>
              </w:rPr>
            </w:pPr>
          </w:p>
        </w:tc>
        <w:tc>
          <w:tcPr>
            <w:tcW w:w="0" w:type="auto"/>
            <w:shd w:val="clear" w:color="auto" w:fill="auto"/>
          </w:tcPr>
          <w:p w14:paraId="0D8DE77E" w14:textId="77777777" w:rsidR="004C2197" w:rsidRDefault="004C2197">
            <w:pPr>
              <w:rPr>
                <w:rFonts w:ascii="宋体"/>
              </w:rPr>
            </w:pPr>
          </w:p>
        </w:tc>
        <w:tc>
          <w:tcPr>
            <w:tcW w:w="0" w:type="auto"/>
            <w:shd w:val="clear" w:color="auto" w:fill="auto"/>
          </w:tcPr>
          <w:p w14:paraId="0D8DE77F" w14:textId="77777777" w:rsidR="004C2197" w:rsidRDefault="004C2197">
            <w:pPr>
              <w:rPr>
                <w:rFonts w:ascii="宋体"/>
              </w:rPr>
            </w:pPr>
          </w:p>
        </w:tc>
        <w:tc>
          <w:tcPr>
            <w:tcW w:w="0" w:type="auto"/>
            <w:shd w:val="clear" w:color="auto" w:fill="auto"/>
          </w:tcPr>
          <w:p w14:paraId="0D8DE780" w14:textId="77777777" w:rsidR="004C2197" w:rsidRDefault="004C2197">
            <w:pPr>
              <w:rPr>
                <w:rFonts w:ascii="宋体"/>
              </w:rPr>
            </w:pPr>
          </w:p>
        </w:tc>
        <w:tc>
          <w:tcPr>
            <w:tcW w:w="0" w:type="auto"/>
            <w:shd w:val="clear" w:color="auto" w:fill="auto"/>
          </w:tcPr>
          <w:p w14:paraId="0D8DE781" w14:textId="77777777" w:rsidR="004C2197" w:rsidRDefault="004C2197">
            <w:pPr>
              <w:rPr>
                <w:rFonts w:ascii="宋体"/>
              </w:rPr>
            </w:pPr>
          </w:p>
        </w:tc>
        <w:tc>
          <w:tcPr>
            <w:tcW w:w="0" w:type="auto"/>
            <w:shd w:val="clear" w:color="auto" w:fill="auto"/>
          </w:tcPr>
          <w:p w14:paraId="0D8DE782" w14:textId="77777777" w:rsidR="004C2197" w:rsidRDefault="004C2197">
            <w:pPr>
              <w:rPr>
                <w:rFonts w:ascii="宋体"/>
              </w:rPr>
            </w:pPr>
          </w:p>
        </w:tc>
        <w:tc>
          <w:tcPr>
            <w:tcW w:w="0" w:type="auto"/>
            <w:shd w:val="clear" w:color="auto" w:fill="auto"/>
          </w:tcPr>
          <w:p w14:paraId="0D8DE783" w14:textId="77777777" w:rsidR="004C2197" w:rsidRDefault="004C2197">
            <w:pPr>
              <w:rPr>
                <w:rFonts w:ascii="宋体"/>
              </w:rPr>
            </w:pPr>
          </w:p>
        </w:tc>
        <w:tc>
          <w:tcPr>
            <w:tcW w:w="0" w:type="auto"/>
            <w:shd w:val="clear" w:color="auto" w:fill="auto"/>
          </w:tcPr>
          <w:p w14:paraId="0D8DE784" w14:textId="77777777" w:rsidR="004C2197" w:rsidRDefault="004C2197">
            <w:pPr>
              <w:rPr>
                <w:rFonts w:ascii="宋体"/>
              </w:rPr>
            </w:pPr>
          </w:p>
        </w:tc>
        <w:tc>
          <w:tcPr>
            <w:tcW w:w="0" w:type="auto"/>
            <w:shd w:val="clear" w:color="auto" w:fill="auto"/>
          </w:tcPr>
          <w:p w14:paraId="0D8DE785" w14:textId="77777777" w:rsidR="004C2197" w:rsidRDefault="004C2197">
            <w:pPr>
              <w:rPr>
                <w:rFonts w:ascii="宋体"/>
              </w:rPr>
            </w:pPr>
          </w:p>
        </w:tc>
        <w:tc>
          <w:tcPr>
            <w:tcW w:w="0" w:type="auto"/>
            <w:shd w:val="clear" w:color="auto" w:fill="auto"/>
          </w:tcPr>
          <w:p w14:paraId="0D8DE786" w14:textId="77777777" w:rsidR="004C2197" w:rsidRDefault="004C2197">
            <w:pPr>
              <w:rPr>
                <w:rFonts w:ascii="宋体"/>
              </w:rPr>
            </w:pPr>
          </w:p>
        </w:tc>
        <w:tc>
          <w:tcPr>
            <w:tcW w:w="0" w:type="auto"/>
            <w:shd w:val="clear" w:color="auto" w:fill="auto"/>
          </w:tcPr>
          <w:p w14:paraId="0D8DE787" w14:textId="77777777" w:rsidR="004C2197" w:rsidRDefault="004C2197">
            <w:pPr>
              <w:rPr>
                <w:rFonts w:ascii="宋体"/>
              </w:rPr>
            </w:pPr>
          </w:p>
        </w:tc>
        <w:tc>
          <w:tcPr>
            <w:tcW w:w="0" w:type="auto"/>
            <w:shd w:val="clear" w:color="auto" w:fill="auto"/>
          </w:tcPr>
          <w:p w14:paraId="0D8DE788" w14:textId="77777777" w:rsidR="004C2197" w:rsidRDefault="004C2197">
            <w:pPr>
              <w:rPr>
                <w:rFonts w:ascii="宋体"/>
              </w:rPr>
            </w:pPr>
          </w:p>
        </w:tc>
        <w:tc>
          <w:tcPr>
            <w:tcW w:w="0" w:type="auto"/>
            <w:shd w:val="clear" w:color="auto" w:fill="auto"/>
          </w:tcPr>
          <w:p w14:paraId="0D8DE789" w14:textId="77777777" w:rsidR="004C2197" w:rsidRDefault="004C2197">
            <w:pPr>
              <w:rPr>
                <w:rFonts w:ascii="宋体"/>
              </w:rPr>
            </w:pPr>
          </w:p>
        </w:tc>
        <w:tc>
          <w:tcPr>
            <w:tcW w:w="0" w:type="auto"/>
            <w:shd w:val="clear" w:color="auto" w:fill="auto"/>
          </w:tcPr>
          <w:p w14:paraId="0D8DE78A" w14:textId="77777777" w:rsidR="004C2197" w:rsidRDefault="004C2197">
            <w:pPr>
              <w:rPr>
                <w:rFonts w:ascii="宋体"/>
              </w:rPr>
            </w:pPr>
          </w:p>
        </w:tc>
      </w:tr>
      <w:tr w:rsidR="004C2197" w14:paraId="0D8DE7B0" w14:textId="77777777">
        <w:trPr>
          <w:jc w:val="center"/>
        </w:trPr>
        <w:tc>
          <w:tcPr>
            <w:tcW w:w="0" w:type="auto"/>
            <w:gridSpan w:val="3"/>
            <w:shd w:val="clear" w:color="auto" w:fill="E2EFD9"/>
            <w:tcMar>
              <w:top w:w="40" w:type="dxa"/>
              <w:left w:w="20" w:type="dxa"/>
              <w:bottom w:w="40" w:type="dxa"/>
              <w:right w:w="20" w:type="dxa"/>
            </w:tcMar>
            <w:vAlign w:val="bottom"/>
          </w:tcPr>
          <w:p w14:paraId="0D8DE78C" w14:textId="77777777" w:rsidR="004C2197" w:rsidRDefault="00863B83">
            <w:pPr>
              <w:textAlignment w:val="bottom"/>
            </w:pPr>
            <w:r>
              <w:rPr>
                <w:rFonts w:ascii="sans-serif" w:eastAsia="sans-serif" w:hAnsi="sans-serif" w:cs="sans-serif"/>
                <w:color w:val="000000"/>
                <w:sz w:val="15"/>
                <w:szCs w:val="15"/>
              </w:rPr>
              <w:t>Fair value of partially ve</w:t>
            </w:r>
            <w:r>
              <w:rPr>
                <w:rFonts w:ascii="sans-serif" w:eastAsia="sans-serif" w:hAnsi="sans-serif" w:cs="sans-serif"/>
                <w:color w:val="000000"/>
                <w:sz w:val="15"/>
                <w:szCs w:val="15"/>
              </w:rPr>
              <w:t>sted equity awards assumed in connection with acquisitions</w:t>
            </w:r>
          </w:p>
        </w:tc>
        <w:tc>
          <w:tcPr>
            <w:tcW w:w="0" w:type="auto"/>
            <w:gridSpan w:val="2"/>
            <w:shd w:val="clear" w:color="auto" w:fill="E2EFD9"/>
            <w:tcMar>
              <w:top w:w="40" w:type="dxa"/>
              <w:left w:w="20" w:type="dxa"/>
              <w:bottom w:w="40" w:type="dxa"/>
              <w:right w:w="0" w:type="dxa"/>
            </w:tcMar>
            <w:vAlign w:val="bottom"/>
          </w:tcPr>
          <w:p w14:paraId="0D8DE78D"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8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8F"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0"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9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92"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3" w14:textId="77777777" w:rsidR="004C2197" w:rsidRDefault="00863B83">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bottom w:w="40" w:type="dxa"/>
              <w:right w:w="20" w:type="dxa"/>
            </w:tcMar>
            <w:vAlign w:val="bottom"/>
          </w:tcPr>
          <w:p w14:paraId="0D8DE79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9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9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9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9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9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C"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79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9E"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79F" w14:textId="77777777" w:rsidR="004C2197" w:rsidRDefault="00863B83">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bottom w:w="40" w:type="dxa"/>
              <w:right w:w="20" w:type="dxa"/>
            </w:tcMar>
            <w:vAlign w:val="bottom"/>
          </w:tcPr>
          <w:p w14:paraId="0D8DE7A0" w14:textId="77777777" w:rsidR="004C2197" w:rsidRDefault="004C2197">
            <w:pPr>
              <w:jc w:val="right"/>
              <w:rPr>
                <w:rFonts w:ascii="宋体"/>
              </w:rPr>
            </w:pPr>
          </w:p>
        </w:tc>
        <w:tc>
          <w:tcPr>
            <w:tcW w:w="0" w:type="auto"/>
            <w:shd w:val="clear" w:color="auto" w:fill="auto"/>
          </w:tcPr>
          <w:p w14:paraId="0D8DE7A1" w14:textId="77777777" w:rsidR="004C2197" w:rsidRDefault="004C2197">
            <w:pPr>
              <w:rPr>
                <w:rFonts w:ascii="宋体"/>
              </w:rPr>
            </w:pPr>
          </w:p>
        </w:tc>
        <w:tc>
          <w:tcPr>
            <w:tcW w:w="0" w:type="auto"/>
            <w:shd w:val="clear" w:color="auto" w:fill="auto"/>
          </w:tcPr>
          <w:p w14:paraId="0D8DE7A2" w14:textId="77777777" w:rsidR="004C2197" w:rsidRDefault="004C2197">
            <w:pPr>
              <w:rPr>
                <w:rFonts w:ascii="宋体"/>
              </w:rPr>
            </w:pPr>
          </w:p>
        </w:tc>
        <w:tc>
          <w:tcPr>
            <w:tcW w:w="0" w:type="auto"/>
            <w:shd w:val="clear" w:color="auto" w:fill="auto"/>
          </w:tcPr>
          <w:p w14:paraId="0D8DE7A3" w14:textId="77777777" w:rsidR="004C2197" w:rsidRDefault="004C2197">
            <w:pPr>
              <w:rPr>
                <w:rFonts w:ascii="宋体"/>
              </w:rPr>
            </w:pPr>
          </w:p>
        </w:tc>
        <w:tc>
          <w:tcPr>
            <w:tcW w:w="0" w:type="auto"/>
            <w:shd w:val="clear" w:color="auto" w:fill="auto"/>
          </w:tcPr>
          <w:p w14:paraId="0D8DE7A4" w14:textId="77777777" w:rsidR="004C2197" w:rsidRDefault="004C2197">
            <w:pPr>
              <w:rPr>
                <w:rFonts w:ascii="宋体"/>
              </w:rPr>
            </w:pPr>
          </w:p>
        </w:tc>
        <w:tc>
          <w:tcPr>
            <w:tcW w:w="0" w:type="auto"/>
            <w:shd w:val="clear" w:color="auto" w:fill="auto"/>
          </w:tcPr>
          <w:p w14:paraId="0D8DE7A5" w14:textId="77777777" w:rsidR="004C2197" w:rsidRDefault="004C2197">
            <w:pPr>
              <w:rPr>
                <w:rFonts w:ascii="宋体"/>
              </w:rPr>
            </w:pPr>
          </w:p>
        </w:tc>
        <w:tc>
          <w:tcPr>
            <w:tcW w:w="0" w:type="auto"/>
            <w:shd w:val="clear" w:color="auto" w:fill="auto"/>
          </w:tcPr>
          <w:p w14:paraId="0D8DE7A6" w14:textId="77777777" w:rsidR="004C2197" w:rsidRDefault="004C2197">
            <w:pPr>
              <w:rPr>
                <w:rFonts w:ascii="宋体"/>
              </w:rPr>
            </w:pPr>
          </w:p>
        </w:tc>
        <w:tc>
          <w:tcPr>
            <w:tcW w:w="0" w:type="auto"/>
            <w:shd w:val="clear" w:color="auto" w:fill="auto"/>
          </w:tcPr>
          <w:p w14:paraId="0D8DE7A7" w14:textId="77777777" w:rsidR="004C2197" w:rsidRDefault="004C2197">
            <w:pPr>
              <w:rPr>
                <w:rFonts w:ascii="宋体"/>
              </w:rPr>
            </w:pPr>
          </w:p>
        </w:tc>
        <w:tc>
          <w:tcPr>
            <w:tcW w:w="0" w:type="auto"/>
            <w:shd w:val="clear" w:color="auto" w:fill="auto"/>
          </w:tcPr>
          <w:p w14:paraId="0D8DE7A8" w14:textId="77777777" w:rsidR="004C2197" w:rsidRDefault="004C2197">
            <w:pPr>
              <w:rPr>
                <w:rFonts w:ascii="宋体"/>
              </w:rPr>
            </w:pPr>
          </w:p>
        </w:tc>
        <w:tc>
          <w:tcPr>
            <w:tcW w:w="0" w:type="auto"/>
            <w:shd w:val="clear" w:color="auto" w:fill="auto"/>
          </w:tcPr>
          <w:p w14:paraId="0D8DE7A9" w14:textId="77777777" w:rsidR="004C2197" w:rsidRDefault="004C2197">
            <w:pPr>
              <w:rPr>
                <w:rFonts w:ascii="宋体"/>
              </w:rPr>
            </w:pPr>
          </w:p>
        </w:tc>
        <w:tc>
          <w:tcPr>
            <w:tcW w:w="0" w:type="auto"/>
            <w:shd w:val="clear" w:color="auto" w:fill="auto"/>
          </w:tcPr>
          <w:p w14:paraId="0D8DE7AA" w14:textId="77777777" w:rsidR="004C2197" w:rsidRDefault="004C2197">
            <w:pPr>
              <w:rPr>
                <w:rFonts w:ascii="宋体"/>
              </w:rPr>
            </w:pPr>
          </w:p>
        </w:tc>
        <w:tc>
          <w:tcPr>
            <w:tcW w:w="0" w:type="auto"/>
            <w:shd w:val="clear" w:color="auto" w:fill="auto"/>
          </w:tcPr>
          <w:p w14:paraId="0D8DE7AB" w14:textId="77777777" w:rsidR="004C2197" w:rsidRDefault="004C2197">
            <w:pPr>
              <w:rPr>
                <w:rFonts w:ascii="宋体"/>
              </w:rPr>
            </w:pPr>
          </w:p>
        </w:tc>
        <w:tc>
          <w:tcPr>
            <w:tcW w:w="0" w:type="auto"/>
            <w:shd w:val="clear" w:color="auto" w:fill="auto"/>
          </w:tcPr>
          <w:p w14:paraId="0D8DE7AC" w14:textId="77777777" w:rsidR="004C2197" w:rsidRDefault="004C2197">
            <w:pPr>
              <w:rPr>
                <w:rFonts w:ascii="宋体"/>
              </w:rPr>
            </w:pPr>
          </w:p>
        </w:tc>
        <w:tc>
          <w:tcPr>
            <w:tcW w:w="0" w:type="auto"/>
            <w:shd w:val="clear" w:color="auto" w:fill="auto"/>
          </w:tcPr>
          <w:p w14:paraId="0D8DE7AD" w14:textId="77777777" w:rsidR="004C2197" w:rsidRDefault="004C2197">
            <w:pPr>
              <w:rPr>
                <w:rFonts w:ascii="宋体"/>
              </w:rPr>
            </w:pPr>
          </w:p>
        </w:tc>
        <w:tc>
          <w:tcPr>
            <w:tcW w:w="0" w:type="auto"/>
            <w:shd w:val="clear" w:color="auto" w:fill="auto"/>
          </w:tcPr>
          <w:p w14:paraId="0D8DE7AE" w14:textId="77777777" w:rsidR="004C2197" w:rsidRDefault="004C2197">
            <w:pPr>
              <w:rPr>
                <w:rFonts w:ascii="宋体"/>
              </w:rPr>
            </w:pPr>
          </w:p>
        </w:tc>
        <w:tc>
          <w:tcPr>
            <w:tcW w:w="0" w:type="auto"/>
            <w:shd w:val="clear" w:color="auto" w:fill="auto"/>
          </w:tcPr>
          <w:p w14:paraId="0D8DE7AF" w14:textId="77777777" w:rsidR="004C2197" w:rsidRDefault="004C2197">
            <w:pPr>
              <w:rPr>
                <w:rFonts w:ascii="宋体"/>
              </w:rPr>
            </w:pPr>
          </w:p>
        </w:tc>
      </w:tr>
      <w:tr w:rsidR="004C2197" w14:paraId="0D8DE7D5" w14:textId="77777777">
        <w:trPr>
          <w:jc w:val="center"/>
        </w:trPr>
        <w:tc>
          <w:tcPr>
            <w:tcW w:w="0" w:type="auto"/>
            <w:gridSpan w:val="3"/>
            <w:shd w:val="clear" w:color="auto" w:fill="FFFFFF"/>
            <w:tcMar>
              <w:top w:w="40" w:type="dxa"/>
              <w:left w:w="20" w:type="dxa"/>
              <w:bottom w:w="40" w:type="dxa"/>
              <w:right w:w="20" w:type="dxa"/>
            </w:tcMar>
            <w:vAlign w:val="bottom"/>
          </w:tcPr>
          <w:p w14:paraId="0D8DE7B1" w14:textId="77777777" w:rsidR="004C2197" w:rsidRDefault="00863B83">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0D8DE7B2" w14:textId="77777777" w:rsidR="004C2197" w:rsidRDefault="00863B83">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B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B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B5"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B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B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B8" w14:textId="77777777" w:rsidR="004C2197" w:rsidRDefault="00863B83">
            <w:pPr>
              <w:jc w:val="right"/>
              <w:textAlignment w:val="bottom"/>
            </w:pPr>
            <w:r>
              <w:rPr>
                <w:rFonts w:ascii="sans-serif" w:eastAsia="sans-serif" w:hAnsi="sans-serif" w:cs="sans-serif"/>
                <w:color w:val="000000"/>
                <w:sz w:val="15"/>
                <w:szCs w:val="15"/>
              </w:rPr>
              <w:t>603 </w:t>
            </w:r>
          </w:p>
        </w:tc>
        <w:tc>
          <w:tcPr>
            <w:tcW w:w="0" w:type="auto"/>
            <w:shd w:val="clear" w:color="auto" w:fill="FFFFFF"/>
            <w:tcMar>
              <w:top w:w="40" w:type="dxa"/>
              <w:bottom w:w="40" w:type="dxa"/>
              <w:right w:w="20" w:type="dxa"/>
            </w:tcMar>
            <w:vAlign w:val="bottom"/>
          </w:tcPr>
          <w:p w14:paraId="0D8DE7B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B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B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B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B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BE"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B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C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C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7C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7C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7C4" w14:textId="77777777" w:rsidR="004C2197" w:rsidRDefault="00863B83">
            <w:pPr>
              <w:jc w:val="right"/>
              <w:textAlignment w:val="bottom"/>
            </w:pPr>
            <w:r>
              <w:rPr>
                <w:rFonts w:ascii="sans-serif" w:eastAsia="sans-serif" w:hAnsi="sans-serif" w:cs="sans-serif"/>
                <w:color w:val="000000"/>
                <w:sz w:val="15"/>
                <w:szCs w:val="15"/>
              </w:rPr>
              <w:t>603 </w:t>
            </w:r>
          </w:p>
        </w:tc>
        <w:tc>
          <w:tcPr>
            <w:tcW w:w="0" w:type="auto"/>
            <w:shd w:val="clear" w:color="auto" w:fill="FFFFFF"/>
            <w:tcMar>
              <w:top w:w="40" w:type="dxa"/>
              <w:bottom w:w="40" w:type="dxa"/>
              <w:right w:w="20" w:type="dxa"/>
            </w:tcMar>
            <w:vAlign w:val="bottom"/>
          </w:tcPr>
          <w:p w14:paraId="0D8DE7C5" w14:textId="77777777" w:rsidR="004C2197" w:rsidRDefault="004C2197">
            <w:pPr>
              <w:jc w:val="right"/>
              <w:rPr>
                <w:rFonts w:ascii="宋体"/>
              </w:rPr>
            </w:pPr>
          </w:p>
        </w:tc>
        <w:tc>
          <w:tcPr>
            <w:tcW w:w="0" w:type="auto"/>
            <w:shd w:val="clear" w:color="auto" w:fill="auto"/>
          </w:tcPr>
          <w:p w14:paraId="0D8DE7C6" w14:textId="77777777" w:rsidR="004C2197" w:rsidRDefault="004C2197">
            <w:pPr>
              <w:rPr>
                <w:rFonts w:ascii="宋体"/>
              </w:rPr>
            </w:pPr>
          </w:p>
        </w:tc>
        <w:tc>
          <w:tcPr>
            <w:tcW w:w="0" w:type="auto"/>
            <w:shd w:val="clear" w:color="auto" w:fill="auto"/>
          </w:tcPr>
          <w:p w14:paraId="0D8DE7C7" w14:textId="77777777" w:rsidR="004C2197" w:rsidRDefault="004C2197">
            <w:pPr>
              <w:rPr>
                <w:rFonts w:ascii="宋体"/>
              </w:rPr>
            </w:pPr>
          </w:p>
        </w:tc>
        <w:tc>
          <w:tcPr>
            <w:tcW w:w="0" w:type="auto"/>
            <w:shd w:val="clear" w:color="auto" w:fill="auto"/>
          </w:tcPr>
          <w:p w14:paraId="0D8DE7C8" w14:textId="77777777" w:rsidR="004C2197" w:rsidRDefault="004C2197">
            <w:pPr>
              <w:rPr>
                <w:rFonts w:ascii="宋体"/>
              </w:rPr>
            </w:pPr>
          </w:p>
        </w:tc>
        <w:tc>
          <w:tcPr>
            <w:tcW w:w="0" w:type="auto"/>
            <w:shd w:val="clear" w:color="auto" w:fill="auto"/>
          </w:tcPr>
          <w:p w14:paraId="0D8DE7C9" w14:textId="77777777" w:rsidR="004C2197" w:rsidRDefault="004C2197">
            <w:pPr>
              <w:rPr>
                <w:rFonts w:ascii="宋体"/>
              </w:rPr>
            </w:pPr>
          </w:p>
        </w:tc>
        <w:tc>
          <w:tcPr>
            <w:tcW w:w="0" w:type="auto"/>
            <w:shd w:val="clear" w:color="auto" w:fill="auto"/>
          </w:tcPr>
          <w:p w14:paraId="0D8DE7CA" w14:textId="77777777" w:rsidR="004C2197" w:rsidRDefault="004C2197">
            <w:pPr>
              <w:rPr>
                <w:rFonts w:ascii="宋体"/>
              </w:rPr>
            </w:pPr>
          </w:p>
        </w:tc>
        <w:tc>
          <w:tcPr>
            <w:tcW w:w="0" w:type="auto"/>
            <w:shd w:val="clear" w:color="auto" w:fill="auto"/>
          </w:tcPr>
          <w:p w14:paraId="0D8DE7CB" w14:textId="77777777" w:rsidR="004C2197" w:rsidRDefault="004C2197">
            <w:pPr>
              <w:rPr>
                <w:rFonts w:ascii="宋体"/>
              </w:rPr>
            </w:pPr>
          </w:p>
        </w:tc>
        <w:tc>
          <w:tcPr>
            <w:tcW w:w="0" w:type="auto"/>
            <w:shd w:val="clear" w:color="auto" w:fill="auto"/>
          </w:tcPr>
          <w:p w14:paraId="0D8DE7CC" w14:textId="77777777" w:rsidR="004C2197" w:rsidRDefault="004C2197">
            <w:pPr>
              <w:rPr>
                <w:rFonts w:ascii="宋体"/>
              </w:rPr>
            </w:pPr>
          </w:p>
        </w:tc>
        <w:tc>
          <w:tcPr>
            <w:tcW w:w="0" w:type="auto"/>
            <w:shd w:val="clear" w:color="auto" w:fill="auto"/>
          </w:tcPr>
          <w:p w14:paraId="0D8DE7CD" w14:textId="77777777" w:rsidR="004C2197" w:rsidRDefault="004C2197">
            <w:pPr>
              <w:rPr>
                <w:rFonts w:ascii="宋体"/>
              </w:rPr>
            </w:pPr>
          </w:p>
        </w:tc>
        <w:tc>
          <w:tcPr>
            <w:tcW w:w="0" w:type="auto"/>
            <w:shd w:val="clear" w:color="auto" w:fill="auto"/>
          </w:tcPr>
          <w:p w14:paraId="0D8DE7CE" w14:textId="77777777" w:rsidR="004C2197" w:rsidRDefault="004C2197">
            <w:pPr>
              <w:rPr>
                <w:rFonts w:ascii="宋体"/>
              </w:rPr>
            </w:pPr>
          </w:p>
        </w:tc>
        <w:tc>
          <w:tcPr>
            <w:tcW w:w="0" w:type="auto"/>
            <w:shd w:val="clear" w:color="auto" w:fill="auto"/>
          </w:tcPr>
          <w:p w14:paraId="0D8DE7CF" w14:textId="77777777" w:rsidR="004C2197" w:rsidRDefault="004C2197">
            <w:pPr>
              <w:rPr>
                <w:rFonts w:ascii="宋体"/>
              </w:rPr>
            </w:pPr>
          </w:p>
        </w:tc>
        <w:tc>
          <w:tcPr>
            <w:tcW w:w="0" w:type="auto"/>
            <w:shd w:val="clear" w:color="auto" w:fill="auto"/>
          </w:tcPr>
          <w:p w14:paraId="0D8DE7D0" w14:textId="77777777" w:rsidR="004C2197" w:rsidRDefault="004C2197">
            <w:pPr>
              <w:rPr>
                <w:rFonts w:ascii="宋体"/>
              </w:rPr>
            </w:pPr>
          </w:p>
        </w:tc>
        <w:tc>
          <w:tcPr>
            <w:tcW w:w="0" w:type="auto"/>
            <w:shd w:val="clear" w:color="auto" w:fill="auto"/>
          </w:tcPr>
          <w:p w14:paraId="0D8DE7D1" w14:textId="77777777" w:rsidR="004C2197" w:rsidRDefault="004C2197">
            <w:pPr>
              <w:rPr>
                <w:rFonts w:ascii="宋体"/>
              </w:rPr>
            </w:pPr>
          </w:p>
        </w:tc>
        <w:tc>
          <w:tcPr>
            <w:tcW w:w="0" w:type="auto"/>
            <w:shd w:val="clear" w:color="auto" w:fill="auto"/>
          </w:tcPr>
          <w:p w14:paraId="0D8DE7D2" w14:textId="77777777" w:rsidR="004C2197" w:rsidRDefault="004C2197">
            <w:pPr>
              <w:rPr>
                <w:rFonts w:ascii="宋体"/>
              </w:rPr>
            </w:pPr>
          </w:p>
        </w:tc>
        <w:tc>
          <w:tcPr>
            <w:tcW w:w="0" w:type="auto"/>
            <w:shd w:val="clear" w:color="auto" w:fill="auto"/>
          </w:tcPr>
          <w:p w14:paraId="0D8DE7D3" w14:textId="77777777" w:rsidR="004C2197" w:rsidRDefault="004C2197">
            <w:pPr>
              <w:rPr>
                <w:rFonts w:ascii="宋体"/>
              </w:rPr>
            </w:pPr>
          </w:p>
        </w:tc>
        <w:tc>
          <w:tcPr>
            <w:tcW w:w="0" w:type="auto"/>
            <w:shd w:val="clear" w:color="auto" w:fill="auto"/>
          </w:tcPr>
          <w:p w14:paraId="0D8DE7D4" w14:textId="77777777" w:rsidR="004C2197" w:rsidRDefault="004C2197">
            <w:pPr>
              <w:rPr>
                <w:rFonts w:ascii="宋体"/>
              </w:rPr>
            </w:pPr>
          </w:p>
        </w:tc>
      </w:tr>
      <w:tr w:rsidR="004C2197" w14:paraId="0D8DE800" w14:textId="77777777">
        <w:trPr>
          <w:jc w:val="center"/>
        </w:trPr>
        <w:tc>
          <w:tcPr>
            <w:tcW w:w="0" w:type="auto"/>
            <w:gridSpan w:val="3"/>
            <w:shd w:val="clear" w:color="auto" w:fill="E2EFD9"/>
            <w:tcMar>
              <w:top w:w="40" w:type="dxa"/>
              <w:left w:w="20" w:type="dxa"/>
              <w:bottom w:w="40" w:type="dxa"/>
              <w:right w:w="20" w:type="dxa"/>
            </w:tcMar>
            <w:vAlign w:val="bottom"/>
          </w:tcPr>
          <w:p w14:paraId="0D8DE7D6" w14:textId="77777777" w:rsidR="004C2197" w:rsidRDefault="00863B83">
            <w:pPr>
              <w:textAlignment w:val="bottom"/>
            </w:pPr>
            <w:r>
              <w:rPr>
                <w:rFonts w:ascii="sans-serif" w:eastAsia="sans-serif" w:hAnsi="sans-serif" w:cs="sans-serif"/>
                <w:color w:val="000000"/>
                <w:sz w:val="15"/>
                <w:szCs w:val="15"/>
              </w:rPr>
              <w:t>Balances, July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7D7" w14:textId="77777777" w:rsidR="004C2197" w:rsidRDefault="00863B83">
            <w:pPr>
              <w:jc w:val="right"/>
              <w:textAlignment w:val="bottom"/>
            </w:pPr>
            <w:r>
              <w:rPr>
                <w:rFonts w:ascii="sans-serif" w:eastAsia="sans-serif" w:hAnsi="sans-serif" w:cs="sans-serif"/>
                <w:color w:val="000000"/>
                <w:sz w:val="15"/>
                <w:szCs w:val="15"/>
              </w:rPr>
              <w:t>61</w:t>
            </w:r>
            <w:r>
              <w:rPr>
                <w:rFonts w:ascii="sans-serif" w:eastAsia="sans-serif" w:hAnsi="sans-serif" w:cs="sans-serif"/>
                <w:color w:val="000000"/>
                <w:sz w:val="15"/>
                <w:szCs w:val="15"/>
              </w:rPr>
              <w:t>7 </w:t>
            </w:r>
          </w:p>
        </w:tc>
        <w:tc>
          <w:tcPr>
            <w:tcW w:w="0" w:type="auto"/>
            <w:tcBorders>
              <w:top w:val="single" w:sz="8" w:space="0" w:color="000000"/>
            </w:tcBorders>
            <w:shd w:val="clear" w:color="auto" w:fill="E2EFD9"/>
            <w:tcMar>
              <w:top w:w="40" w:type="dxa"/>
              <w:bottom w:w="40" w:type="dxa"/>
              <w:right w:w="20" w:type="dxa"/>
            </w:tcMar>
            <w:vAlign w:val="bottom"/>
          </w:tcPr>
          <w:p w14:paraId="0D8DE7D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D9"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DA"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DB"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bottom w:w="40" w:type="dxa"/>
              <w:right w:w="20" w:type="dxa"/>
            </w:tcMar>
            <w:vAlign w:val="bottom"/>
          </w:tcPr>
          <w:p w14:paraId="0D8DE7D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DD"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DE"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DF" w14:textId="77777777" w:rsidR="004C2197" w:rsidRDefault="00863B83">
            <w:pPr>
              <w:jc w:val="right"/>
              <w:textAlignment w:val="bottom"/>
            </w:pPr>
            <w:r>
              <w:rPr>
                <w:rFonts w:ascii="sans-serif" w:eastAsia="sans-serif" w:hAnsi="sans-serif" w:cs="sans-serif"/>
                <w:color w:val="000000"/>
                <w:sz w:val="15"/>
                <w:szCs w:val="15"/>
              </w:rPr>
              <w:t>7,828 </w:t>
            </w:r>
          </w:p>
        </w:tc>
        <w:tc>
          <w:tcPr>
            <w:tcW w:w="0" w:type="auto"/>
            <w:tcBorders>
              <w:top w:val="single" w:sz="8" w:space="0" w:color="000000"/>
            </w:tcBorders>
            <w:shd w:val="clear" w:color="auto" w:fill="E2EFD9"/>
            <w:tcMar>
              <w:top w:w="40" w:type="dxa"/>
              <w:bottom w:w="40" w:type="dxa"/>
              <w:right w:w="20" w:type="dxa"/>
            </w:tcMar>
            <w:vAlign w:val="bottom"/>
          </w:tcPr>
          <w:p w14:paraId="0D8DE7E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E1"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E2"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E3" w14:textId="77777777" w:rsidR="004C2197" w:rsidRDefault="00863B83">
            <w:pPr>
              <w:jc w:val="right"/>
              <w:textAlignment w:val="bottom"/>
            </w:pPr>
            <w:r>
              <w:rPr>
                <w:rFonts w:ascii="sans-serif" w:eastAsia="sans-serif" w:hAnsi="sans-serif" w:cs="sans-serif"/>
                <w:color w:val="000000"/>
                <w:sz w:val="15"/>
                <w:szCs w:val="15"/>
              </w:rPr>
              <w:t>(10,232)</w:t>
            </w:r>
          </w:p>
        </w:tc>
        <w:tc>
          <w:tcPr>
            <w:tcW w:w="0" w:type="auto"/>
            <w:tcBorders>
              <w:top w:val="single" w:sz="8" w:space="0" w:color="000000"/>
            </w:tcBorders>
            <w:shd w:val="clear" w:color="auto" w:fill="E2EFD9"/>
            <w:tcMar>
              <w:top w:w="40" w:type="dxa"/>
              <w:bottom w:w="40" w:type="dxa"/>
              <w:right w:w="20" w:type="dxa"/>
            </w:tcMar>
            <w:vAlign w:val="bottom"/>
          </w:tcPr>
          <w:p w14:paraId="0D8DE7E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E5"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E6"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E7" w14:textId="77777777" w:rsidR="004C2197" w:rsidRDefault="00863B83">
            <w:pPr>
              <w:jc w:val="right"/>
              <w:textAlignment w:val="bottom"/>
            </w:pPr>
            <w:r>
              <w:rPr>
                <w:rFonts w:ascii="sans-serif" w:eastAsia="sans-serif" w:hAnsi="sans-serif" w:cs="sans-serif"/>
                <w:color w:val="000000"/>
                <w:sz w:val="15"/>
                <w:szCs w:val="15"/>
              </w:rPr>
              <w:t>4 </w:t>
            </w:r>
          </w:p>
        </w:tc>
        <w:tc>
          <w:tcPr>
            <w:tcW w:w="0" w:type="auto"/>
            <w:tcBorders>
              <w:top w:val="single" w:sz="8" w:space="0" w:color="000000"/>
            </w:tcBorders>
            <w:shd w:val="clear" w:color="auto" w:fill="E2EFD9"/>
            <w:tcMar>
              <w:top w:w="40" w:type="dxa"/>
              <w:bottom w:w="40" w:type="dxa"/>
              <w:right w:w="20" w:type="dxa"/>
            </w:tcMar>
            <w:vAlign w:val="bottom"/>
          </w:tcPr>
          <w:p w14:paraId="0D8DE7E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E9"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EA"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EB" w14:textId="77777777" w:rsidR="004C2197" w:rsidRDefault="00863B83">
            <w:pPr>
              <w:jc w:val="right"/>
              <w:textAlignment w:val="bottom"/>
            </w:pPr>
            <w:r>
              <w:rPr>
                <w:rFonts w:ascii="sans-serif" w:eastAsia="sans-serif" w:hAnsi="sans-serif" w:cs="sans-serif"/>
                <w:color w:val="000000"/>
                <w:sz w:val="15"/>
                <w:szCs w:val="15"/>
              </w:rPr>
              <w:t>16,313 </w:t>
            </w:r>
          </w:p>
        </w:tc>
        <w:tc>
          <w:tcPr>
            <w:tcW w:w="0" w:type="auto"/>
            <w:tcBorders>
              <w:top w:val="single" w:sz="8" w:space="0" w:color="000000"/>
            </w:tcBorders>
            <w:shd w:val="clear" w:color="auto" w:fill="E2EFD9"/>
            <w:tcMar>
              <w:top w:w="40" w:type="dxa"/>
              <w:bottom w:w="40" w:type="dxa"/>
              <w:right w:w="20" w:type="dxa"/>
            </w:tcMar>
            <w:vAlign w:val="bottom"/>
          </w:tcPr>
          <w:p w14:paraId="0D8DE7E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7ED" w14:textId="77777777" w:rsidR="004C2197" w:rsidRDefault="004C2197">
            <w:pPr>
              <w:jc w:val="right"/>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7EE"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bottom w:w="40" w:type="dxa"/>
              <w:right w:w="0" w:type="dxa"/>
            </w:tcMar>
            <w:vAlign w:val="bottom"/>
          </w:tcPr>
          <w:p w14:paraId="0D8DE7EF" w14:textId="77777777" w:rsidR="004C2197" w:rsidRDefault="00863B83">
            <w:pPr>
              <w:jc w:val="right"/>
              <w:textAlignment w:val="bottom"/>
            </w:pPr>
            <w:r>
              <w:rPr>
                <w:rFonts w:ascii="sans-serif" w:eastAsia="sans-serif" w:hAnsi="sans-serif" w:cs="sans-serif"/>
                <w:color w:val="000000"/>
                <w:sz w:val="15"/>
                <w:szCs w:val="15"/>
              </w:rPr>
              <w:t>13,914 </w:t>
            </w:r>
          </w:p>
        </w:tc>
        <w:tc>
          <w:tcPr>
            <w:tcW w:w="0" w:type="auto"/>
            <w:tcBorders>
              <w:top w:val="single" w:sz="8" w:space="0" w:color="000000"/>
            </w:tcBorders>
            <w:shd w:val="clear" w:color="auto" w:fill="E2EFD9"/>
            <w:tcMar>
              <w:top w:w="40" w:type="dxa"/>
              <w:bottom w:w="40" w:type="dxa"/>
              <w:right w:w="20" w:type="dxa"/>
            </w:tcMar>
            <w:vAlign w:val="bottom"/>
          </w:tcPr>
          <w:p w14:paraId="0D8DE7F0" w14:textId="77777777" w:rsidR="004C2197" w:rsidRDefault="004C2197">
            <w:pPr>
              <w:jc w:val="right"/>
              <w:rPr>
                <w:rFonts w:ascii="宋体"/>
              </w:rPr>
            </w:pPr>
          </w:p>
        </w:tc>
        <w:tc>
          <w:tcPr>
            <w:tcW w:w="0" w:type="auto"/>
            <w:shd w:val="clear" w:color="auto" w:fill="auto"/>
          </w:tcPr>
          <w:p w14:paraId="0D8DE7F1" w14:textId="77777777" w:rsidR="004C2197" w:rsidRDefault="004C2197">
            <w:pPr>
              <w:rPr>
                <w:rFonts w:ascii="宋体"/>
              </w:rPr>
            </w:pPr>
          </w:p>
        </w:tc>
        <w:tc>
          <w:tcPr>
            <w:tcW w:w="0" w:type="auto"/>
            <w:shd w:val="clear" w:color="auto" w:fill="auto"/>
          </w:tcPr>
          <w:p w14:paraId="0D8DE7F2" w14:textId="77777777" w:rsidR="004C2197" w:rsidRDefault="004C2197">
            <w:pPr>
              <w:rPr>
                <w:rFonts w:ascii="宋体"/>
              </w:rPr>
            </w:pPr>
          </w:p>
        </w:tc>
        <w:tc>
          <w:tcPr>
            <w:tcW w:w="0" w:type="auto"/>
            <w:shd w:val="clear" w:color="auto" w:fill="auto"/>
          </w:tcPr>
          <w:p w14:paraId="0D8DE7F3" w14:textId="77777777" w:rsidR="004C2197" w:rsidRDefault="004C2197">
            <w:pPr>
              <w:rPr>
                <w:rFonts w:ascii="宋体"/>
              </w:rPr>
            </w:pPr>
          </w:p>
        </w:tc>
        <w:tc>
          <w:tcPr>
            <w:tcW w:w="0" w:type="auto"/>
            <w:shd w:val="clear" w:color="auto" w:fill="auto"/>
          </w:tcPr>
          <w:p w14:paraId="0D8DE7F4" w14:textId="77777777" w:rsidR="004C2197" w:rsidRDefault="004C2197">
            <w:pPr>
              <w:rPr>
                <w:rFonts w:ascii="宋体"/>
              </w:rPr>
            </w:pPr>
          </w:p>
        </w:tc>
        <w:tc>
          <w:tcPr>
            <w:tcW w:w="0" w:type="auto"/>
            <w:shd w:val="clear" w:color="auto" w:fill="auto"/>
          </w:tcPr>
          <w:p w14:paraId="0D8DE7F5" w14:textId="77777777" w:rsidR="004C2197" w:rsidRDefault="004C2197">
            <w:pPr>
              <w:rPr>
                <w:rFonts w:ascii="宋体"/>
              </w:rPr>
            </w:pPr>
          </w:p>
        </w:tc>
        <w:tc>
          <w:tcPr>
            <w:tcW w:w="0" w:type="auto"/>
            <w:shd w:val="clear" w:color="auto" w:fill="auto"/>
          </w:tcPr>
          <w:p w14:paraId="0D8DE7F6" w14:textId="77777777" w:rsidR="004C2197" w:rsidRDefault="004C2197">
            <w:pPr>
              <w:rPr>
                <w:rFonts w:ascii="宋体"/>
              </w:rPr>
            </w:pPr>
          </w:p>
        </w:tc>
        <w:tc>
          <w:tcPr>
            <w:tcW w:w="0" w:type="auto"/>
            <w:shd w:val="clear" w:color="auto" w:fill="auto"/>
          </w:tcPr>
          <w:p w14:paraId="0D8DE7F7" w14:textId="77777777" w:rsidR="004C2197" w:rsidRDefault="004C2197">
            <w:pPr>
              <w:rPr>
                <w:rFonts w:ascii="宋体"/>
              </w:rPr>
            </w:pPr>
          </w:p>
        </w:tc>
        <w:tc>
          <w:tcPr>
            <w:tcW w:w="0" w:type="auto"/>
            <w:shd w:val="clear" w:color="auto" w:fill="auto"/>
          </w:tcPr>
          <w:p w14:paraId="0D8DE7F8" w14:textId="77777777" w:rsidR="004C2197" w:rsidRDefault="004C2197">
            <w:pPr>
              <w:rPr>
                <w:rFonts w:ascii="宋体"/>
              </w:rPr>
            </w:pPr>
          </w:p>
        </w:tc>
        <w:tc>
          <w:tcPr>
            <w:tcW w:w="0" w:type="auto"/>
            <w:shd w:val="clear" w:color="auto" w:fill="auto"/>
          </w:tcPr>
          <w:p w14:paraId="0D8DE7F9" w14:textId="77777777" w:rsidR="004C2197" w:rsidRDefault="004C2197">
            <w:pPr>
              <w:rPr>
                <w:rFonts w:ascii="宋体"/>
              </w:rPr>
            </w:pPr>
          </w:p>
        </w:tc>
        <w:tc>
          <w:tcPr>
            <w:tcW w:w="0" w:type="auto"/>
            <w:shd w:val="clear" w:color="auto" w:fill="auto"/>
          </w:tcPr>
          <w:p w14:paraId="0D8DE7FA" w14:textId="77777777" w:rsidR="004C2197" w:rsidRDefault="004C2197">
            <w:pPr>
              <w:rPr>
                <w:rFonts w:ascii="宋体"/>
              </w:rPr>
            </w:pPr>
          </w:p>
        </w:tc>
        <w:tc>
          <w:tcPr>
            <w:tcW w:w="0" w:type="auto"/>
            <w:shd w:val="clear" w:color="auto" w:fill="auto"/>
          </w:tcPr>
          <w:p w14:paraId="0D8DE7FB" w14:textId="77777777" w:rsidR="004C2197" w:rsidRDefault="004C2197">
            <w:pPr>
              <w:rPr>
                <w:rFonts w:ascii="宋体"/>
              </w:rPr>
            </w:pPr>
          </w:p>
        </w:tc>
        <w:tc>
          <w:tcPr>
            <w:tcW w:w="0" w:type="auto"/>
            <w:shd w:val="clear" w:color="auto" w:fill="auto"/>
          </w:tcPr>
          <w:p w14:paraId="0D8DE7FC" w14:textId="77777777" w:rsidR="004C2197" w:rsidRDefault="004C2197">
            <w:pPr>
              <w:rPr>
                <w:rFonts w:ascii="宋体"/>
              </w:rPr>
            </w:pPr>
          </w:p>
        </w:tc>
        <w:tc>
          <w:tcPr>
            <w:tcW w:w="0" w:type="auto"/>
            <w:shd w:val="clear" w:color="auto" w:fill="auto"/>
          </w:tcPr>
          <w:p w14:paraId="0D8DE7FD" w14:textId="77777777" w:rsidR="004C2197" w:rsidRDefault="004C2197">
            <w:pPr>
              <w:rPr>
                <w:rFonts w:ascii="宋体"/>
              </w:rPr>
            </w:pPr>
          </w:p>
        </w:tc>
        <w:tc>
          <w:tcPr>
            <w:tcW w:w="0" w:type="auto"/>
            <w:shd w:val="clear" w:color="auto" w:fill="auto"/>
          </w:tcPr>
          <w:p w14:paraId="0D8DE7FE" w14:textId="77777777" w:rsidR="004C2197" w:rsidRDefault="004C2197">
            <w:pPr>
              <w:rPr>
                <w:rFonts w:ascii="宋体"/>
              </w:rPr>
            </w:pPr>
          </w:p>
        </w:tc>
        <w:tc>
          <w:tcPr>
            <w:tcW w:w="0" w:type="auto"/>
            <w:shd w:val="clear" w:color="auto" w:fill="auto"/>
          </w:tcPr>
          <w:p w14:paraId="0D8DE7FF" w14:textId="77777777" w:rsidR="004C2197" w:rsidRDefault="004C2197">
            <w:pPr>
              <w:rPr>
                <w:rFonts w:ascii="宋体"/>
              </w:rPr>
            </w:pPr>
          </w:p>
        </w:tc>
      </w:tr>
      <w:tr w:rsidR="004C2197" w14:paraId="0D8DE82B" w14:textId="77777777">
        <w:trPr>
          <w:jc w:val="center"/>
        </w:trPr>
        <w:tc>
          <w:tcPr>
            <w:tcW w:w="0" w:type="auto"/>
            <w:gridSpan w:val="3"/>
            <w:shd w:val="clear" w:color="auto" w:fill="FFFFFF"/>
            <w:tcMar>
              <w:top w:w="40" w:type="dxa"/>
              <w:left w:w="20" w:type="dxa"/>
              <w:bottom w:w="40" w:type="dxa"/>
              <w:right w:w="20" w:type="dxa"/>
            </w:tcMar>
            <w:vAlign w:val="bottom"/>
          </w:tcPr>
          <w:p w14:paraId="0D8DE801" w14:textId="77777777" w:rsidR="004C2197" w:rsidRDefault="00863B83">
            <w:pPr>
              <w:textAlignment w:val="bottom"/>
            </w:pPr>
            <w:r>
              <w:rPr>
                <w:rFonts w:ascii="sans-serif" w:eastAsia="sans-serif" w:hAnsi="sans-serif" w:cs="sans-serif"/>
                <w:color w:val="000000"/>
                <w:sz w:val="15"/>
                <w:szCs w:val="15"/>
              </w:rPr>
              <w:t>Balances, January 27, 2019</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E802" w14:textId="77777777" w:rsidR="004C2197" w:rsidRDefault="00863B83">
            <w:pPr>
              <w:jc w:val="right"/>
              <w:textAlignment w:val="bottom"/>
            </w:pPr>
            <w:r>
              <w:rPr>
                <w:rFonts w:ascii="sans-serif" w:eastAsia="sans-serif" w:hAnsi="sans-serif" w:cs="sans-serif"/>
                <w:color w:val="000000"/>
                <w:sz w:val="15"/>
                <w:szCs w:val="15"/>
              </w:rPr>
              <w:t>606 </w:t>
            </w:r>
          </w:p>
        </w:tc>
        <w:tc>
          <w:tcPr>
            <w:tcW w:w="0" w:type="auto"/>
            <w:tcBorders>
              <w:top w:val="double" w:sz="6" w:space="0" w:color="000000"/>
            </w:tcBorders>
            <w:shd w:val="clear" w:color="auto" w:fill="FFFFFF"/>
            <w:tcMar>
              <w:top w:w="40" w:type="dxa"/>
              <w:bottom w:w="40" w:type="dxa"/>
              <w:right w:w="20" w:type="dxa"/>
            </w:tcMar>
            <w:vAlign w:val="bottom"/>
          </w:tcPr>
          <w:p w14:paraId="0D8DE80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04"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05"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06"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FFFFFF"/>
            <w:tcMar>
              <w:top w:w="40" w:type="dxa"/>
              <w:bottom w:w="40" w:type="dxa"/>
              <w:right w:w="20" w:type="dxa"/>
            </w:tcMar>
            <w:vAlign w:val="bottom"/>
          </w:tcPr>
          <w:p w14:paraId="0D8DE80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08"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09"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0A" w14:textId="77777777" w:rsidR="004C2197" w:rsidRDefault="00863B83">
            <w:pPr>
              <w:jc w:val="right"/>
              <w:textAlignment w:val="bottom"/>
            </w:pPr>
            <w:r>
              <w:rPr>
                <w:rFonts w:ascii="sans-serif" w:eastAsia="sans-serif" w:hAnsi="sans-serif" w:cs="sans-serif"/>
                <w:color w:val="000000"/>
                <w:sz w:val="15"/>
                <w:szCs w:val="15"/>
              </w:rPr>
              <w:t>6,051 </w:t>
            </w:r>
          </w:p>
        </w:tc>
        <w:tc>
          <w:tcPr>
            <w:tcW w:w="0" w:type="auto"/>
            <w:tcBorders>
              <w:top w:val="double" w:sz="6" w:space="0" w:color="000000"/>
            </w:tcBorders>
            <w:shd w:val="clear" w:color="auto" w:fill="FFFFFF"/>
            <w:tcMar>
              <w:top w:w="40" w:type="dxa"/>
              <w:bottom w:w="40" w:type="dxa"/>
              <w:right w:w="20" w:type="dxa"/>
            </w:tcMar>
            <w:vAlign w:val="bottom"/>
          </w:tcPr>
          <w:p w14:paraId="0D8DE80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0C"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0D"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0E" w14:textId="77777777" w:rsidR="004C2197" w:rsidRDefault="00863B83">
            <w:pPr>
              <w:jc w:val="right"/>
              <w:textAlignment w:val="bottom"/>
            </w:pPr>
            <w:r>
              <w:rPr>
                <w:rFonts w:ascii="sans-serif" w:eastAsia="sans-serif" w:hAnsi="sans-serif" w:cs="sans-serif"/>
                <w:color w:val="000000"/>
                <w:sz w:val="15"/>
                <w:szCs w:val="15"/>
              </w:rPr>
              <w:t>(9,263)</w:t>
            </w:r>
          </w:p>
        </w:tc>
        <w:tc>
          <w:tcPr>
            <w:tcW w:w="0" w:type="auto"/>
            <w:tcBorders>
              <w:top w:val="double" w:sz="6" w:space="0" w:color="000000"/>
            </w:tcBorders>
            <w:shd w:val="clear" w:color="auto" w:fill="FFFFFF"/>
            <w:tcMar>
              <w:top w:w="40" w:type="dxa"/>
              <w:bottom w:w="40" w:type="dxa"/>
              <w:right w:w="20" w:type="dxa"/>
            </w:tcMar>
            <w:vAlign w:val="bottom"/>
          </w:tcPr>
          <w:p w14:paraId="0D8DE80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10"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11"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12" w14:textId="77777777" w:rsidR="004C2197" w:rsidRDefault="00863B83">
            <w:pPr>
              <w:jc w:val="right"/>
              <w:textAlignment w:val="bottom"/>
            </w:pPr>
            <w:r>
              <w:rPr>
                <w:rFonts w:ascii="sans-serif" w:eastAsia="sans-serif" w:hAnsi="sans-serif" w:cs="sans-serif"/>
                <w:color w:val="000000"/>
                <w:sz w:val="15"/>
                <w:szCs w:val="15"/>
              </w:rPr>
              <w:t>(12)</w:t>
            </w:r>
          </w:p>
        </w:tc>
        <w:tc>
          <w:tcPr>
            <w:tcW w:w="0" w:type="auto"/>
            <w:tcBorders>
              <w:top w:val="double" w:sz="6" w:space="0" w:color="000000"/>
            </w:tcBorders>
            <w:shd w:val="clear" w:color="auto" w:fill="FFFFFF"/>
            <w:tcMar>
              <w:top w:w="40" w:type="dxa"/>
              <w:bottom w:w="40" w:type="dxa"/>
              <w:right w:w="20" w:type="dxa"/>
            </w:tcMar>
            <w:vAlign w:val="bottom"/>
          </w:tcPr>
          <w:p w14:paraId="0D8DE81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14"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15"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16" w14:textId="77777777" w:rsidR="004C2197" w:rsidRDefault="00863B83">
            <w:pPr>
              <w:jc w:val="right"/>
              <w:textAlignment w:val="bottom"/>
            </w:pPr>
            <w:r>
              <w:rPr>
                <w:rFonts w:ascii="sans-serif" w:eastAsia="sans-serif" w:hAnsi="sans-serif" w:cs="sans-serif"/>
                <w:color w:val="000000"/>
                <w:sz w:val="15"/>
                <w:szCs w:val="15"/>
              </w:rPr>
              <w:t>12,565 </w:t>
            </w:r>
          </w:p>
        </w:tc>
        <w:tc>
          <w:tcPr>
            <w:tcW w:w="0" w:type="auto"/>
            <w:tcBorders>
              <w:top w:val="double" w:sz="6" w:space="0" w:color="000000"/>
            </w:tcBorders>
            <w:shd w:val="clear" w:color="auto" w:fill="FFFFFF"/>
            <w:tcMar>
              <w:top w:w="40" w:type="dxa"/>
              <w:bottom w:w="40" w:type="dxa"/>
              <w:right w:w="20" w:type="dxa"/>
            </w:tcMar>
            <w:vAlign w:val="bottom"/>
          </w:tcPr>
          <w:p w14:paraId="0D8DE81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18" w14:textId="77777777" w:rsidR="004C2197" w:rsidRDefault="004C2197">
            <w:pPr>
              <w:jc w:val="right"/>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0D8DE819"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bottom w:w="40" w:type="dxa"/>
              <w:right w:w="0" w:type="dxa"/>
            </w:tcMar>
            <w:vAlign w:val="bottom"/>
          </w:tcPr>
          <w:p w14:paraId="0D8DE81A" w14:textId="77777777" w:rsidR="004C2197" w:rsidRDefault="00863B83">
            <w:pPr>
              <w:jc w:val="right"/>
              <w:textAlignment w:val="bottom"/>
            </w:pPr>
            <w:r>
              <w:rPr>
                <w:rFonts w:ascii="sans-serif" w:eastAsia="sans-serif" w:hAnsi="sans-serif" w:cs="sans-serif"/>
                <w:color w:val="000000"/>
                <w:sz w:val="15"/>
                <w:szCs w:val="15"/>
              </w:rPr>
              <w:t>9,342 </w:t>
            </w:r>
          </w:p>
        </w:tc>
        <w:tc>
          <w:tcPr>
            <w:tcW w:w="0" w:type="auto"/>
            <w:tcBorders>
              <w:top w:val="double" w:sz="6" w:space="0" w:color="000000"/>
            </w:tcBorders>
            <w:shd w:val="clear" w:color="auto" w:fill="FFFFFF"/>
            <w:tcMar>
              <w:top w:w="40" w:type="dxa"/>
              <w:bottom w:w="40" w:type="dxa"/>
              <w:right w:w="20" w:type="dxa"/>
            </w:tcMar>
            <w:vAlign w:val="bottom"/>
          </w:tcPr>
          <w:p w14:paraId="0D8DE81B" w14:textId="77777777" w:rsidR="004C2197" w:rsidRDefault="004C2197">
            <w:pPr>
              <w:jc w:val="right"/>
              <w:rPr>
                <w:rFonts w:ascii="宋体"/>
              </w:rPr>
            </w:pPr>
          </w:p>
        </w:tc>
        <w:tc>
          <w:tcPr>
            <w:tcW w:w="0" w:type="auto"/>
            <w:shd w:val="clear" w:color="auto" w:fill="auto"/>
          </w:tcPr>
          <w:p w14:paraId="0D8DE81C" w14:textId="77777777" w:rsidR="004C2197" w:rsidRDefault="004C2197">
            <w:pPr>
              <w:rPr>
                <w:rFonts w:ascii="宋体"/>
              </w:rPr>
            </w:pPr>
          </w:p>
        </w:tc>
        <w:tc>
          <w:tcPr>
            <w:tcW w:w="0" w:type="auto"/>
            <w:shd w:val="clear" w:color="auto" w:fill="auto"/>
          </w:tcPr>
          <w:p w14:paraId="0D8DE81D" w14:textId="77777777" w:rsidR="004C2197" w:rsidRDefault="004C2197">
            <w:pPr>
              <w:rPr>
                <w:rFonts w:ascii="宋体"/>
              </w:rPr>
            </w:pPr>
          </w:p>
        </w:tc>
        <w:tc>
          <w:tcPr>
            <w:tcW w:w="0" w:type="auto"/>
            <w:shd w:val="clear" w:color="auto" w:fill="auto"/>
          </w:tcPr>
          <w:p w14:paraId="0D8DE81E" w14:textId="77777777" w:rsidR="004C2197" w:rsidRDefault="004C2197">
            <w:pPr>
              <w:rPr>
                <w:rFonts w:ascii="宋体"/>
              </w:rPr>
            </w:pPr>
          </w:p>
        </w:tc>
        <w:tc>
          <w:tcPr>
            <w:tcW w:w="0" w:type="auto"/>
            <w:shd w:val="clear" w:color="auto" w:fill="auto"/>
          </w:tcPr>
          <w:p w14:paraId="0D8DE81F" w14:textId="77777777" w:rsidR="004C2197" w:rsidRDefault="004C2197">
            <w:pPr>
              <w:rPr>
                <w:rFonts w:ascii="宋体"/>
              </w:rPr>
            </w:pPr>
          </w:p>
        </w:tc>
        <w:tc>
          <w:tcPr>
            <w:tcW w:w="0" w:type="auto"/>
            <w:shd w:val="clear" w:color="auto" w:fill="auto"/>
          </w:tcPr>
          <w:p w14:paraId="0D8DE820" w14:textId="77777777" w:rsidR="004C2197" w:rsidRDefault="004C2197">
            <w:pPr>
              <w:rPr>
                <w:rFonts w:ascii="宋体"/>
              </w:rPr>
            </w:pPr>
          </w:p>
        </w:tc>
        <w:tc>
          <w:tcPr>
            <w:tcW w:w="0" w:type="auto"/>
            <w:shd w:val="clear" w:color="auto" w:fill="auto"/>
          </w:tcPr>
          <w:p w14:paraId="0D8DE821" w14:textId="77777777" w:rsidR="004C2197" w:rsidRDefault="004C2197">
            <w:pPr>
              <w:rPr>
                <w:rFonts w:ascii="宋体"/>
              </w:rPr>
            </w:pPr>
          </w:p>
        </w:tc>
        <w:tc>
          <w:tcPr>
            <w:tcW w:w="0" w:type="auto"/>
            <w:shd w:val="clear" w:color="auto" w:fill="auto"/>
          </w:tcPr>
          <w:p w14:paraId="0D8DE822" w14:textId="77777777" w:rsidR="004C2197" w:rsidRDefault="004C2197">
            <w:pPr>
              <w:rPr>
                <w:rFonts w:ascii="宋体"/>
              </w:rPr>
            </w:pPr>
          </w:p>
        </w:tc>
        <w:tc>
          <w:tcPr>
            <w:tcW w:w="0" w:type="auto"/>
            <w:shd w:val="clear" w:color="auto" w:fill="auto"/>
          </w:tcPr>
          <w:p w14:paraId="0D8DE823" w14:textId="77777777" w:rsidR="004C2197" w:rsidRDefault="004C2197">
            <w:pPr>
              <w:rPr>
                <w:rFonts w:ascii="宋体"/>
              </w:rPr>
            </w:pPr>
          </w:p>
        </w:tc>
        <w:tc>
          <w:tcPr>
            <w:tcW w:w="0" w:type="auto"/>
            <w:shd w:val="clear" w:color="auto" w:fill="auto"/>
          </w:tcPr>
          <w:p w14:paraId="0D8DE824" w14:textId="77777777" w:rsidR="004C2197" w:rsidRDefault="004C2197">
            <w:pPr>
              <w:rPr>
                <w:rFonts w:ascii="宋体"/>
              </w:rPr>
            </w:pPr>
          </w:p>
        </w:tc>
        <w:tc>
          <w:tcPr>
            <w:tcW w:w="0" w:type="auto"/>
            <w:shd w:val="clear" w:color="auto" w:fill="auto"/>
          </w:tcPr>
          <w:p w14:paraId="0D8DE825" w14:textId="77777777" w:rsidR="004C2197" w:rsidRDefault="004C2197">
            <w:pPr>
              <w:rPr>
                <w:rFonts w:ascii="宋体"/>
              </w:rPr>
            </w:pPr>
          </w:p>
        </w:tc>
        <w:tc>
          <w:tcPr>
            <w:tcW w:w="0" w:type="auto"/>
            <w:shd w:val="clear" w:color="auto" w:fill="auto"/>
          </w:tcPr>
          <w:p w14:paraId="0D8DE826" w14:textId="77777777" w:rsidR="004C2197" w:rsidRDefault="004C2197">
            <w:pPr>
              <w:rPr>
                <w:rFonts w:ascii="宋体"/>
              </w:rPr>
            </w:pPr>
          </w:p>
        </w:tc>
        <w:tc>
          <w:tcPr>
            <w:tcW w:w="0" w:type="auto"/>
            <w:shd w:val="clear" w:color="auto" w:fill="auto"/>
          </w:tcPr>
          <w:p w14:paraId="0D8DE827" w14:textId="77777777" w:rsidR="004C2197" w:rsidRDefault="004C2197">
            <w:pPr>
              <w:rPr>
                <w:rFonts w:ascii="宋体"/>
              </w:rPr>
            </w:pPr>
          </w:p>
        </w:tc>
        <w:tc>
          <w:tcPr>
            <w:tcW w:w="0" w:type="auto"/>
            <w:shd w:val="clear" w:color="auto" w:fill="auto"/>
          </w:tcPr>
          <w:p w14:paraId="0D8DE828" w14:textId="77777777" w:rsidR="004C2197" w:rsidRDefault="004C2197">
            <w:pPr>
              <w:rPr>
                <w:rFonts w:ascii="宋体"/>
              </w:rPr>
            </w:pPr>
          </w:p>
        </w:tc>
        <w:tc>
          <w:tcPr>
            <w:tcW w:w="0" w:type="auto"/>
            <w:shd w:val="clear" w:color="auto" w:fill="auto"/>
          </w:tcPr>
          <w:p w14:paraId="0D8DE829" w14:textId="77777777" w:rsidR="004C2197" w:rsidRDefault="004C2197">
            <w:pPr>
              <w:rPr>
                <w:rFonts w:ascii="宋体"/>
              </w:rPr>
            </w:pPr>
          </w:p>
        </w:tc>
        <w:tc>
          <w:tcPr>
            <w:tcW w:w="0" w:type="auto"/>
            <w:shd w:val="clear" w:color="auto" w:fill="auto"/>
          </w:tcPr>
          <w:p w14:paraId="0D8DE82A" w14:textId="77777777" w:rsidR="004C2197" w:rsidRDefault="004C2197">
            <w:pPr>
              <w:rPr>
                <w:rFonts w:ascii="宋体"/>
              </w:rPr>
            </w:pPr>
          </w:p>
        </w:tc>
      </w:tr>
      <w:tr w:rsidR="004C2197" w14:paraId="0D8DE850" w14:textId="77777777">
        <w:trPr>
          <w:jc w:val="center"/>
        </w:trPr>
        <w:tc>
          <w:tcPr>
            <w:tcW w:w="0" w:type="auto"/>
            <w:gridSpan w:val="3"/>
            <w:shd w:val="clear" w:color="auto" w:fill="E2EFD9"/>
            <w:tcMar>
              <w:top w:w="40" w:type="dxa"/>
              <w:left w:w="20" w:type="dxa"/>
              <w:bottom w:w="40" w:type="dxa"/>
              <w:right w:w="20" w:type="dxa"/>
            </w:tcMar>
            <w:vAlign w:val="bottom"/>
          </w:tcPr>
          <w:p w14:paraId="0D8DE82C" w14:textId="77777777" w:rsidR="004C2197" w:rsidRDefault="00863B83">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0D8DE82D"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2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2F"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0"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3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32"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3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3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3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3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9"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3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3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C" w14:textId="77777777" w:rsidR="004C2197" w:rsidRDefault="00863B83">
            <w:pPr>
              <w:jc w:val="right"/>
              <w:textAlignment w:val="bottom"/>
            </w:pPr>
            <w:r>
              <w:rPr>
                <w:rFonts w:ascii="sans-serif" w:eastAsia="sans-serif" w:hAnsi="sans-serif" w:cs="sans-serif"/>
                <w:color w:val="000000"/>
                <w:sz w:val="15"/>
                <w:szCs w:val="15"/>
              </w:rPr>
              <w:t>947 </w:t>
            </w:r>
          </w:p>
        </w:tc>
        <w:tc>
          <w:tcPr>
            <w:tcW w:w="0" w:type="auto"/>
            <w:shd w:val="clear" w:color="auto" w:fill="E2EFD9"/>
            <w:tcMar>
              <w:top w:w="40" w:type="dxa"/>
              <w:bottom w:w="40" w:type="dxa"/>
              <w:right w:w="20" w:type="dxa"/>
            </w:tcMar>
            <w:vAlign w:val="bottom"/>
          </w:tcPr>
          <w:p w14:paraId="0D8DE83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3E"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3F" w14:textId="77777777" w:rsidR="004C2197" w:rsidRDefault="00863B83">
            <w:pPr>
              <w:jc w:val="right"/>
              <w:textAlignment w:val="bottom"/>
            </w:pPr>
            <w:r>
              <w:rPr>
                <w:rFonts w:ascii="sans-serif" w:eastAsia="sans-serif" w:hAnsi="sans-serif" w:cs="sans-serif"/>
                <w:color w:val="000000"/>
                <w:sz w:val="15"/>
                <w:szCs w:val="15"/>
              </w:rPr>
              <w:t>947 </w:t>
            </w:r>
          </w:p>
        </w:tc>
        <w:tc>
          <w:tcPr>
            <w:tcW w:w="0" w:type="auto"/>
            <w:shd w:val="clear" w:color="auto" w:fill="E2EFD9"/>
            <w:tcMar>
              <w:top w:w="40" w:type="dxa"/>
              <w:bottom w:w="40" w:type="dxa"/>
              <w:right w:w="20" w:type="dxa"/>
            </w:tcMar>
            <w:vAlign w:val="bottom"/>
          </w:tcPr>
          <w:p w14:paraId="0D8DE840" w14:textId="77777777" w:rsidR="004C2197" w:rsidRDefault="004C2197">
            <w:pPr>
              <w:jc w:val="right"/>
              <w:rPr>
                <w:rFonts w:ascii="宋体"/>
              </w:rPr>
            </w:pPr>
          </w:p>
        </w:tc>
        <w:tc>
          <w:tcPr>
            <w:tcW w:w="0" w:type="auto"/>
            <w:shd w:val="clear" w:color="auto" w:fill="auto"/>
          </w:tcPr>
          <w:p w14:paraId="0D8DE841" w14:textId="77777777" w:rsidR="004C2197" w:rsidRDefault="004C2197">
            <w:pPr>
              <w:rPr>
                <w:rFonts w:ascii="宋体"/>
              </w:rPr>
            </w:pPr>
          </w:p>
        </w:tc>
        <w:tc>
          <w:tcPr>
            <w:tcW w:w="0" w:type="auto"/>
            <w:shd w:val="clear" w:color="auto" w:fill="auto"/>
          </w:tcPr>
          <w:p w14:paraId="0D8DE842" w14:textId="77777777" w:rsidR="004C2197" w:rsidRDefault="004C2197">
            <w:pPr>
              <w:rPr>
                <w:rFonts w:ascii="宋体"/>
              </w:rPr>
            </w:pPr>
          </w:p>
        </w:tc>
        <w:tc>
          <w:tcPr>
            <w:tcW w:w="0" w:type="auto"/>
            <w:shd w:val="clear" w:color="auto" w:fill="auto"/>
          </w:tcPr>
          <w:p w14:paraId="0D8DE843" w14:textId="77777777" w:rsidR="004C2197" w:rsidRDefault="004C2197">
            <w:pPr>
              <w:rPr>
                <w:rFonts w:ascii="宋体"/>
              </w:rPr>
            </w:pPr>
          </w:p>
        </w:tc>
        <w:tc>
          <w:tcPr>
            <w:tcW w:w="0" w:type="auto"/>
            <w:shd w:val="clear" w:color="auto" w:fill="auto"/>
          </w:tcPr>
          <w:p w14:paraId="0D8DE844" w14:textId="77777777" w:rsidR="004C2197" w:rsidRDefault="004C2197">
            <w:pPr>
              <w:rPr>
                <w:rFonts w:ascii="宋体"/>
              </w:rPr>
            </w:pPr>
          </w:p>
        </w:tc>
        <w:tc>
          <w:tcPr>
            <w:tcW w:w="0" w:type="auto"/>
            <w:shd w:val="clear" w:color="auto" w:fill="auto"/>
          </w:tcPr>
          <w:p w14:paraId="0D8DE845" w14:textId="77777777" w:rsidR="004C2197" w:rsidRDefault="004C2197">
            <w:pPr>
              <w:rPr>
                <w:rFonts w:ascii="宋体"/>
              </w:rPr>
            </w:pPr>
          </w:p>
        </w:tc>
        <w:tc>
          <w:tcPr>
            <w:tcW w:w="0" w:type="auto"/>
            <w:shd w:val="clear" w:color="auto" w:fill="auto"/>
          </w:tcPr>
          <w:p w14:paraId="0D8DE846" w14:textId="77777777" w:rsidR="004C2197" w:rsidRDefault="004C2197">
            <w:pPr>
              <w:rPr>
                <w:rFonts w:ascii="宋体"/>
              </w:rPr>
            </w:pPr>
          </w:p>
        </w:tc>
        <w:tc>
          <w:tcPr>
            <w:tcW w:w="0" w:type="auto"/>
            <w:shd w:val="clear" w:color="auto" w:fill="auto"/>
          </w:tcPr>
          <w:p w14:paraId="0D8DE847" w14:textId="77777777" w:rsidR="004C2197" w:rsidRDefault="004C2197">
            <w:pPr>
              <w:rPr>
                <w:rFonts w:ascii="宋体"/>
              </w:rPr>
            </w:pPr>
          </w:p>
        </w:tc>
        <w:tc>
          <w:tcPr>
            <w:tcW w:w="0" w:type="auto"/>
            <w:shd w:val="clear" w:color="auto" w:fill="auto"/>
          </w:tcPr>
          <w:p w14:paraId="0D8DE848" w14:textId="77777777" w:rsidR="004C2197" w:rsidRDefault="004C2197">
            <w:pPr>
              <w:rPr>
                <w:rFonts w:ascii="宋体"/>
              </w:rPr>
            </w:pPr>
          </w:p>
        </w:tc>
        <w:tc>
          <w:tcPr>
            <w:tcW w:w="0" w:type="auto"/>
            <w:shd w:val="clear" w:color="auto" w:fill="auto"/>
          </w:tcPr>
          <w:p w14:paraId="0D8DE849" w14:textId="77777777" w:rsidR="004C2197" w:rsidRDefault="004C2197">
            <w:pPr>
              <w:rPr>
                <w:rFonts w:ascii="宋体"/>
              </w:rPr>
            </w:pPr>
          </w:p>
        </w:tc>
        <w:tc>
          <w:tcPr>
            <w:tcW w:w="0" w:type="auto"/>
            <w:shd w:val="clear" w:color="auto" w:fill="auto"/>
          </w:tcPr>
          <w:p w14:paraId="0D8DE84A" w14:textId="77777777" w:rsidR="004C2197" w:rsidRDefault="004C2197">
            <w:pPr>
              <w:rPr>
                <w:rFonts w:ascii="宋体"/>
              </w:rPr>
            </w:pPr>
          </w:p>
        </w:tc>
        <w:tc>
          <w:tcPr>
            <w:tcW w:w="0" w:type="auto"/>
            <w:shd w:val="clear" w:color="auto" w:fill="auto"/>
          </w:tcPr>
          <w:p w14:paraId="0D8DE84B" w14:textId="77777777" w:rsidR="004C2197" w:rsidRDefault="004C2197">
            <w:pPr>
              <w:rPr>
                <w:rFonts w:ascii="宋体"/>
              </w:rPr>
            </w:pPr>
          </w:p>
        </w:tc>
        <w:tc>
          <w:tcPr>
            <w:tcW w:w="0" w:type="auto"/>
            <w:shd w:val="clear" w:color="auto" w:fill="auto"/>
          </w:tcPr>
          <w:p w14:paraId="0D8DE84C" w14:textId="77777777" w:rsidR="004C2197" w:rsidRDefault="004C2197">
            <w:pPr>
              <w:rPr>
                <w:rFonts w:ascii="宋体"/>
              </w:rPr>
            </w:pPr>
          </w:p>
        </w:tc>
        <w:tc>
          <w:tcPr>
            <w:tcW w:w="0" w:type="auto"/>
            <w:shd w:val="clear" w:color="auto" w:fill="auto"/>
          </w:tcPr>
          <w:p w14:paraId="0D8DE84D" w14:textId="77777777" w:rsidR="004C2197" w:rsidRDefault="004C2197">
            <w:pPr>
              <w:rPr>
                <w:rFonts w:ascii="宋体"/>
              </w:rPr>
            </w:pPr>
          </w:p>
        </w:tc>
        <w:tc>
          <w:tcPr>
            <w:tcW w:w="0" w:type="auto"/>
            <w:shd w:val="clear" w:color="auto" w:fill="auto"/>
          </w:tcPr>
          <w:p w14:paraId="0D8DE84E" w14:textId="77777777" w:rsidR="004C2197" w:rsidRDefault="004C2197">
            <w:pPr>
              <w:rPr>
                <w:rFonts w:ascii="宋体"/>
              </w:rPr>
            </w:pPr>
          </w:p>
        </w:tc>
        <w:tc>
          <w:tcPr>
            <w:tcW w:w="0" w:type="auto"/>
            <w:shd w:val="clear" w:color="auto" w:fill="auto"/>
          </w:tcPr>
          <w:p w14:paraId="0D8DE84F" w14:textId="77777777" w:rsidR="004C2197" w:rsidRDefault="004C2197">
            <w:pPr>
              <w:rPr>
                <w:rFonts w:ascii="宋体"/>
              </w:rPr>
            </w:pPr>
          </w:p>
        </w:tc>
      </w:tr>
      <w:tr w:rsidR="004C2197" w14:paraId="0D8DE875" w14:textId="77777777">
        <w:trPr>
          <w:jc w:val="center"/>
        </w:trPr>
        <w:tc>
          <w:tcPr>
            <w:tcW w:w="0" w:type="auto"/>
            <w:gridSpan w:val="3"/>
            <w:shd w:val="clear" w:color="auto" w:fill="FFFFFF"/>
            <w:tcMar>
              <w:top w:w="40" w:type="dxa"/>
              <w:left w:w="20" w:type="dxa"/>
              <w:bottom w:w="40" w:type="dxa"/>
              <w:right w:w="20" w:type="dxa"/>
            </w:tcMar>
            <w:vAlign w:val="bottom"/>
          </w:tcPr>
          <w:p w14:paraId="0D8DE851" w14:textId="77777777" w:rsidR="004C2197" w:rsidRDefault="00863B83">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0D8DE85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5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5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55"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5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5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5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5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5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5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5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5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5E" w14:textId="77777777" w:rsidR="004C2197" w:rsidRDefault="00863B83">
            <w:pPr>
              <w:jc w:val="right"/>
              <w:textAlignment w:val="bottom"/>
            </w:pPr>
            <w:r>
              <w:rPr>
                <w:rFonts w:ascii="sans-serif" w:eastAsia="sans-serif" w:hAnsi="sans-serif" w:cs="sans-serif"/>
                <w:color w:val="000000"/>
                <w:sz w:val="15"/>
                <w:szCs w:val="15"/>
              </w:rPr>
              <w:t>11 </w:t>
            </w:r>
          </w:p>
        </w:tc>
        <w:tc>
          <w:tcPr>
            <w:tcW w:w="0" w:type="auto"/>
            <w:shd w:val="clear" w:color="auto" w:fill="FFFFFF"/>
            <w:tcMar>
              <w:top w:w="40" w:type="dxa"/>
              <w:bottom w:w="40" w:type="dxa"/>
              <w:right w:w="20" w:type="dxa"/>
            </w:tcMar>
            <w:vAlign w:val="bottom"/>
          </w:tcPr>
          <w:p w14:paraId="0D8DE85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6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61"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6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6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64" w14:textId="77777777" w:rsidR="004C2197" w:rsidRDefault="00863B83">
            <w:pPr>
              <w:jc w:val="right"/>
              <w:textAlignment w:val="bottom"/>
            </w:pPr>
            <w:r>
              <w:rPr>
                <w:rFonts w:ascii="sans-serif" w:eastAsia="sans-serif" w:hAnsi="sans-serif" w:cs="sans-serif"/>
                <w:color w:val="000000"/>
                <w:sz w:val="15"/>
                <w:szCs w:val="15"/>
              </w:rPr>
              <w:t>11 </w:t>
            </w:r>
          </w:p>
        </w:tc>
        <w:tc>
          <w:tcPr>
            <w:tcW w:w="0" w:type="auto"/>
            <w:shd w:val="clear" w:color="auto" w:fill="FFFFFF"/>
            <w:tcMar>
              <w:top w:w="40" w:type="dxa"/>
              <w:bottom w:w="40" w:type="dxa"/>
              <w:right w:w="20" w:type="dxa"/>
            </w:tcMar>
            <w:vAlign w:val="bottom"/>
          </w:tcPr>
          <w:p w14:paraId="0D8DE865" w14:textId="77777777" w:rsidR="004C2197" w:rsidRDefault="004C2197">
            <w:pPr>
              <w:jc w:val="right"/>
              <w:rPr>
                <w:rFonts w:ascii="宋体"/>
              </w:rPr>
            </w:pPr>
          </w:p>
        </w:tc>
        <w:tc>
          <w:tcPr>
            <w:tcW w:w="0" w:type="auto"/>
            <w:shd w:val="clear" w:color="auto" w:fill="auto"/>
          </w:tcPr>
          <w:p w14:paraId="0D8DE866" w14:textId="77777777" w:rsidR="004C2197" w:rsidRDefault="004C2197">
            <w:pPr>
              <w:rPr>
                <w:rFonts w:ascii="宋体"/>
              </w:rPr>
            </w:pPr>
          </w:p>
        </w:tc>
        <w:tc>
          <w:tcPr>
            <w:tcW w:w="0" w:type="auto"/>
            <w:shd w:val="clear" w:color="auto" w:fill="auto"/>
          </w:tcPr>
          <w:p w14:paraId="0D8DE867" w14:textId="77777777" w:rsidR="004C2197" w:rsidRDefault="004C2197">
            <w:pPr>
              <w:rPr>
                <w:rFonts w:ascii="宋体"/>
              </w:rPr>
            </w:pPr>
          </w:p>
        </w:tc>
        <w:tc>
          <w:tcPr>
            <w:tcW w:w="0" w:type="auto"/>
            <w:shd w:val="clear" w:color="auto" w:fill="auto"/>
          </w:tcPr>
          <w:p w14:paraId="0D8DE868" w14:textId="77777777" w:rsidR="004C2197" w:rsidRDefault="004C2197">
            <w:pPr>
              <w:rPr>
                <w:rFonts w:ascii="宋体"/>
              </w:rPr>
            </w:pPr>
          </w:p>
        </w:tc>
        <w:tc>
          <w:tcPr>
            <w:tcW w:w="0" w:type="auto"/>
            <w:shd w:val="clear" w:color="auto" w:fill="auto"/>
          </w:tcPr>
          <w:p w14:paraId="0D8DE869" w14:textId="77777777" w:rsidR="004C2197" w:rsidRDefault="004C2197">
            <w:pPr>
              <w:rPr>
                <w:rFonts w:ascii="宋体"/>
              </w:rPr>
            </w:pPr>
          </w:p>
        </w:tc>
        <w:tc>
          <w:tcPr>
            <w:tcW w:w="0" w:type="auto"/>
            <w:shd w:val="clear" w:color="auto" w:fill="auto"/>
          </w:tcPr>
          <w:p w14:paraId="0D8DE86A" w14:textId="77777777" w:rsidR="004C2197" w:rsidRDefault="004C2197">
            <w:pPr>
              <w:rPr>
                <w:rFonts w:ascii="宋体"/>
              </w:rPr>
            </w:pPr>
          </w:p>
        </w:tc>
        <w:tc>
          <w:tcPr>
            <w:tcW w:w="0" w:type="auto"/>
            <w:shd w:val="clear" w:color="auto" w:fill="auto"/>
          </w:tcPr>
          <w:p w14:paraId="0D8DE86B" w14:textId="77777777" w:rsidR="004C2197" w:rsidRDefault="004C2197">
            <w:pPr>
              <w:rPr>
                <w:rFonts w:ascii="宋体"/>
              </w:rPr>
            </w:pPr>
          </w:p>
        </w:tc>
        <w:tc>
          <w:tcPr>
            <w:tcW w:w="0" w:type="auto"/>
            <w:shd w:val="clear" w:color="auto" w:fill="auto"/>
          </w:tcPr>
          <w:p w14:paraId="0D8DE86C" w14:textId="77777777" w:rsidR="004C2197" w:rsidRDefault="004C2197">
            <w:pPr>
              <w:rPr>
                <w:rFonts w:ascii="宋体"/>
              </w:rPr>
            </w:pPr>
          </w:p>
        </w:tc>
        <w:tc>
          <w:tcPr>
            <w:tcW w:w="0" w:type="auto"/>
            <w:shd w:val="clear" w:color="auto" w:fill="auto"/>
          </w:tcPr>
          <w:p w14:paraId="0D8DE86D" w14:textId="77777777" w:rsidR="004C2197" w:rsidRDefault="004C2197">
            <w:pPr>
              <w:rPr>
                <w:rFonts w:ascii="宋体"/>
              </w:rPr>
            </w:pPr>
          </w:p>
        </w:tc>
        <w:tc>
          <w:tcPr>
            <w:tcW w:w="0" w:type="auto"/>
            <w:shd w:val="clear" w:color="auto" w:fill="auto"/>
          </w:tcPr>
          <w:p w14:paraId="0D8DE86E" w14:textId="77777777" w:rsidR="004C2197" w:rsidRDefault="004C2197">
            <w:pPr>
              <w:rPr>
                <w:rFonts w:ascii="宋体"/>
              </w:rPr>
            </w:pPr>
          </w:p>
        </w:tc>
        <w:tc>
          <w:tcPr>
            <w:tcW w:w="0" w:type="auto"/>
            <w:shd w:val="clear" w:color="auto" w:fill="auto"/>
          </w:tcPr>
          <w:p w14:paraId="0D8DE86F" w14:textId="77777777" w:rsidR="004C2197" w:rsidRDefault="004C2197">
            <w:pPr>
              <w:rPr>
                <w:rFonts w:ascii="宋体"/>
              </w:rPr>
            </w:pPr>
          </w:p>
        </w:tc>
        <w:tc>
          <w:tcPr>
            <w:tcW w:w="0" w:type="auto"/>
            <w:shd w:val="clear" w:color="auto" w:fill="auto"/>
          </w:tcPr>
          <w:p w14:paraId="0D8DE870" w14:textId="77777777" w:rsidR="004C2197" w:rsidRDefault="004C2197">
            <w:pPr>
              <w:rPr>
                <w:rFonts w:ascii="宋体"/>
              </w:rPr>
            </w:pPr>
          </w:p>
        </w:tc>
        <w:tc>
          <w:tcPr>
            <w:tcW w:w="0" w:type="auto"/>
            <w:shd w:val="clear" w:color="auto" w:fill="auto"/>
          </w:tcPr>
          <w:p w14:paraId="0D8DE871" w14:textId="77777777" w:rsidR="004C2197" w:rsidRDefault="004C2197">
            <w:pPr>
              <w:rPr>
                <w:rFonts w:ascii="宋体"/>
              </w:rPr>
            </w:pPr>
          </w:p>
        </w:tc>
        <w:tc>
          <w:tcPr>
            <w:tcW w:w="0" w:type="auto"/>
            <w:shd w:val="clear" w:color="auto" w:fill="auto"/>
          </w:tcPr>
          <w:p w14:paraId="0D8DE872" w14:textId="77777777" w:rsidR="004C2197" w:rsidRDefault="004C2197">
            <w:pPr>
              <w:rPr>
                <w:rFonts w:ascii="宋体"/>
              </w:rPr>
            </w:pPr>
          </w:p>
        </w:tc>
        <w:tc>
          <w:tcPr>
            <w:tcW w:w="0" w:type="auto"/>
            <w:shd w:val="clear" w:color="auto" w:fill="auto"/>
          </w:tcPr>
          <w:p w14:paraId="0D8DE873" w14:textId="77777777" w:rsidR="004C2197" w:rsidRDefault="004C2197">
            <w:pPr>
              <w:rPr>
                <w:rFonts w:ascii="宋体"/>
              </w:rPr>
            </w:pPr>
          </w:p>
        </w:tc>
        <w:tc>
          <w:tcPr>
            <w:tcW w:w="0" w:type="auto"/>
            <w:shd w:val="clear" w:color="auto" w:fill="auto"/>
          </w:tcPr>
          <w:p w14:paraId="0D8DE874" w14:textId="77777777" w:rsidR="004C2197" w:rsidRDefault="004C2197">
            <w:pPr>
              <w:rPr>
                <w:rFonts w:ascii="宋体"/>
              </w:rPr>
            </w:pPr>
          </w:p>
        </w:tc>
      </w:tr>
      <w:tr w:rsidR="004C2197" w14:paraId="0D8DE89A" w14:textId="77777777">
        <w:trPr>
          <w:jc w:val="center"/>
        </w:trPr>
        <w:tc>
          <w:tcPr>
            <w:tcW w:w="0" w:type="auto"/>
            <w:gridSpan w:val="3"/>
            <w:shd w:val="clear" w:color="auto" w:fill="E2EFD9"/>
            <w:tcMar>
              <w:top w:w="40" w:type="dxa"/>
              <w:left w:w="20" w:type="dxa"/>
              <w:bottom w:w="40" w:type="dxa"/>
              <w:right w:w="20" w:type="dxa"/>
            </w:tcMar>
            <w:vAlign w:val="bottom"/>
          </w:tcPr>
          <w:p w14:paraId="0D8DE876" w14:textId="77777777" w:rsidR="004C2197" w:rsidRDefault="00863B83">
            <w:pPr>
              <w:textAlignment w:val="bottom"/>
            </w:pPr>
            <w:r>
              <w:rPr>
                <w:rFonts w:ascii="sans-serif" w:eastAsia="sans-serif" w:hAnsi="sans-serif" w:cs="sans-serif"/>
                <w:color w:val="000000"/>
                <w:sz w:val="15"/>
                <w:szCs w:val="15"/>
              </w:rPr>
              <w:t xml:space="preserve">Issuance of common </w:t>
            </w:r>
            <w:r>
              <w:rPr>
                <w:rFonts w:ascii="sans-serif" w:eastAsia="sans-serif" w:hAnsi="sans-serif" w:cs="sans-serif"/>
                <w:color w:val="000000"/>
                <w:sz w:val="15"/>
                <w:szCs w:val="15"/>
              </w:rPr>
              <w:t>stock from stock plans </w:t>
            </w:r>
          </w:p>
        </w:tc>
        <w:tc>
          <w:tcPr>
            <w:tcW w:w="0" w:type="auto"/>
            <w:gridSpan w:val="2"/>
            <w:shd w:val="clear" w:color="auto" w:fill="E2EFD9"/>
            <w:tcMar>
              <w:top w:w="40" w:type="dxa"/>
              <w:left w:w="20" w:type="dxa"/>
              <w:bottom w:w="40" w:type="dxa"/>
              <w:right w:w="0" w:type="dxa"/>
            </w:tcMar>
            <w:vAlign w:val="bottom"/>
          </w:tcPr>
          <w:p w14:paraId="0D8DE877" w14:textId="77777777" w:rsidR="004C2197" w:rsidRDefault="00863B83">
            <w:pPr>
              <w:jc w:val="right"/>
              <w:textAlignment w:val="bottom"/>
            </w:pPr>
            <w:r>
              <w:rPr>
                <w:rFonts w:ascii="sans-serif" w:eastAsia="sans-serif" w:hAnsi="sans-serif" w:cs="sans-serif"/>
                <w:color w:val="000000"/>
                <w:sz w:val="15"/>
                <w:szCs w:val="15"/>
              </w:rPr>
              <w:t>5 </w:t>
            </w:r>
          </w:p>
        </w:tc>
        <w:tc>
          <w:tcPr>
            <w:tcW w:w="0" w:type="auto"/>
            <w:shd w:val="clear" w:color="auto" w:fill="E2EFD9"/>
            <w:tcMar>
              <w:top w:w="40" w:type="dxa"/>
              <w:bottom w:w="40" w:type="dxa"/>
              <w:right w:w="20" w:type="dxa"/>
            </w:tcMar>
            <w:vAlign w:val="bottom"/>
          </w:tcPr>
          <w:p w14:paraId="0D8DE87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79"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7A"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7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7C"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7D" w14:textId="77777777" w:rsidR="004C2197" w:rsidRDefault="00863B83">
            <w:pPr>
              <w:jc w:val="right"/>
              <w:textAlignment w:val="bottom"/>
            </w:pPr>
            <w:r>
              <w:rPr>
                <w:rFonts w:ascii="sans-serif" w:eastAsia="sans-serif" w:hAnsi="sans-serif" w:cs="sans-serif"/>
                <w:color w:val="000000"/>
                <w:sz w:val="15"/>
                <w:szCs w:val="15"/>
              </w:rPr>
              <w:t>83 </w:t>
            </w:r>
          </w:p>
        </w:tc>
        <w:tc>
          <w:tcPr>
            <w:tcW w:w="0" w:type="auto"/>
            <w:shd w:val="clear" w:color="auto" w:fill="E2EFD9"/>
            <w:tcMar>
              <w:top w:w="40" w:type="dxa"/>
              <w:bottom w:w="40" w:type="dxa"/>
              <w:right w:w="20" w:type="dxa"/>
            </w:tcMar>
            <w:vAlign w:val="bottom"/>
          </w:tcPr>
          <w:p w14:paraId="0D8DE87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7F"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80"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8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82"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8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8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85"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86"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8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88"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89" w14:textId="77777777" w:rsidR="004C2197" w:rsidRDefault="00863B83">
            <w:pPr>
              <w:jc w:val="right"/>
              <w:textAlignment w:val="bottom"/>
            </w:pPr>
            <w:r>
              <w:rPr>
                <w:rFonts w:ascii="sans-serif" w:eastAsia="sans-serif" w:hAnsi="sans-serif" w:cs="sans-serif"/>
                <w:color w:val="000000"/>
                <w:sz w:val="15"/>
                <w:szCs w:val="15"/>
              </w:rPr>
              <w:t>83 </w:t>
            </w:r>
          </w:p>
        </w:tc>
        <w:tc>
          <w:tcPr>
            <w:tcW w:w="0" w:type="auto"/>
            <w:shd w:val="clear" w:color="auto" w:fill="E2EFD9"/>
            <w:tcMar>
              <w:top w:w="40" w:type="dxa"/>
              <w:bottom w:w="40" w:type="dxa"/>
              <w:right w:w="20" w:type="dxa"/>
            </w:tcMar>
            <w:vAlign w:val="bottom"/>
          </w:tcPr>
          <w:p w14:paraId="0D8DE88A" w14:textId="77777777" w:rsidR="004C2197" w:rsidRDefault="004C2197">
            <w:pPr>
              <w:jc w:val="right"/>
              <w:rPr>
                <w:rFonts w:ascii="宋体"/>
              </w:rPr>
            </w:pPr>
          </w:p>
        </w:tc>
        <w:tc>
          <w:tcPr>
            <w:tcW w:w="0" w:type="auto"/>
            <w:shd w:val="clear" w:color="auto" w:fill="auto"/>
          </w:tcPr>
          <w:p w14:paraId="0D8DE88B" w14:textId="77777777" w:rsidR="004C2197" w:rsidRDefault="004C2197">
            <w:pPr>
              <w:rPr>
                <w:rFonts w:ascii="宋体"/>
              </w:rPr>
            </w:pPr>
          </w:p>
        </w:tc>
        <w:tc>
          <w:tcPr>
            <w:tcW w:w="0" w:type="auto"/>
            <w:shd w:val="clear" w:color="auto" w:fill="auto"/>
          </w:tcPr>
          <w:p w14:paraId="0D8DE88C" w14:textId="77777777" w:rsidR="004C2197" w:rsidRDefault="004C2197">
            <w:pPr>
              <w:rPr>
                <w:rFonts w:ascii="宋体"/>
              </w:rPr>
            </w:pPr>
          </w:p>
        </w:tc>
        <w:tc>
          <w:tcPr>
            <w:tcW w:w="0" w:type="auto"/>
            <w:shd w:val="clear" w:color="auto" w:fill="auto"/>
          </w:tcPr>
          <w:p w14:paraId="0D8DE88D" w14:textId="77777777" w:rsidR="004C2197" w:rsidRDefault="004C2197">
            <w:pPr>
              <w:rPr>
                <w:rFonts w:ascii="宋体"/>
              </w:rPr>
            </w:pPr>
          </w:p>
        </w:tc>
        <w:tc>
          <w:tcPr>
            <w:tcW w:w="0" w:type="auto"/>
            <w:shd w:val="clear" w:color="auto" w:fill="auto"/>
          </w:tcPr>
          <w:p w14:paraId="0D8DE88E" w14:textId="77777777" w:rsidR="004C2197" w:rsidRDefault="004C2197">
            <w:pPr>
              <w:rPr>
                <w:rFonts w:ascii="宋体"/>
              </w:rPr>
            </w:pPr>
          </w:p>
        </w:tc>
        <w:tc>
          <w:tcPr>
            <w:tcW w:w="0" w:type="auto"/>
            <w:shd w:val="clear" w:color="auto" w:fill="auto"/>
          </w:tcPr>
          <w:p w14:paraId="0D8DE88F" w14:textId="77777777" w:rsidR="004C2197" w:rsidRDefault="004C2197">
            <w:pPr>
              <w:rPr>
                <w:rFonts w:ascii="宋体"/>
              </w:rPr>
            </w:pPr>
          </w:p>
        </w:tc>
        <w:tc>
          <w:tcPr>
            <w:tcW w:w="0" w:type="auto"/>
            <w:shd w:val="clear" w:color="auto" w:fill="auto"/>
          </w:tcPr>
          <w:p w14:paraId="0D8DE890" w14:textId="77777777" w:rsidR="004C2197" w:rsidRDefault="004C2197">
            <w:pPr>
              <w:rPr>
                <w:rFonts w:ascii="宋体"/>
              </w:rPr>
            </w:pPr>
          </w:p>
        </w:tc>
        <w:tc>
          <w:tcPr>
            <w:tcW w:w="0" w:type="auto"/>
            <w:shd w:val="clear" w:color="auto" w:fill="auto"/>
          </w:tcPr>
          <w:p w14:paraId="0D8DE891" w14:textId="77777777" w:rsidR="004C2197" w:rsidRDefault="004C2197">
            <w:pPr>
              <w:rPr>
                <w:rFonts w:ascii="宋体"/>
              </w:rPr>
            </w:pPr>
          </w:p>
        </w:tc>
        <w:tc>
          <w:tcPr>
            <w:tcW w:w="0" w:type="auto"/>
            <w:shd w:val="clear" w:color="auto" w:fill="auto"/>
          </w:tcPr>
          <w:p w14:paraId="0D8DE892" w14:textId="77777777" w:rsidR="004C2197" w:rsidRDefault="004C2197">
            <w:pPr>
              <w:rPr>
                <w:rFonts w:ascii="宋体"/>
              </w:rPr>
            </w:pPr>
          </w:p>
        </w:tc>
        <w:tc>
          <w:tcPr>
            <w:tcW w:w="0" w:type="auto"/>
            <w:shd w:val="clear" w:color="auto" w:fill="auto"/>
          </w:tcPr>
          <w:p w14:paraId="0D8DE893" w14:textId="77777777" w:rsidR="004C2197" w:rsidRDefault="004C2197">
            <w:pPr>
              <w:rPr>
                <w:rFonts w:ascii="宋体"/>
              </w:rPr>
            </w:pPr>
          </w:p>
        </w:tc>
        <w:tc>
          <w:tcPr>
            <w:tcW w:w="0" w:type="auto"/>
            <w:shd w:val="clear" w:color="auto" w:fill="auto"/>
          </w:tcPr>
          <w:p w14:paraId="0D8DE894" w14:textId="77777777" w:rsidR="004C2197" w:rsidRDefault="004C2197">
            <w:pPr>
              <w:rPr>
                <w:rFonts w:ascii="宋体"/>
              </w:rPr>
            </w:pPr>
          </w:p>
        </w:tc>
        <w:tc>
          <w:tcPr>
            <w:tcW w:w="0" w:type="auto"/>
            <w:shd w:val="clear" w:color="auto" w:fill="auto"/>
          </w:tcPr>
          <w:p w14:paraId="0D8DE895" w14:textId="77777777" w:rsidR="004C2197" w:rsidRDefault="004C2197">
            <w:pPr>
              <w:rPr>
                <w:rFonts w:ascii="宋体"/>
              </w:rPr>
            </w:pPr>
          </w:p>
        </w:tc>
        <w:tc>
          <w:tcPr>
            <w:tcW w:w="0" w:type="auto"/>
            <w:shd w:val="clear" w:color="auto" w:fill="auto"/>
          </w:tcPr>
          <w:p w14:paraId="0D8DE896" w14:textId="77777777" w:rsidR="004C2197" w:rsidRDefault="004C2197">
            <w:pPr>
              <w:rPr>
                <w:rFonts w:ascii="宋体"/>
              </w:rPr>
            </w:pPr>
          </w:p>
        </w:tc>
        <w:tc>
          <w:tcPr>
            <w:tcW w:w="0" w:type="auto"/>
            <w:shd w:val="clear" w:color="auto" w:fill="auto"/>
          </w:tcPr>
          <w:p w14:paraId="0D8DE897" w14:textId="77777777" w:rsidR="004C2197" w:rsidRDefault="004C2197">
            <w:pPr>
              <w:rPr>
                <w:rFonts w:ascii="宋体"/>
              </w:rPr>
            </w:pPr>
          </w:p>
        </w:tc>
        <w:tc>
          <w:tcPr>
            <w:tcW w:w="0" w:type="auto"/>
            <w:shd w:val="clear" w:color="auto" w:fill="auto"/>
          </w:tcPr>
          <w:p w14:paraId="0D8DE898" w14:textId="77777777" w:rsidR="004C2197" w:rsidRDefault="004C2197">
            <w:pPr>
              <w:rPr>
                <w:rFonts w:ascii="宋体"/>
              </w:rPr>
            </w:pPr>
          </w:p>
        </w:tc>
        <w:tc>
          <w:tcPr>
            <w:tcW w:w="0" w:type="auto"/>
            <w:shd w:val="clear" w:color="auto" w:fill="auto"/>
          </w:tcPr>
          <w:p w14:paraId="0D8DE899" w14:textId="77777777" w:rsidR="004C2197" w:rsidRDefault="004C2197">
            <w:pPr>
              <w:rPr>
                <w:rFonts w:ascii="宋体"/>
              </w:rPr>
            </w:pPr>
          </w:p>
        </w:tc>
      </w:tr>
      <w:tr w:rsidR="004C2197" w14:paraId="0D8DE8BF" w14:textId="77777777">
        <w:trPr>
          <w:jc w:val="center"/>
        </w:trPr>
        <w:tc>
          <w:tcPr>
            <w:tcW w:w="0" w:type="auto"/>
            <w:gridSpan w:val="3"/>
            <w:shd w:val="clear" w:color="auto" w:fill="FFFFFF"/>
            <w:tcMar>
              <w:top w:w="40" w:type="dxa"/>
              <w:left w:w="20" w:type="dxa"/>
              <w:bottom w:w="40" w:type="dxa"/>
              <w:right w:w="20" w:type="dxa"/>
            </w:tcMar>
            <w:vAlign w:val="bottom"/>
          </w:tcPr>
          <w:p w14:paraId="0D8DE89B" w14:textId="77777777" w:rsidR="004C2197" w:rsidRDefault="00863B83">
            <w:pPr>
              <w:textAlignment w:val="bottom"/>
            </w:pPr>
            <w:r>
              <w:rPr>
                <w:rFonts w:ascii="sans-serif" w:eastAsia="sans-serif" w:hAnsi="sans-serif" w:cs="sans-serif"/>
                <w:color w:val="000000"/>
                <w:sz w:val="15"/>
                <w:szCs w:val="15"/>
              </w:rPr>
              <w:t>Tax withholding related to</w:t>
            </w:r>
            <w:r>
              <w:rPr>
                <w:rFonts w:ascii="sans-serif" w:eastAsia="sans-serif" w:hAnsi="sans-serif" w:cs="sans-serif"/>
                <w:color w:val="000000"/>
                <w:sz w:val="15"/>
                <w:szCs w:val="15"/>
              </w:rPr>
              <w:t xml:space="preserve"> vesting of restricted stock units</w:t>
            </w:r>
          </w:p>
        </w:tc>
        <w:tc>
          <w:tcPr>
            <w:tcW w:w="0" w:type="auto"/>
            <w:gridSpan w:val="2"/>
            <w:shd w:val="clear" w:color="auto" w:fill="FFFFFF"/>
            <w:tcMar>
              <w:top w:w="40" w:type="dxa"/>
              <w:left w:w="20" w:type="dxa"/>
              <w:bottom w:w="40" w:type="dxa"/>
              <w:right w:w="0" w:type="dxa"/>
            </w:tcMar>
            <w:vAlign w:val="bottom"/>
          </w:tcPr>
          <w:p w14:paraId="0D8DE89C" w14:textId="77777777" w:rsidR="004C2197" w:rsidRDefault="00863B83">
            <w:pPr>
              <w:jc w:val="right"/>
              <w:textAlignment w:val="bottom"/>
            </w:pPr>
            <w:r>
              <w:rPr>
                <w:rFonts w:ascii="sans-serif" w:eastAsia="sans-serif" w:hAnsi="sans-serif" w:cs="sans-serif"/>
                <w:color w:val="000000"/>
                <w:sz w:val="15"/>
                <w:szCs w:val="15"/>
              </w:rPr>
              <w:t>(2)</w:t>
            </w:r>
          </w:p>
        </w:tc>
        <w:tc>
          <w:tcPr>
            <w:tcW w:w="0" w:type="auto"/>
            <w:shd w:val="clear" w:color="auto" w:fill="FFFFFF"/>
            <w:tcMar>
              <w:top w:w="40" w:type="dxa"/>
              <w:bottom w:w="40" w:type="dxa"/>
              <w:right w:w="20" w:type="dxa"/>
            </w:tcMar>
            <w:vAlign w:val="bottom"/>
          </w:tcPr>
          <w:p w14:paraId="0D8DE89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9E"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9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A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A1"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A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A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A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A5" w14:textId="77777777" w:rsidR="004C2197" w:rsidRDefault="00863B83">
            <w:pPr>
              <w:jc w:val="right"/>
              <w:textAlignment w:val="bottom"/>
            </w:pPr>
            <w:r>
              <w:rPr>
                <w:rFonts w:ascii="sans-serif" w:eastAsia="sans-serif" w:hAnsi="sans-serif" w:cs="sans-serif"/>
                <w:color w:val="000000"/>
                <w:sz w:val="15"/>
                <w:szCs w:val="15"/>
              </w:rPr>
              <w:t>(261)</w:t>
            </w:r>
          </w:p>
        </w:tc>
        <w:tc>
          <w:tcPr>
            <w:tcW w:w="0" w:type="auto"/>
            <w:shd w:val="clear" w:color="auto" w:fill="FFFFFF"/>
            <w:tcMar>
              <w:top w:w="40" w:type="dxa"/>
              <w:bottom w:w="40" w:type="dxa"/>
              <w:right w:w="20" w:type="dxa"/>
            </w:tcMar>
            <w:vAlign w:val="bottom"/>
          </w:tcPr>
          <w:p w14:paraId="0D8DE8A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A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A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A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A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A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8A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8A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8AE" w14:textId="77777777" w:rsidR="004C2197" w:rsidRDefault="00863B83">
            <w:pPr>
              <w:jc w:val="right"/>
              <w:textAlignment w:val="bottom"/>
            </w:pPr>
            <w:r>
              <w:rPr>
                <w:rFonts w:ascii="sans-serif" w:eastAsia="sans-serif" w:hAnsi="sans-serif" w:cs="sans-serif"/>
                <w:color w:val="000000"/>
                <w:sz w:val="15"/>
                <w:szCs w:val="15"/>
              </w:rPr>
              <w:t>(261)</w:t>
            </w:r>
          </w:p>
        </w:tc>
        <w:tc>
          <w:tcPr>
            <w:tcW w:w="0" w:type="auto"/>
            <w:shd w:val="clear" w:color="auto" w:fill="FFFFFF"/>
            <w:tcMar>
              <w:top w:w="40" w:type="dxa"/>
              <w:bottom w:w="40" w:type="dxa"/>
              <w:right w:w="20" w:type="dxa"/>
            </w:tcMar>
            <w:vAlign w:val="bottom"/>
          </w:tcPr>
          <w:p w14:paraId="0D8DE8AF" w14:textId="77777777" w:rsidR="004C2197" w:rsidRDefault="004C2197">
            <w:pPr>
              <w:jc w:val="right"/>
              <w:rPr>
                <w:rFonts w:ascii="宋体"/>
              </w:rPr>
            </w:pPr>
          </w:p>
        </w:tc>
        <w:tc>
          <w:tcPr>
            <w:tcW w:w="0" w:type="auto"/>
            <w:shd w:val="clear" w:color="auto" w:fill="auto"/>
          </w:tcPr>
          <w:p w14:paraId="0D8DE8B0" w14:textId="77777777" w:rsidR="004C2197" w:rsidRDefault="004C2197">
            <w:pPr>
              <w:rPr>
                <w:rFonts w:ascii="宋体"/>
              </w:rPr>
            </w:pPr>
          </w:p>
        </w:tc>
        <w:tc>
          <w:tcPr>
            <w:tcW w:w="0" w:type="auto"/>
            <w:shd w:val="clear" w:color="auto" w:fill="auto"/>
          </w:tcPr>
          <w:p w14:paraId="0D8DE8B1" w14:textId="77777777" w:rsidR="004C2197" w:rsidRDefault="004C2197">
            <w:pPr>
              <w:rPr>
                <w:rFonts w:ascii="宋体"/>
              </w:rPr>
            </w:pPr>
          </w:p>
        </w:tc>
        <w:tc>
          <w:tcPr>
            <w:tcW w:w="0" w:type="auto"/>
            <w:shd w:val="clear" w:color="auto" w:fill="auto"/>
          </w:tcPr>
          <w:p w14:paraId="0D8DE8B2" w14:textId="77777777" w:rsidR="004C2197" w:rsidRDefault="004C2197">
            <w:pPr>
              <w:rPr>
                <w:rFonts w:ascii="宋体"/>
              </w:rPr>
            </w:pPr>
          </w:p>
        </w:tc>
        <w:tc>
          <w:tcPr>
            <w:tcW w:w="0" w:type="auto"/>
            <w:shd w:val="clear" w:color="auto" w:fill="auto"/>
          </w:tcPr>
          <w:p w14:paraId="0D8DE8B3" w14:textId="77777777" w:rsidR="004C2197" w:rsidRDefault="004C2197">
            <w:pPr>
              <w:rPr>
                <w:rFonts w:ascii="宋体"/>
              </w:rPr>
            </w:pPr>
          </w:p>
        </w:tc>
        <w:tc>
          <w:tcPr>
            <w:tcW w:w="0" w:type="auto"/>
            <w:shd w:val="clear" w:color="auto" w:fill="auto"/>
          </w:tcPr>
          <w:p w14:paraId="0D8DE8B4" w14:textId="77777777" w:rsidR="004C2197" w:rsidRDefault="004C2197">
            <w:pPr>
              <w:rPr>
                <w:rFonts w:ascii="宋体"/>
              </w:rPr>
            </w:pPr>
          </w:p>
        </w:tc>
        <w:tc>
          <w:tcPr>
            <w:tcW w:w="0" w:type="auto"/>
            <w:shd w:val="clear" w:color="auto" w:fill="auto"/>
          </w:tcPr>
          <w:p w14:paraId="0D8DE8B5" w14:textId="77777777" w:rsidR="004C2197" w:rsidRDefault="004C2197">
            <w:pPr>
              <w:rPr>
                <w:rFonts w:ascii="宋体"/>
              </w:rPr>
            </w:pPr>
          </w:p>
        </w:tc>
        <w:tc>
          <w:tcPr>
            <w:tcW w:w="0" w:type="auto"/>
            <w:shd w:val="clear" w:color="auto" w:fill="auto"/>
          </w:tcPr>
          <w:p w14:paraId="0D8DE8B6" w14:textId="77777777" w:rsidR="004C2197" w:rsidRDefault="004C2197">
            <w:pPr>
              <w:rPr>
                <w:rFonts w:ascii="宋体"/>
              </w:rPr>
            </w:pPr>
          </w:p>
        </w:tc>
        <w:tc>
          <w:tcPr>
            <w:tcW w:w="0" w:type="auto"/>
            <w:shd w:val="clear" w:color="auto" w:fill="auto"/>
          </w:tcPr>
          <w:p w14:paraId="0D8DE8B7" w14:textId="77777777" w:rsidR="004C2197" w:rsidRDefault="004C2197">
            <w:pPr>
              <w:rPr>
                <w:rFonts w:ascii="宋体"/>
              </w:rPr>
            </w:pPr>
          </w:p>
        </w:tc>
        <w:tc>
          <w:tcPr>
            <w:tcW w:w="0" w:type="auto"/>
            <w:shd w:val="clear" w:color="auto" w:fill="auto"/>
          </w:tcPr>
          <w:p w14:paraId="0D8DE8B8" w14:textId="77777777" w:rsidR="004C2197" w:rsidRDefault="004C2197">
            <w:pPr>
              <w:rPr>
                <w:rFonts w:ascii="宋体"/>
              </w:rPr>
            </w:pPr>
          </w:p>
        </w:tc>
        <w:tc>
          <w:tcPr>
            <w:tcW w:w="0" w:type="auto"/>
            <w:shd w:val="clear" w:color="auto" w:fill="auto"/>
          </w:tcPr>
          <w:p w14:paraId="0D8DE8B9" w14:textId="77777777" w:rsidR="004C2197" w:rsidRDefault="004C2197">
            <w:pPr>
              <w:rPr>
                <w:rFonts w:ascii="宋体"/>
              </w:rPr>
            </w:pPr>
          </w:p>
        </w:tc>
        <w:tc>
          <w:tcPr>
            <w:tcW w:w="0" w:type="auto"/>
            <w:shd w:val="clear" w:color="auto" w:fill="auto"/>
          </w:tcPr>
          <w:p w14:paraId="0D8DE8BA" w14:textId="77777777" w:rsidR="004C2197" w:rsidRDefault="004C2197">
            <w:pPr>
              <w:rPr>
                <w:rFonts w:ascii="宋体"/>
              </w:rPr>
            </w:pPr>
          </w:p>
        </w:tc>
        <w:tc>
          <w:tcPr>
            <w:tcW w:w="0" w:type="auto"/>
            <w:shd w:val="clear" w:color="auto" w:fill="auto"/>
          </w:tcPr>
          <w:p w14:paraId="0D8DE8BB" w14:textId="77777777" w:rsidR="004C2197" w:rsidRDefault="004C2197">
            <w:pPr>
              <w:rPr>
                <w:rFonts w:ascii="宋体"/>
              </w:rPr>
            </w:pPr>
          </w:p>
        </w:tc>
        <w:tc>
          <w:tcPr>
            <w:tcW w:w="0" w:type="auto"/>
            <w:shd w:val="clear" w:color="auto" w:fill="auto"/>
          </w:tcPr>
          <w:p w14:paraId="0D8DE8BC" w14:textId="77777777" w:rsidR="004C2197" w:rsidRDefault="004C2197">
            <w:pPr>
              <w:rPr>
                <w:rFonts w:ascii="宋体"/>
              </w:rPr>
            </w:pPr>
          </w:p>
        </w:tc>
        <w:tc>
          <w:tcPr>
            <w:tcW w:w="0" w:type="auto"/>
            <w:shd w:val="clear" w:color="auto" w:fill="auto"/>
          </w:tcPr>
          <w:p w14:paraId="0D8DE8BD" w14:textId="77777777" w:rsidR="004C2197" w:rsidRDefault="004C2197">
            <w:pPr>
              <w:rPr>
                <w:rFonts w:ascii="宋体"/>
              </w:rPr>
            </w:pPr>
          </w:p>
        </w:tc>
        <w:tc>
          <w:tcPr>
            <w:tcW w:w="0" w:type="auto"/>
            <w:shd w:val="clear" w:color="auto" w:fill="auto"/>
          </w:tcPr>
          <w:p w14:paraId="0D8DE8BE" w14:textId="77777777" w:rsidR="004C2197" w:rsidRDefault="004C2197">
            <w:pPr>
              <w:rPr>
                <w:rFonts w:ascii="宋体"/>
              </w:rPr>
            </w:pPr>
          </w:p>
        </w:tc>
      </w:tr>
      <w:tr w:rsidR="004C2197" w14:paraId="0D8DE8DD" w14:textId="77777777">
        <w:trPr>
          <w:jc w:val="center"/>
          <w:hidden/>
        </w:trPr>
        <w:tc>
          <w:tcPr>
            <w:tcW w:w="0" w:type="auto"/>
            <w:gridSpan w:val="3"/>
            <w:shd w:val="clear" w:color="auto" w:fill="auto"/>
          </w:tcPr>
          <w:p w14:paraId="0D8DE8C0" w14:textId="77777777" w:rsidR="004C2197" w:rsidRDefault="004C2197">
            <w:pPr>
              <w:rPr>
                <w:rFonts w:ascii="宋体"/>
                <w:vanish/>
              </w:rPr>
            </w:pPr>
          </w:p>
        </w:tc>
        <w:tc>
          <w:tcPr>
            <w:tcW w:w="0" w:type="auto"/>
            <w:gridSpan w:val="3"/>
            <w:shd w:val="clear" w:color="auto" w:fill="auto"/>
          </w:tcPr>
          <w:p w14:paraId="0D8DE8C1" w14:textId="77777777" w:rsidR="004C2197" w:rsidRDefault="004C2197">
            <w:pPr>
              <w:rPr>
                <w:rFonts w:ascii="宋体"/>
                <w:vanish/>
              </w:rPr>
            </w:pPr>
          </w:p>
        </w:tc>
        <w:tc>
          <w:tcPr>
            <w:tcW w:w="0" w:type="auto"/>
            <w:gridSpan w:val="3"/>
            <w:shd w:val="clear" w:color="auto" w:fill="auto"/>
          </w:tcPr>
          <w:p w14:paraId="0D8DE8C2" w14:textId="77777777" w:rsidR="004C2197" w:rsidRDefault="004C2197">
            <w:pPr>
              <w:rPr>
                <w:rFonts w:ascii="宋体"/>
                <w:vanish/>
              </w:rPr>
            </w:pPr>
          </w:p>
        </w:tc>
        <w:tc>
          <w:tcPr>
            <w:tcW w:w="0" w:type="auto"/>
            <w:gridSpan w:val="3"/>
            <w:shd w:val="clear" w:color="auto" w:fill="auto"/>
          </w:tcPr>
          <w:p w14:paraId="0D8DE8C3" w14:textId="77777777" w:rsidR="004C2197" w:rsidRDefault="004C2197">
            <w:pPr>
              <w:rPr>
                <w:rFonts w:ascii="宋体"/>
                <w:vanish/>
              </w:rPr>
            </w:pPr>
          </w:p>
        </w:tc>
        <w:tc>
          <w:tcPr>
            <w:tcW w:w="0" w:type="auto"/>
            <w:gridSpan w:val="3"/>
            <w:shd w:val="clear" w:color="auto" w:fill="auto"/>
          </w:tcPr>
          <w:p w14:paraId="0D8DE8C4" w14:textId="77777777" w:rsidR="004C2197" w:rsidRDefault="004C2197">
            <w:pPr>
              <w:rPr>
                <w:rFonts w:ascii="宋体"/>
                <w:vanish/>
              </w:rPr>
            </w:pPr>
          </w:p>
        </w:tc>
        <w:tc>
          <w:tcPr>
            <w:tcW w:w="0" w:type="auto"/>
            <w:gridSpan w:val="3"/>
            <w:shd w:val="clear" w:color="auto" w:fill="auto"/>
          </w:tcPr>
          <w:p w14:paraId="0D8DE8C5" w14:textId="77777777" w:rsidR="004C2197" w:rsidRDefault="004C2197">
            <w:pPr>
              <w:rPr>
                <w:rFonts w:ascii="宋体"/>
                <w:vanish/>
              </w:rPr>
            </w:pPr>
          </w:p>
        </w:tc>
        <w:tc>
          <w:tcPr>
            <w:tcW w:w="0" w:type="auto"/>
            <w:gridSpan w:val="3"/>
            <w:shd w:val="clear" w:color="auto" w:fill="auto"/>
          </w:tcPr>
          <w:p w14:paraId="0D8DE8C6" w14:textId="77777777" w:rsidR="004C2197" w:rsidRDefault="004C2197">
            <w:pPr>
              <w:rPr>
                <w:rFonts w:ascii="宋体"/>
                <w:vanish/>
              </w:rPr>
            </w:pPr>
          </w:p>
        </w:tc>
        <w:tc>
          <w:tcPr>
            <w:tcW w:w="0" w:type="auto"/>
            <w:gridSpan w:val="3"/>
            <w:shd w:val="clear" w:color="auto" w:fill="auto"/>
          </w:tcPr>
          <w:p w14:paraId="0D8DE8C7" w14:textId="77777777" w:rsidR="004C2197" w:rsidRDefault="004C2197">
            <w:pPr>
              <w:rPr>
                <w:rFonts w:ascii="宋体"/>
                <w:vanish/>
              </w:rPr>
            </w:pPr>
          </w:p>
        </w:tc>
        <w:tc>
          <w:tcPr>
            <w:tcW w:w="0" w:type="auto"/>
            <w:gridSpan w:val="3"/>
            <w:shd w:val="clear" w:color="auto" w:fill="auto"/>
          </w:tcPr>
          <w:p w14:paraId="0D8DE8C8" w14:textId="77777777" w:rsidR="004C2197" w:rsidRDefault="004C2197">
            <w:pPr>
              <w:rPr>
                <w:rFonts w:ascii="宋体"/>
                <w:vanish/>
              </w:rPr>
            </w:pPr>
          </w:p>
        </w:tc>
        <w:tc>
          <w:tcPr>
            <w:tcW w:w="0" w:type="auto"/>
            <w:gridSpan w:val="3"/>
            <w:shd w:val="clear" w:color="auto" w:fill="auto"/>
          </w:tcPr>
          <w:p w14:paraId="0D8DE8C9" w14:textId="77777777" w:rsidR="004C2197" w:rsidRDefault="004C2197">
            <w:pPr>
              <w:rPr>
                <w:rFonts w:ascii="宋体"/>
                <w:vanish/>
              </w:rPr>
            </w:pPr>
          </w:p>
        </w:tc>
        <w:tc>
          <w:tcPr>
            <w:tcW w:w="0" w:type="auto"/>
            <w:gridSpan w:val="3"/>
            <w:shd w:val="clear" w:color="auto" w:fill="auto"/>
          </w:tcPr>
          <w:p w14:paraId="0D8DE8CA" w14:textId="77777777" w:rsidR="004C2197" w:rsidRDefault="004C2197">
            <w:pPr>
              <w:rPr>
                <w:rFonts w:ascii="宋体"/>
                <w:vanish/>
              </w:rPr>
            </w:pPr>
          </w:p>
        </w:tc>
        <w:tc>
          <w:tcPr>
            <w:tcW w:w="0" w:type="auto"/>
            <w:gridSpan w:val="3"/>
            <w:shd w:val="clear" w:color="auto" w:fill="auto"/>
          </w:tcPr>
          <w:p w14:paraId="0D8DE8CB" w14:textId="77777777" w:rsidR="004C2197" w:rsidRDefault="004C2197">
            <w:pPr>
              <w:rPr>
                <w:rFonts w:ascii="宋体"/>
                <w:vanish/>
              </w:rPr>
            </w:pPr>
          </w:p>
        </w:tc>
        <w:tc>
          <w:tcPr>
            <w:tcW w:w="0" w:type="auto"/>
            <w:gridSpan w:val="3"/>
            <w:shd w:val="clear" w:color="auto" w:fill="auto"/>
          </w:tcPr>
          <w:p w14:paraId="0D8DE8CC" w14:textId="77777777" w:rsidR="004C2197" w:rsidRDefault="004C2197">
            <w:pPr>
              <w:rPr>
                <w:rFonts w:ascii="宋体"/>
                <w:vanish/>
              </w:rPr>
            </w:pPr>
          </w:p>
        </w:tc>
        <w:tc>
          <w:tcPr>
            <w:tcW w:w="0" w:type="auto"/>
            <w:gridSpan w:val="3"/>
            <w:shd w:val="clear" w:color="auto" w:fill="auto"/>
          </w:tcPr>
          <w:p w14:paraId="0D8DE8CD" w14:textId="77777777" w:rsidR="004C2197" w:rsidRDefault="004C2197">
            <w:pPr>
              <w:rPr>
                <w:rFonts w:ascii="宋体"/>
                <w:vanish/>
              </w:rPr>
            </w:pPr>
          </w:p>
        </w:tc>
        <w:tc>
          <w:tcPr>
            <w:tcW w:w="0" w:type="auto"/>
            <w:shd w:val="clear" w:color="auto" w:fill="auto"/>
          </w:tcPr>
          <w:p w14:paraId="0D8DE8CE" w14:textId="77777777" w:rsidR="004C2197" w:rsidRDefault="004C2197">
            <w:pPr>
              <w:rPr>
                <w:rFonts w:ascii="宋体"/>
              </w:rPr>
            </w:pPr>
          </w:p>
        </w:tc>
        <w:tc>
          <w:tcPr>
            <w:tcW w:w="0" w:type="auto"/>
            <w:shd w:val="clear" w:color="auto" w:fill="auto"/>
          </w:tcPr>
          <w:p w14:paraId="0D8DE8CF" w14:textId="77777777" w:rsidR="004C2197" w:rsidRDefault="004C2197">
            <w:pPr>
              <w:rPr>
                <w:rFonts w:ascii="宋体"/>
              </w:rPr>
            </w:pPr>
          </w:p>
        </w:tc>
        <w:tc>
          <w:tcPr>
            <w:tcW w:w="0" w:type="auto"/>
            <w:shd w:val="clear" w:color="auto" w:fill="auto"/>
          </w:tcPr>
          <w:p w14:paraId="0D8DE8D0" w14:textId="77777777" w:rsidR="004C2197" w:rsidRDefault="004C2197">
            <w:pPr>
              <w:rPr>
                <w:rFonts w:ascii="宋体"/>
              </w:rPr>
            </w:pPr>
          </w:p>
        </w:tc>
        <w:tc>
          <w:tcPr>
            <w:tcW w:w="0" w:type="auto"/>
            <w:shd w:val="clear" w:color="auto" w:fill="auto"/>
          </w:tcPr>
          <w:p w14:paraId="0D8DE8D1" w14:textId="77777777" w:rsidR="004C2197" w:rsidRDefault="004C2197">
            <w:pPr>
              <w:rPr>
                <w:rFonts w:ascii="宋体"/>
              </w:rPr>
            </w:pPr>
          </w:p>
        </w:tc>
        <w:tc>
          <w:tcPr>
            <w:tcW w:w="0" w:type="auto"/>
            <w:shd w:val="clear" w:color="auto" w:fill="auto"/>
          </w:tcPr>
          <w:p w14:paraId="0D8DE8D2" w14:textId="77777777" w:rsidR="004C2197" w:rsidRDefault="004C2197">
            <w:pPr>
              <w:rPr>
                <w:rFonts w:ascii="宋体"/>
              </w:rPr>
            </w:pPr>
          </w:p>
        </w:tc>
        <w:tc>
          <w:tcPr>
            <w:tcW w:w="0" w:type="auto"/>
            <w:shd w:val="clear" w:color="auto" w:fill="auto"/>
          </w:tcPr>
          <w:p w14:paraId="0D8DE8D3" w14:textId="77777777" w:rsidR="004C2197" w:rsidRDefault="004C2197">
            <w:pPr>
              <w:rPr>
                <w:rFonts w:ascii="宋体"/>
              </w:rPr>
            </w:pPr>
          </w:p>
        </w:tc>
        <w:tc>
          <w:tcPr>
            <w:tcW w:w="0" w:type="auto"/>
            <w:shd w:val="clear" w:color="auto" w:fill="auto"/>
          </w:tcPr>
          <w:p w14:paraId="0D8DE8D4" w14:textId="77777777" w:rsidR="004C2197" w:rsidRDefault="004C2197">
            <w:pPr>
              <w:rPr>
                <w:rFonts w:ascii="宋体"/>
              </w:rPr>
            </w:pPr>
          </w:p>
        </w:tc>
        <w:tc>
          <w:tcPr>
            <w:tcW w:w="0" w:type="auto"/>
            <w:shd w:val="clear" w:color="auto" w:fill="auto"/>
          </w:tcPr>
          <w:p w14:paraId="0D8DE8D5" w14:textId="77777777" w:rsidR="004C2197" w:rsidRDefault="004C2197">
            <w:pPr>
              <w:rPr>
                <w:rFonts w:ascii="宋体"/>
              </w:rPr>
            </w:pPr>
          </w:p>
        </w:tc>
        <w:tc>
          <w:tcPr>
            <w:tcW w:w="0" w:type="auto"/>
            <w:shd w:val="clear" w:color="auto" w:fill="auto"/>
          </w:tcPr>
          <w:p w14:paraId="0D8DE8D6" w14:textId="77777777" w:rsidR="004C2197" w:rsidRDefault="004C2197">
            <w:pPr>
              <w:rPr>
                <w:rFonts w:ascii="宋体"/>
              </w:rPr>
            </w:pPr>
          </w:p>
        </w:tc>
        <w:tc>
          <w:tcPr>
            <w:tcW w:w="0" w:type="auto"/>
            <w:shd w:val="clear" w:color="auto" w:fill="auto"/>
          </w:tcPr>
          <w:p w14:paraId="0D8DE8D7" w14:textId="77777777" w:rsidR="004C2197" w:rsidRDefault="004C2197">
            <w:pPr>
              <w:rPr>
                <w:rFonts w:ascii="宋体"/>
              </w:rPr>
            </w:pPr>
          </w:p>
        </w:tc>
        <w:tc>
          <w:tcPr>
            <w:tcW w:w="0" w:type="auto"/>
            <w:shd w:val="clear" w:color="auto" w:fill="auto"/>
          </w:tcPr>
          <w:p w14:paraId="0D8DE8D8" w14:textId="77777777" w:rsidR="004C2197" w:rsidRDefault="004C2197">
            <w:pPr>
              <w:rPr>
                <w:rFonts w:ascii="宋体"/>
              </w:rPr>
            </w:pPr>
          </w:p>
        </w:tc>
        <w:tc>
          <w:tcPr>
            <w:tcW w:w="0" w:type="auto"/>
            <w:shd w:val="clear" w:color="auto" w:fill="auto"/>
          </w:tcPr>
          <w:p w14:paraId="0D8DE8D9" w14:textId="77777777" w:rsidR="004C2197" w:rsidRDefault="004C2197">
            <w:pPr>
              <w:rPr>
                <w:rFonts w:ascii="宋体"/>
              </w:rPr>
            </w:pPr>
          </w:p>
        </w:tc>
        <w:tc>
          <w:tcPr>
            <w:tcW w:w="0" w:type="auto"/>
            <w:shd w:val="clear" w:color="auto" w:fill="auto"/>
          </w:tcPr>
          <w:p w14:paraId="0D8DE8DA" w14:textId="77777777" w:rsidR="004C2197" w:rsidRDefault="004C2197">
            <w:pPr>
              <w:rPr>
                <w:rFonts w:ascii="宋体"/>
              </w:rPr>
            </w:pPr>
          </w:p>
        </w:tc>
        <w:tc>
          <w:tcPr>
            <w:tcW w:w="0" w:type="auto"/>
            <w:shd w:val="clear" w:color="auto" w:fill="auto"/>
          </w:tcPr>
          <w:p w14:paraId="0D8DE8DB" w14:textId="77777777" w:rsidR="004C2197" w:rsidRDefault="004C2197">
            <w:pPr>
              <w:rPr>
                <w:rFonts w:ascii="宋体"/>
              </w:rPr>
            </w:pPr>
          </w:p>
        </w:tc>
        <w:tc>
          <w:tcPr>
            <w:tcW w:w="0" w:type="auto"/>
            <w:shd w:val="clear" w:color="auto" w:fill="auto"/>
          </w:tcPr>
          <w:p w14:paraId="0D8DE8DC" w14:textId="77777777" w:rsidR="004C2197" w:rsidRDefault="004C2197">
            <w:pPr>
              <w:rPr>
                <w:rFonts w:ascii="宋体"/>
              </w:rPr>
            </w:pPr>
          </w:p>
        </w:tc>
      </w:tr>
      <w:tr w:rsidR="004C2197" w14:paraId="0D8DE902" w14:textId="77777777">
        <w:trPr>
          <w:jc w:val="center"/>
        </w:trPr>
        <w:tc>
          <w:tcPr>
            <w:tcW w:w="0" w:type="auto"/>
            <w:gridSpan w:val="3"/>
            <w:shd w:val="clear" w:color="auto" w:fill="E2EFD9"/>
            <w:tcMar>
              <w:top w:w="40" w:type="dxa"/>
              <w:left w:w="20" w:type="dxa"/>
              <w:bottom w:w="40" w:type="dxa"/>
              <w:right w:w="20" w:type="dxa"/>
            </w:tcMar>
            <w:vAlign w:val="bottom"/>
          </w:tcPr>
          <w:p w14:paraId="0D8DE8DE" w14:textId="77777777" w:rsidR="004C2197" w:rsidRDefault="00863B83">
            <w:pPr>
              <w:textAlignment w:val="bottom"/>
            </w:pPr>
            <w:r>
              <w:rPr>
                <w:rFonts w:ascii="sans-serif" w:eastAsia="sans-serif" w:hAnsi="sans-serif" w:cs="sans-serif"/>
                <w:color w:val="000000"/>
                <w:sz w:val="15"/>
                <w:szCs w:val="15"/>
              </w:rPr>
              <w:t>Cash dividends declared and paid ($0.32 per common share)</w:t>
            </w:r>
          </w:p>
        </w:tc>
        <w:tc>
          <w:tcPr>
            <w:tcW w:w="0" w:type="auto"/>
            <w:gridSpan w:val="2"/>
            <w:shd w:val="clear" w:color="auto" w:fill="E2EFD9"/>
            <w:tcMar>
              <w:top w:w="40" w:type="dxa"/>
              <w:left w:w="20" w:type="dxa"/>
              <w:bottom w:w="40" w:type="dxa"/>
              <w:right w:w="0" w:type="dxa"/>
            </w:tcMar>
            <w:vAlign w:val="bottom"/>
          </w:tcPr>
          <w:p w14:paraId="0D8DE8DF"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E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E1"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E2"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E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E4"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E5"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E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E7"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E8"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E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EA"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EB"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bottom w:w="40" w:type="dxa"/>
              <w:right w:w="20" w:type="dxa"/>
            </w:tcMar>
            <w:vAlign w:val="bottom"/>
          </w:tcPr>
          <w:p w14:paraId="0D8DE8E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ED"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EE" w14:textId="77777777" w:rsidR="004C2197" w:rsidRDefault="00863B83">
            <w:pPr>
              <w:jc w:val="right"/>
              <w:textAlignment w:val="bottom"/>
            </w:pPr>
            <w:r>
              <w:rPr>
                <w:rFonts w:ascii="sans-serif" w:eastAsia="sans-serif" w:hAnsi="sans-serif" w:cs="sans-serif"/>
                <w:color w:val="000000"/>
                <w:sz w:val="15"/>
                <w:szCs w:val="15"/>
              </w:rPr>
              <w:t>(195)</w:t>
            </w:r>
          </w:p>
        </w:tc>
        <w:tc>
          <w:tcPr>
            <w:tcW w:w="0" w:type="auto"/>
            <w:shd w:val="clear" w:color="auto" w:fill="E2EFD9"/>
            <w:tcMar>
              <w:top w:w="40" w:type="dxa"/>
              <w:bottom w:w="40" w:type="dxa"/>
              <w:right w:w="20" w:type="dxa"/>
            </w:tcMar>
            <w:vAlign w:val="bottom"/>
          </w:tcPr>
          <w:p w14:paraId="0D8DE8E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8F0"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8F1" w14:textId="77777777" w:rsidR="004C2197" w:rsidRDefault="00863B83">
            <w:pPr>
              <w:jc w:val="right"/>
              <w:textAlignment w:val="bottom"/>
            </w:pPr>
            <w:r>
              <w:rPr>
                <w:rFonts w:ascii="sans-serif" w:eastAsia="sans-serif" w:hAnsi="sans-serif" w:cs="sans-serif"/>
                <w:color w:val="000000"/>
                <w:sz w:val="15"/>
                <w:szCs w:val="15"/>
              </w:rPr>
              <w:t>(195)</w:t>
            </w:r>
          </w:p>
        </w:tc>
        <w:tc>
          <w:tcPr>
            <w:tcW w:w="0" w:type="auto"/>
            <w:shd w:val="clear" w:color="auto" w:fill="E2EFD9"/>
            <w:tcMar>
              <w:top w:w="40" w:type="dxa"/>
              <w:bottom w:w="40" w:type="dxa"/>
              <w:right w:w="20" w:type="dxa"/>
            </w:tcMar>
            <w:vAlign w:val="bottom"/>
          </w:tcPr>
          <w:p w14:paraId="0D8DE8F2" w14:textId="77777777" w:rsidR="004C2197" w:rsidRDefault="004C2197">
            <w:pPr>
              <w:jc w:val="right"/>
              <w:rPr>
                <w:rFonts w:ascii="宋体"/>
              </w:rPr>
            </w:pPr>
          </w:p>
        </w:tc>
        <w:tc>
          <w:tcPr>
            <w:tcW w:w="0" w:type="auto"/>
            <w:shd w:val="clear" w:color="auto" w:fill="auto"/>
          </w:tcPr>
          <w:p w14:paraId="0D8DE8F3" w14:textId="77777777" w:rsidR="004C2197" w:rsidRDefault="004C2197">
            <w:pPr>
              <w:rPr>
                <w:rFonts w:ascii="宋体"/>
              </w:rPr>
            </w:pPr>
          </w:p>
        </w:tc>
        <w:tc>
          <w:tcPr>
            <w:tcW w:w="0" w:type="auto"/>
            <w:shd w:val="clear" w:color="auto" w:fill="auto"/>
          </w:tcPr>
          <w:p w14:paraId="0D8DE8F4" w14:textId="77777777" w:rsidR="004C2197" w:rsidRDefault="004C2197">
            <w:pPr>
              <w:rPr>
                <w:rFonts w:ascii="宋体"/>
              </w:rPr>
            </w:pPr>
          </w:p>
        </w:tc>
        <w:tc>
          <w:tcPr>
            <w:tcW w:w="0" w:type="auto"/>
            <w:shd w:val="clear" w:color="auto" w:fill="auto"/>
          </w:tcPr>
          <w:p w14:paraId="0D8DE8F5" w14:textId="77777777" w:rsidR="004C2197" w:rsidRDefault="004C2197">
            <w:pPr>
              <w:rPr>
                <w:rFonts w:ascii="宋体"/>
              </w:rPr>
            </w:pPr>
          </w:p>
        </w:tc>
        <w:tc>
          <w:tcPr>
            <w:tcW w:w="0" w:type="auto"/>
            <w:shd w:val="clear" w:color="auto" w:fill="auto"/>
          </w:tcPr>
          <w:p w14:paraId="0D8DE8F6" w14:textId="77777777" w:rsidR="004C2197" w:rsidRDefault="004C2197">
            <w:pPr>
              <w:rPr>
                <w:rFonts w:ascii="宋体"/>
              </w:rPr>
            </w:pPr>
          </w:p>
        </w:tc>
        <w:tc>
          <w:tcPr>
            <w:tcW w:w="0" w:type="auto"/>
            <w:shd w:val="clear" w:color="auto" w:fill="auto"/>
          </w:tcPr>
          <w:p w14:paraId="0D8DE8F7" w14:textId="77777777" w:rsidR="004C2197" w:rsidRDefault="004C2197">
            <w:pPr>
              <w:rPr>
                <w:rFonts w:ascii="宋体"/>
              </w:rPr>
            </w:pPr>
          </w:p>
        </w:tc>
        <w:tc>
          <w:tcPr>
            <w:tcW w:w="0" w:type="auto"/>
            <w:shd w:val="clear" w:color="auto" w:fill="auto"/>
          </w:tcPr>
          <w:p w14:paraId="0D8DE8F8" w14:textId="77777777" w:rsidR="004C2197" w:rsidRDefault="004C2197">
            <w:pPr>
              <w:rPr>
                <w:rFonts w:ascii="宋体"/>
              </w:rPr>
            </w:pPr>
          </w:p>
        </w:tc>
        <w:tc>
          <w:tcPr>
            <w:tcW w:w="0" w:type="auto"/>
            <w:shd w:val="clear" w:color="auto" w:fill="auto"/>
          </w:tcPr>
          <w:p w14:paraId="0D8DE8F9" w14:textId="77777777" w:rsidR="004C2197" w:rsidRDefault="004C2197">
            <w:pPr>
              <w:rPr>
                <w:rFonts w:ascii="宋体"/>
              </w:rPr>
            </w:pPr>
          </w:p>
        </w:tc>
        <w:tc>
          <w:tcPr>
            <w:tcW w:w="0" w:type="auto"/>
            <w:shd w:val="clear" w:color="auto" w:fill="auto"/>
          </w:tcPr>
          <w:p w14:paraId="0D8DE8FA" w14:textId="77777777" w:rsidR="004C2197" w:rsidRDefault="004C2197">
            <w:pPr>
              <w:rPr>
                <w:rFonts w:ascii="宋体"/>
              </w:rPr>
            </w:pPr>
          </w:p>
        </w:tc>
        <w:tc>
          <w:tcPr>
            <w:tcW w:w="0" w:type="auto"/>
            <w:shd w:val="clear" w:color="auto" w:fill="auto"/>
          </w:tcPr>
          <w:p w14:paraId="0D8DE8FB" w14:textId="77777777" w:rsidR="004C2197" w:rsidRDefault="004C2197">
            <w:pPr>
              <w:rPr>
                <w:rFonts w:ascii="宋体"/>
              </w:rPr>
            </w:pPr>
          </w:p>
        </w:tc>
        <w:tc>
          <w:tcPr>
            <w:tcW w:w="0" w:type="auto"/>
            <w:shd w:val="clear" w:color="auto" w:fill="auto"/>
          </w:tcPr>
          <w:p w14:paraId="0D8DE8FC" w14:textId="77777777" w:rsidR="004C2197" w:rsidRDefault="004C2197">
            <w:pPr>
              <w:rPr>
                <w:rFonts w:ascii="宋体"/>
              </w:rPr>
            </w:pPr>
          </w:p>
        </w:tc>
        <w:tc>
          <w:tcPr>
            <w:tcW w:w="0" w:type="auto"/>
            <w:shd w:val="clear" w:color="auto" w:fill="auto"/>
          </w:tcPr>
          <w:p w14:paraId="0D8DE8FD" w14:textId="77777777" w:rsidR="004C2197" w:rsidRDefault="004C2197">
            <w:pPr>
              <w:rPr>
                <w:rFonts w:ascii="宋体"/>
              </w:rPr>
            </w:pPr>
          </w:p>
        </w:tc>
        <w:tc>
          <w:tcPr>
            <w:tcW w:w="0" w:type="auto"/>
            <w:shd w:val="clear" w:color="auto" w:fill="auto"/>
          </w:tcPr>
          <w:p w14:paraId="0D8DE8FE" w14:textId="77777777" w:rsidR="004C2197" w:rsidRDefault="004C2197">
            <w:pPr>
              <w:rPr>
                <w:rFonts w:ascii="宋体"/>
              </w:rPr>
            </w:pPr>
          </w:p>
        </w:tc>
        <w:tc>
          <w:tcPr>
            <w:tcW w:w="0" w:type="auto"/>
            <w:shd w:val="clear" w:color="auto" w:fill="auto"/>
          </w:tcPr>
          <w:p w14:paraId="0D8DE8FF" w14:textId="77777777" w:rsidR="004C2197" w:rsidRDefault="004C2197">
            <w:pPr>
              <w:rPr>
                <w:rFonts w:ascii="宋体"/>
              </w:rPr>
            </w:pPr>
          </w:p>
        </w:tc>
        <w:tc>
          <w:tcPr>
            <w:tcW w:w="0" w:type="auto"/>
            <w:shd w:val="clear" w:color="auto" w:fill="auto"/>
          </w:tcPr>
          <w:p w14:paraId="0D8DE900" w14:textId="77777777" w:rsidR="004C2197" w:rsidRDefault="004C2197">
            <w:pPr>
              <w:rPr>
                <w:rFonts w:ascii="宋体"/>
              </w:rPr>
            </w:pPr>
          </w:p>
        </w:tc>
        <w:tc>
          <w:tcPr>
            <w:tcW w:w="0" w:type="auto"/>
            <w:shd w:val="clear" w:color="auto" w:fill="auto"/>
          </w:tcPr>
          <w:p w14:paraId="0D8DE901" w14:textId="77777777" w:rsidR="004C2197" w:rsidRDefault="004C2197">
            <w:pPr>
              <w:rPr>
                <w:rFonts w:ascii="宋体"/>
              </w:rPr>
            </w:pPr>
          </w:p>
        </w:tc>
      </w:tr>
      <w:tr w:rsidR="004C2197" w14:paraId="0D8DE927" w14:textId="77777777">
        <w:trPr>
          <w:jc w:val="center"/>
        </w:trPr>
        <w:tc>
          <w:tcPr>
            <w:tcW w:w="0" w:type="auto"/>
            <w:gridSpan w:val="3"/>
            <w:shd w:val="clear" w:color="auto" w:fill="FFFFFF"/>
            <w:tcMar>
              <w:top w:w="40" w:type="dxa"/>
              <w:left w:w="20" w:type="dxa"/>
              <w:bottom w:w="40" w:type="dxa"/>
              <w:right w:w="20" w:type="dxa"/>
            </w:tcMar>
            <w:vAlign w:val="bottom"/>
          </w:tcPr>
          <w:p w14:paraId="0D8DE903" w14:textId="77777777" w:rsidR="004C2197" w:rsidRDefault="00863B83">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0D8DE904" w14:textId="77777777" w:rsidR="004C2197" w:rsidRDefault="00863B83">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90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06"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07"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90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09"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0A" w14:textId="77777777" w:rsidR="004C2197" w:rsidRDefault="00863B83">
            <w:pPr>
              <w:jc w:val="right"/>
              <w:textAlignment w:val="bottom"/>
            </w:pPr>
            <w:r>
              <w:rPr>
                <w:rFonts w:ascii="sans-serif" w:eastAsia="sans-serif" w:hAnsi="sans-serif" w:cs="sans-serif"/>
                <w:color w:val="000000"/>
                <w:sz w:val="15"/>
                <w:szCs w:val="15"/>
              </w:rPr>
              <w:t>409 </w:t>
            </w:r>
          </w:p>
        </w:tc>
        <w:tc>
          <w:tcPr>
            <w:tcW w:w="0" w:type="auto"/>
            <w:shd w:val="clear" w:color="auto" w:fill="FFFFFF"/>
            <w:tcMar>
              <w:top w:w="40" w:type="dxa"/>
              <w:bottom w:w="40" w:type="dxa"/>
              <w:right w:w="20" w:type="dxa"/>
            </w:tcMar>
            <w:vAlign w:val="bottom"/>
          </w:tcPr>
          <w:p w14:paraId="0D8DE90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0C"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0D"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90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0F"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10"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91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12"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13" w14:textId="77777777" w:rsidR="004C2197" w:rsidRDefault="00863B83">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bottom w:w="40" w:type="dxa"/>
              <w:right w:w="20" w:type="dxa"/>
            </w:tcMar>
            <w:vAlign w:val="bottom"/>
          </w:tcPr>
          <w:p w14:paraId="0D8DE91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15"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E916" w14:textId="77777777" w:rsidR="004C2197" w:rsidRDefault="00863B83">
            <w:pPr>
              <w:jc w:val="right"/>
              <w:textAlignment w:val="bottom"/>
            </w:pPr>
            <w:r>
              <w:rPr>
                <w:rFonts w:ascii="sans-serif" w:eastAsia="sans-serif" w:hAnsi="sans-serif" w:cs="sans-serif"/>
                <w:color w:val="000000"/>
                <w:sz w:val="15"/>
                <w:szCs w:val="15"/>
              </w:rPr>
              <w:t>409 </w:t>
            </w:r>
          </w:p>
        </w:tc>
        <w:tc>
          <w:tcPr>
            <w:tcW w:w="0" w:type="auto"/>
            <w:shd w:val="clear" w:color="auto" w:fill="FFFFFF"/>
            <w:tcMar>
              <w:top w:w="40" w:type="dxa"/>
              <w:bottom w:w="40" w:type="dxa"/>
              <w:right w:w="20" w:type="dxa"/>
            </w:tcMar>
            <w:vAlign w:val="bottom"/>
          </w:tcPr>
          <w:p w14:paraId="0D8DE917" w14:textId="77777777" w:rsidR="004C2197" w:rsidRDefault="004C2197">
            <w:pPr>
              <w:jc w:val="right"/>
              <w:rPr>
                <w:rFonts w:ascii="宋体"/>
              </w:rPr>
            </w:pPr>
          </w:p>
        </w:tc>
        <w:tc>
          <w:tcPr>
            <w:tcW w:w="0" w:type="auto"/>
            <w:shd w:val="clear" w:color="auto" w:fill="auto"/>
          </w:tcPr>
          <w:p w14:paraId="0D8DE918" w14:textId="77777777" w:rsidR="004C2197" w:rsidRDefault="004C2197">
            <w:pPr>
              <w:rPr>
                <w:rFonts w:ascii="宋体"/>
              </w:rPr>
            </w:pPr>
          </w:p>
        </w:tc>
        <w:tc>
          <w:tcPr>
            <w:tcW w:w="0" w:type="auto"/>
            <w:shd w:val="clear" w:color="auto" w:fill="auto"/>
          </w:tcPr>
          <w:p w14:paraId="0D8DE919" w14:textId="77777777" w:rsidR="004C2197" w:rsidRDefault="004C2197">
            <w:pPr>
              <w:rPr>
                <w:rFonts w:ascii="宋体"/>
              </w:rPr>
            </w:pPr>
          </w:p>
        </w:tc>
        <w:tc>
          <w:tcPr>
            <w:tcW w:w="0" w:type="auto"/>
            <w:shd w:val="clear" w:color="auto" w:fill="auto"/>
          </w:tcPr>
          <w:p w14:paraId="0D8DE91A" w14:textId="77777777" w:rsidR="004C2197" w:rsidRDefault="004C2197">
            <w:pPr>
              <w:rPr>
                <w:rFonts w:ascii="宋体"/>
              </w:rPr>
            </w:pPr>
          </w:p>
        </w:tc>
        <w:tc>
          <w:tcPr>
            <w:tcW w:w="0" w:type="auto"/>
            <w:shd w:val="clear" w:color="auto" w:fill="auto"/>
          </w:tcPr>
          <w:p w14:paraId="0D8DE91B" w14:textId="77777777" w:rsidR="004C2197" w:rsidRDefault="004C2197">
            <w:pPr>
              <w:rPr>
                <w:rFonts w:ascii="宋体"/>
              </w:rPr>
            </w:pPr>
          </w:p>
        </w:tc>
        <w:tc>
          <w:tcPr>
            <w:tcW w:w="0" w:type="auto"/>
            <w:shd w:val="clear" w:color="auto" w:fill="auto"/>
          </w:tcPr>
          <w:p w14:paraId="0D8DE91C" w14:textId="77777777" w:rsidR="004C2197" w:rsidRDefault="004C2197">
            <w:pPr>
              <w:rPr>
                <w:rFonts w:ascii="宋体"/>
              </w:rPr>
            </w:pPr>
          </w:p>
        </w:tc>
        <w:tc>
          <w:tcPr>
            <w:tcW w:w="0" w:type="auto"/>
            <w:shd w:val="clear" w:color="auto" w:fill="auto"/>
          </w:tcPr>
          <w:p w14:paraId="0D8DE91D" w14:textId="77777777" w:rsidR="004C2197" w:rsidRDefault="004C2197">
            <w:pPr>
              <w:rPr>
                <w:rFonts w:ascii="宋体"/>
              </w:rPr>
            </w:pPr>
          </w:p>
        </w:tc>
        <w:tc>
          <w:tcPr>
            <w:tcW w:w="0" w:type="auto"/>
            <w:shd w:val="clear" w:color="auto" w:fill="auto"/>
          </w:tcPr>
          <w:p w14:paraId="0D8DE91E" w14:textId="77777777" w:rsidR="004C2197" w:rsidRDefault="004C2197">
            <w:pPr>
              <w:rPr>
                <w:rFonts w:ascii="宋体"/>
              </w:rPr>
            </w:pPr>
          </w:p>
        </w:tc>
        <w:tc>
          <w:tcPr>
            <w:tcW w:w="0" w:type="auto"/>
            <w:shd w:val="clear" w:color="auto" w:fill="auto"/>
          </w:tcPr>
          <w:p w14:paraId="0D8DE91F" w14:textId="77777777" w:rsidR="004C2197" w:rsidRDefault="004C2197">
            <w:pPr>
              <w:rPr>
                <w:rFonts w:ascii="宋体"/>
              </w:rPr>
            </w:pPr>
          </w:p>
        </w:tc>
        <w:tc>
          <w:tcPr>
            <w:tcW w:w="0" w:type="auto"/>
            <w:shd w:val="clear" w:color="auto" w:fill="auto"/>
          </w:tcPr>
          <w:p w14:paraId="0D8DE920" w14:textId="77777777" w:rsidR="004C2197" w:rsidRDefault="004C2197">
            <w:pPr>
              <w:rPr>
                <w:rFonts w:ascii="宋体"/>
              </w:rPr>
            </w:pPr>
          </w:p>
        </w:tc>
        <w:tc>
          <w:tcPr>
            <w:tcW w:w="0" w:type="auto"/>
            <w:shd w:val="clear" w:color="auto" w:fill="auto"/>
          </w:tcPr>
          <w:p w14:paraId="0D8DE921" w14:textId="77777777" w:rsidR="004C2197" w:rsidRDefault="004C2197">
            <w:pPr>
              <w:rPr>
                <w:rFonts w:ascii="宋体"/>
              </w:rPr>
            </w:pPr>
          </w:p>
        </w:tc>
        <w:tc>
          <w:tcPr>
            <w:tcW w:w="0" w:type="auto"/>
            <w:shd w:val="clear" w:color="auto" w:fill="auto"/>
          </w:tcPr>
          <w:p w14:paraId="0D8DE922" w14:textId="77777777" w:rsidR="004C2197" w:rsidRDefault="004C2197">
            <w:pPr>
              <w:rPr>
                <w:rFonts w:ascii="宋体"/>
              </w:rPr>
            </w:pPr>
          </w:p>
        </w:tc>
        <w:tc>
          <w:tcPr>
            <w:tcW w:w="0" w:type="auto"/>
            <w:shd w:val="clear" w:color="auto" w:fill="auto"/>
          </w:tcPr>
          <w:p w14:paraId="0D8DE923" w14:textId="77777777" w:rsidR="004C2197" w:rsidRDefault="004C2197">
            <w:pPr>
              <w:rPr>
                <w:rFonts w:ascii="宋体"/>
              </w:rPr>
            </w:pPr>
          </w:p>
        </w:tc>
        <w:tc>
          <w:tcPr>
            <w:tcW w:w="0" w:type="auto"/>
            <w:shd w:val="clear" w:color="auto" w:fill="auto"/>
          </w:tcPr>
          <w:p w14:paraId="0D8DE924" w14:textId="77777777" w:rsidR="004C2197" w:rsidRDefault="004C2197">
            <w:pPr>
              <w:rPr>
                <w:rFonts w:ascii="宋体"/>
              </w:rPr>
            </w:pPr>
          </w:p>
        </w:tc>
        <w:tc>
          <w:tcPr>
            <w:tcW w:w="0" w:type="auto"/>
            <w:shd w:val="clear" w:color="auto" w:fill="auto"/>
          </w:tcPr>
          <w:p w14:paraId="0D8DE925" w14:textId="77777777" w:rsidR="004C2197" w:rsidRDefault="004C2197">
            <w:pPr>
              <w:rPr>
                <w:rFonts w:ascii="宋体"/>
              </w:rPr>
            </w:pPr>
          </w:p>
        </w:tc>
        <w:tc>
          <w:tcPr>
            <w:tcW w:w="0" w:type="auto"/>
            <w:shd w:val="clear" w:color="auto" w:fill="auto"/>
          </w:tcPr>
          <w:p w14:paraId="0D8DE926" w14:textId="77777777" w:rsidR="004C2197" w:rsidRDefault="004C2197">
            <w:pPr>
              <w:rPr>
                <w:rFonts w:ascii="宋体"/>
              </w:rPr>
            </w:pPr>
          </w:p>
        </w:tc>
      </w:tr>
      <w:tr w:rsidR="004C2197" w14:paraId="0D8DE952" w14:textId="77777777">
        <w:trPr>
          <w:jc w:val="center"/>
        </w:trPr>
        <w:tc>
          <w:tcPr>
            <w:tcW w:w="0" w:type="auto"/>
            <w:gridSpan w:val="3"/>
            <w:shd w:val="clear" w:color="auto" w:fill="E2EFD9"/>
            <w:tcMar>
              <w:top w:w="40" w:type="dxa"/>
              <w:left w:w="20" w:type="dxa"/>
              <w:bottom w:w="40" w:type="dxa"/>
              <w:right w:w="20" w:type="dxa"/>
            </w:tcMar>
            <w:vAlign w:val="bottom"/>
          </w:tcPr>
          <w:p w14:paraId="0D8DE928" w14:textId="77777777" w:rsidR="004C2197" w:rsidRDefault="00863B83">
            <w:pPr>
              <w:textAlignment w:val="bottom"/>
            </w:pPr>
            <w:r>
              <w:rPr>
                <w:rFonts w:ascii="sans-serif" w:eastAsia="sans-serif" w:hAnsi="sans-serif" w:cs="sans-serif"/>
                <w:color w:val="000000"/>
                <w:sz w:val="15"/>
                <w:szCs w:val="15"/>
              </w:rPr>
              <w:t>Balances, July 28, 2019</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0D8DE929" w14:textId="77777777" w:rsidR="004C2197" w:rsidRDefault="00863B83">
            <w:pPr>
              <w:jc w:val="right"/>
              <w:textAlignment w:val="bottom"/>
            </w:pPr>
            <w:r>
              <w:rPr>
                <w:rFonts w:ascii="sans-serif" w:eastAsia="sans-serif" w:hAnsi="sans-serif" w:cs="sans-serif"/>
                <w:color w:val="000000"/>
                <w:sz w:val="15"/>
                <w:szCs w:val="15"/>
              </w:rPr>
              <w:t>60</w:t>
            </w:r>
            <w:r>
              <w:rPr>
                <w:rFonts w:ascii="sans-serif" w:eastAsia="sans-serif" w:hAnsi="sans-serif" w:cs="sans-serif"/>
                <w:color w:val="000000"/>
                <w:sz w:val="15"/>
                <w:szCs w:val="15"/>
              </w:rPr>
              <w:t>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2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2B"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2C"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2D" w14:textId="77777777" w:rsidR="004C2197" w:rsidRDefault="00863B83">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2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2F"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30"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31" w14:textId="77777777" w:rsidR="004C2197" w:rsidRDefault="00863B83">
            <w:pPr>
              <w:jc w:val="right"/>
              <w:textAlignment w:val="bottom"/>
            </w:pPr>
            <w:r>
              <w:rPr>
                <w:rFonts w:ascii="sans-serif" w:eastAsia="sans-serif" w:hAnsi="sans-serif" w:cs="sans-serif"/>
                <w:color w:val="000000"/>
                <w:sz w:val="15"/>
                <w:szCs w:val="15"/>
              </w:rPr>
              <w:t>6,543 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3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33"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34"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35" w14:textId="77777777" w:rsidR="004C2197" w:rsidRDefault="00863B83">
            <w:pPr>
              <w:jc w:val="right"/>
              <w:textAlignment w:val="bottom"/>
            </w:pPr>
            <w:r>
              <w:rPr>
                <w:rFonts w:ascii="sans-serif" w:eastAsia="sans-serif" w:hAnsi="sans-serif" w:cs="sans-serif"/>
                <w:color w:val="000000"/>
                <w:sz w:val="15"/>
                <w:szCs w:val="15"/>
              </w:rPr>
              <w:t>(9,524)</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3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37"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38"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39" w14:textId="77777777" w:rsidR="004C2197" w:rsidRDefault="00863B83">
            <w:pPr>
              <w:jc w:val="right"/>
              <w:textAlignment w:val="bottom"/>
            </w:pPr>
            <w:r>
              <w:rPr>
                <w:rFonts w:ascii="sans-serif" w:eastAsia="sans-serif" w:hAnsi="sans-serif" w:cs="sans-serif"/>
                <w:color w:val="000000"/>
                <w:sz w:val="15"/>
                <w:szCs w:val="15"/>
              </w:rPr>
              <w:t>(1)</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3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3B"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3C"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3D" w14:textId="77777777" w:rsidR="004C2197" w:rsidRDefault="00863B83">
            <w:pPr>
              <w:jc w:val="right"/>
              <w:textAlignment w:val="bottom"/>
            </w:pPr>
            <w:r>
              <w:rPr>
                <w:rFonts w:ascii="sans-serif" w:eastAsia="sans-serif" w:hAnsi="sans-serif" w:cs="sans-serif"/>
                <w:color w:val="000000"/>
                <w:sz w:val="15"/>
                <w:szCs w:val="15"/>
              </w:rPr>
              <w:t>13,317 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3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3F"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940" w14:textId="77777777" w:rsidR="004C2197" w:rsidRDefault="00863B83">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941" w14:textId="77777777" w:rsidR="004C2197" w:rsidRDefault="00863B83">
            <w:pPr>
              <w:jc w:val="right"/>
              <w:textAlignment w:val="bottom"/>
            </w:pPr>
            <w:r>
              <w:rPr>
                <w:rFonts w:ascii="sans-serif" w:eastAsia="sans-serif" w:hAnsi="sans-serif" w:cs="sans-serif"/>
                <w:color w:val="000000"/>
                <w:sz w:val="15"/>
                <w:szCs w:val="15"/>
              </w:rPr>
              <w:t>10,336 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942" w14:textId="77777777" w:rsidR="004C2197" w:rsidRDefault="004C2197">
            <w:pPr>
              <w:jc w:val="right"/>
              <w:rPr>
                <w:rFonts w:ascii="宋体"/>
              </w:rPr>
            </w:pPr>
          </w:p>
        </w:tc>
        <w:tc>
          <w:tcPr>
            <w:tcW w:w="0" w:type="auto"/>
            <w:shd w:val="clear" w:color="auto" w:fill="auto"/>
          </w:tcPr>
          <w:p w14:paraId="0D8DE943" w14:textId="77777777" w:rsidR="004C2197" w:rsidRDefault="004C2197">
            <w:pPr>
              <w:rPr>
                <w:rFonts w:ascii="宋体"/>
              </w:rPr>
            </w:pPr>
          </w:p>
        </w:tc>
        <w:tc>
          <w:tcPr>
            <w:tcW w:w="0" w:type="auto"/>
            <w:shd w:val="clear" w:color="auto" w:fill="auto"/>
          </w:tcPr>
          <w:p w14:paraId="0D8DE944" w14:textId="77777777" w:rsidR="004C2197" w:rsidRDefault="004C2197">
            <w:pPr>
              <w:rPr>
                <w:rFonts w:ascii="宋体"/>
              </w:rPr>
            </w:pPr>
          </w:p>
        </w:tc>
        <w:tc>
          <w:tcPr>
            <w:tcW w:w="0" w:type="auto"/>
            <w:shd w:val="clear" w:color="auto" w:fill="auto"/>
          </w:tcPr>
          <w:p w14:paraId="0D8DE945" w14:textId="77777777" w:rsidR="004C2197" w:rsidRDefault="004C2197">
            <w:pPr>
              <w:rPr>
                <w:rFonts w:ascii="宋体"/>
              </w:rPr>
            </w:pPr>
          </w:p>
        </w:tc>
        <w:tc>
          <w:tcPr>
            <w:tcW w:w="0" w:type="auto"/>
            <w:shd w:val="clear" w:color="auto" w:fill="auto"/>
          </w:tcPr>
          <w:p w14:paraId="0D8DE946" w14:textId="77777777" w:rsidR="004C2197" w:rsidRDefault="004C2197">
            <w:pPr>
              <w:rPr>
                <w:rFonts w:ascii="宋体"/>
              </w:rPr>
            </w:pPr>
          </w:p>
        </w:tc>
        <w:tc>
          <w:tcPr>
            <w:tcW w:w="0" w:type="auto"/>
            <w:shd w:val="clear" w:color="auto" w:fill="auto"/>
          </w:tcPr>
          <w:p w14:paraId="0D8DE947" w14:textId="77777777" w:rsidR="004C2197" w:rsidRDefault="004C2197">
            <w:pPr>
              <w:rPr>
                <w:rFonts w:ascii="宋体"/>
              </w:rPr>
            </w:pPr>
          </w:p>
        </w:tc>
        <w:tc>
          <w:tcPr>
            <w:tcW w:w="0" w:type="auto"/>
            <w:shd w:val="clear" w:color="auto" w:fill="auto"/>
          </w:tcPr>
          <w:p w14:paraId="0D8DE948" w14:textId="77777777" w:rsidR="004C2197" w:rsidRDefault="004C2197">
            <w:pPr>
              <w:rPr>
                <w:rFonts w:ascii="宋体"/>
              </w:rPr>
            </w:pPr>
          </w:p>
        </w:tc>
        <w:tc>
          <w:tcPr>
            <w:tcW w:w="0" w:type="auto"/>
            <w:shd w:val="clear" w:color="auto" w:fill="auto"/>
          </w:tcPr>
          <w:p w14:paraId="0D8DE949" w14:textId="77777777" w:rsidR="004C2197" w:rsidRDefault="004C2197">
            <w:pPr>
              <w:rPr>
                <w:rFonts w:ascii="宋体"/>
              </w:rPr>
            </w:pPr>
          </w:p>
        </w:tc>
        <w:tc>
          <w:tcPr>
            <w:tcW w:w="0" w:type="auto"/>
            <w:shd w:val="clear" w:color="auto" w:fill="auto"/>
          </w:tcPr>
          <w:p w14:paraId="0D8DE94A" w14:textId="77777777" w:rsidR="004C2197" w:rsidRDefault="004C2197">
            <w:pPr>
              <w:rPr>
                <w:rFonts w:ascii="宋体"/>
              </w:rPr>
            </w:pPr>
          </w:p>
        </w:tc>
        <w:tc>
          <w:tcPr>
            <w:tcW w:w="0" w:type="auto"/>
            <w:shd w:val="clear" w:color="auto" w:fill="auto"/>
          </w:tcPr>
          <w:p w14:paraId="0D8DE94B" w14:textId="77777777" w:rsidR="004C2197" w:rsidRDefault="004C2197">
            <w:pPr>
              <w:rPr>
                <w:rFonts w:ascii="宋体"/>
              </w:rPr>
            </w:pPr>
          </w:p>
        </w:tc>
        <w:tc>
          <w:tcPr>
            <w:tcW w:w="0" w:type="auto"/>
            <w:shd w:val="clear" w:color="auto" w:fill="auto"/>
          </w:tcPr>
          <w:p w14:paraId="0D8DE94C" w14:textId="77777777" w:rsidR="004C2197" w:rsidRDefault="004C2197">
            <w:pPr>
              <w:rPr>
                <w:rFonts w:ascii="宋体"/>
              </w:rPr>
            </w:pPr>
          </w:p>
        </w:tc>
        <w:tc>
          <w:tcPr>
            <w:tcW w:w="0" w:type="auto"/>
            <w:shd w:val="clear" w:color="auto" w:fill="auto"/>
          </w:tcPr>
          <w:p w14:paraId="0D8DE94D" w14:textId="77777777" w:rsidR="004C2197" w:rsidRDefault="004C2197">
            <w:pPr>
              <w:rPr>
                <w:rFonts w:ascii="宋体"/>
              </w:rPr>
            </w:pPr>
          </w:p>
        </w:tc>
        <w:tc>
          <w:tcPr>
            <w:tcW w:w="0" w:type="auto"/>
            <w:shd w:val="clear" w:color="auto" w:fill="auto"/>
          </w:tcPr>
          <w:p w14:paraId="0D8DE94E" w14:textId="77777777" w:rsidR="004C2197" w:rsidRDefault="004C2197">
            <w:pPr>
              <w:rPr>
                <w:rFonts w:ascii="宋体"/>
              </w:rPr>
            </w:pPr>
          </w:p>
        </w:tc>
        <w:tc>
          <w:tcPr>
            <w:tcW w:w="0" w:type="auto"/>
            <w:shd w:val="clear" w:color="auto" w:fill="auto"/>
          </w:tcPr>
          <w:p w14:paraId="0D8DE94F" w14:textId="77777777" w:rsidR="004C2197" w:rsidRDefault="004C2197">
            <w:pPr>
              <w:rPr>
                <w:rFonts w:ascii="宋体"/>
              </w:rPr>
            </w:pPr>
          </w:p>
        </w:tc>
        <w:tc>
          <w:tcPr>
            <w:tcW w:w="0" w:type="auto"/>
            <w:shd w:val="clear" w:color="auto" w:fill="auto"/>
          </w:tcPr>
          <w:p w14:paraId="0D8DE950" w14:textId="77777777" w:rsidR="004C2197" w:rsidRDefault="004C2197">
            <w:pPr>
              <w:rPr>
                <w:rFonts w:ascii="宋体"/>
              </w:rPr>
            </w:pPr>
          </w:p>
        </w:tc>
        <w:tc>
          <w:tcPr>
            <w:tcW w:w="0" w:type="auto"/>
            <w:shd w:val="clear" w:color="auto" w:fill="auto"/>
          </w:tcPr>
          <w:p w14:paraId="0D8DE951" w14:textId="77777777" w:rsidR="004C2197" w:rsidRDefault="004C2197">
            <w:pPr>
              <w:rPr>
                <w:rFonts w:ascii="宋体"/>
              </w:rPr>
            </w:pPr>
          </w:p>
        </w:tc>
      </w:tr>
    </w:tbl>
    <w:p w14:paraId="0D8DE953" w14:textId="77777777" w:rsidR="004C2197" w:rsidRDefault="00863B83">
      <w:pPr>
        <w:spacing w:after="180"/>
        <w:jc w:val="center"/>
      </w:pPr>
      <w:r>
        <w:rPr>
          <w:rFonts w:ascii="sans-serif" w:eastAsia="sans-serif" w:hAnsi="sans-serif" w:cs="sans-serif"/>
          <w:color w:val="000000"/>
          <w:sz w:val="20"/>
          <w:szCs w:val="20"/>
        </w:rPr>
        <w:t>See accompanying Notes to Condensed Consolidated Financial Statements.</w:t>
      </w:r>
    </w:p>
    <w:p w14:paraId="0D8DE954" w14:textId="77777777" w:rsidR="004C2197" w:rsidRDefault="00863B83">
      <w:pPr>
        <w:spacing w:after="180"/>
        <w:jc w:val="center"/>
      </w:pPr>
      <w:r>
        <w:rPr>
          <w:rFonts w:ascii="sans-serif" w:eastAsia="sans-serif" w:hAnsi="sans-serif" w:cs="sans-serif"/>
          <w:color w:val="000000"/>
          <w:sz w:val="20"/>
          <w:szCs w:val="20"/>
        </w:rPr>
        <w:t>7</w:t>
      </w:r>
    </w:p>
    <w:p w14:paraId="0D8DE955" w14:textId="77777777" w:rsidR="004C2197" w:rsidRDefault="00863B83">
      <w:r>
        <w:pict w14:anchorId="0D8E0CAB">
          <v:rect id="_x0000_i1031" style="width:415.3pt;height:1.5pt" o:hralign="center" o:hrstd="t" o:hr="t" fillcolor="#a0a0a0" stroked="f"/>
        </w:pict>
      </w:r>
    </w:p>
    <w:p w14:paraId="0D8DE956" w14:textId="77777777" w:rsidR="004C2197" w:rsidRDefault="004C2197">
      <w:pPr>
        <w:spacing w:after="180"/>
        <w:jc w:val="both"/>
      </w:pPr>
    </w:p>
    <w:p w14:paraId="0D8DE957" w14:textId="77777777" w:rsidR="004C2197" w:rsidRDefault="00863B83">
      <w:pPr>
        <w:jc w:val="center"/>
      </w:pPr>
      <w:r>
        <w:rPr>
          <w:rFonts w:ascii="sans-serif" w:eastAsia="sans-serif" w:hAnsi="sans-serif" w:cs="sans-serif"/>
          <w:b/>
          <w:bCs/>
          <w:color w:val="000000"/>
          <w:sz w:val="20"/>
          <w:szCs w:val="20"/>
        </w:rPr>
        <w:t>NVIDIA CORPORATION AND SUBSIDIARI</w:t>
      </w:r>
      <w:r>
        <w:rPr>
          <w:rFonts w:ascii="sans-serif" w:eastAsia="sans-serif" w:hAnsi="sans-serif" w:cs="sans-serif"/>
          <w:b/>
          <w:bCs/>
          <w:color w:val="000000"/>
          <w:sz w:val="20"/>
          <w:szCs w:val="20"/>
        </w:rPr>
        <w:t>ES</w:t>
      </w:r>
    </w:p>
    <w:p w14:paraId="0D8DE958" w14:textId="77777777" w:rsidR="004C2197" w:rsidRDefault="00863B83">
      <w:pPr>
        <w:jc w:val="center"/>
      </w:pPr>
      <w:r>
        <w:rPr>
          <w:rFonts w:ascii="sans-serif" w:eastAsia="sans-serif" w:hAnsi="sans-serif" w:cs="sans-serif"/>
          <w:b/>
          <w:bCs/>
          <w:color w:val="000000"/>
          <w:sz w:val="20"/>
          <w:szCs w:val="20"/>
        </w:rPr>
        <w:t>CONDENSED CONSOLIDATED STATEMENTS OF CASH FLOWS</w:t>
      </w:r>
    </w:p>
    <w:p w14:paraId="0D8DE959" w14:textId="77777777" w:rsidR="004C2197" w:rsidRDefault="00863B83">
      <w:pPr>
        <w:jc w:val="center"/>
      </w:pPr>
      <w:r>
        <w:rPr>
          <w:rFonts w:ascii="sans-serif" w:eastAsia="sans-serif" w:hAnsi="sans-serif" w:cs="sans-serif"/>
          <w:b/>
          <w:bCs/>
          <w:color w:val="000000"/>
          <w:sz w:val="20"/>
          <w:szCs w:val="20"/>
        </w:rPr>
        <w:t>(In millions)</w:t>
      </w:r>
    </w:p>
    <w:p w14:paraId="0D8DE95A" w14:textId="77777777" w:rsidR="004C2197" w:rsidRDefault="00863B83">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05"/>
        <w:gridCol w:w="38"/>
        <w:gridCol w:w="128"/>
        <w:gridCol w:w="893"/>
        <w:gridCol w:w="41"/>
        <w:gridCol w:w="36"/>
        <w:gridCol w:w="41"/>
        <w:gridCol w:w="36"/>
        <w:gridCol w:w="127"/>
        <w:gridCol w:w="895"/>
        <w:gridCol w:w="41"/>
        <w:gridCol w:w="36"/>
        <w:gridCol w:w="36"/>
        <w:gridCol w:w="36"/>
        <w:gridCol w:w="36"/>
        <w:gridCol w:w="36"/>
        <w:gridCol w:w="36"/>
      </w:tblGrid>
      <w:tr w:rsidR="004C2197" w14:paraId="0D8DE967" w14:textId="77777777">
        <w:trPr>
          <w:gridAfter w:val="6"/>
          <w:jc w:val="center"/>
        </w:trPr>
        <w:tc>
          <w:tcPr>
            <w:tcW w:w="50" w:type="pct"/>
            <w:shd w:val="clear" w:color="auto" w:fill="auto"/>
          </w:tcPr>
          <w:p w14:paraId="0D8DE95B" w14:textId="77777777" w:rsidR="004C2197" w:rsidRDefault="004C2197">
            <w:pPr>
              <w:rPr>
                <w:rFonts w:ascii="宋体"/>
              </w:rPr>
            </w:pPr>
          </w:p>
        </w:tc>
        <w:tc>
          <w:tcPr>
            <w:tcW w:w="3607" w:type="pct"/>
            <w:shd w:val="clear" w:color="auto" w:fill="auto"/>
          </w:tcPr>
          <w:p w14:paraId="0D8DE95C" w14:textId="77777777" w:rsidR="004C2197" w:rsidRDefault="004C2197">
            <w:pPr>
              <w:rPr>
                <w:rFonts w:ascii="宋体"/>
              </w:rPr>
            </w:pPr>
          </w:p>
        </w:tc>
        <w:tc>
          <w:tcPr>
            <w:tcW w:w="5" w:type="pct"/>
            <w:shd w:val="clear" w:color="auto" w:fill="auto"/>
          </w:tcPr>
          <w:p w14:paraId="0D8DE95D" w14:textId="77777777" w:rsidR="004C2197" w:rsidRDefault="004C2197">
            <w:pPr>
              <w:rPr>
                <w:rFonts w:ascii="宋体"/>
              </w:rPr>
            </w:pPr>
          </w:p>
        </w:tc>
        <w:tc>
          <w:tcPr>
            <w:tcW w:w="50" w:type="pct"/>
            <w:shd w:val="clear" w:color="auto" w:fill="auto"/>
          </w:tcPr>
          <w:p w14:paraId="0D8DE95E" w14:textId="77777777" w:rsidR="004C2197" w:rsidRDefault="004C2197">
            <w:pPr>
              <w:rPr>
                <w:rFonts w:ascii="宋体"/>
              </w:rPr>
            </w:pPr>
          </w:p>
        </w:tc>
        <w:tc>
          <w:tcPr>
            <w:tcW w:w="580" w:type="pct"/>
            <w:shd w:val="clear" w:color="auto" w:fill="auto"/>
          </w:tcPr>
          <w:p w14:paraId="0D8DE95F" w14:textId="77777777" w:rsidR="004C2197" w:rsidRDefault="004C2197">
            <w:pPr>
              <w:rPr>
                <w:rFonts w:ascii="宋体"/>
              </w:rPr>
            </w:pPr>
          </w:p>
        </w:tc>
        <w:tc>
          <w:tcPr>
            <w:tcW w:w="5" w:type="pct"/>
            <w:shd w:val="clear" w:color="auto" w:fill="auto"/>
          </w:tcPr>
          <w:p w14:paraId="0D8DE960" w14:textId="77777777" w:rsidR="004C2197" w:rsidRDefault="004C2197">
            <w:pPr>
              <w:rPr>
                <w:rFonts w:ascii="宋体"/>
              </w:rPr>
            </w:pPr>
          </w:p>
        </w:tc>
        <w:tc>
          <w:tcPr>
            <w:tcW w:w="5" w:type="pct"/>
            <w:shd w:val="clear" w:color="auto" w:fill="auto"/>
          </w:tcPr>
          <w:p w14:paraId="0D8DE961" w14:textId="77777777" w:rsidR="004C2197" w:rsidRDefault="004C2197">
            <w:pPr>
              <w:rPr>
                <w:rFonts w:ascii="宋体"/>
              </w:rPr>
            </w:pPr>
          </w:p>
        </w:tc>
        <w:tc>
          <w:tcPr>
            <w:tcW w:w="55" w:type="pct"/>
            <w:shd w:val="clear" w:color="auto" w:fill="auto"/>
          </w:tcPr>
          <w:p w14:paraId="0D8DE962" w14:textId="77777777" w:rsidR="004C2197" w:rsidRDefault="004C2197">
            <w:pPr>
              <w:rPr>
                <w:rFonts w:ascii="宋体"/>
              </w:rPr>
            </w:pPr>
          </w:p>
        </w:tc>
        <w:tc>
          <w:tcPr>
            <w:tcW w:w="5" w:type="pct"/>
            <w:shd w:val="clear" w:color="auto" w:fill="auto"/>
          </w:tcPr>
          <w:p w14:paraId="0D8DE963" w14:textId="77777777" w:rsidR="004C2197" w:rsidRDefault="004C2197">
            <w:pPr>
              <w:rPr>
                <w:rFonts w:ascii="宋体"/>
              </w:rPr>
            </w:pPr>
          </w:p>
        </w:tc>
        <w:tc>
          <w:tcPr>
            <w:tcW w:w="50" w:type="pct"/>
            <w:shd w:val="clear" w:color="auto" w:fill="auto"/>
          </w:tcPr>
          <w:p w14:paraId="0D8DE964" w14:textId="77777777" w:rsidR="004C2197" w:rsidRDefault="004C2197">
            <w:pPr>
              <w:rPr>
                <w:rFonts w:ascii="宋体"/>
              </w:rPr>
            </w:pPr>
          </w:p>
        </w:tc>
        <w:tc>
          <w:tcPr>
            <w:tcW w:w="581" w:type="pct"/>
            <w:shd w:val="clear" w:color="auto" w:fill="auto"/>
          </w:tcPr>
          <w:p w14:paraId="0D8DE965" w14:textId="77777777" w:rsidR="004C2197" w:rsidRDefault="004C2197">
            <w:pPr>
              <w:rPr>
                <w:rFonts w:ascii="宋体"/>
              </w:rPr>
            </w:pPr>
          </w:p>
        </w:tc>
        <w:tc>
          <w:tcPr>
            <w:tcW w:w="5" w:type="pct"/>
            <w:shd w:val="clear" w:color="auto" w:fill="auto"/>
          </w:tcPr>
          <w:p w14:paraId="0D8DE966" w14:textId="77777777" w:rsidR="004C2197" w:rsidRDefault="004C2197">
            <w:pPr>
              <w:rPr>
                <w:rFonts w:ascii="宋体"/>
              </w:rPr>
            </w:pPr>
          </w:p>
        </w:tc>
      </w:tr>
      <w:tr w:rsidR="004C2197" w14:paraId="0D8DE96C" w14:textId="77777777">
        <w:trPr>
          <w:jc w:val="center"/>
        </w:trPr>
        <w:tc>
          <w:tcPr>
            <w:tcW w:w="0" w:type="auto"/>
            <w:gridSpan w:val="3"/>
            <w:shd w:val="clear" w:color="auto" w:fill="auto"/>
            <w:tcMar>
              <w:top w:w="40" w:type="dxa"/>
              <w:left w:w="20" w:type="dxa"/>
              <w:bottom w:w="40" w:type="dxa"/>
              <w:right w:w="20" w:type="dxa"/>
            </w:tcMar>
            <w:vAlign w:val="bottom"/>
          </w:tcPr>
          <w:p w14:paraId="0D8DE968" w14:textId="77777777" w:rsidR="004C2197" w:rsidRDefault="00863B83">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0D8DE969" w14:textId="77777777" w:rsidR="004C2197" w:rsidRDefault="00863B83">
            <w:pPr>
              <w:jc w:val="center"/>
              <w:textAlignment w:val="bottom"/>
            </w:pPr>
            <w:r>
              <w:rPr>
                <w:rFonts w:ascii="sans-serif" w:eastAsia="sans-serif" w:hAnsi="sans-serif" w:cs="sans-serif"/>
                <w:b/>
                <w:bCs/>
                <w:color w:val="000000"/>
                <w:sz w:val="18"/>
                <w:szCs w:val="18"/>
              </w:rPr>
              <w:t>Six Months Ended</w:t>
            </w:r>
          </w:p>
        </w:tc>
        <w:tc>
          <w:tcPr>
            <w:tcW w:w="0" w:type="auto"/>
            <w:gridSpan w:val="3"/>
            <w:shd w:val="clear" w:color="auto" w:fill="auto"/>
          </w:tcPr>
          <w:p w14:paraId="0D8DE96A" w14:textId="77777777" w:rsidR="004C2197" w:rsidRDefault="004C2197">
            <w:pPr>
              <w:rPr>
                <w:rFonts w:ascii="宋体"/>
                <w:vanish/>
              </w:rPr>
            </w:pPr>
          </w:p>
        </w:tc>
        <w:tc>
          <w:tcPr>
            <w:tcW w:w="0" w:type="auto"/>
            <w:gridSpan w:val="3"/>
            <w:shd w:val="clear" w:color="auto" w:fill="auto"/>
          </w:tcPr>
          <w:p w14:paraId="0D8DE96B" w14:textId="77777777" w:rsidR="004C2197" w:rsidRDefault="004C2197">
            <w:pPr>
              <w:rPr>
                <w:rFonts w:ascii="宋体"/>
                <w:vanish/>
              </w:rPr>
            </w:pPr>
          </w:p>
        </w:tc>
      </w:tr>
      <w:tr w:rsidR="004C2197" w14:paraId="0D8DE977" w14:textId="77777777">
        <w:trPr>
          <w:jc w:val="center"/>
        </w:trPr>
        <w:tc>
          <w:tcPr>
            <w:tcW w:w="0" w:type="auto"/>
            <w:gridSpan w:val="3"/>
            <w:shd w:val="clear" w:color="auto" w:fill="auto"/>
            <w:tcMar>
              <w:left w:w="20" w:type="dxa"/>
              <w:right w:w="20" w:type="dxa"/>
            </w:tcMar>
            <w:vAlign w:val="bottom"/>
          </w:tcPr>
          <w:p w14:paraId="0D8DE96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96E" w14:textId="77777777" w:rsidR="004C2197" w:rsidRDefault="00863B83">
            <w:pPr>
              <w:jc w:val="center"/>
              <w:textAlignment w:val="bottom"/>
            </w:pPr>
            <w:r>
              <w:rPr>
                <w:rFonts w:ascii="sans-serif" w:eastAsia="sans-serif" w:hAnsi="sans-serif" w:cs="sans-serif"/>
                <w:b/>
                <w:bCs/>
                <w:color w:val="000000"/>
                <w:sz w:val="18"/>
                <w:szCs w:val="18"/>
              </w:rPr>
              <w:t>July 26,</w:t>
            </w:r>
          </w:p>
        </w:tc>
        <w:tc>
          <w:tcPr>
            <w:tcW w:w="0" w:type="auto"/>
            <w:gridSpan w:val="3"/>
            <w:tcBorders>
              <w:top w:val="single" w:sz="8" w:space="0" w:color="000000"/>
            </w:tcBorders>
            <w:shd w:val="clear" w:color="auto" w:fill="auto"/>
            <w:tcMar>
              <w:left w:w="20" w:type="dxa"/>
              <w:right w:w="20" w:type="dxa"/>
            </w:tcMar>
            <w:vAlign w:val="bottom"/>
          </w:tcPr>
          <w:p w14:paraId="0D8DE96F"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970" w14:textId="77777777" w:rsidR="004C2197" w:rsidRDefault="00863B83">
            <w:pPr>
              <w:jc w:val="center"/>
              <w:textAlignment w:val="bottom"/>
            </w:pPr>
            <w:r>
              <w:rPr>
                <w:rFonts w:ascii="sans-serif" w:eastAsia="sans-serif" w:hAnsi="sans-serif" w:cs="sans-serif"/>
                <w:b/>
                <w:bCs/>
                <w:color w:val="000000"/>
                <w:sz w:val="18"/>
                <w:szCs w:val="18"/>
              </w:rPr>
              <w:t>July 28,</w:t>
            </w:r>
          </w:p>
        </w:tc>
        <w:tc>
          <w:tcPr>
            <w:tcW w:w="0" w:type="auto"/>
            <w:shd w:val="clear" w:color="auto" w:fill="auto"/>
          </w:tcPr>
          <w:p w14:paraId="0D8DE971" w14:textId="77777777" w:rsidR="004C2197" w:rsidRDefault="004C2197">
            <w:pPr>
              <w:rPr>
                <w:rFonts w:ascii="宋体"/>
              </w:rPr>
            </w:pPr>
          </w:p>
        </w:tc>
        <w:tc>
          <w:tcPr>
            <w:tcW w:w="0" w:type="auto"/>
            <w:shd w:val="clear" w:color="auto" w:fill="auto"/>
          </w:tcPr>
          <w:p w14:paraId="0D8DE972" w14:textId="77777777" w:rsidR="004C2197" w:rsidRDefault="004C2197">
            <w:pPr>
              <w:rPr>
                <w:rFonts w:ascii="宋体"/>
              </w:rPr>
            </w:pPr>
          </w:p>
        </w:tc>
        <w:tc>
          <w:tcPr>
            <w:tcW w:w="0" w:type="auto"/>
            <w:shd w:val="clear" w:color="auto" w:fill="auto"/>
          </w:tcPr>
          <w:p w14:paraId="0D8DE973" w14:textId="77777777" w:rsidR="004C2197" w:rsidRDefault="004C2197">
            <w:pPr>
              <w:rPr>
                <w:rFonts w:ascii="宋体"/>
              </w:rPr>
            </w:pPr>
          </w:p>
        </w:tc>
        <w:tc>
          <w:tcPr>
            <w:tcW w:w="0" w:type="auto"/>
            <w:shd w:val="clear" w:color="auto" w:fill="auto"/>
          </w:tcPr>
          <w:p w14:paraId="0D8DE974" w14:textId="77777777" w:rsidR="004C2197" w:rsidRDefault="004C2197">
            <w:pPr>
              <w:rPr>
                <w:rFonts w:ascii="宋体"/>
              </w:rPr>
            </w:pPr>
          </w:p>
        </w:tc>
        <w:tc>
          <w:tcPr>
            <w:tcW w:w="0" w:type="auto"/>
            <w:shd w:val="clear" w:color="auto" w:fill="auto"/>
          </w:tcPr>
          <w:p w14:paraId="0D8DE975" w14:textId="77777777" w:rsidR="004C2197" w:rsidRDefault="004C2197">
            <w:pPr>
              <w:rPr>
                <w:rFonts w:ascii="宋体"/>
              </w:rPr>
            </w:pPr>
          </w:p>
        </w:tc>
        <w:tc>
          <w:tcPr>
            <w:tcW w:w="0" w:type="auto"/>
            <w:shd w:val="clear" w:color="auto" w:fill="auto"/>
          </w:tcPr>
          <w:p w14:paraId="0D8DE976" w14:textId="77777777" w:rsidR="004C2197" w:rsidRDefault="004C2197">
            <w:pPr>
              <w:rPr>
                <w:rFonts w:ascii="宋体"/>
              </w:rPr>
            </w:pPr>
          </w:p>
        </w:tc>
      </w:tr>
      <w:tr w:rsidR="004C2197" w14:paraId="0D8DE982" w14:textId="77777777">
        <w:trPr>
          <w:jc w:val="center"/>
        </w:trPr>
        <w:tc>
          <w:tcPr>
            <w:tcW w:w="0" w:type="auto"/>
            <w:gridSpan w:val="3"/>
            <w:shd w:val="clear" w:color="auto" w:fill="auto"/>
            <w:tcMar>
              <w:top w:w="40" w:type="dxa"/>
              <w:left w:w="20" w:type="dxa"/>
              <w:bottom w:w="40" w:type="dxa"/>
              <w:right w:w="20" w:type="dxa"/>
            </w:tcMar>
            <w:vAlign w:val="bottom"/>
          </w:tcPr>
          <w:p w14:paraId="0D8DE978"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0D8DE979" w14:textId="77777777" w:rsidR="004C2197" w:rsidRDefault="00863B83">
            <w:pPr>
              <w:jc w:val="center"/>
              <w:textAlignment w:val="bottom"/>
            </w:pPr>
            <w:r>
              <w:rPr>
                <w:rFonts w:ascii="sans-serif" w:eastAsia="sans-serif" w:hAnsi="sans-serif" w:cs="sans-serif"/>
                <w:b/>
                <w:bCs/>
                <w:color w:val="000000"/>
                <w:sz w:val="18"/>
                <w:szCs w:val="18"/>
              </w:rPr>
              <w:t>2020</w:t>
            </w:r>
          </w:p>
        </w:tc>
        <w:tc>
          <w:tcPr>
            <w:tcW w:w="0" w:type="auto"/>
            <w:gridSpan w:val="3"/>
            <w:shd w:val="clear" w:color="auto" w:fill="auto"/>
            <w:tcMar>
              <w:left w:w="20" w:type="dxa"/>
              <w:right w:w="20" w:type="dxa"/>
            </w:tcMar>
            <w:vAlign w:val="bottom"/>
          </w:tcPr>
          <w:p w14:paraId="0D8DE97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97B" w14:textId="77777777" w:rsidR="004C2197" w:rsidRDefault="00863B83">
            <w:pPr>
              <w:jc w:val="center"/>
              <w:textAlignment w:val="bottom"/>
            </w:pPr>
            <w:r>
              <w:rPr>
                <w:rFonts w:ascii="sans-serif" w:eastAsia="sans-serif" w:hAnsi="sans-serif" w:cs="sans-serif"/>
                <w:b/>
                <w:bCs/>
                <w:color w:val="000000"/>
                <w:sz w:val="18"/>
                <w:szCs w:val="18"/>
              </w:rPr>
              <w:t>2019</w:t>
            </w:r>
          </w:p>
        </w:tc>
        <w:tc>
          <w:tcPr>
            <w:tcW w:w="0" w:type="auto"/>
            <w:shd w:val="clear" w:color="auto" w:fill="auto"/>
          </w:tcPr>
          <w:p w14:paraId="0D8DE97C" w14:textId="77777777" w:rsidR="004C2197" w:rsidRDefault="004C2197">
            <w:pPr>
              <w:rPr>
                <w:rFonts w:ascii="宋体"/>
              </w:rPr>
            </w:pPr>
          </w:p>
        </w:tc>
        <w:tc>
          <w:tcPr>
            <w:tcW w:w="0" w:type="auto"/>
            <w:shd w:val="clear" w:color="auto" w:fill="auto"/>
          </w:tcPr>
          <w:p w14:paraId="0D8DE97D" w14:textId="77777777" w:rsidR="004C2197" w:rsidRDefault="004C2197">
            <w:pPr>
              <w:rPr>
                <w:rFonts w:ascii="宋体"/>
              </w:rPr>
            </w:pPr>
          </w:p>
        </w:tc>
        <w:tc>
          <w:tcPr>
            <w:tcW w:w="0" w:type="auto"/>
            <w:shd w:val="clear" w:color="auto" w:fill="auto"/>
          </w:tcPr>
          <w:p w14:paraId="0D8DE97E" w14:textId="77777777" w:rsidR="004C2197" w:rsidRDefault="004C2197">
            <w:pPr>
              <w:rPr>
                <w:rFonts w:ascii="宋体"/>
              </w:rPr>
            </w:pPr>
          </w:p>
        </w:tc>
        <w:tc>
          <w:tcPr>
            <w:tcW w:w="0" w:type="auto"/>
            <w:shd w:val="clear" w:color="auto" w:fill="auto"/>
          </w:tcPr>
          <w:p w14:paraId="0D8DE97F" w14:textId="77777777" w:rsidR="004C2197" w:rsidRDefault="004C2197">
            <w:pPr>
              <w:rPr>
                <w:rFonts w:ascii="宋体"/>
              </w:rPr>
            </w:pPr>
          </w:p>
        </w:tc>
        <w:tc>
          <w:tcPr>
            <w:tcW w:w="0" w:type="auto"/>
            <w:shd w:val="clear" w:color="auto" w:fill="auto"/>
          </w:tcPr>
          <w:p w14:paraId="0D8DE980" w14:textId="77777777" w:rsidR="004C2197" w:rsidRDefault="004C2197">
            <w:pPr>
              <w:rPr>
                <w:rFonts w:ascii="宋体"/>
              </w:rPr>
            </w:pPr>
          </w:p>
        </w:tc>
        <w:tc>
          <w:tcPr>
            <w:tcW w:w="0" w:type="auto"/>
            <w:shd w:val="clear" w:color="auto" w:fill="auto"/>
          </w:tcPr>
          <w:p w14:paraId="0D8DE981" w14:textId="77777777" w:rsidR="004C2197" w:rsidRDefault="004C2197">
            <w:pPr>
              <w:rPr>
                <w:rFonts w:ascii="宋体"/>
              </w:rPr>
            </w:pPr>
          </w:p>
        </w:tc>
      </w:tr>
      <w:tr w:rsidR="004C2197" w14:paraId="0D8DE98D" w14:textId="77777777">
        <w:trPr>
          <w:jc w:val="center"/>
        </w:trPr>
        <w:tc>
          <w:tcPr>
            <w:tcW w:w="0" w:type="auto"/>
            <w:gridSpan w:val="3"/>
            <w:shd w:val="clear" w:color="auto" w:fill="E2EFD9"/>
            <w:tcMar>
              <w:top w:w="40" w:type="dxa"/>
              <w:left w:w="20" w:type="dxa"/>
              <w:bottom w:w="40" w:type="dxa"/>
              <w:right w:w="20" w:type="dxa"/>
            </w:tcMar>
            <w:vAlign w:val="bottom"/>
          </w:tcPr>
          <w:p w14:paraId="0D8DE983" w14:textId="77777777" w:rsidR="004C2197" w:rsidRDefault="00863B83">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0D8DE984"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0D8DE985" w14:textId="77777777" w:rsidR="004C2197" w:rsidRDefault="004C2197">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0D8DE986" w14:textId="77777777" w:rsidR="004C2197" w:rsidRDefault="00863B83">
            <w:pPr>
              <w:textAlignment w:val="bottom"/>
            </w:pPr>
            <w:r>
              <w:rPr>
                <w:rFonts w:ascii="sans-serif" w:eastAsia="sans-serif" w:hAnsi="sans-serif" w:cs="sans-serif"/>
                <w:color w:val="000000"/>
                <w:sz w:val="18"/>
                <w:szCs w:val="18"/>
              </w:rPr>
              <w:t> </w:t>
            </w:r>
          </w:p>
        </w:tc>
        <w:tc>
          <w:tcPr>
            <w:tcW w:w="0" w:type="auto"/>
            <w:shd w:val="clear" w:color="auto" w:fill="auto"/>
          </w:tcPr>
          <w:p w14:paraId="0D8DE987" w14:textId="77777777" w:rsidR="004C2197" w:rsidRDefault="004C2197">
            <w:pPr>
              <w:rPr>
                <w:rFonts w:ascii="宋体"/>
              </w:rPr>
            </w:pPr>
          </w:p>
        </w:tc>
        <w:tc>
          <w:tcPr>
            <w:tcW w:w="0" w:type="auto"/>
            <w:shd w:val="clear" w:color="auto" w:fill="auto"/>
          </w:tcPr>
          <w:p w14:paraId="0D8DE988" w14:textId="77777777" w:rsidR="004C2197" w:rsidRDefault="004C2197">
            <w:pPr>
              <w:rPr>
                <w:rFonts w:ascii="宋体"/>
              </w:rPr>
            </w:pPr>
          </w:p>
        </w:tc>
        <w:tc>
          <w:tcPr>
            <w:tcW w:w="0" w:type="auto"/>
            <w:shd w:val="clear" w:color="auto" w:fill="auto"/>
          </w:tcPr>
          <w:p w14:paraId="0D8DE989" w14:textId="77777777" w:rsidR="004C2197" w:rsidRDefault="004C2197">
            <w:pPr>
              <w:rPr>
                <w:rFonts w:ascii="宋体"/>
              </w:rPr>
            </w:pPr>
          </w:p>
        </w:tc>
        <w:tc>
          <w:tcPr>
            <w:tcW w:w="0" w:type="auto"/>
            <w:shd w:val="clear" w:color="auto" w:fill="auto"/>
          </w:tcPr>
          <w:p w14:paraId="0D8DE98A" w14:textId="77777777" w:rsidR="004C2197" w:rsidRDefault="004C2197">
            <w:pPr>
              <w:rPr>
                <w:rFonts w:ascii="宋体"/>
              </w:rPr>
            </w:pPr>
          </w:p>
        </w:tc>
        <w:tc>
          <w:tcPr>
            <w:tcW w:w="0" w:type="auto"/>
            <w:shd w:val="clear" w:color="auto" w:fill="auto"/>
          </w:tcPr>
          <w:p w14:paraId="0D8DE98B" w14:textId="77777777" w:rsidR="004C2197" w:rsidRDefault="004C2197">
            <w:pPr>
              <w:rPr>
                <w:rFonts w:ascii="宋体"/>
              </w:rPr>
            </w:pPr>
          </w:p>
        </w:tc>
        <w:tc>
          <w:tcPr>
            <w:tcW w:w="0" w:type="auto"/>
            <w:shd w:val="clear" w:color="auto" w:fill="auto"/>
          </w:tcPr>
          <w:p w14:paraId="0D8DE98C" w14:textId="77777777" w:rsidR="004C2197" w:rsidRDefault="004C2197">
            <w:pPr>
              <w:rPr>
                <w:rFonts w:ascii="宋体"/>
              </w:rPr>
            </w:pPr>
          </w:p>
        </w:tc>
      </w:tr>
      <w:tr w:rsidR="004C2197" w14:paraId="0D8DE99C" w14:textId="77777777">
        <w:trPr>
          <w:jc w:val="center"/>
        </w:trPr>
        <w:tc>
          <w:tcPr>
            <w:tcW w:w="0" w:type="auto"/>
            <w:gridSpan w:val="3"/>
            <w:shd w:val="clear" w:color="auto" w:fill="FFFFFF"/>
            <w:tcMar>
              <w:top w:w="40" w:type="dxa"/>
              <w:left w:w="20" w:type="dxa"/>
              <w:bottom w:w="40" w:type="dxa"/>
              <w:right w:w="20" w:type="dxa"/>
            </w:tcMar>
            <w:vAlign w:val="bottom"/>
          </w:tcPr>
          <w:p w14:paraId="0D8DE98E" w14:textId="77777777" w:rsidR="004C2197" w:rsidRDefault="00863B83">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tcMar>
            <w:vAlign w:val="bottom"/>
          </w:tcPr>
          <w:p w14:paraId="0D8DE98F" w14:textId="77777777" w:rsidR="004C2197" w:rsidRDefault="00863B83">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0D8DE990" w14:textId="77777777" w:rsidR="004C2197" w:rsidRDefault="00863B83">
            <w:pPr>
              <w:jc w:val="right"/>
              <w:textAlignment w:val="bottom"/>
            </w:pPr>
            <w:r>
              <w:rPr>
                <w:rFonts w:ascii="sans-serif" w:eastAsia="sans-serif" w:hAnsi="sans-serif" w:cs="sans-serif"/>
                <w:color w:val="000000"/>
                <w:sz w:val="18"/>
                <w:szCs w:val="18"/>
              </w:rPr>
              <w:t>1,539 </w:t>
            </w:r>
          </w:p>
        </w:tc>
        <w:tc>
          <w:tcPr>
            <w:tcW w:w="0" w:type="auto"/>
            <w:shd w:val="clear" w:color="auto" w:fill="FFFFFF"/>
            <w:tcMar>
              <w:top w:w="40" w:type="dxa"/>
              <w:bottom w:w="40" w:type="dxa"/>
              <w:right w:w="20" w:type="dxa"/>
            </w:tcMar>
            <w:vAlign w:val="bottom"/>
          </w:tcPr>
          <w:p w14:paraId="0D8DE99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9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993" w14:textId="77777777" w:rsidR="004C2197" w:rsidRDefault="00863B83">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0D8DE994" w14:textId="77777777" w:rsidR="004C2197" w:rsidRDefault="00863B83">
            <w:pPr>
              <w:jc w:val="right"/>
              <w:textAlignment w:val="bottom"/>
            </w:pPr>
            <w:r>
              <w:rPr>
                <w:rFonts w:ascii="sans-serif" w:eastAsia="sans-serif" w:hAnsi="sans-serif" w:cs="sans-serif"/>
                <w:color w:val="000000"/>
                <w:sz w:val="18"/>
                <w:szCs w:val="18"/>
              </w:rPr>
              <w:t>947 </w:t>
            </w:r>
          </w:p>
        </w:tc>
        <w:tc>
          <w:tcPr>
            <w:tcW w:w="0" w:type="auto"/>
            <w:shd w:val="clear" w:color="auto" w:fill="FFFFFF"/>
            <w:tcMar>
              <w:top w:w="40" w:type="dxa"/>
              <w:bottom w:w="40" w:type="dxa"/>
              <w:right w:w="20" w:type="dxa"/>
            </w:tcMar>
            <w:vAlign w:val="bottom"/>
          </w:tcPr>
          <w:p w14:paraId="0D8DE995" w14:textId="77777777" w:rsidR="004C2197" w:rsidRDefault="004C2197">
            <w:pPr>
              <w:jc w:val="right"/>
              <w:rPr>
                <w:rFonts w:ascii="宋体"/>
              </w:rPr>
            </w:pPr>
          </w:p>
        </w:tc>
        <w:tc>
          <w:tcPr>
            <w:tcW w:w="0" w:type="auto"/>
            <w:shd w:val="clear" w:color="auto" w:fill="auto"/>
          </w:tcPr>
          <w:p w14:paraId="0D8DE996" w14:textId="77777777" w:rsidR="004C2197" w:rsidRDefault="004C2197">
            <w:pPr>
              <w:rPr>
                <w:rFonts w:ascii="宋体"/>
              </w:rPr>
            </w:pPr>
          </w:p>
        </w:tc>
        <w:tc>
          <w:tcPr>
            <w:tcW w:w="0" w:type="auto"/>
            <w:shd w:val="clear" w:color="auto" w:fill="auto"/>
          </w:tcPr>
          <w:p w14:paraId="0D8DE997" w14:textId="77777777" w:rsidR="004C2197" w:rsidRDefault="004C2197">
            <w:pPr>
              <w:rPr>
                <w:rFonts w:ascii="宋体"/>
              </w:rPr>
            </w:pPr>
          </w:p>
        </w:tc>
        <w:tc>
          <w:tcPr>
            <w:tcW w:w="0" w:type="auto"/>
            <w:shd w:val="clear" w:color="auto" w:fill="auto"/>
          </w:tcPr>
          <w:p w14:paraId="0D8DE998" w14:textId="77777777" w:rsidR="004C2197" w:rsidRDefault="004C2197">
            <w:pPr>
              <w:rPr>
                <w:rFonts w:ascii="宋体"/>
              </w:rPr>
            </w:pPr>
          </w:p>
        </w:tc>
        <w:tc>
          <w:tcPr>
            <w:tcW w:w="0" w:type="auto"/>
            <w:shd w:val="clear" w:color="auto" w:fill="auto"/>
          </w:tcPr>
          <w:p w14:paraId="0D8DE999" w14:textId="77777777" w:rsidR="004C2197" w:rsidRDefault="004C2197">
            <w:pPr>
              <w:rPr>
                <w:rFonts w:ascii="宋体"/>
              </w:rPr>
            </w:pPr>
          </w:p>
        </w:tc>
        <w:tc>
          <w:tcPr>
            <w:tcW w:w="0" w:type="auto"/>
            <w:shd w:val="clear" w:color="auto" w:fill="auto"/>
          </w:tcPr>
          <w:p w14:paraId="0D8DE99A" w14:textId="77777777" w:rsidR="004C2197" w:rsidRDefault="004C2197">
            <w:pPr>
              <w:rPr>
                <w:rFonts w:ascii="宋体"/>
              </w:rPr>
            </w:pPr>
          </w:p>
        </w:tc>
        <w:tc>
          <w:tcPr>
            <w:tcW w:w="0" w:type="auto"/>
            <w:shd w:val="clear" w:color="auto" w:fill="auto"/>
          </w:tcPr>
          <w:p w14:paraId="0D8DE99B" w14:textId="77777777" w:rsidR="004C2197" w:rsidRDefault="004C2197">
            <w:pPr>
              <w:rPr>
                <w:rFonts w:ascii="宋体"/>
              </w:rPr>
            </w:pPr>
          </w:p>
        </w:tc>
      </w:tr>
      <w:tr w:rsidR="004C2197" w14:paraId="0D8DE9A7" w14:textId="77777777">
        <w:trPr>
          <w:jc w:val="center"/>
        </w:trPr>
        <w:tc>
          <w:tcPr>
            <w:tcW w:w="0" w:type="auto"/>
            <w:gridSpan w:val="3"/>
            <w:shd w:val="clear" w:color="auto" w:fill="E2EFD9"/>
            <w:tcMar>
              <w:top w:w="40" w:type="dxa"/>
              <w:left w:w="20" w:type="dxa"/>
              <w:bottom w:w="40" w:type="dxa"/>
              <w:right w:w="20" w:type="dxa"/>
            </w:tcMar>
            <w:vAlign w:val="bottom"/>
          </w:tcPr>
          <w:p w14:paraId="0D8DE99D" w14:textId="77777777" w:rsidR="004C2197" w:rsidRDefault="00863B83">
            <w:pPr>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E2EFD9"/>
            <w:tcMar>
              <w:left w:w="20" w:type="dxa"/>
              <w:right w:w="20" w:type="dxa"/>
            </w:tcMar>
            <w:vAlign w:val="bottom"/>
          </w:tcPr>
          <w:p w14:paraId="0D8DE99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99F"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9A0" w14:textId="77777777" w:rsidR="004C2197" w:rsidRDefault="004C2197">
            <w:pPr>
              <w:rPr>
                <w:rFonts w:ascii="宋体"/>
              </w:rPr>
            </w:pPr>
          </w:p>
        </w:tc>
        <w:tc>
          <w:tcPr>
            <w:tcW w:w="0" w:type="auto"/>
            <w:shd w:val="clear" w:color="auto" w:fill="auto"/>
          </w:tcPr>
          <w:p w14:paraId="0D8DE9A1" w14:textId="77777777" w:rsidR="004C2197" w:rsidRDefault="004C2197">
            <w:pPr>
              <w:rPr>
                <w:rFonts w:ascii="宋体"/>
              </w:rPr>
            </w:pPr>
          </w:p>
        </w:tc>
        <w:tc>
          <w:tcPr>
            <w:tcW w:w="0" w:type="auto"/>
            <w:shd w:val="clear" w:color="auto" w:fill="auto"/>
          </w:tcPr>
          <w:p w14:paraId="0D8DE9A2" w14:textId="77777777" w:rsidR="004C2197" w:rsidRDefault="004C2197">
            <w:pPr>
              <w:rPr>
                <w:rFonts w:ascii="宋体"/>
              </w:rPr>
            </w:pPr>
          </w:p>
        </w:tc>
        <w:tc>
          <w:tcPr>
            <w:tcW w:w="0" w:type="auto"/>
            <w:shd w:val="clear" w:color="auto" w:fill="auto"/>
          </w:tcPr>
          <w:p w14:paraId="0D8DE9A3" w14:textId="77777777" w:rsidR="004C2197" w:rsidRDefault="004C2197">
            <w:pPr>
              <w:rPr>
                <w:rFonts w:ascii="宋体"/>
              </w:rPr>
            </w:pPr>
          </w:p>
        </w:tc>
        <w:tc>
          <w:tcPr>
            <w:tcW w:w="0" w:type="auto"/>
            <w:shd w:val="clear" w:color="auto" w:fill="auto"/>
          </w:tcPr>
          <w:p w14:paraId="0D8DE9A4" w14:textId="77777777" w:rsidR="004C2197" w:rsidRDefault="004C2197">
            <w:pPr>
              <w:rPr>
                <w:rFonts w:ascii="宋体"/>
              </w:rPr>
            </w:pPr>
          </w:p>
        </w:tc>
        <w:tc>
          <w:tcPr>
            <w:tcW w:w="0" w:type="auto"/>
            <w:shd w:val="clear" w:color="auto" w:fill="auto"/>
          </w:tcPr>
          <w:p w14:paraId="0D8DE9A5" w14:textId="77777777" w:rsidR="004C2197" w:rsidRDefault="004C2197">
            <w:pPr>
              <w:rPr>
                <w:rFonts w:ascii="宋体"/>
              </w:rPr>
            </w:pPr>
          </w:p>
        </w:tc>
        <w:tc>
          <w:tcPr>
            <w:tcW w:w="0" w:type="auto"/>
            <w:shd w:val="clear" w:color="auto" w:fill="auto"/>
          </w:tcPr>
          <w:p w14:paraId="0D8DE9A6" w14:textId="77777777" w:rsidR="004C2197" w:rsidRDefault="004C2197">
            <w:pPr>
              <w:rPr>
                <w:rFonts w:ascii="宋体"/>
              </w:rPr>
            </w:pPr>
          </w:p>
        </w:tc>
      </w:tr>
      <w:tr w:rsidR="004C2197" w14:paraId="0D8DE9B4" w14:textId="77777777">
        <w:trPr>
          <w:jc w:val="center"/>
        </w:trPr>
        <w:tc>
          <w:tcPr>
            <w:tcW w:w="0" w:type="auto"/>
            <w:gridSpan w:val="3"/>
            <w:shd w:val="clear" w:color="auto" w:fill="FFFFFF"/>
            <w:tcMar>
              <w:top w:w="40" w:type="dxa"/>
              <w:left w:w="135" w:type="dxa"/>
              <w:bottom w:w="40" w:type="dxa"/>
              <w:right w:w="20" w:type="dxa"/>
            </w:tcMar>
            <w:vAlign w:val="bottom"/>
          </w:tcPr>
          <w:p w14:paraId="0D8DE9A8" w14:textId="77777777" w:rsidR="004C2197" w:rsidRDefault="00863B83">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0D8DE9A9" w14:textId="77777777" w:rsidR="004C2197" w:rsidRDefault="00863B83">
            <w:pPr>
              <w:jc w:val="right"/>
              <w:textAlignment w:val="bottom"/>
            </w:pPr>
            <w:r>
              <w:rPr>
                <w:rFonts w:ascii="sans-serif" w:eastAsia="sans-serif" w:hAnsi="sans-serif" w:cs="sans-serif"/>
                <w:color w:val="000000"/>
                <w:sz w:val="18"/>
                <w:szCs w:val="18"/>
              </w:rPr>
              <w:t>598 </w:t>
            </w:r>
          </w:p>
        </w:tc>
        <w:tc>
          <w:tcPr>
            <w:tcW w:w="0" w:type="auto"/>
            <w:shd w:val="clear" w:color="auto" w:fill="FFFFFF"/>
            <w:tcMar>
              <w:top w:w="40" w:type="dxa"/>
              <w:bottom w:w="40" w:type="dxa"/>
              <w:right w:w="20" w:type="dxa"/>
            </w:tcMar>
            <w:vAlign w:val="bottom"/>
          </w:tcPr>
          <w:p w14:paraId="0D8DE9A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A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9AC" w14:textId="77777777" w:rsidR="004C2197" w:rsidRDefault="00863B83">
            <w:pPr>
              <w:jc w:val="right"/>
              <w:textAlignment w:val="bottom"/>
            </w:pPr>
            <w:r>
              <w:rPr>
                <w:rFonts w:ascii="sans-serif" w:eastAsia="sans-serif" w:hAnsi="sans-serif" w:cs="sans-serif"/>
                <w:color w:val="000000"/>
                <w:sz w:val="18"/>
                <w:szCs w:val="18"/>
              </w:rPr>
              <w:t>401 </w:t>
            </w:r>
          </w:p>
        </w:tc>
        <w:tc>
          <w:tcPr>
            <w:tcW w:w="0" w:type="auto"/>
            <w:shd w:val="clear" w:color="auto" w:fill="FFFFFF"/>
            <w:tcMar>
              <w:top w:w="40" w:type="dxa"/>
              <w:bottom w:w="40" w:type="dxa"/>
              <w:right w:w="20" w:type="dxa"/>
            </w:tcMar>
            <w:vAlign w:val="bottom"/>
          </w:tcPr>
          <w:p w14:paraId="0D8DE9AD" w14:textId="77777777" w:rsidR="004C2197" w:rsidRDefault="004C2197">
            <w:pPr>
              <w:jc w:val="right"/>
              <w:rPr>
                <w:rFonts w:ascii="宋体"/>
              </w:rPr>
            </w:pPr>
          </w:p>
        </w:tc>
        <w:tc>
          <w:tcPr>
            <w:tcW w:w="0" w:type="auto"/>
            <w:shd w:val="clear" w:color="auto" w:fill="auto"/>
          </w:tcPr>
          <w:p w14:paraId="0D8DE9AE" w14:textId="77777777" w:rsidR="004C2197" w:rsidRDefault="004C2197">
            <w:pPr>
              <w:rPr>
                <w:rFonts w:ascii="宋体"/>
              </w:rPr>
            </w:pPr>
          </w:p>
        </w:tc>
        <w:tc>
          <w:tcPr>
            <w:tcW w:w="0" w:type="auto"/>
            <w:shd w:val="clear" w:color="auto" w:fill="auto"/>
          </w:tcPr>
          <w:p w14:paraId="0D8DE9AF" w14:textId="77777777" w:rsidR="004C2197" w:rsidRDefault="004C2197">
            <w:pPr>
              <w:rPr>
                <w:rFonts w:ascii="宋体"/>
              </w:rPr>
            </w:pPr>
          </w:p>
        </w:tc>
        <w:tc>
          <w:tcPr>
            <w:tcW w:w="0" w:type="auto"/>
            <w:shd w:val="clear" w:color="auto" w:fill="auto"/>
          </w:tcPr>
          <w:p w14:paraId="0D8DE9B0" w14:textId="77777777" w:rsidR="004C2197" w:rsidRDefault="004C2197">
            <w:pPr>
              <w:rPr>
                <w:rFonts w:ascii="宋体"/>
              </w:rPr>
            </w:pPr>
          </w:p>
        </w:tc>
        <w:tc>
          <w:tcPr>
            <w:tcW w:w="0" w:type="auto"/>
            <w:shd w:val="clear" w:color="auto" w:fill="auto"/>
          </w:tcPr>
          <w:p w14:paraId="0D8DE9B1" w14:textId="77777777" w:rsidR="004C2197" w:rsidRDefault="004C2197">
            <w:pPr>
              <w:rPr>
                <w:rFonts w:ascii="宋体"/>
              </w:rPr>
            </w:pPr>
          </w:p>
        </w:tc>
        <w:tc>
          <w:tcPr>
            <w:tcW w:w="0" w:type="auto"/>
            <w:shd w:val="clear" w:color="auto" w:fill="auto"/>
          </w:tcPr>
          <w:p w14:paraId="0D8DE9B2" w14:textId="77777777" w:rsidR="004C2197" w:rsidRDefault="004C2197">
            <w:pPr>
              <w:rPr>
                <w:rFonts w:ascii="宋体"/>
              </w:rPr>
            </w:pPr>
          </w:p>
        </w:tc>
        <w:tc>
          <w:tcPr>
            <w:tcW w:w="0" w:type="auto"/>
            <w:shd w:val="clear" w:color="auto" w:fill="auto"/>
          </w:tcPr>
          <w:p w14:paraId="0D8DE9B3" w14:textId="77777777" w:rsidR="004C2197" w:rsidRDefault="004C2197">
            <w:pPr>
              <w:rPr>
                <w:rFonts w:ascii="宋体"/>
              </w:rPr>
            </w:pPr>
          </w:p>
        </w:tc>
      </w:tr>
      <w:tr w:rsidR="004C2197" w14:paraId="0D8DE9C1" w14:textId="77777777">
        <w:trPr>
          <w:jc w:val="center"/>
        </w:trPr>
        <w:tc>
          <w:tcPr>
            <w:tcW w:w="0" w:type="auto"/>
            <w:gridSpan w:val="3"/>
            <w:shd w:val="clear" w:color="auto" w:fill="E2EFD9"/>
            <w:tcMar>
              <w:top w:w="40" w:type="dxa"/>
              <w:left w:w="135" w:type="dxa"/>
              <w:bottom w:w="40" w:type="dxa"/>
              <w:right w:w="20" w:type="dxa"/>
            </w:tcMar>
            <w:vAlign w:val="bottom"/>
          </w:tcPr>
          <w:p w14:paraId="0D8DE9B5" w14:textId="77777777" w:rsidR="004C2197" w:rsidRDefault="00863B83">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0D8DE9B6" w14:textId="77777777" w:rsidR="004C2197" w:rsidRDefault="00863B83">
            <w:pPr>
              <w:jc w:val="right"/>
              <w:textAlignment w:val="bottom"/>
            </w:pPr>
            <w:r>
              <w:rPr>
                <w:rFonts w:ascii="sans-serif" w:eastAsia="sans-serif" w:hAnsi="sans-serif" w:cs="sans-serif"/>
                <w:color w:val="000000"/>
                <w:sz w:val="18"/>
                <w:szCs w:val="18"/>
              </w:rPr>
              <w:t>511 </w:t>
            </w:r>
          </w:p>
        </w:tc>
        <w:tc>
          <w:tcPr>
            <w:tcW w:w="0" w:type="auto"/>
            <w:shd w:val="clear" w:color="auto" w:fill="E2EFD9"/>
            <w:tcMar>
              <w:top w:w="40" w:type="dxa"/>
              <w:bottom w:w="40" w:type="dxa"/>
              <w:right w:w="20" w:type="dxa"/>
            </w:tcMar>
            <w:vAlign w:val="bottom"/>
          </w:tcPr>
          <w:p w14:paraId="0D8DE9B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B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9B9" w14:textId="77777777" w:rsidR="004C2197" w:rsidRDefault="00863B83">
            <w:pPr>
              <w:jc w:val="right"/>
              <w:textAlignment w:val="bottom"/>
            </w:pPr>
            <w:r>
              <w:rPr>
                <w:rFonts w:ascii="sans-serif" w:eastAsia="sans-serif" w:hAnsi="sans-serif" w:cs="sans-serif"/>
                <w:color w:val="000000"/>
                <w:sz w:val="18"/>
                <w:szCs w:val="18"/>
              </w:rPr>
              <w:t>183 </w:t>
            </w:r>
          </w:p>
        </w:tc>
        <w:tc>
          <w:tcPr>
            <w:tcW w:w="0" w:type="auto"/>
            <w:shd w:val="clear" w:color="auto" w:fill="E2EFD9"/>
            <w:tcMar>
              <w:top w:w="40" w:type="dxa"/>
              <w:bottom w:w="40" w:type="dxa"/>
              <w:right w:w="20" w:type="dxa"/>
            </w:tcMar>
            <w:vAlign w:val="bottom"/>
          </w:tcPr>
          <w:p w14:paraId="0D8DE9BA" w14:textId="77777777" w:rsidR="004C2197" w:rsidRDefault="004C2197">
            <w:pPr>
              <w:jc w:val="right"/>
              <w:rPr>
                <w:rFonts w:ascii="宋体"/>
              </w:rPr>
            </w:pPr>
          </w:p>
        </w:tc>
        <w:tc>
          <w:tcPr>
            <w:tcW w:w="0" w:type="auto"/>
            <w:shd w:val="clear" w:color="auto" w:fill="auto"/>
          </w:tcPr>
          <w:p w14:paraId="0D8DE9BB" w14:textId="77777777" w:rsidR="004C2197" w:rsidRDefault="004C2197">
            <w:pPr>
              <w:rPr>
                <w:rFonts w:ascii="宋体"/>
              </w:rPr>
            </w:pPr>
          </w:p>
        </w:tc>
        <w:tc>
          <w:tcPr>
            <w:tcW w:w="0" w:type="auto"/>
            <w:shd w:val="clear" w:color="auto" w:fill="auto"/>
          </w:tcPr>
          <w:p w14:paraId="0D8DE9BC" w14:textId="77777777" w:rsidR="004C2197" w:rsidRDefault="004C2197">
            <w:pPr>
              <w:rPr>
                <w:rFonts w:ascii="宋体"/>
              </w:rPr>
            </w:pPr>
          </w:p>
        </w:tc>
        <w:tc>
          <w:tcPr>
            <w:tcW w:w="0" w:type="auto"/>
            <w:shd w:val="clear" w:color="auto" w:fill="auto"/>
          </w:tcPr>
          <w:p w14:paraId="0D8DE9BD" w14:textId="77777777" w:rsidR="004C2197" w:rsidRDefault="004C2197">
            <w:pPr>
              <w:rPr>
                <w:rFonts w:ascii="宋体"/>
              </w:rPr>
            </w:pPr>
          </w:p>
        </w:tc>
        <w:tc>
          <w:tcPr>
            <w:tcW w:w="0" w:type="auto"/>
            <w:shd w:val="clear" w:color="auto" w:fill="auto"/>
          </w:tcPr>
          <w:p w14:paraId="0D8DE9BE" w14:textId="77777777" w:rsidR="004C2197" w:rsidRDefault="004C2197">
            <w:pPr>
              <w:rPr>
                <w:rFonts w:ascii="宋体"/>
              </w:rPr>
            </w:pPr>
          </w:p>
        </w:tc>
        <w:tc>
          <w:tcPr>
            <w:tcW w:w="0" w:type="auto"/>
            <w:shd w:val="clear" w:color="auto" w:fill="auto"/>
          </w:tcPr>
          <w:p w14:paraId="0D8DE9BF" w14:textId="77777777" w:rsidR="004C2197" w:rsidRDefault="004C2197">
            <w:pPr>
              <w:rPr>
                <w:rFonts w:ascii="宋体"/>
              </w:rPr>
            </w:pPr>
          </w:p>
        </w:tc>
        <w:tc>
          <w:tcPr>
            <w:tcW w:w="0" w:type="auto"/>
            <w:shd w:val="clear" w:color="auto" w:fill="auto"/>
          </w:tcPr>
          <w:p w14:paraId="0D8DE9C0" w14:textId="77777777" w:rsidR="004C2197" w:rsidRDefault="004C2197">
            <w:pPr>
              <w:rPr>
                <w:rFonts w:ascii="宋体"/>
              </w:rPr>
            </w:pPr>
          </w:p>
        </w:tc>
      </w:tr>
      <w:tr w:rsidR="004C2197" w14:paraId="0D8DE9CE" w14:textId="77777777">
        <w:trPr>
          <w:jc w:val="center"/>
        </w:trPr>
        <w:tc>
          <w:tcPr>
            <w:tcW w:w="0" w:type="auto"/>
            <w:gridSpan w:val="3"/>
            <w:shd w:val="clear" w:color="auto" w:fill="FFFFFF"/>
            <w:tcMar>
              <w:top w:w="40" w:type="dxa"/>
              <w:left w:w="135" w:type="dxa"/>
              <w:bottom w:w="40" w:type="dxa"/>
              <w:right w:w="20" w:type="dxa"/>
            </w:tcMar>
            <w:vAlign w:val="bottom"/>
          </w:tcPr>
          <w:p w14:paraId="0D8DE9C2" w14:textId="77777777" w:rsidR="004C2197" w:rsidRDefault="00863B83">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0D8DE9C3" w14:textId="77777777" w:rsidR="004C2197" w:rsidRDefault="00863B83">
            <w:pPr>
              <w:jc w:val="right"/>
              <w:textAlignment w:val="bottom"/>
            </w:pPr>
            <w:r>
              <w:rPr>
                <w:rFonts w:ascii="sans-serif" w:eastAsia="sans-serif" w:hAnsi="sans-serif" w:cs="sans-serif"/>
                <w:color w:val="000000"/>
                <w:sz w:val="18"/>
                <w:szCs w:val="18"/>
              </w:rPr>
              <w:t>(64)</w:t>
            </w:r>
          </w:p>
        </w:tc>
        <w:tc>
          <w:tcPr>
            <w:tcW w:w="0" w:type="auto"/>
            <w:shd w:val="clear" w:color="auto" w:fill="FFFFFF"/>
            <w:tcMar>
              <w:top w:w="40" w:type="dxa"/>
              <w:bottom w:w="40" w:type="dxa"/>
              <w:right w:w="20" w:type="dxa"/>
            </w:tcMar>
            <w:vAlign w:val="bottom"/>
          </w:tcPr>
          <w:p w14:paraId="0D8DE9C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9C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9C6" w14:textId="77777777" w:rsidR="004C2197" w:rsidRDefault="00863B83">
            <w:pPr>
              <w:jc w:val="right"/>
              <w:textAlignment w:val="bottom"/>
            </w:pPr>
            <w:r>
              <w:rPr>
                <w:rFonts w:ascii="sans-serif" w:eastAsia="sans-serif" w:hAnsi="sans-serif" w:cs="sans-serif"/>
                <w:color w:val="000000"/>
                <w:sz w:val="18"/>
                <w:szCs w:val="18"/>
              </w:rPr>
              <w:t>(27)</w:t>
            </w:r>
          </w:p>
        </w:tc>
        <w:tc>
          <w:tcPr>
            <w:tcW w:w="0" w:type="auto"/>
            <w:shd w:val="clear" w:color="auto" w:fill="FFFFFF"/>
            <w:tcMar>
              <w:top w:w="40" w:type="dxa"/>
              <w:bottom w:w="40" w:type="dxa"/>
              <w:right w:w="20" w:type="dxa"/>
            </w:tcMar>
            <w:vAlign w:val="bottom"/>
          </w:tcPr>
          <w:p w14:paraId="0D8DE9C7" w14:textId="77777777" w:rsidR="004C2197" w:rsidRDefault="004C2197">
            <w:pPr>
              <w:jc w:val="right"/>
              <w:rPr>
                <w:rFonts w:ascii="宋体"/>
              </w:rPr>
            </w:pPr>
          </w:p>
        </w:tc>
        <w:tc>
          <w:tcPr>
            <w:tcW w:w="0" w:type="auto"/>
            <w:shd w:val="clear" w:color="auto" w:fill="auto"/>
          </w:tcPr>
          <w:p w14:paraId="0D8DE9C8" w14:textId="77777777" w:rsidR="004C2197" w:rsidRDefault="004C2197">
            <w:pPr>
              <w:rPr>
                <w:rFonts w:ascii="宋体"/>
              </w:rPr>
            </w:pPr>
          </w:p>
        </w:tc>
        <w:tc>
          <w:tcPr>
            <w:tcW w:w="0" w:type="auto"/>
            <w:shd w:val="clear" w:color="auto" w:fill="auto"/>
          </w:tcPr>
          <w:p w14:paraId="0D8DE9C9" w14:textId="77777777" w:rsidR="004C2197" w:rsidRDefault="004C2197">
            <w:pPr>
              <w:rPr>
                <w:rFonts w:ascii="宋体"/>
              </w:rPr>
            </w:pPr>
          </w:p>
        </w:tc>
        <w:tc>
          <w:tcPr>
            <w:tcW w:w="0" w:type="auto"/>
            <w:shd w:val="clear" w:color="auto" w:fill="auto"/>
          </w:tcPr>
          <w:p w14:paraId="0D8DE9CA" w14:textId="77777777" w:rsidR="004C2197" w:rsidRDefault="004C2197">
            <w:pPr>
              <w:rPr>
                <w:rFonts w:ascii="宋体"/>
              </w:rPr>
            </w:pPr>
          </w:p>
        </w:tc>
        <w:tc>
          <w:tcPr>
            <w:tcW w:w="0" w:type="auto"/>
            <w:shd w:val="clear" w:color="auto" w:fill="auto"/>
          </w:tcPr>
          <w:p w14:paraId="0D8DE9CB" w14:textId="77777777" w:rsidR="004C2197" w:rsidRDefault="004C2197">
            <w:pPr>
              <w:rPr>
                <w:rFonts w:ascii="宋体"/>
              </w:rPr>
            </w:pPr>
          </w:p>
        </w:tc>
        <w:tc>
          <w:tcPr>
            <w:tcW w:w="0" w:type="auto"/>
            <w:shd w:val="clear" w:color="auto" w:fill="auto"/>
          </w:tcPr>
          <w:p w14:paraId="0D8DE9CC" w14:textId="77777777" w:rsidR="004C2197" w:rsidRDefault="004C2197">
            <w:pPr>
              <w:rPr>
                <w:rFonts w:ascii="宋体"/>
              </w:rPr>
            </w:pPr>
          </w:p>
        </w:tc>
        <w:tc>
          <w:tcPr>
            <w:tcW w:w="0" w:type="auto"/>
            <w:shd w:val="clear" w:color="auto" w:fill="auto"/>
          </w:tcPr>
          <w:p w14:paraId="0D8DE9CD" w14:textId="77777777" w:rsidR="004C2197" w:rsidRDefault="004C2197">
            <w:pPr>
              <w:rPr>
                <w:rFonts w:ascii="宋体"/>
              </w:rPr>
            </w:pPr>
          </w:p>
        </w:tc>
      </w:tr>
      <w:tr w:rsidR="004C2197" w14:paraId="0D8DE9D9" w14:textId="77777777">
        <w:trPr>
          <w:jc w:val="center"/>
          <w:hidden/>
        </w:trPr>
        <w:tc>
          <w:tcPr>
            <w:tcW w:w="0" w:type="auto"/>
            <w:gridSpan w:val="3"/>
            <w:shd w:val="clear" w:color="auto" w:fill="auto"/>
          </w:tcPr>
          <w:p w14:paraId="0D8DE9CF" w14:textId="77777777" w:rsidR="004C2197" w:rsidRDefault="004C2197">
            <w:pPr>
              <w:rPr>
                <w:rFonts w:ascii="宋体"/>
                <w:vanish/>
              </w:rPr>
            </w:pPr>
          </w:p>
        </w:tc>
        <w:tc>
          <w:tcPr>
            <w:tcW w:w="0" w:type="auto"/>
            <w:gridSpan w:val="3"/>
            <w:shd w:val="clear" w:color="auto" w:fill="auto"/>
          </w:tcPr>
          <w:p w14:paraId="0D8DE9D0" w14:textId="77777777" w:rsidR="004C2197" w:rsidRDefault="004C2197">
            <w:pPr>
              <w:rPr>
                <w:rFonts w:ascii="宋体"/>
                <w:vanish/>
              </w:rPr>
            </w:pPr>
          </w:p>
        </w:tc>
        <w:tc>
          <w:tcPr>
            <w:tcW w:w="0" w:type="auto"/>
            <w:gridSpan w:val="3"/>
            <w:shd w:val="clear" w:color="auto" w:fill="auto"/>
          </w:tcPr>
          <w:p w14:paraId="0D8DE9D1" w14:textId="77777777" w:rsidR="004C2197" w:rsidRDefault="004C2197">
            <w:pPr>
              <w:rPr>
                <w:rFonts w:ascii="宋体"/>
                <w:vanish/>
              </w:rPr>
            </w:pPr>
          </w:p>
        </w:tc>
        <w:tc>
          <w:tcPr>
            <w:tcW w:w="0" w:type="auto"/>
            <w:gridSpan w:val="3"/>
            <w:shd w:val="clear" w:color="auto" w:fill="auto"/>
          </w:tcPr>
          <w:p w14:paraId="0D8DE9D2" w14:textId="77777777" w:rsidR="004C2197" w:rsidRDefault="004C2197">
            <w:pPr>
              <w:rPr>
                <w:rFonts w:ascii="宋体"/>
                <w:vanish/>
              </w:rPr>
            </w:pPr>
          </w:p>
        </w:tc>
        <w:tc>
          <w:tcPr>
            <w:tcW w:w="0" w:type="auto"/>
            <w:shd w:val="clear" w:color="auto" w:fill="auto"/>
          </w:tcPr>
          <w:p w14:paraId="0D8DE9D3" w14:textId="77777777" w:rsidR="004C2197" w:rsidRDefault="004C2197">
            <w:pPr>
              <w:rPr>
                <w:rFonts w:ascii="宋体"/>
              </w:rPr>
            </w:pPr>
          </w:p>
        </w:tc>
        <w:tc>
          <w:tcPr>
            <w:tcW w:w="0" w:type="auto"/>
            <w:shd w:val="clear" w:color="auto" w:fill="auto"/>
          </w:tcPr>
          <w:p w14:paraId="0D8DE9D4" w14:textId="77777777" w:rsidR="004C2197" w:rsidRDefault="004C2197">
            <w:pPr>
              <w:rPr>
                <w:rFonts w:ascii="宋体"/>
              </w:rPr>
            </w:pPr>
          </w:p>
        </w:tc>
        <w:tc>
          <w:tcPr>
            <w:tcW w:w="0" w:type="auto"/>
            <w:shd w:val="clear" w:color="auto" w:fill="auto"/>
          </w:tcPr>
          <w:p w14:paraId="0D8DE9D5" w14:textId="77777777" w:rsidR="004C2197" w:rsidRDefault="004C2197">
            <w:pPr>
              <w:rPr>
                <w:rFonts w:ascii="宋体"/>
              </w:rPr>
            </w:pPr>
          </w:p>
        </w:tc>
        <w:tc>
          <w:tcPr>
            <w:tcW w:w="0" w:type="auto"/>
            <w:shd w:val="clear" w:color="auto" w:fill="auto"/>
          </w:tcPr>
          <w:p w14:paraId="0D8DE9D6" w14:textId="77777777" w:rsidR="004C2197" w:rsidRDefault="004C2197">
            <w:pPr>
              <w:rPr>
                <w:rFonts w:ascii="宋体"/>
              </w:rPr>
            </w:pPr>
          </w:p>
        </w:tc>
        <w:tc>
          <w:tcPr>
            <w:tcW w:w="0" w:type="auto"/>
            <w:shd w:val="clear" w:color="auto" w:fill="auto"/>
          </w:tcPr>
          <w:p w14:paraId="0D8DE9D7" w14:textId="77777777" w:rsidR="004C2197" w:rsidRDefault="004C2197">
            <w:pPr>
              <w:rPr>
                <w:rFonts w:ascii="宋体"/>
              </w:rPr>
            </w:pPr>
          </w:p>
        </w:tc>
        <w:tc>
          <w:tcPr>
            <w:tcW w:w="0" w:type="auto"/>
            <w:shd w:val="clear" w:color="auto" w:fill="auto"/>
          </w:tcPr>
          <w:p w14:paraId="0D8DE9D8" w14:textId="77777777" w:rsidR="004C2197" w:rsidRDefault="004C2197">
            <w:pPr>
              <w:rPr>
                <w:rFonts w:ascii="宋体"/>
              </w:rPr>
            </w:pPr>
          </w:p>
        </w:tc>
      </w:tr>
      <w:tr w:rsidR="004C2197" w14:paraId="0D8DE9E6" w14:textId="77777777">
        <w:trPr>
          <w:jc w:val="center"/>
        </w:trPr>
        <w:tc>
          <w:tcPr>
            <w:tcW w:w="0" w:type="auto"/>
            <w:gridSpan w:val="3"/>
            <w:shd w:val="clear" w:color="auto" w:fill="E2EFD9"/>
            <w:tcMar>
              <w:top w:w="40" w:type="dxa"/>
              <w:left w:w="135" w:type="dxa"/>
              <w:bottom w:w="40" w:type="dxa"/>
              <w:right w:w="20" w:type="dxa"/>
            </w:tcMar>
            <w:vAlign w:val="bottom"/>
          </w:tcPr>
          <w:p w14:paraId="0D8DE9DA" w14:textId="77777777" w:rsidR="004C2197" w:rsidRDefault="00863B83">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0D8DE9DB" w14:textId="77777777" w:rsidR="004C2197" w:rsidRDefault="00863B83">
            <w:pPr>
              <w:jc w:val="right"/>
              <w:textAlignment w:val="bottom"/>
            </w:pPr>
            <w:r>
              <w:rPr>
                <w:rFonts w:ascii="sans-serif" w:eastAsia="sans-serif" w:hAnsi="sans-serif" w:cs="sans-serif"/>
                <w:color w:val="000000"/>
                <w:sz w:val="18"/>
                <w:szCs w:val="18"/>
              </w:rPr>
              <w:t>(5)</w:t>
            </w:r>
          </w:p>
        </w:tc>
        <w:tc>
          <w:tcPr>
            <w:tcW w:w="0" w:type="auto"/>
            <w:shd w:val="clear" w:color="auto" w:fill="E2EFD9"/>
            <w:tcMar>
              <w:top w:w="40" w:type="dxa"/>
              <w:bottom w:w="40" w:type="dxa"/>
              <w:right w:w="20" w:type="dxa"/>
            </w:tcMar>
            <w:vAlign w:val="bottom"/>
          </w:tcPr>
          <w:p w14:paraId="0D8DE9D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D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9DE" w14:textId="77777777" w:rsidR="004C2197" w:rsidRDefault="00863B83">
            <w:pPr>
              <w:jc w:val="right"/>
              <w:textAlignment w:val="bottom"/>
            </w:pPr>
            <w:r>
              <w:rPr>
                <w:rFonts w:ascii="sans-serif" w:eastAsia="sans-serif" w:hAnsi="sans-serif" w:cs="sans-serif"/>
                <w:color w:val="000000"/>
                <w:sz w:val="18"/>
                <w:szCs w:val="18"/>
              </w:rPr>
              <w:t>1 </w:t>
            </w:r>
          </w:p>
        </w:tc>
        <w:tc>
          <w:tcPr>
            <w:tcW w:w="0" w:type="auto"/>
            <w:shd w:val="clear" w:color="auto" w:fill="E2EFD9"/>
            <w:tcMar>
              <w:top w:w="40" w:type="dxa"/>
              <w:bottom w:w="40" w:type="dxa"/>
              <w:right w:w="20" w:type="dxa"/>
            </w:tcMar>
            <w:vAlign w:val="bottom"/>
          </w:tcPr>
          <w:p w14:paraId="0D8DE9DF" w14:textId="77777777" w:rsidR="004C2197" w:rsidRDefault="004C2197">
            <w:pPr>
              <w:jc w:val="right"/>
              <w:rPr>
                <w:rFonts w:ascii="宋体"/>
              </w:rPr>
            </w:pPr>
          </w:p>
        </w:tc>
        <w:tc>
          <w:tcPr>
            <w:tcW w:w="0" w:type="auto"/>
            <w:shd w:val="clear" w:color="auto" w:fill="auto"/>
          </w:tcPr>
          <w:p w14:paraId="0D8DE9E0" w14:textId="77777777" w:rsidR="004C2197" w:rsidRDefault="004C2197">
            <w:pPr>
              <w:rPr>
                <w:rFonts w:ascii="宋体"/>
              </w:rPr>
            </w:pPr>
          </w:p>
        </w:tc>
        <w:tc>
          <w:tcPr>
            <w:tcW w:w="0" w:type="auto"/>
            <w:shd w:val="clear" w:color="auto" w:fill="auto"/>
          </w:tcPr>
          <w:p w14:paraId="0D8DE9E1" w14:textId="77777777" w:rsidR="004C2197" w:rsidRDefault="004C2197">
            <w:pPr>
              <w:rPr>
                <w:rFonts w:ascii="宋体"/>
              </w:rPr>
            </w:pPr>
          </w:p>
        </w:tc>
        <w:tc>
          <w:tcPr>
            <w:tcW w:w="0" w:type="auto"/>
            <w:shd w:val="clear" w:color="auto" w:fill="auto"/>
          </w:tcPr>
          <w:p w14:paraId="0D8DE9E2" w14:textId="77777777" w:rsidR="004C2197" w:rsidRDefault="004C2197">
            <w:pPr>
              <w:rPr>
                <w:rFonts w:ascii="宋体"/>
              </w:rPr>
            </w:pPr>
          </w:p>
        </w:tc>
        <w:tc>
          <w:tcPr>
            <w:tcW w:w="0" w:type="auto"/>
            <w:shd w:val="clear" w:color="auto" w:fill="auto"/>
          </w:tcPr>
          <w:p w14:paraId="0D8DE9E3" w14:textId="77777777" w:rsidR="004C2197" w:rsidRDefault="004C2197">
            <w:pPr>
              <w:rPr>
                <w:rFonts w:ascii="宋体"/>
              </w:rPr>
            </w:pPr>
          </w:p>
        </w:tc>
        <w:tc>
          <w:tcPr>
            <w:tcW w:w="0" w:type="auto"/>
            <w:shd w:val="clear" w:color="auto" w:fill="auto"/>
          </w:tcPr>
          <w:p w14:paraId="0D8DE9E4" w14:textId="77777777" w:rsidR="004C2197" w:rsidRDefault="004C2197">
            <w:pPr>
              <w:rPr>
                <w:rFonts w:ascii="宋体"/>
              </w:rPr>
            </w:pPr>
          </w:p>
        </w:tc>
        <w:tc>
          <w:tcPr>
            <w:tcW w:w="0" w:type="auto"/>
            <w:shd w:val="clear" w:color="auto" w:fill="auto"/>
          </w:tcPr>
          <w:p w14:paraId="0D8DE9E5" w14:textId="77777777" w:rsidR="004C2197" w:rsidRDefault="004C2197">
            <w:pPr>
              <w:rPr>
                <w:rFonts w:ascii="宋体"/>
              </w:rPr>
            </w:pPr>
          </w:p>
        </w:tc>
      </w:tr>
      <w:tr w:rsidR="004C2197" w14:paraId="0D8DE9F1" w14:textId="77777777">
        <w:trPr>
          <w:jc w:val="center"/>
        </w:trPr>
        <w:tc>
          <w:tcPr>
            <w:tcW w:w="0" w:type="auto"/>
            <w:gridSpan w:val="3"/>
            <w:shd w:val="clear" w:color="auto" w:fill="FFFFFF"/>
            <w:tcMar>
              <w:top w:w="40" w:type="dxa"/>
              <w:left w:w="20" w:type="dxa"/>
              <w:bottom w:w="40" w:type="dxa"/>
              <w:right w:w="20" w:type="dxa"/>
            </w:tcMar>
            <w:vAlign w:val="bottom"/>
          </w:tcPr>
          <w:p w14:paraId="0D8DE9E7" w14:textId="77777777" w:rsidR="004C2197" w:rsidRDefault="00863B83">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left w:w="20" w:type="dxa"/>
              <w:right w:w="20" w:type="dxa"/>
            </w:tcMar>
            <w:vAlign w:val="bottom"/>
          </w:tcPr>
          <w:p w14:paraId="0D8DE9E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9E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9EA" w14:textId="77777777" w:rsidR="004C2197" w:rsidRDefault="004C2197">
            <w:pPr>
              <w:rPr>
                <w:rFonts w:ascii="宋体"/>
              </w:rPr>
            </w:pPr>
          </w:p>
        </w:tc>
        <w:tc>
          <w:tcPr>
            <w:tcW w:w="0" w:type="auto"/>
            <w:shd w:val="clear" w:color="auto" w:fill="auto"/>
          </w:tcPr>
          <w:p w14:paraId="0D8DE9EB" w14:textId="77777777" w:rsidR="004C2197" w:rsidRDefault="004C2197">
            <w:pPr>
              <w:rPr>
                <w:rFonts w:ascii="宋体"/>
              </w:rPr>
            </w:pPr>
          </w:p>
        </w:tc>
        <w:tc>
          <w:tcPr>
            <w:tcW w:w="0" w:type="auto"/>
            <w:shd w:val="clear" w:color="auto" w:fill="auto"/>
          </w:tcPr>
          <w:p w14:paraId="0D8DE9EC" w14:textId="77777777" w:rsidR="004C2197" w:rsidRDefault="004C2197">
            <w:pPr>
              <w:rPr>
                <w:rFonts w:ascii="宋体"/>
              </w:rPr>
            </w:pPr>
          </w:p>
        </w:tc>
        <w:tc>
          <w:tcPr>
            <w:tcW w:w="0" w:type="auto"/>
            <w:shd w:val="clear" w:color="auto" w:fill="auto"/>
          </w:tcPr>
          <w:p w14:paraId="0D8DE9ED" w14:textId="77777777" w:rsidR="004C2197" w:rsidRDefault="004C2197">
            <w:pPr>
              <w:rPr>
                <w:rFonts w:ascii="宋体"/>
              </w:rPr>
            </w:pPr>
          </w:p>
        </w:tc>
        <w:tc>
          <w:tcPr>
            <w:tcW w:w="0" w:type="auto"/>
            <w:shd w:val="clear" w:color="auto" w:fill="auto"/>
          </w:tcPr>
          <w:p w14:paraId="0D8DE9EE" w14:textId="77777777" w:rsidR="004C2197" w:rsidRDefault="004C2197">
            <w:pPr>
              <w:rPr>
                <w:rFonts w:ascii="宋体"/>
              </w:rPr>
            </w:pPr>
          </w:p>
        </w:tc>
        <w:tc>
          <w:tcPr>
            <w:tcW w:w="0" w:type="auto"/>
            <w:shd w:val="clear" w:color="auto" w:fill="auto"/>
          </w:tcPr>
          <w:p w14:paraId="0D8DE9EF" w14:textId="77777777" w:rsidR="004C2197" w:rsidRDefault="004C2197">
            <w:pPr>
              <w:rPr>
                <w:rFonts w:ascii="宋体"/>
              </w:rPr>
            </w:pPr>
          </w:p>
        </w:tc>
        <w:tc>
          <w:tcPr>
            <w:tcW w:w="0" w:type="auto"/>
            <w:shd w:val="clear" w:color="auto" w:fill="auto"/>
          </w:tcPr>
          <w:p w14:paraId="0D8DE9F0" w14:textId="77777777" w:rsidR="004C2197" w:rsidRDefault="004C2197">
            <w:pPr>
              <w:rPr>
                <w:rFonts w:ascii="宋体"/>
              </w:rPr>
            </w:pPr>
          </w:p>
        </w:tc>
      </w:tr>
      <w:tr w:rsidR="004C2197" w14:paraId="0D8DE9FE" w14:textId="77777777">
        <w:trPr>
          <w:jc w:val="center"/>
        </w:trPr>
        <w:tc>
          <w:tcPr>
            <w:tcW w:w="0" w:type="auto"/>
            <w:gridSpan w:val="3"/>
            <w:shd w:val="clear" w:color="auto" w:fill="E2EFD9"/>
            <w:tcMar>
              <w:top w:w="40" w:type="dxa"/>
              <w:left w:w="135" w:type="dxa"/>
              <w:bottom w:w="40" w:type="dxa"/>
              <w:right w:w="20" w:type="dxa"/>
            </w:tcMar>
            <w:vAlign w:val="bottom"/>
          </w:tcPr>
          <w:p w14:paraId="0D8DE9F2" w14:textId="77777777" w:rsidR="004C2197" w:rsidRDefault="00863B83">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0D8DE9F3" w14:textId="77777777" w:rsidR="004C2197" w:rsidRDefault="00863B83">
            <w:pPr>
              <w:jc w:val="right"/>
              <w:textAlignment w:val="bottom"/>
            </w:pPr>
            <w:r>
              <w:rPr>
                <w:rFonts w:ascii="sans-serif" w:eastAsia="sans-serif" w:hAnsi="sans-serif" w:cs="sans-serif"/>
                <w:color w:val="000000"/>
                <w:sz w:val="18"/>
                <w:szCs w:val="18"/>
              </w:rPr>
              <w:t>(205)</w:t>
            </w:r>
          </w:p>
        </w:tc>
        <w:tc>
          <w:tcPr>
            <w:tcW w:w="0" w:type="auto"/>
            <w:shd w:val="clear" w:color="auto" w:fill="E2EFD9"/>
            <w:tcMar>
              <w:top w:w="40" w:type="dxa"/>
              <w:bottom w:w="40" w:type="dxa"/>
              <w:right w:w="20" w:type="dxa"/>
            </w:tcMar>
            <w:vAlign w:val="bottom"/>
          </w:tcPr>
          <w:p w14:paraId="0D8DE9F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9F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9F6" w14:textId="77777777" w:rsidR="004C2197" w:rsidRDefault="00863B83">
            <w:pPr>
              <w:jc w:val="right"/>
              <w:textAlignment w:val="bottom"/>
            </w:pPr>
            <w:r>
              <w:rPr>
                <w:rFonts w:ascii="sans-serif" w:eastAsia="sans-serif" w:hAnsi="sans-serif" w:cs="sans-serif"/>
                <w:color w:val="000000"/>
                <w:sz w:val="18"/>
                <w:szCs w:val="18"/>
              </w:rPr>
              <w:t>(137)</w:t>
            </w:r>
          </w:p>
        </w:tc>
        <w:tc>
          <w:tcPr>
            <w:tcW w:w="0" w:type="auto"/>
            <w:shd w:val="clear" w:color="auto" w:fill="E2EFD9"/>
            <w:tcMar>
              <w:top w:w="40" w:type="dxa"/>
              <w:bottom w:w="40" w:type="dxa"/>
              <w:right w:w="20" w:type="dxa"/>
            </w:tcMar>
            <w:vAlign w:val="bottom"/>
          </w:tcPr>
          <w:p w14:paraId="0D8DE9F7" w14:textId="77777777" w:rsidR="004C2197" w:rsidRDefault="004C2197">
            <w:pPr>
              <w:jc w:val="right"/>
              <w:rPr>
                <w:rFonts w:ascii="宋体"/>
              </w:rPr>
            </w:pPr>
          </w:p>
        </w:tc>
        <w:tc>
          <w:tcPr>
            <w:tcW w:w="0" w:type="auto"/>
            <w:shd w:val="clear" w:color="auto" w:fill="auto"/>
          </w:tcPr>
          <w:p w14:paraId="0D8DE9F8" w14:textId="77777777" w:rsidR="004C2197" w:rsidRDefault="004C2197">
            <w:pPr>
              <w:rPr>
                <w:rFonts w:ascii="宋体"/>
              </w:rPr>
            </w:pPr>
          </w:p>
        </w:tc>
        <w:tc>
          <w:tcPr>
            <w:tcW w:w="0" w:type="auto"/>
            <w:shd w:val="clear" w:color="auto" w:fill="auto"/>
          </w:tcPr>
          <w:p w14:paraId="0D8DE9F9" w14:textId="77777777" w:rsidR="004C2197" w:rsidRDefault="004C2197">
            <w:pPr>
              <w:rPr>
                <w:rFonts w:ascii="宋体"/>
              </w:rPr>
            </w:pPr>
          </w:p>
        </w:tc>
        <w:tc>
          <w:tcPr>
            <w:tcW w:w="0" w:type="auto"/>
            <w:shd w:val="clear" w:color="auto" w:fill="auto"/>
          </w:tcPr>
          <w:p w14:paraId="0D8DE9FA" w14:textId="77777777" w:rsidR="004C2197" w:rsidRDefault="004C2197">
            <w:pPr>
              <w:rPr>
                <w:rFonts w:ascii="宋体"/>
              </w:rPr>
            </w:pPr>
          </w:p>
        </w:tc>
        <w:tc>
          <w:tcPr>
            <w:tcW w:w="0" w:type="auto"/>
            <w:shd w:val="clear" w:color="auto" w:fill="auto"/>
          </w:tcPr>
          <w:p w14:paraId="0D8DE9FB" w14:textId="77777777" w:rsidR="004C2197" w:rsidRDefault="004C2197">
            <w:pPr>
              <w:rPr>
                <w:rFonts w:ascii="宋体"/>
              </w:rPr>
            </w:pPr>
          </w:p>
        </w:tc>
        <w:tc>
          <w:tcPr>
            <w:tcW w:w="0" w:type="auto"/>
            <w:shd w:val="clear" w:color="auto" w:fill="auto"/>
          </w:tcPr>
          <w:p w14:paraId="0D8DE9FC" w14:textId="77777777" w:rsidR="004C2197" w:rsidRDefault="004C2197">
            <w:pPr>
              <w:rPr>
                <w:rFonts w:ascii="宋体"/>
              </w:rPr>
            </w:pPr>
          </w:p>
        </w:tc>
        <w:tc>
          <w:tcPr>
            <w:tcW w:w="0" w:type="auto"/>
            <w:shd w:val="clear" w:color="auto" w:fill="auto"/>
          </w:tcPr>
          <w:p w14:paraId="0D8DE9FD" w14:textId="77777777" w:rsidR="004C2197" w:rsidRDefault="004C2197">
            <w:pPr>
              <w:rPr>
                <w:rFonts w:ascii="宋体"/>
              </w:rPr>
            </w:pPr>
          </w:p>
        </w:tc>
      </w:tr>
      <w:tr w:rsidR="004C2197" w14:paraId="0D8DEA0B" w14:textId="77777777">
        <w:trPr>
          <w:jc w:val="center"/>
        </w:trPr>
        <w:tc>
          <w:tcPr>
            <w:tcW w:w="0" w:type="auto"/>
            <w:gridSpan w:val="3"/>
            <w:shd w:val="clear" w:color="auto" w:fill="FFFFFF"/>
            <w:tcMar>
              <w:top w:w="40" w:type="dxa"/>
              <w:left w:w="135" w:type="dxa"/>
              <w:bottom w:w="40" w:type="dxa"/>
              <w:right w:w="20" w:type="dxa"/>
            </w:tcMar>
            <w:vAlign w:val="bottom"/>
          </w:tcPr>
          <w:p w14:paraId="0D8DE9FF" w14:textId="77777777" w:rsidR="004C2197" w:rsidRDefault="00863B83">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0D8DEA00" w14:textId="77777777" w:rsidR="004C2197" w:rsidRDefault="00863B83">
            <w:pPr>
              <w:jc w:val="right"/>
              <w:textAlignment w:val="bottom"/>
            </w:pPr>
            <w:r>
              <w:rPr>
                <w:rFonts w:ascii="sans-serif" w:eastAsia="sans-serif" w:hAnsi="sans-serif" w:cs="sans-serif"/>
                <w:color w:val="000000"/>
                <w:sz w:val="18"/>
                <w:szCs w:val="18"/>
              </w:rPr>
              <w:t>(97)</w:t>
            </w:r>
          </w:p>
        </w:tc>
        <w:tc>
          <w:tcPr>
            <w:tcW w:w="0" w:type="auto"/>
            <w:shd w:val="clear" w:color="auto" w:fill="FFFFFF"/>
            <w:tcMar>
              <w:top w:w="40" w:type="dxa"/>
              <w:bottom w:w="40" w:type="dxa"/>
              <w:right w:w="20" w:type="dxa"/>
            </w:tcMar>
            <w:vAlign w:val="bottom"/>
          </w:tcPr>
          <w:p w14:paraId="0D8DEA0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0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03" w14:textId="77777777" w:rsidR="004C2197" w:rsidRDefault="00863B83">
            <w:pPr>
              <w:jc w:val="right"/>
              <w:textAlignment w:val="bottom"/>
            </w:pPr>
            <w:r>
              <w:rPr>
                <w:rFonts w:ascii="sans-serif" w:eastAsia="sans-serif" w:hAnsi="sans-serif" w:cs="sans-serif"/>
                <w:color w:val="000000"/>
                <w:sz w:val="18"/>
                <w:szCs w:val="18"/>
              </w:rPr>
              <w:t>378 </w:t>
            </w:r>
          </w:p>
        </w:tc>
        <w:tc>
          <w:tcPr>
            <w:tcW w:w="0" w:type="auto"/>
            <w:shd w:val="clear" w:color="auto" w:fill="FFFFFF"/>
            <w:tcMar>
              <w:top w:w="40" w:type="dxa"/>
              <w:bottom w:w="40" w:type="dxa"/>
              <w:right w:w="20" w:type="dxa"/>
            </w:tcMar>
            <w:vAlign w:val="bottom"/>
          </w:tcPr>
          <w:p w14:paraId="0D8DEA04" w14:textId="77777777" w:rsidR="004C2197" w:rsidRDefault="004C2197">
            <w:pPr>
              <w:jc w:val="right"/>
              <w:rPr>
                <w:rFonts w:ascii="宋体"/>
              </w:rPr>
            </w:pPr>
          </w:p>
        </w:tc>
        <w:tc>
          <w:tcPr>
            <w:tcW w:w="0" w:type="auto"/>
            <w:shd w:val="clear" w:color="auto" w:fill="auto"/>
          </w:tcPr>
          <w:p w14:paraId="0D8DEA05" w14:textId="77777777" w:rsidR="004C2197" w:rsidRDefault="004C2197">
            <w:pPr>
              <w:rPr>
                <w:rFonts w:ascii="宋体"/>
              </w:rPr>
            </w:pPr>
          </w:p>
        </w:tc>
        <w:tc>
          <w:tcPr>
            <w:tcW w:w="0" w:type="auto"/>
            <w:shd w:val="clear" w:color="auto" w:fill="auto"/>
          </w:tcPr>
          <w:p w14:paraId="0D8DEA06" w14:textId="77777777" w:rsidR="004C2197" w:rsidRDefault="004C2197">
            <w:pPr>
              <w:rPr>
                <w:rFonts w:ascii="宋体"/>
              </w:rPr>
            </w:pPr>
          </w:p>
        </w:tc>
        <w:tc>
          <w:tcPr>
            <w:tcW w:w="0" w:type="auto"/>
            <w:shd w:val="clear" w:color="auto" w:fill="auto"/>
          </w:tcPr>
          <w:p w14:paraId="0D8DEA07" w14:textId="77777777" w:rsidR="004C2197" w:rsidRDefault="004C2197">
            <w:pPr>
              <w:rPr>
                <w:rFonts w:ascii="宋体"/>
              </w:rPr>
            </w:pPr>
          </w:p>
        </w:tc>
        <w:tc>
          <w:tcPr>
            <w:tcW w:w="0" w:type="auto"/>
            <w:shd w:val="clear" w:color="auto" w:fill="auto"/>
          </w:tcPr>
          <w:p w14:paraId="0D8DEA08" w14:textId="77777777" w:rsidR="004C2197" w:rsidRDefault="004C2197">
            <w:pPr>
              <w:rPr>
                <w:rFonts w:ascii="宋体"/>
              </w:rPr>
            </w:pPr>
          </w:p>
        </w:tc>
        <w:tc>
          <w:tcPr>
            <w:tcW w:w="0" w:type="auto"/>
            <w:shd w:val="clear" w:color="auto" w:fill="auto"/>
          </w:tcPr>
          <w:p w14:paraId="0D8DEA09" w14:textId="77777777" w:rsidR="004C2197" w:rsidRDefault="004C2197">
            <w:pPr>
              <w:rPr>
                <w:rFonts w:ascii="宋体"/>
              </w:rPr>
            </w:pPr>
          </w:p>
        </w:tc>
        <w:tc>
          <w:tcPr>
            <w:tcW w:w="0" w:type="auto"/>
            <w:shd w:val="clear" w:color="auto" w:fill="auto"/>
          </w:tcPr>
          <w:p w14:paraId="0D8DEA0A" w14:textId="77777777" w:rsidR="004C2197" w:rsidRDefault="004C2197">
            <w:pPr>
              <w:rPr>
                <w:rFonts w:ascii="宋体"/>
              </w:rPr>
            </w:pPr>
          </w:p>
        </w:tc>
      </w:tr>
      <w:tr w:rsidR="004C2197" w14:paraId="0D8DEA18" w14:textId="77777777">
        <w:trPr>
          <w:jc w:val="center"/>
        </w:trPr>
        <w:tc>
          <w:tcPr>
            <w:tcW w:w="0" w:type="auto"/>
            <w:gridSpan w:val="3"/>
            <w:shd w:val="clear" w:color="auto" w:fill="E2EFD9"/>
            <w:tcMar>
              <w:top w:w="40" w:type="dxa"/>
              <w:left w:w="135" w:type="dxa"/>
              <w:bottom w:w="40" w:type="dxa"/>
              <w:right w:w="20" w:type="dxa"/>
            </w:tcMar>
            <w:vAlign w:val="bottom"/>
          </w:tcPr>
          <w:p w14:paraId="0D8DEA0C" w14:textId="77777777" w:rsidR="004C2197" w:rsidRDefault="00863B83">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0D8DEA0D" w14:textId="77777777" w:rsidR="004C2197" w:rsidRDefault="00863B83">
            <w:pPr>
              <w:jc w:val="right"/>
              <w:textAlignment w:val="bottom"/>
            </w:pPr>
            <w:r>
              <w:rPr>
                <w:rFonts w:ascii="sans-serif" w:eastAsia="sans-serif" w:hAnsi="sans-serif" w:cs="sans-serif"/>
                <w:color w:val="000000"/>
                <w:sz w:val="18"/>
                <w:szCs w:val="18"/>
              </w:rPr>
              <w:t>34 </w:t>
            </w:r>
          </w:p>
        </w:tc>
        <w:tc>
          <w:tcPr>
            <w:tcW w:w="0" w:type="auto"/>
            <w:shd w:val="clear" w:color="auto" w:fill="E2EFD9"/>
            <w:tcMar>
              <w:top w:w="40" w:type="dxa"/>
              <w:bottom w:w="40" w:type="dxa"/>
              <w:right w:w="20" w:type="dxa"/>
            </w:tcMar>
            <w:vAlign w:val="bottom"/>
          </w:tcPr>
          <w:p w14:paraId="0D8DEA0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0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10" w14:textId="77777777" w:rsidR="004C2197" w:rsidRDefault="00863B83">
            <w:pPr>
              <w:jc w:val="right"/>
              <w:textAlignment w:val="bottom"/>
            </w:pPr>
            <w:r>
              <w:rPr>
                <w:rFonts w:ascii="sans-serif" w:eastAsia="sans-serif" w:hAnsi="sans-serif" w:cs="sans-serif"/>
                <w:color w:val="000000"/>
                <w:sz w:val="18"/>
                <w:szCs w:val="18"/>
              </w:rPr>
              <w:t>36 </w:t>
            </w:r>
          </w:p>
        </w:tc>
        <w:tc>
          <w:tcPr>
            <w:tcW w:w="0" w:type="auto"/>
            <w:shd w:val="clear" w:color="auto" w:fill="E2EFD9"/>
            <w:tcMar>
              <w:top w:w="40" w:type="dxa"/>
              <w:bottom w:w="40" w:type="dxa"/>
              <w:right w:w="20" w:type="dxa"/>
            </w:tcMar>
            <w:vAlign w:val="bottom"/>
          </w:tcPr>
          <w:p w14:paraId="0D8DEA11" w14:textId="77777777" w:rsidR="004C2197" w:rsidRDefault="004C2197">
            <w:pPr>
              <w:jc w:val="right"/>
              <w:rPr>
                <w:rFonts w:ascii="宋体"/>
              </w:rPr>
            </w:pPr>
          </w:p>
        </w:tc>
        <w:tc>
          <w:tcPr>
            <w:tcW w:w="0" w:type="auto"/>
            <w:shd w:val="clear" w:color="auto" w:fill="auto"/>
          </w:tcPr>
          <w:p w14:paraId="0D8DEA12" w14:textId="77777777" w:rsidR="004C2197" w:rsidRDefault="004C2197">
            <w:pPr>
              <w:rPr>
                <w:rFonts w:ascii="宋体"/>
              </w:rPr>
            </w:pPr>
          </w:p>
        </w:tc>
        <w:tc>
          <w:tcPr>
            <w:tcW w:w="0" w:type="auto"/>
            <w:shd w:val="clear" w:color="auto" w:fill="auto"/>
          </w:tcPr>
          <w:p w14:paraId="0D8DEA13" w14:textId="77777777" w:rsidR="004C2197" w:rsidRDefault="004C2197">
            <w:pPr>
              <w:rPr>
                <w:rFonts w:ascii="宋体"/>
              </w:rPr>
            </w:pPr>
          </w:p>
        </w:tc>
        <w:tc>
          <w:tcPr>
            <w:tcW w:w="0" w:type="auto"/>
            <w:shd w:val="clear" w:color="auto" w:fill="auto"/>
          </w:tcPr>
          <w:p w14:paraId="0D8DEA14" w14:textId="77777777" w:rsidR="004C2197" w:rsidRDefault="004C2197">
            <w:pPr>
              <w:rPr>
                <w:rFonts w:ascii="宋体"/>
              </w:rPr>
            </w:pPr>
          </w:p>
        </w:tc>
        <w:tc>
          <w:tcPr>
            <w:tcW w:w="0" w:type="auto"/>
            <w:shd w:val="clear" w:color="auto" w:fill="auto"/>
          </w:tcPr>
          <w:p w14:paraId="0D8DEA15" w14:textId="77777777" w:rsidR="004C2197" w:rsidRDefault="004C2197">
            <w:pPr>
              <w:rPr>
                <w:rFonts w:ascii="宋体"/>
              </w:rPr>
            </w:pPr>
          </w:p>
        </w:tc>
        <w:tc>
          <w:tcPr>
            <w:tcW w:w="0" w:type="auto"/>
            <w:shd w:val="clear" w:color="auto" w:fill="auto"/>
          </w:tcPr>
          <w:p w14:paraId="0D8DEA16" w14:textId="77777777" w:rsidR="004C2197" w:rsidRDefault="004C2197">
            <w:pPr>
              <w:rPr>
                <w:rFonts w:ascii="宋体"/>
              </w:rPr>
            </w:pPr>
          </w:p>
        </w:tc>
        <w:tc>
          <w:tcPr>
            <w:tcW w:w="0" w:type="auto"/>
            <w:shd w:val="clear" w:color="auto" w:fill="auto"/>
          </w:tcPr>
          <w:p w14:paraId="0D8DEA17" w14:textId="77777777" w:rsidR="004C2197" w:rsidRDefault="004C2197">
            <w:pPr>
              <w:rPr>
                <w:rFonts w:ascii="宋体"/>
              </w:rPr>
            </w:pPr>
          </w:p>
        </w:tc>
      </w:tr>
      <w:tr w:rsidR="004C2197" w14:paraId="0D8DEA25" w14:textId="77777777">
        <w:trPr>
          <w:jc w:val="center"/>
        </w:trPr>
        <w:tc>
          <w:tcPr>
            <w:tcW w:w="0" w:type="auto"/>
            <w:gridSpan w:val="3"/>
            <w:shd w:val="clear" w:color="auto" w:fill="FFFFFF"/>
            <w:tcMar>
              <w:top w:w="40" w:type="dxa"/>
              <w:left w:w="135" w:type="dxa"/>
              <w:bottom w:w="40" w:type="dxa"/>
              <w:right w:w="20" w:type="dxa"/>
            </w:tcMar>
            <w:vAlign w:val="bottom"/>
          </w:tcPr>
          <w:p w14:paraId="0D8DEA19" w14:textId="77777777" w:rsidR="004C2197" w:rsidRDefault="00863B83">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0D8DEA1A" w14:textId="77777777" w:rsidR="004C2197" w:rsidRDefault="00863B83">
            <w:pPr>
              <w:jc w:val="right"/>
              <w:textAlignment w:val="bottom"/>
            </w:pPr>
            <w:r>
              <w:rPr>
                <w:rFonts w:ascii="sans-serif" w:eastAsia="sans-serif" w:hAnsi="sans-serif" w:cs="sans-serif"/>
                <w:color w:val="000000"/>
                <w:sz w:val="18"/>
                <w:szCs w:val="18"/>
              </w:rPr>
              <w:t>63 </w:t>
            </w:r>
          </w:p>
        </w:tc>
        <w:tc>
          <w:tcPr>
            <w:tcW w:w="0" w:type="auto"/>
            <w:shd w:val="clear" w:color="auto" w:fill="FFFFFF"/>
            <w:tcMar>
              <w:top w:w="40" w:type="dxa"/>
              <w:bottom w:w="40" w:type="dxa"/>
              <w:right w:w="20" w:type="dxa"/>
            </w:tcMar>
            <w:vAlign w:val="bottom"/>
          </w:tcPr>
          <w:p w14:paraId="0D8DEA1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1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1D" w14:textId="77777777" w:rsidR="004C2197" w:rsidRDefault="00863B83">
            <w:pPr>
              <w:jc w:val="right"/>
              <w:textAlignment w:val="bottom"/>
            </w:pPr>
            <w:r>
              <w:rPr>
                <w:rFonts w:ascii="sans-serif" w:eastAsia="sans-serif" w:hAnsi="sans-serif" w:cs="sans-serif"/>
                <w:color w:val="000000"/>
                <w:sz w:val="18"/>
                <w:szCs w:val="18"/>
              </w:rPr>
              <w:t>(45)</w:t>
            </w:r>
          </w:p>
        </w:tc>
        <w:tc>
          <w:tcPr>
            <w:tcW w:w="0" w:type="auto"/>
            <w:shd w:val="clear" w:color="auto" w:fill="FFFFFF"/>
            <w:tcMar>
              <w:top w:w="40" w:type="dxa"/>
              <w:bottom w:w="40" w:type="dxa"/>
              <w:right w:w="20" w:type="dxa"/>
            </w:tcMar>
            <w:vAlign w:val="bottom"/>
          </w:tcPr>
          <w:p w14:paraId="0D8DEA1E" w14:textId="77777777" w:rsidR="004C2197" w:rsidRDefault="004C2197">
            <w:pPr>
              <w:jc w:val="right"/>
              <w:rPr>
                <w:rFonts w:ascii="宋体"/>
              </w:rPr>
            </w:pPr>
          </w:p>
        </w:tc>
        <w:tc>
          <w:tcPr>
            <w:tcW w:w="0" w:type="auto"/>
            <w:shd w:val="clear" w:color="auto" w:fill="auto"/>
          </w:tcPr>
          <w:p w14:paraId="0D8DEA1F" w14:textId="77777777" w:rsidR="004C2197" w:rsidRDefault="004C2197">
            <w:pPr>
              <w:rPr>
                <w:rFonts w:ascii="宋体"/>
              </w:rPr>
            </w:pPr>
          </w:p>
        </w:tc>
        <w:tc>
          <w:tcPr>
            <w:tcW w:w="0" w:type="auto"/>
            <w:shd w:val="clear" w:color="auto" w:fill="auto"/>
          </w:tcPr>
          <w:p w14:paraId="0D8DEA20" w14:textId="77777777" w:rsidR="004C2197" w:rsidRDefault="004C2197">
            <w:pPr>
              <w:rPr>
                <w:rFonts w:ascii="宋体"/>
              </w:rPr>
            </w:pPr>
          </w:p>
        </w:tc>
        <w:tc>
          <w:tcPr>
            <w:tcW w:w="0" w:type="auto"/>
            <w:shd w:val="clear" w:color="auto" w:fill="auto"/>
          </w:tcPr>
          <w:p w14:paraId="0D8DEA21" w14:textId="77777777" w:rsidR="004C2197" w:rsidRDefault="004C2197">
            <w:pPr>
              <w:rPr>
                <w:rFonts w:ascii="宋体"/>
              </w:rPr>
            </w:pPr>
          </w:p>
        </w:tc>
        <w:tc>
          <w:tcPr>
            <w:tcW w:w="0" w:type="auto"/>
            <w:shd w:val="clear" w:color="auto" w:fill="auto"/>
          </w:tcPr>
          <w:p w14:paraId="0D8DEA22" w14:textId="77777777" w:rsidR="004C2197" w:rsidRDefault="004C2197">
            <w:pPr>
              <w:rPr>
                <w:rFonts w:ascii="宋体"/>
              </w:rPr>
            </w:pPr>
          </w:p>
        </w:tc>
        <w:tc>
          <w:tcPr>
            <w:tcW w:w="0" w:type="auto"/>
            <w:shd w:val="clear" w:color="auto" w:fill="auto"/>
          </w:tcPr>
          <w:p w14:paraId="0D8DEA23" w14:textId="77777777" w:rsidR="004C2197" w:rsidRDefault="004C2197">
            <w:pPr>
              <w:rPr>
                <w:rFonts w:ascii="宋体"/>
              </w:rPr>
            </w:pPr>
          </w:p>
        </w:tc>
        <w:tc>
          <w:tcPr>
            <w:tcW w:w="0" w:type="auto"/>
            <w:shd w:val="clear" w:color="auto" w:fill="auto"/>
          </w:tcPr>
          <w:p w14:paraId="0D8DEA24" w14:textId="77777777" w:rsidR="004C2197" w:rsidRDefault="004C2197">
            <w:pPr>
              <w:rPr>
                <w:rFonts w:ascii="宋体"/>
              </w:rPr>
            </w:pPr>
          </w:p>
        </w:tc>
      </w:tr>
      <w:tr w:rsidR="004C2197" w14:paraId="0D8DEA32" w14:textId="77777777">
        <w:trPr>
          <w:jc w:val="center"/>
        </w:trPr>
        <w:tc>
          <w:tcPr>
            <w:tcW w:w="0" w:type="auto"/>
            <w:gridSpan w:val="3"/>
            <w:shd w:val="clear" w:color="auto" w:fill="E2EFD9"/>
            <w:tcMar>
              <w:top w:w="40" w:type="dxa"/>
              <w:left w:w="135" w:type="dxa"/>
              <w:bottom w:w="40" w:type="dxa"/>
              <w:right w:w="20" w:type="dxa"/>
            </w:tcMar>
            <w:vAlign w:val="bottom"/>
          </w:tcPr>
          <w:p w14:paraId="0D8DEA26" w14:textId="77777777" w:rsidR="004C2197" w:rsidRDefault="00863B83">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0D8DEA27" w14:textId="77777777" w:rsidR="004C2197" w:rsidRDefault="00863B83">
            <w:pPr>
              <w:jc w:val="right"/>
              <w:textAlignment w:val="bottom"/>
            </w:pPr>
            <w:r>
              <w:rPr>
                <w:rFonts w:ascii="sans-serif" w:eastAsia="sans-serif" w:hAnsi="sans-serif" w:cs="sans-serif"/>
                <w:color w:val="000000"/>
                <w:sz w:val="18"/>
                <w:szCs w:val="18"/>
              </w:rPr>
              <w:t>81 </w:t>
            </w:r>
          </w:p>
        </w:tc>
        <w:tc>
          <w:tcPr>
            <w:tcW w:w="0" w:type="auto"/>
            <w:shd w:val="clear" w:color="auto" w:fill="E2EFD9"/>
            <w:tcMar>
              <w:top w:w="40" w:type="dxa"/>
              <w:bottom w:w="40" w:type="dxa"/>
              <w:right w:w="20" w:type="dxa"/>
            </w:tcMar>
            <w:vAlign w:val="bottom"/>
          </w:tcPr>
          <w:p w14:paraId="0D8DEA2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2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2A" w14:textId="77777777" w:rsidR="004C2197" w:rsidRDefault="00863B83">
            <w:pPr>
              <w:jc w:val="right"/>
              <w:textAlignment w:val="bottom"/>
            </w:pPr>
            <w:r>
              <w:rPr>
                <w:rFonts w:ascii="sans-serif" w:eastAsia="sans-serif" w:hAnsi="sans-serif" w:cs="sans-serif"/>
                <w:color w:val="000000"/>
                <w:sz w:val="18"/>
                <w:szCs w:val="18"/>
              </w:rPr>
              <w:t>(79)</w:t>
            </w:r>
          </w:p>
        </w:tc>
        <w:tc>
          <w:tcPr>
            <w:tcW w:w="0" w:type="auto"/>
            <w:shd w:val="clear" w:color="auto" w:fill="E2EFD9"/>
            <w:tcMar>
              <w:top w:w="40" w:type="dxa"/>
              <w:bottom w:w="40" w:type="dxa"/>
              <w:right w:w="20" w:type="dxa"/>
            </w:tcMar>
            <w:vAlign w:val="bottom"/>
          </w:tcPr>
          <w:p w14:paraId="0D8DEA2B" w14:textId="77777777" w:rsidR="004C2197" w:rsidRDefault="004C2197">
            <w:pPr>
              <w:jc w:val="right"/>
              <w:rPr>
                <w:rFonts w:ascii="宋体"/>
              </w:rPr>
            </w:pPr>
          </w:p>
        </w:tc>
        <w:tc>
          <w:tcPr>
            <w:tcW w:w="0" w:type="auto"/>
            <w:shd w:val="clear" w:color="auto" w:fill="auto"/>
          </w:tcPr>
          <w:p w14:paraId="0D8DEA2C" w14:textId="77777777" w:rsidR="004C2197" w:rsidRDefault="004C2197">
            <w:pPr>
              <w:rPr>
                <w:rFonts w:ascii="宋体"/>
              </w:rPr>
            </w:pPr>
          </w:p>
        </w:tc>
        <w:tc>
          <w:tcPr>
            <w:tcW w:w="0" w:type="auto"/>
            <w:shd w:val="clear" w:color="auto" w:fill="auto"/>
          </w:tcPr>
          <w:p w14:paraId="0D8DEA2D" w14:textId="77777777" w:rsidR="004C2197" w:rsidRDefault="004C2197">
            <w:pPr>
              <w:rPr>
                <w:rFonts w:ascii="宋体"/>
              </w:rPr>
            </w:pPr>
          </w:p>
        </w:tc>
        <w:tc>
          <w:tcPr>
            <w:tcW w:w="0" w:type="auto"/>
            <w:shd w:val="clear" w:color="auto" w:fill="auto"/>
          </w:tcPr>
          <w:p w14:paraId="0D8DEA2E" w14:textId="77777777" w:rsidR="004C2197" w:rsidRDefault="004C2197">
            <w:pPr>
              <w:rPr>
                <w:rFonts w:ascii="宋体"/>
              </w:rPr>
            </w:pPr>
          </w:p>
        </w:tc>
        <w:tc>
          <w:tcPr>
            <w:tcW w:w="0" w:type="auto"/>
            <w:shd w:val="clear" w:color="auto" w:fill="auto"/>
          </w:tcPr>
          <w:p w14:paraId="0D8DEA2F" w14:textId="77777777" w:rsidR="004C2197" w:rsidRDefault="004C2197">
            <w:pPr>
              <w:rPr>
                <w:rFonts w:ascii="宋体"/>
              </w:rPr>
            </w:pPr>
          </w:p>
        </w:tc>
        <w:tc>
          <w:tcPr>
            <w:tcW w:w="0" w:type="auto"/>
            <w:shd w:val="clear" w:color="auto" w:fill="auto"/>
          </w:tcPr>
          <w:p w14:paraId="0D8DEA30" w14:textId="77777777" w:rsidR="004C2197" w:rsidRDefault="004C2197">
            <w:pPr>
              <w:rPr>
                <w:rFonts w:ascii="宋体"/>
              </w:rPr>
            </w:pPr>
          </w:p>
        </w:tc>
        <w:tc>
          <w:tcPr>
            <w:tcW w:w="0" w:type="auto"/>
            <w:shd w:val="clear" w:color="auto" w:fill="auto"/>
          </w:tcPr>
          <w:p w14:paraId="0D8DEA31" w14:textId="77777777" w:rsidR="004C2197" w:rsidRDefault="004C2197">
            <w:pPr>
              <w:rPr>
                <w:rFonts w:ascii="宋体"/>
              </w:rPr>
            </w:pPr>
          </w:p>
        </w:tc>
      </w:tr>
      <w:tr w:rsidR="004C2197" w14:paraId="0D8DEA3F" w14:textId="77777777">
        <w:trPr>
          <w:jc w:val="center"/>
        </w:trPr>
        <w:tc>
          <w:tcPr>
            <w:tcW w:w="0" w:type="auto"/>
            <w:gridSpan w:val="3"/>
            <w:shd w:val="clear" w:color="auto" w:fill="FFFFFF"/>
            <w:tcMar>
              <w:top w:w="40" w:type="dxa"/>
              <w:left w:w="135" w:type="dxa"/>
              <w:bottom w:w="40" w:type="dxa"/>
              <w:right w:w="20" w:type="dxa"/>
            </w:tcMar>
            <w:vAlign w:val="bottom"/>
          </w:tcPr>
          <w:p w14:paraId="0D8DEA33" w14:textId="77777777" w:rsidR="004C2197" w:rsidRDefault="00863B83">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0D8DEA34" w14:textId="77777777" w:rsidR="004C2197" w:rsidRDefault="00863B83">
            <w:pPr>
              <w:jc w:val="right"/>
              <w:textAlignment w:val="bottom"/>
            </w:pPr>
            <w:r>
              <w:rPr>
                <w:rFonts w:ascii="sans-serif" w:eastAsia="sans-serif" w:hAnsi="sans-serif" w:cs="sans-serif"/>
                <w:color w:val="000000"/>
                <w:sz w:val="18"/>
                <w:szCs w:val="18"/>
              </w:rPr>
              <w:t>21 </w:t>
            </w:r>
          </w:p>
        </w:tc>
        <w:tc>
          <w:tcPr>
            <w:tcW w:w="0" w:type="auto"/>
            <w:shd w:val="clear" w:color="auto" w:fill="FFFFFF"/>
            <w:tcMar>
              <w:top w:w="40" w:type="dxa"/>
              <w:bottom w:w="40" w:type="dxa"/>
              <w:right w:w="20" w:type="dxa"/>
            </w:tcMar>
            <w:vAlign w:val="bottom"/>
          </w:tcPr>
          <w:p w14:paraId="0D8DEA3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3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37" w14:textId="77777777" w:rsidR="004C2197" w:rsidRDefault="00863B83">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bottom w:w="40" w:type="dxa"/>
              <w:right w:w="20" w:type="dxa"/>
            </w:tcMar>
            <w:vAlign w:val="bottom"/>
          </w:tcPr>
          <w:p w14:paraId="0D8DEA38" w14:textId="77777777" w:rsidR="004C2197" w:rsidRDefault="004C2197">
            <w:pPr>
              <w:jc w:val="right"/>
              <w:rPr>
                <w:rFonts w:ascii="宋体"/>
              </w:rPr>
            </w:pPr>
          </w:p>
        </w:tc>
        <w:tc>
          <w:tcPr>
            <w:tcW w:w="0" w:type="auto"/>
            <w:shd w:val="clear" w:color="auto" w:fill="auto"/>
          </w:tcPr>
          <w:p w14:paraId="0D8DEA39" w14:textId="77777777" w:rsidR="004C2197" w:rsidRDefault="004C2197">
            <w:pPr>
              <w:rPr>
                <w:rFonts w:ascii="宋体"/>
              </w:rPr>
            </w:pPr>
          </w:p>
        </w:tc>
        <w:tc>
          <w:tcPr>
            <w:tcW w:w="0" w:type="auto"/>
            <w:shd w:val="clear" w:color="auto" w:fill="auto"/>
          </w:tcPr>
          <w:p w14:paraId="0D8DEA3A" w14:textId="77777777" w:rsidR="004C2197" w:rsidRDefault="004C2197">
            <w:pPr>
              <w:rPr>
                <w:rFonts w:ascii="宋体"/>
              </w:rPr>
            </w:pPr>
          </w:p>
        </w:tc>
        <w:tc>
          <w:tcPr>
            <w:tcW w:w="0" w:type="auto"/>
            <w:shd w:val="clear" w:color="auto" w:fill="auto"/>
          </w:tcPr>
          <w:p w14:paraId="0D8DEA3B" w14:textId="77777777" w:rsidR="004C2197" w:rsidRDefault="004C2197">
            <w:pPr>
              <w:rPr>
                <w:rFonts w:ascii="宋体"/>
              </w:rPr>
            </w:pPr>
          </w:p>
        </w:tc>
        <w:tc>
          <w:tcPr>
            <w:tcW w:w="0" w:type="auto"/>
            <w:shd w:val="clear" w:color="auto" w:fill="auto"/>
          </w:tcPr>
          <w:p w14:paraId="0D8DEA3C" w14:textId="77777777" w:rsidR="004C2197" w:rsidRDefault="004C2197">
            <w:pPr>
              <w:rPr>
                <w:rFonts w:ascii="宋体"/>
              </w:rPr>
            </w:pPr>
          </w:p>
        </w:tc>
        <w:tc>
          <w:tcPr>
            <w:tcW w:w="0" w:type="auto"/>
            <w:shd w:val="clear" w:color="auto" w:fill="auto"/>
          </w:tcPr>
          <w:p w14:paraId="0D8DEA3D" w14:textId="77777777" w:rsidR="004C2197" w:rsidRDefault="004C2197">
            <w:pPr>
              <w:rPr>
                <w:rFonts w:ascii="宋体"/>
              </w:rPr>
            </w:pPr>
          </w:p>
        </w:tc>
        <w:tc>
          <w:tcPr>
            <w:tcW w:w="0" w:type="auto"/>
            <w:shd w:val="clear" w:color="auto" w:fill="auto"/>
          </w:tcPr>
          <w:p w14:paraId="0D8DEA3E" w14:textId="77777777" w:rsidR="004C2197" w:rsidRDefault="004C2197">
            <w:pPr>
              <w:rPr>
                <w:rFonts w:ascii="宋体"/>
              </w:rPr>
            </w:pPr>
          </w:p>
        </w:tc>
      </w:tr>
      <w:tr w:rsidR="004C2197" w14:paraId="0D8DEA4C" w14:textId="77777777">
        <w:trPr>
          <w:jc w:val="center"/>
        </w:trPr>
        <w:tc>
          <w:tcPr>
            <w:tcW w:w="0" w:type="auto"/>
            <w:gridSpan w:val="3"/>
            <w:shd w:val="clear" w:color="auto" w:fill="E2EFD9"/>
            <w:tcMar>
              <w:top w:w="40" w:type="dxa"/>
              <w:left w:w="20" w:type="dxa"/>
              <w:bottom w:w="40" w:type="dxa"/>
              <w:right w:w="20" w:type="dxa"/>
            </w:tcMar>
            <w:vAlign w:val="bottom"/>
          </w:tcPr>
          <w:p w14:paraId="0D8DEA40" w14:textId="77777777" w:rsidR="004C2197" w:rsidRDefault="00863B83">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A41" w14:textId="77777777" w:rsidR="004C2197" w:rsidRDefault="00863B83">
            <w:pPr>
              <w:jc w:val="right"/>
              <w:textAlignment w:val="bottom"/>
            </w:pPr>
            <w:r>
              <w:rPr>
                <w:rFonts w:ascii="sans-serif" w:eastAsia="sans-serif" w:hAnsi="sans-serif" w:cs="sans-serif"/>
                <w:color w:val="000000"/>
                <w:sz w:val="18"/>
                <w:szCs w:val="18"/>
              </w:rPr>
              <w:t>2,476 </w:t>
            </w:r>
          </w:p>
        </w:tc>
        <w:tc>
          <w:tcPr>
            <w:tcW w:w="0" w:type="auto"/>
            <w:tcBorders>
              <w:top w:val="single" w:sz="8" w:space="0" w:color="000000"/>
            </w:tcBorders>
            <w:shd w:val="clear" w:color="auto" w:fill="E2EFD9"/>
            <w:tcMar>
              <w:top w:w="40" w:type="dxa"/>
              <w:bottom w:w="40" w:type="dxa"/>
              <w:right w:w="20" w:type="dxa"/>
            </w:tcMar>
            <w:vAlign w:val="bottom"/>
          </w:tcPr>
          <w:p w14:paraId="0D8DEA4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43"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A44" w14:textId="77777777" w:rsidR="004C2197" w:rsidRDefault="00863B83">
            <w:pPr>
              <w:jc w:val="right"/>
              <w:textAlignment w:val="bottom"/>
            </w:pPr>
            <w:r>
              <w:rPr>
                <w:rFonts w:ascii="sans-serif" w:eastAsia="sans-serif" w:hAnsi="sans-serif" w:cs="sans-serif"/>
                <w:color w:val="000000"/>
                <w:sz w:val="18"/>
                <w:szCs w:val="18"/>
              </w:rPr>
              <w:t>1,656 </w:t>
            </w:r>
          </w:p>
        </w:tc>
        <w:tc>
          <w:tcPr>
            <w:tcW w:w="0" w:type="auto"/>
            <w:tcBorders>
              <w:top w:val="single" w:sz="8" w:space="0" w:color="000000"/>
            </w:tcBorders>
            <w:shd w:val="clear" w:color="auto" w:fill="E2EFD9"/>
            <w:tcMar>
              <w:top w:w="40" w:type="dxa"/>
              <w:bottom w:w="40" w:type="dxa"/>
              <w:right w:w="20" w:type="dxa"/>
            </w:tcMar>
            <w:vAlign w:val="bottom"/>
          </w:tcPr>
          <w:p w14:paraId="0D8DEA45" w14:textId="77777777" w:rsidR="004C2197" w:rsidRDefault="004C2197">
            <w:pPr>
              <w:jc w:val="right"/>
              <w:rPr>
                <w:rFonts w:ascii="宋体"/>
              </w:rPr>
            </w:pPr>
          </w:p>
        </w:tc>
        <w:tc>
          <w:tcPr>
            <w:tcW w:w="0" w:type="auto"/>
            <w:shd w:val="clear" w:color="auto" w:fill="auto"/>
          </w:tcPr>
          <w:p w14:paraId="0D8DEA46" w14:textId="77777777" w:rsidR="004C2197" w:rsidRDefault="004C2197">
            <w:pPr>
              <w:rPr>
                <w:rFonts w:ascii="宋体"/>
              </w:rPr>
            </w:pPr>
          </w:p>
        </w:tc>
        <w:tc>
          <w:tcPr>
            <w:tcW w:w="0" w:type="auto"/>
            <w:shd w:val="clear" w:color="auto" w:fill="auto"/>
          </w:tcPr>
          <w:p w14:paraId="0D8DEA47" w14:textId="77777777" w:rsidR="004C2197" w:rsidRDefault="004C2197">
            <w:pPr>
              <w:rPr>
                <w:rFonts w:ascii="宋体"/>
              </w:rPr>
            </w:pPr>
          </w:p>
        </w:tc>
        <w:tc>
          <w:tcPr>
            <w:tcW w:w="0" w:type="auto"/>
            <w:shd w:val="clear" w:color="auto" w:fill="auto"/>
          </w:tcPr>
          <w:p w14:paraId="0D8DEA48" w14:textId="77777777" w:rsidR="004C2197" w:rsidRDefault="004C2197">
            <w:pPr>
              <w:rPr>
                <w:rFonts w:ascii="宋体"/>
              </w:rPr>
            </w:pPr>
          </w:p>
        </w:tc>
        <w:tc>
          <w:tcPr>
            <w:tcW w:w="0" w:type="auto"/>
            <w:shd w:val="clear" w:color="auto" w:fill="auto"/>
          </w:tcPr>
          <w:p w14:paraId="0D8DEA49" w14:textId="77777777" w:rsidR="004C2197" w:rsidRDefault="004C2197">
            <w:pPr>
              <w:rPr>
                <w:rFonts w:ascii="宋体"/>
              </w:rPr>
            </w:pPr>
          </w:p>
        </w:tc>
        <w:tc>
          <w:tcPr>
            <w:tcW w:w="0" w:type="auto"/>
            <w:shd w:val="clear" w:color="auto" w:fill="auto"/>
          </w:tcPr>
          <w:p w14:paraId="0D8DEA4A" w14:textId="77777777" w:rsidR="004C2197" w:rsidRDefault="004C2197">
            <w:pPr>
              <w:rPr>
                <w:rFonts w:ascii="宋体"/>
              </w:rPr>
            </w:pPr>
          </w:p>
        </w:tc>
        <w:tc>
          <w:tcPr>
            <w:tcW w:w="0" w:type="auto"/>
            <w:shd w:val="clear" w:color="auto" w:fill="auto"/>
          </w:tcPr>
          <w:p w14:paraId="0D8DEA4B" w14:textId="77777777" w:rsidR="004C2197" w:rsidRDefault="004C2197">
            <w:pPr>
              <w:rPr>
                <w:rFonts w:ascii="宋体"/>
              </w:rPr>
            </w:pPr>
          </w:p>
        </w:tc>
      </w:tr>
      <w:tr w:rsidR="004C2197" w14:paraId="0D8DEA57" w14:textId="77777777">
        <w:trPr>
          <w:jc w:val="center"/>
        </w:trPr>
        <w:tc>
          <w:tcPr>
            <w:tcW w:w="0" w:type="auto"/>
            <w:gridSpan w:val="3"/>
            <w:shd w:val="clear" w:color="auto" w:fill="FFFFFF"/>
            <w:tcMar>
              <w:top w:w="40" w:type="dxa"/>
              <w:left w:w="20" w:type="dxa"/>
              <w:bottom w:w="40" w:type="dxa"/>
              <w:right w:w="20" w:type="dxa"/>
            </w:tcMar>
            <w:vAlign w:val="bottom"/>
          </w:tcPr>
          <w:p w14:paraId="0D8DEA4D" w14:textId="77777777" w:rsidR="004C2197" w:rsidRDefault="00863B83">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8DEA4E"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0D8DEA4F" w14:textId="77777777" w:rsidR="004C2197" w:rsidRDefault="004C219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8DEA50" w14:textId="77777777" w:rsidR="004C2197" w:rsidRDefault="00863B83">
            <w:pPr>
              <w:textAlignment w:val="bottom"/>
            </w:pPr>
            <w:r>
              <w:rPr>
                <w:rFonts w:ascii="sans-serif" w:eastAsia="sans-serif" w:hAnsi="sans-serif" w:cs="sans-serif"/>
                <w:color w:val="000000"/>
                <w:sz w:val="18"/>
                <w:szCs w:val="18"/>
              </w:rPr>
              <w:t> </w:t>
            </w:r>
          </w:p>
        </w:tc>
        <w:tc>
          <w:tcPr>
            <w:tcW w:w="0" w:type="auto"/>
            <w:shd w:val="clear" w:color="auto" w:fill="auto"/>
          </w:tcPr>
          <w:p w14:paraId="0D8DEA51" w14:textId="77777777" w:rsidR="004C2197" w:rsidRDefault="004C2197">
            <w:pPr>
              <w:rPr>
                <w:rFonts w:ascii="宋体"/>
              </w:rPr>
            </w:pPr>
          </w:p>
        </w:tc>
        <w:tc>
          <w:tcPr>
            <w:tcW w:w="0" w:type="auto"/>
            <w:shd w:val="clear" w:color="auto" w:fill="auto"/>
          </w:tcPr>
          <w:p w14:paraId="0D8DEA52" w14:textId="77777777" w:rsidR="004C2197" w:rsidRDefault="004C2197">
            <w:pPr>
              <w:rPr>
                <w:rFonts w:ascii="宋体"/>
              </w:rPr>
            </w:pPr>
          </w:p>
        </w:tc>
        <w:tc>
          <w:tcPr>
            <w:tcW w:w="0" w:type="auto"/>
            <w:shd w:val="clear" w:color="auto" w:fill="auto"/>
          </w:tcPr>
          <w:p w14:paraId="0D8DEA53" w14:textId="77777777" w:rsidR="004C2197" w:rsidRDefault="004C2197">
            <w:pPr>
              <w:rPr>
                <w:rFonts w:ascii="宋体"/>
              </w:rPr>
            </w:pPr>
          </w:p>
        </w:tc>
        <w:tc>
          <w:tcPr>
            <w:tcW w:w="0" w:type="auto"/>
            <w:shd w:val="clear" w:color="auto" w:fill="auto"/>
          </w:tcPr>
          <w:p w14:paraId="0D8DEA54" w14:textId="77777777" w:rsidR="004C2197" w:rsidRDefault="004C2197">
            <w:pPr>
              <w:rPr>
                <w:rFonts w:ascii="宋体"/>
              </w:rPr>
            </w:pPr>
          </w:p>
        </w:tc>
        <w:tc>
          <w:tcPr>
            <w:tcW w:w="0" w:type="auto"/>
            <w:shd w:val="clear" w:color="auto" w:fill="auto"/>
          </w:tcPr>
          <w:p w14:paraId="0D8DEA55" w14:textId="77777777" w:rsidR="004C2197" w:rsidRDefault="004C2197">
            <w:pPr>
              <w:rPr>
                <w:rFonts w:ascii="宋体"/>
              </w:rPr>
            </w:pPr>
          </w:p>
        </w:tc>
        <w:tc>
          <w:tcPr>
            <w:tcW w:w="0" w:type="auto"/>
            <w:shd w:val="clear" w:color="auto" w:fill="auto"/>
          </w:tcPr>
          <w:p w14:paraId="0D8DEA56" w14:textId="77777777" w:rsidR="004C2197" w:rsidRDefault="004C2197">
            <w:pPr>
              <w:rPr>
                <w:rFonts w:ascii="宋体"/>
              </w:rPr>
            </w:pPr>
          </w:p>
        </w:tc>
      </w:tr>
      <w:tr w:rsidR="004C2197" w14:paraId="0D8DEA64" w14:textId="77777777">
        <w:trPr>
          <w:jc w:val="center"/>
        </w:trPr>
        <w:tc>
          <w:tcPr>
            <w:tcW w:w="0" w:type="auto"/>
            <w:gridSpan w:val="3"/>
            <w:shd w:val="clear" w:color="auto" w:fill="E2EFD9"/>
            <w:tcMar>
              <w:top w:w="40" w:type="dxa"/>
              <w:left w:w="135" w:type="dxa"/>
              <w:bottom w:w="40" w:type="dxa"/>
              <w:right w:w="20" w:type="dxa"/>
            </w:tcMar>
            <w:vAlign w:val="bottom"/>
          </w:tcPr>
          <w:p w14:paraId="0D8DEA58" w14:textId="77777777" w:rsidR="004C2197" w:rsidRDefault="00863B83">
            <w:pPr>
              <w:textAlignment w:val="bottom"/>
            </w:pPr>
            <w:r>
              <w:rPr>
                <w:rFonts w:ascii="sans-serif" w:eastAsia="sans-serif" w:hAnsi="sans-serif" w:cs="sans-serif"/>
                <w:color w:val="000000"/>
                <w:sz w:val="18"/>
                <w:szCs w:val="18"/>
              </w:rPr>
              <w:t xml:space="preserve">Proceeds from </w:t>
            </w:r>
            <w:r>
              <w:rPr>
                <w:rFonts w:ascii="sans-serif" w:eastAsia="sans-serif" w:hAnsi="sans-serif" w:cs="sans-serif"/>
                <w:color w:val="000000"/>
                <w:sz w:val="18"/>
                <w:szCs w:val="18"/>
              </w:rPr>
              <w:t>maturities of marketable securities</w:t>
            </w:r>
          </w:p>
        </w:tc>
        <w:tc>
          <w:tcPr>
            <w:tcW w:w="0" w:type="auto"/>
            <w:gridSpan w:val="2"/>
            <w:shd w:val="clear" w:color="auto" w:fill="E2EFD9"/>
            <w:tcMar>
              <w:top w:w="40" w:type="dxa"/>
              <w:left w:w="20" w:type="dxa"/>
              <w:bottom w:w="40" w:type="dxa"/>
              <w:right w:w="0" w:type="dxa"/>
            </w:tcMar>
            <w:vAlign w:val="bottom"/>
          </w:tcPr>
          <w:p w14:paraId="0D8DEA59" w14:textId="77777777" w:rsidR="004C2197" w:rsidRDefault="00863B83">
            <w:pPr>
              <w:jc w:val="right"/>
              <w:textAlignment w:val="bottom"/>
            </w:pPr>
            <w:r>
              <w:rPr>
                <w:rFonts w:ascii="sans-serif" w:eastAsia="sans-serif" w:hAnsi="sans-serif" w:cs="sans-serif"/>
                <w:color w:val="000000"/>
                <w:sz w:val="18"/>
                <w:szCs w:val="18"/>
              </w:rPr>
              <w:t>1,032 </w:t>
            </w:r>
          </w:p>
        </w:tc>
        <w:tc>
          <w:tcPr>
            <w:tcW w:w="0" w:type="auto"/>
            <w:shd w:val="clear" w:color="auto" w:fill="E2EFD9"/>
            <w:tcMar>
              <w:top w:w="40" w:type="dxa"/>
              <w:bottom w:w="40" w:type="dxa"/>
              <w:right w:w="20" w:type="dxa"/>
            </w:tcMar>
            <w:vAlign w:val="bottom"/>
          </w:tcPr>
          <w:p w14:paraId="0D8DEA5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5B" w14:textId="77777777" w:rsidR="004C2197" w:rsidRDefault="004C2197">
            <w:pPr>
              <w:jc w:val="right"/>
              <w:rPr>
                <w:rFonts w:ascii="宋体"/>
              </w:rPr>
            </w:pPr>
          </w:p>
        </w:tc>
        <w:tc>
          <w:tcPr>
            <w:tcW w:w="0" w:type="auto"/>
            <w:gridSpan w:val="2"/>
            <w:shd w:val="clear" w:color="auto" w:fill="E2EFD9"/>
            <w:tcMar>
              <w:top w:w="40" w:type="dxa"/>
              <w:left w:w="20" w:type="dxa"/>
              <w:bottom w:w="40" w:type="dxa"/>
              <w:right w:w="0" w:type="dxa"/>
            </w:tcMar>
            <w:vAlign w:val="bottom"/>
          </w:tcPr>
          <w:p w14:paraId="0D8DEA5C" w14:textId="77777777" w:rsidR="004C2197" w:rsidRDefault="00863B83">
            <w:pPr>
              <w:jc w:val="right"/>
              <w:textAlignment w:val="bottom"/>
            </w:pPr>
            <w:r>
              <w:rPr>
                <w:rFonts w:ascii="sans-serif" w:eastAsia="sans-serif" w:hAnsi="sans-serif" w:cs="sans-serif"/>
                <w:color w:val="000000"/>
                <w:sz w:val="18"/>
                <w:szCs w:val="18"/>
              </w:rPr>
              <w:t>3,592 </w:t>
            </w:r>
          </w:p>
        </w:tc>
        <w:tc>
          <w:tcPr>
            <w:tcW w:w="0" w:type="auto"/>
            <w:shd w:val="clear" w:color="auto" w:fill="E2EFD9"/>
            <w:tcMar>
              <w:top w:w="40" w:type="dxa"/>
              <w:bottom w:w="40" w:type="dxa"/>
              <w:right w:w="20" w:type="dxa"/>
            </w:tcMar>
            <w:vAlign w:val="bottom"/>
          </w:tcPr>
          <w:p w14:paraId="0D8DEA5D" w14:textId="77777777" w:rsidR="004C2197" w:rsidRDefault="004C2197">
            <w:pPr>
              <w:jc w:val="right"/>
              <w:rPr>
                <w:rFonts w:ascii="宋体"/>
              </w:rPr>
            </w:pPr>
          </w:p>
        </w:tc>
        <w:tc>
          <w:tcPr>
            <w:tcW w:w="0" w:type="auto"/>
            <w:shd w:val="clear" w:color="auto" w:fill="auto"/>
          </w:tcPr>
          <w:p w14:paraId="0D8DEA5E" w14:textId="77777777" w:rsidR="004C2197" w:rsidRDefault="004C2197">
            <w:pPr>
              <w:rPr>
                <w:rFonts w:ascii="宋体"/>
              </w:rPr>
            </w:pPr>
          </w:p>
        </w:tc>
        <w:tc>
          <w:tcPr>
            <w:tcW w:w="0" w:type="auto"/>
            <w:shd w:val="clear" w:color="auto" w:fill="auto"/>
          </w:tcPr>
          <w:p w14:paraId="0D8DEA5F" w14:textId="77777777" w:rsidR="004C2197" w:rsidRDefault="004C2197">
            <w:pPr>
              <w:rPr>
                <w:rFonts w:ascii="宋体"/>
              </w:rPr>
            </w:pPr>
          </w:p>
        </w:tc>
        <w:tc>
          <w:tcPr>
            <w:tcW w:w="0" w:type="auto"/>
            <w:shd w:val="clear" w:color="auto" w:fill="auto"/>
          </w:tcPr>
          <w:p w14:paraId="0D8DEA60" w14:textId="77777777" w:rsidR="004C2197" w:rsidRDefault="004C2197">
            <w:pPr>
              <w:rPr>
                <w:rFonts w:ascii="宋体"/>
              </w:rPr>
            </w:pPr>
          </w:p>
        </w:tc>
        <w:tc>
          <w:tcPr>
            <w:tcW w:w="0" w:type="auto"/>
            <w:shd w:val="clear" w:color="auto" w:fill="auto"/>
          </w:tcPr>
          <w:p w14:paraId="0D8DEA61" w14:textId="77777777" w:rsidR="004C2197" w:rsidRDefault="004C2197">
            <w:pPr>
              <w:rPr>
                <w:rFonts w:ascii="宋体"/>
              </w:rPr>
            </w:pPr>
          </w:p>
        </w:tc>
        <w:tc>
          <w:tcPr>
            <w:tcW w:w="0" w:type="auto"/>
            <w:shd w:val="clear" w:color="auto" w:fill="auto"/>
          </w:tcPr>
          <w:p w14:paraId="0D8DEA62" w14:textId="77777777" w:rsidR="004C2197" w:rsidRDefault="004C2197">
            <w:pPr>
              <w:rPr>
                <w:rFonts w:ascii="宋体"/>
              </w:rPr>
            </w:pPr>
          </w:p>
        </w:tc>
        <w:tc>
          <w:tcPr>
            <w:tcW w:w="0" w:type="auto"/>
            <w:shd w:val="clear" w:color="auto" w:fill="auto"/>
          </w:tcPr>
          <w:p w14:paraId="0D8DEA63" w14:textId="77777777" w:rsidR="004C2197" w:rsidRDefault="004C2197">
            <w:pPr>
              <w:rPr>
                <w:rFonts w:ascii="宋体"/>
              </w:rPr>
            </w:pPr>
          </w:p>
        </w:tc>
      </w:tr>
      <w:tr w:rsidR="004C2197" w14:paraId="0D8DEA71" w14:textId="77777777">
        <w:trPr>
          <w:jc w:val="center"/>
        </w:trPr>
        <w:tc>
          <w:tcPr>
            <w:tcW w:w="0" w:type="auto"/>
            <w:gridSpan w:val="3"/>
            <w:shd w:val="clear" w:color="auto" w:fill="FFFFFF"/>
            <w:tcMar>
              <w:top w:w="40" w:type="dxa"/>
              <w:left w:w="135" w:type="dxa"/>
              <w:bottom w:w="40" w:type="dxa"/>
              <w:right w:w="20" w:type="dxa"/>
            </w:tcMar>
            <w:vAlign w:val="bottom"/>
          </w:tcPr>
          <w:p w14:paraId="0D8DEA65" w14:textId="77777777" w:rsidR="004C2197" w:rsidRDefault="00863B83">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0D8DEA66" w14:textId="77777777" w:rsidR="004C2197" w:rsidRDefault="00863B83">
            <w:pPr>
              <w:jc w:val="right"/>
              <w:textAlignment w:val="bottom"/>
            </w:pPr>
            <w:r>
              <w:rPr>
                <w:rFonts w:ascii="sans-serif" w:eastAsia="sans-serif" w:hAnsi="sans-serif" w:cs="sans-serif"/>
                <w:color w:val="000000"/>
                <w:sz w:val="18"/>
                <w:szCs w:val="18"/>
              </w:rPr>
              <w:t>259 </w:t>
            </w:r>
          </w:p>
        </w:tc>
        <w:tc>
          <w:tcPr>
            <w:tcW w:w="0" w:type="auto"/>
            <w:shd w:val="clear" w:color="auto" w:fill="FFFFFF"/>
            <w:tcMar>
              <w:top w:w="40" w:type="dxa"/>
              <w:bottom w:w="40" w:type="dxa"/>
              <w:right w:w="20" w:type="dxa"/>
            </w:tcMar>
            <w:vAlign w:val="bottom"/>
          </w:tcPr>
          <w:p w14:paraId="0D8DEA6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6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69" w14:textId="77777777" w:rsidR="004C2197" w:rsidRDefault="00863B83">
            <w:pPr>
              <w:jc w:val="right"/>
              <w:textAlignment w:val="bottom"/>
            </w:pPr>
            <w:r>
              <w:rPr>
                <w:rFonts w:ascii="sans-serif" w:eastAsia="sans-serif" w:hAnsi="sans-serif" w:cs="sans-serif"/>
                <w:color w:val="000000"/>
                <w:sz w:val="18"/>
                <w:szCs w:val="18"/>
              </w:rPr>
              <w:t>3,152 </w:t>
            </w:r>
          </w:p>
        </w:tc>
        <w:tc>
          <w:tcPr>
            <w:tcW w:w="0" w:type="auto"/>
            <w:shd w:val="clear" w:color="auto" w:fill="FFFFFF"/>
            <w:tcMar>
              <w:top w:w="40" w:type="dxa"/>
              <w:bottom w:w="40" w:type="dxa"/>
              <w:right w:w="20" w:type="dxa"/>
            </w:tcMar>
            <w:vAlign w:val="bottom"/>
          </w:tcPr>
          <w:p w14:paraId="0D8DEA6A" w14:textId="77777777" w:rsidR="004C2197" w:rsidRDefault="004C2197">
            <w:pPr>
              <w:jc w:val="right"/>
              <w:rPr>
                <w:rFonts w:ascii="宋体"/>
              </w:rPr>
            </w:pPr>
          </w:p>
        </w:tc>
        <w:tc>
          <w:tcPr>
            <w:tcW w:w="0" w:type="auto"/>
            <w:shd w:val="clear" w:color="auto" w:fill="auto"/>
          </w:tcPr>
          <w:p w14:paraId="0D8DEA6B" w14:textId="77777777" w:rsidR="004C2197" w:rsidRDefault="004C2197">
            <w:pPr>
              <w:rPr>
                <w:rFonts w:ascii="宋体"/>
              </w:rPr>
            </w:pPr>
          </w:p>
        </w:tc>
        <w:tc>
          <w:tcPr>
            <w:tcW w:w="0" w:type="auto"/>
            <w:shd w:val="clear" w:color="auto" w:fill="auto"/>
          </w:tcPr>
          <w:p w14:paraId="0D8DEA6C" w14:textId="77777777" w:rsidR="004C2197" w:rsidRDefault="004C2197">
            <w:pPr>
              <w:rPr>
                <w:rFonts w:ascii="宋体"/>
              </w:rPr>
            </w:pPr>
          </w:p>
        </w:tc>
        <w:tc>
          <w:tcPr>
            <w:tcW w:w="0" w:type="auto"/>
            <w:shd w:val="clear" w:color="auto" w:fill="auto"/>
          </w:tcPr>
          <w:p w14:paraId="0D8DEA6D" w14:textId="77777777" w:rsidR="004C2197" w:rsidRDefault="004C2197">
            <w:pPr>
              <w:rPr>
                <w:rFonts w:ascii="宋体"/>
              </w:rPr>
            </w:pPr>
          </w:p>
        </w:tc>
        <w:tc>
          <w:tcPr>
            <w:tcW w:w="0" w:type="auto"/>
            <w:shd w:val="clear" w:color="auto" w:fill="auto"/>
          </w:tcPr>
          <w:p w14:paraId="0D8DEA6E" w14:textId="77777777" w:rsidR="004C2197" w:rsidRDefault="004C2197">
            <w:pPr>
              <w:rPr>
                <w:rFonts w:ascii="宋体"/>
              </w:rPr>
            </w:pPr>
          </w:p>
        </w:tc>
        <w:tc>
          <w:tcPr>
            <w:tcW w:w="0" w:type="auto"/>
            <w:shd w:val="clear" w:color="auto" w:fill="auto"/>
          </w:tcPr>
          <w:p w14:paraId="0D8DEA6F" w14:textId="77777777" w:rsidR="004C2197" w:rsidRDefault="004C2197">
            <w:pPr>
              <w:rPr>
                <w:rFonts w:ascii="宋体"/>
              </w:rPr>
            </w:pPr>
          </w:p>
        </w:tc>
        <w:tc>
          <w:tcPr>
            <w:tcW w:w="0" w:type="auto"/>
            <w:shd w:val="clear" w:color="auto" w:fill="auto"/>
          </w:tcPr>
          <w:p w14:paraId="0D8DEA70" w14:textId="77777777" w:rsidR="004C2197" w:rsidRDefault="004C2197">
            <w:pPr>
              <w:rPr>
                <w:rFonts w:ascii="宋体"/>
              </w:rPr>
            </w:pPr>
          </w:p>
        </w:tc>
      </w:tr>
      <w:tr w:rsidR="004C2197" w14:paraId="0D8DEA7C" w14:textId="77777777">
        <w:trPr>
          <w:jc w:val="center"/>
          <w:hidden/>
        </w:trPr>
        <w:tc>
          <w:tcPr>
            <w:tcW w:w="0" w:type="auto"/>
            <w:gridSpan w:val="3"/>
            <w:shd w:val="clear" w:color="auto" w:fill="auto"/>
          </w:tcPr>
          <w:p w14:paraId="0D8DEA72" w14:textId="77777777" w:rsidR="004C2197" w:rsidRDefault="004C2197">
            <w:pPr>
              <w:rPr>
                <w:rFonts w:ascii="宋体"/>
                <w:vanish/>
              </w:rPr>
            </w:pPr>
          </w:p>
        </w:tc>
        <w:tc>
          <w:tcPr>
            <w:tcW w:w="0" w:type="auto"/>
            <w:gridSpan w:val="3"/>
            <w:shd w:val="clear" w:color="auto" w:fill="auto"/>
          </w:tcPr>
          <w:p w14:paraId="0D8DEA73" w14:textId="77777777" w:rsidR="004C2197" w:rsidRDefault="004C2197">
            <w:pPr>
              <w:rPr>
                <w:rFonts w:ascii="宋体"/>
                <w:vanish/>
              </w:rPr>
            </w:pPr>
          </w:p>
        </w:tc>
        <w:tc>
          <w:tcPr>
            <w:tcW w:w="0" w:type="auto"/>
            <w:gridSpan w:val="3"/>
            <w:shd w:val="clear" w:color="auto" w:fill="auto"/>
          </w:tcPr>
          <w:p w14:paraId="0D8DEA74" w14:textId="77777777" w:rsidR="004C2197" w:rsidRDefault="004C2197">
            <w:pPr>
              <w:rPr>
                <w:rFonts w:ascii="宋体"/>
                <w:vanish/>
              </w:rPr>
            </w:pPr>
          </w:p>
        </w:tc>
        <w:tc>
          <w:tcPr>
            <w:tcW w:w="0" w:type="auto"/>
            <w:gridSpan w:val="3"/>
            <w:shd w:val="clear" w:color="auto" w:fill="auto"/>
          </w:tcPr>
          <w:p w14:paraId="0D8DEA75" w14:textId="77777777" w:rsidR="004C2197" w:rsidRDefault="004C2197">
            <w:pPr>
              <w:rPr>
                <w:rFonts w:ascii="宋体"/>
                <w:vanish/>
              </w:rPr>
            </w:pPr>
          </w:p>
        </w:tc>
        <w:tc>
          <w:tcPr>
            <w:tcW w:w="0" w:type="auto"/>
            <w:shd w:val="clear" w:color="auto" w:fill="auto"/>
          </w:tcPr>
          <w:p w14:paraId="0D8DEA76" w14:textId="77777777" w:rsidR="004C2197" w:rsidRDefault="004C2197">
            <w:pPr>
              <w:rPr>
                <w:rFonts w:ascii="宋体"/>
              </w:rPr>
            </w:pPr>
          </w:p>
        </w:tc>
        <w:tc>
          <w:tcPr>
            <w:tcW w:w="0" w:type="auto"/>
            <w:shd w:val="clear" w:color="auto" w:fill="auto"/>
          </w:tcPr>
          <w:p w14:paraId="0D8DEA77" w14:textId="77777777" w:rsidR="004C2197" w:rsidRDefault="004C2197">
            <w:pPr>
              <w:rPr>
                <w:rFonts w:ascii="宋体"/>
              </w:rPr>
            </w:pPr>
          </w:p>
        </w:tc>
        <w:tc>
          <w:tcPr>
            <w:tcW w:w="0" w:type="auto"/>
            <w:shd w:val="clear" w:color="auto" w:fill="auto"/>
          </w:tcPr>
          <w:p w14:paraId="0D8DEA78" w14:textId="77777777" w:rsidR="004C2197" w:rsidRDefault="004C2197">
            <w:pPr>
              <w:rPr>
                <w:rFonts w:ascii="宋体"/>
              </w:rPr>
            </w:pPr>
          </w:p>
        </w:tc>
        <w:tc>
          <w:tcPr>
            <w:tcW w:w="0" w:type="auto"/>
            <w:shd w:val="clear" w:color="auto" w:fill="auto"/>
          </w:tcPr>
          <w:p w14:paraId="0D8DEA79" w14:textId="77777777" w:rsidR="004C2197" w:rsidRDefault="004C2197">
            <w:pPr>
              <w:rPr>
                <w:rFonts w:ascii="宋体"/>
              </w:rPr>
            </w:pPr>
          </w:p>
        </w:tc>
        <w:tc>
          <w:tcPr>
            <w:tcW w:w="0" w:type="auto"/>
            <w:shd w:val="clear" w:color="auto" w:fill="auto"/>
          </w:tcPr>
          <w:p w14:paraId="0D8DEA7A" w14:textId="77777777" w:rsidR="004C2197" w:rsidRDefault="004C2197">
            <w:pPr>
              <w:rPr>
                <w:rFonts w:ascii="宋体"/>
              </w:rPr>
            </w:pPr>
          </w:p>
        </w:tc>
        <w:tc>
          <w:tcPr>
            <w:tcW w:w="0" w:type="auto"/>
            <w:shd w:val="clear" w:color="auto" w:fill="auto"/>
          </w:tcPr>
          <w:p w14:paraId="0D8DEA7B" w14:textId="77777777" w:rsidR="004C2197" w:rsidRDefault="004C2197">
            <w:pPr>
              <w:rPr>
                <w:rFonts w:ascii="宋体"/>
              </w:rPr>
            </w:pPr>
          </w:p>
        </w:tc>
      </w:tr>
      <w:tr w:rsidR="004C2197" w14:paraId="0D8DEA89" w14:textId="77777777">
        <w:trPr>
          <w:jc w:val="center"/>
        </w:trPr>
        <w:tc>
          <w:tcPr>
            <w:tcW w:w="0" w:type="auto"/>
            <w:gridSpan w:val="3"/>
            <w:shd w:val="clear" w:color="auto" w:fill="E2EFD9"/>
            <w:tcMar>
              <w:top w:w="40" w:type="dxa"/>
              <w:left w:w="135" w:type="dxa"/>
              <w:bottom w:w="40" w:type="dxa"/>
              <w:right w:w="20" w:type="dxa"/>
            </w:tcMar>
            <w:vAlign w:val="bottom"/>
          </w:tcPr>
          <w:p w14:paraId="0D8DEA7D" w14:textId="77777777" w:rsidR="004C2197" w:rsidRDefault="00863B83">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E2EFD9"/>
            <w:tcMar>
              <w:top w:w="40" w:type="dxa"/>
              <w:left w:w="20" w:type="dxa"/>
              <w:bottom w:w="40" w:type="dxa"/>
              <w:right w:w="0" w:type="dxa"/>
            </w:tcMar>
            <w:vAlign w:val="bottom"/>
          </w:tcPr>
          <w:p w14:paraId="0D8DEA7E" w14:textId="77777777" w:rsidR="004C2197" w:rsidRDefault="00863B83">
            <w:pPr>
              <w:jc w:val="right"/>
              <w:textAlignment w:val="bottom"/>
            </w:pPr>
            <w:r>
              <w:rPr>
                <w:rFonts w:ascii="sans-serif" w:eastAsia="sans-serif" w:hAnsi="sans-serif" w:cs="sans-serif"/>
                <w:color w:val="000000"/>
                <w:sz w:val="18"/>
                <w:szCs w:val="18"/>
              </w:rPr>
              <w:t>(8,286)</w:t>
            </w:r>
          </w:p>
        </w:tc>
        <w:tc>
          <w:tcPr>
            <w:tcW w:w="0" w:type="auto"/>
            <w:shd w:val="clear" w:color="auto" w:fill="E2EFD9"/>
            <w:tcMar>
              <w:top w:w="40" w:type="dxa"/>
              <w:bottom w:w="40" w:type="dxa"/>
              <w:right w:w="20" w:type="dxa"/>
            </w:tcMar>
            <w:vAlign w:val="bottom"/>
          </w:tcPr>
          <w:p w14:paraId="0D8DEA7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8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81" w14:textId="77777777" w:rsidR="004C2197" w:rsidRDefault="00863B83">
            <w:pPr>
              <w:jc w:val="right"/>
              <w:textAlignment w:val="bottom"/>
            </w:pPr>
            <w:r>
              <w:rPr>
                <w:rFonts w:ascii="sans-serif" w:eastAsia="sans-serif" w:hAnsi="sans-serif" w:cs="sans-serif"/>
                <w:color w:val="000000"/>
                <w:sz w:val="18"/>
                <w:szCs w:val="18"/>
              </w:rPr>
              <w:t>(1,461)</w:t>
            </w:r>
          </w:p>
        </w:tc>
        <w:tc>
          <w:tcPr>
            <w:tcW w:w="0" w:type="auto"/>
            <w:shd w:val="clear" w:color="auto" w:fill="E2EFD9"/>
            <w:tcMar>
              <w:top w:w="40" w:type="dxa"/>
              <w:bottom w:w="40" w:type="dxa"/>
              <w:right w:w="20" w:type="dxa"/>
            </w:tcMar>
            <w:vAlign w:val="bottom"/>
          </w:tcPr>
          <w:p w14:paraId="0D8DEA82" w14:textId="77777777" w:rsidR="004C2197" w:rsidRDefault="004C2197">
            <w:pPr>
              <w:jc w:val="right"/>
              <w:rPr>
                <w:rFonts w:ascii="宋体"/>
              </w:rPr>
            </w:pPr>
          </w:p>
        </w:tc>
        <w:tc>
          <w:tcPr>
            <w:tcW w:w="0" w:type="auto"/>
            <w:shd w:val="clear" w:color="auto" w:fill="auto"/>
          </w:tcPr>
          <w:p w14:paraId="0D8DEA83" w14:textId="77777777" w:rsidR="004C2197" w:rsidRDefault="004C2197">
            <w:pPr>
              <w:rPr>
                <w:rFonts w:ascii="宋体"/>
              </w:rPr>
            </w:pPr>
          </w:p>
        </w:tc>
        <w:tc>
          <w:tcPr>
            <w:tcW w:w="0" w:type="auto"/>
            <w:shd w:val="clear" w:color="auto" w:fill="auto"/>
          </w:tcPr>
          <w:p w14:paraId="0D8DEA84" w14:textId="77777777" w:rsidR="004C2197" w:rsidRDefault="004C2197">
            <w:pPr>
              <w:rPr>
                <w:rFonts w:ascii="宋体"/>
              </w:rPr>
            </w:pPr>
          </w:p>
        </w:tc>
        <w:tc>
          <w:tcPr>
            <w:tcW w:w="0" w:type="auto"/>
            <w:shd w:val="clear" w:color="auto" w:fill="auto"/>
          </w:tcPr>
          <w:p w14:paraId="0D8DEA85" w14:textId="77777777" w:rsidR="004C2197" w:rsidRDefault="004C2197">
            <w:pPr>
              <w:rPr>
                <w:rFonts w:ascii="宋体"/>
              </w:rPr>
            </w:pPr>
          </w:p>
        </w:tc>
        <w:tc>
          <w:tcPr>
            <w:tcW w:w="0" w:type="auto"/>
            <w:shd w:val="clear" w:color="auto" w:fill="auto"/>
          </w:tcPr>
          <w:p w14:paraId="0D8DEA86" w14:textId="77777777" w:rsidR="004C2197" w:rsidRDefault="004C2197">
            <w:pPr>
              <w:rPr>
                <w:rFonts w:ascii="宋体"/>
              </w:rPr>
            </w:pPr>
          </w:p>
        </w:tc>
        <w:tc>
          <w:tcPr>
            <w:tcW w:w="0" w:type="auto"/>
            <w:shd w:val="clear" w:color="auto" w:fill="auto"/>
          </w:tcPr>
          <w:p w14:paraId="0D8DEA87" w14:textId="77777777" w:rsidR="004C2197" w:rsidRDefault="004C2197">
            <w:pPr>
              <w:rPr>
                <w:rFonts w:ascii="宋体"/>
              </w:rPr>
            </w:pPr>
          </w:p>
        </w:tc>
        <w:tc>
          <w:tcPr>
            <w:tcW w:w="0" w:type="auto"/>
            <w:shd w:val="clear" w:color="auto" w:fill="auto"/>
          </w:tcPr>
          <w:p w14:paraId="0D8DEA88" w14:textId="77777777" w:rsidR="004C2197" w:rsidRDefault="004C2197">
            <w:pPr>
              <w:rPr>
                <w:rFonts w:ascii="宋体"/>
              </w:rPr>
            </w:pPr>
          </w:p>
        </w:tc>
      </w:tr>
      <w:tr w:rsidR="004C2197" w14:paraId="0D8DEA96" w14:textId="77777777">
        <w:trPr>
          <w:jc w:val="center"/>
        </w:trPr>
        <w:tc>
          <w:tcPr>
            <w:tcW w:w="0" w:type="auto"/>
            <w:gridSpan w:val="3"/>
            <w:shd w:val="clear" w:color="auto" w:fill="FFFFFF"/>
            <w:tcMar>
              <w:top w:w="40" w:type="dxa"/>
              <w:left w:w="135" w:type="dxa"/>
              <w:bottom w:w="40" w:type="dxa"/>
              <w:right w:w="20" w:type="dxa"/>
            </w:tcMar>
            <w:vAlign w:val="bottom"/>
          </w:tcPr>
          <w:p w14:paraId="0D8DEA8A" w14:textId="77777777" w:rsidR="004C2197" w:rsidRDefault="00863B83">
            <w:pPr>
              <w:textAlignment w:val="bottom"/>
            </w:pPr>
            <w:r>
              <w:rPr>
                <w:rFonts w:ascii="sans-serif" w:eastAsia="sans-serif" w:hAnsi="sans-serif" w:cs="sans-serif"/>
                <w:color w:val="000000"/>
                <w:sz w:val="18"/>
                <w:szCs w:val="18"/>
              </w:rPr>
              <w:t>Acquisition of businesses, net of cash acquired</w:t>
            </w:r>
          </w:p>
        </w:tc>
        <w:tc>
          <w:tcPr>
            <w:tcW w:w="0" w:type="auto"/>
            <w:gridSpan w:val="2"/>
            <w:shd w:val="clear" w:color="auto" w:fill="FFFFFF"/>
            <w:tcMar>
              <w:top w:w="40" w:type="dxa"/>
              <w:left w:w="20" w:type="dxa"/>
              <w:bottom w:w="40" w:type="dxa"/>
              <w:right w:w="0" w:type="dxa"/>
            </w:tcMar>
            <w:vAlign w:val="bottom"/>
          </w:tcPr>
          <w:p w14:paraId="0D8DEA8B" w14:textId="77777777" w:rsidR="004C2197" w:rsidRDefault="00863B83">
            <w:pPr>
              <w:jc w:val="right"/>
              <w:textAlignment w:val="bottom"/>
            </w:pPr>
            <w:r>
              <w:rPr>
                <w:rFonts w:ascii="sans-serif" w:eastAsia="sans-serif" w:hAnsi="sans-serif" w:cs="sans-serif"/>
                <w:color w:val="000000"/>
                <w:sz w:val="18"/>
                <w:szCs w:val="18"/>
              </w:rPr>
              <w:t>(7,171)</w:t>
            </w:r>
          </w:p>
        </w:tc>
        <w:tc>
          <w:tcPr>
            <w:tcW w:w="0" w:type="auto"/>
            <w:shd w:val="clear" w:color="auto" w:fill="FFFFFF"/>
            <w:tcMar>
              <w:top w:w="40" w:type="dxa"/>
              <w:bottom w:w="40" w:type="dxa"/>
              <w:right w:w="20" w:type="dxa"/>
            </w:tcMar>
            <w:vAlign w:val="bottom"/>
          </w:tcPr>
          <w:p w14:paraId="0D8DEA8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8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8E" w14:textId="77777777" w:rsidR="004C2197" w:rsidRDefault="00863B83">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bottom w:w="40" w:type="dxa"/>
              <w:right w:w="20" w:type="dxa"/>
            </w:tcMar>
            <w:vAlign w:val="bottom"/>
          </w:tcPr>
          <w:p w14:paraId="0D8DEA8F" w14:textId="77777777" w:rsidR="004C2197" w:rsidRDefault="004C2197">
            <w:pPr>
              <w:jc w:val="right"/>
              <w:rPr>
                <w:rFonts w:ascii="宋体"/>
              </w:rPr>
            </w:pPr>
          </w:p>
        </w:tc>
        <w:tc>
          <w:tcPr>
            <w:tcW w:w="0" w:type="auto"/>
            <w:shd w:val="clear" w:color="auto" w:fill="auto"/>
          </w:tcPr>
          <w:p w14:paraId="0D8DEA90" w14:textId="77777777" w:rsidR="004C2197" w:rsidRDefault="004C2197">
            <w:pPr>
              <w:rPr>
                <w:rFonts w:ascii="宋体"/>
              </w:rPr>
            </w:pPr>
          </w:p>
        </w:tc>
        <w:tc>
          <w:tcPr>
            <w:tcW w:w="0" w:type="auto"/>
            <w:shd w:val="clear" w:color="auto" w:fill="auto"/>
          </w:tcPr>
          <w:p w14:paraId="0D8DEA91" w14:textId="77777777" w:rsidR="004C2197" w:rsidRDefault="004C2197">
            <w:pPr>
              <w:rPr>
                <w:rFonts w:ascii="宋体"/>
              </w:rPr>
            </w:pPr>
          </w:p>
        </w:tc>
        <w:tc>
          <w:tcPr>
            <w:tcW w:w="0" w:type="auto"/>
            <w:shd w:val="clear" w:color="auto" w:fill="auto"/>
          </w:tcPr>
          <w:p w14:paraId="0D8DEA92" w14:textId="77777777" w:rsidR="004C2197" w:rsidRDefault="004C2197">
            <w:pPr>
              <w:rPr>
                <w:rFonts w:ascii="宋体"/>
              </w:rPr>
            </w:pPr>
          </w:p>
        </w:tc>
        <w:tc>
          <w:tcPr>
            <w:tcW w:w="0" w:type="auto"/>
            <w:shd w:val="clear" w:color="auto" w:fill="auto"/>
          </w:tcPr>
          <w:p w14:paraId="0D8DEA93" w14:textId="77777777" w:rsidR="004C2197" w:rsidRDefault="004C2197">
            <w:pPr>
              <w:rPr>
                <w:rFonts w:ascii="宋体"/>
              </w:rPr>
            </w:pPr>
          </w:p>
        </w:tc>
        <w:tc>
          <w:tcPr>
            <w:tcW w:w="0" w:type="auto"/>
            <w:shd w:val="clear" w:color="auto" w:fill="auto"/>
          </w:tcPr>
          <w:p w14:paraId="0D8DEA94" w14:textId="77777777" w:rsidR="004C2197" w:rsidRDefault="004C2197">
            <w:pPr>
              <w:rPr>
                <w:rFonts w:ascii="宋体"/>
              </w:rPr>
            </w:pPr>
          </w:p>
        </w:tc>
        <w:tc>
          <w:tcPr>
            <w:tcW w:w="0" w:type="auto"/>
            <w:shd w:val="clear" w:color="auto" w:fill="auto"/>
          </w:tcPr>
          <w:p w14:paraId="0D8DEA95" w14:textId="77777777" w:rsidR="004C2197" w:rsidRDefault="004C2197">
            <w:pPr>
              <w:rPr>
                <w:rFonts w:ascii="宋体"/>
              </w:rPr>
            </w:pPr>
          </w:p>
        </w:tc>
      </w:tr>
      <w:tr w:rsidR="004C2197" w14:paraId="0D8DEAA3" w14:textId="77777777">
        <w:trPr>
          <w:jc w:val="center"/>
        </w:trPr>
        <w:tc>
          <w:tcPr>
            <w:tcW w:w="0" w:type="auto"/>
            <w:gridSpan w:val="3"/>
            <w:shd w:val="clear" w:color="auto" w:fill="E2EFD9"/>
            <w:tcMar>
              <w:top w:w="40" w:type="dxa"/>
              <w:left w:w="135" w:type="dxa"/>
              <w:bottom w:w="40" w:type="dxa"/>
              <w:right w:w="20" w:type="dxa"/>
            </w:tcMar>
            <w:vAlign w:val="bottom"/>
          </w:tcPr>
          <w:p w14:paraId="0D8DEA97" w14:textId="77777777" w:rsidR="004C2197" w:rsidRDefault="00863B83">
            <w:pPr>
              <w:textAlignment w:val="bottom"/>
            </w:pPr>
            <w:r>
              <w:rPr>
                <w:rFonts w:ascii="sans-serif" w:eastAsia="sans-serif" w:hAnsi="sans-serif" w:cs="sans-serif"/>
                <w:color w:val="000000"/>
                <w:sz w:val="18"/>
                <w:szCs w:val="18"/>
              </w:rPr>
              <w:t>Purchases of property and equipment and intangible assets</w:t>
            </w:r>
          </w:p>
        </w:tc>
        <w:tc>
          <w:tcPr>
            <w:tcW w:w="0" w:type="auto"/>
            <w:gridSpan w:val="2"/>
            <w:shd w:val="clear" w:color="auto" w:fill="E2EFD9"/>
            <w:tcMar>
              <w:top w:w="40" w:type="dxa"/>
              <w:left w:w="20" w:type="dxa"/>
              <w:bottom w:w="40" w:type="dxa"/>
              <w:right w:w="0" w:type="dxa"/>
            </w:tcMar>
            <w:vAlign w:val="bottom"/>
          </w:tcPr>
          <w:p w14:paraId="0D8DEA98" w14:textId="77777777" w:rsidR="004C2197" w:rsidRDefault="00863B83">
            <w:pPr>
              <w:jc w:val="right"/>
              <w:textAlignment w:val="bottom"/>
            </w:pPr>
            <w:r>
              <w:rPr>
                <w:rFonts w:ascii="sans-serif" w:eastAsia="sans-serif" w:hAnsi="sans-serif" w:cs="sans-serif"/>
                <w:color w:val="000000"/>
                <w:sz w:val="18"/>
                <w:szCs w:val="18"/>
              </w:rPr>
              <w:t>(372)</w:t>
            </w:r>
          </w:p>
        </w:tc>
        <w:tc>
          <w:tcPr>
            <w:tcW w:w="0" w:type="auto"/>
            <w:shd w:val="clear" w:color="auto" w:fill="E2EFD9"/>
            <w:tcMar>
              <w:top w:w="40" w:type="dxa"/>
              <w:bottom w:w="40" w:type="dxa"/>
              <w:right w:w="20" w:type="dxa"/>
            </w:tcMar>
            <w:vAlign w:val="bottom"/>
          </w:tcPr>
          <w:p w14:paraId="0D8DEA9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9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9B" w14:textId="77777777" w:rsidR="004C2197" w:rsidRDefault="00863B83">
            <w:pPr>
              <w:jc w:val="right"/>
              <w:textAlignment w:val="bottom"/>
            </w:pPr>
            <w:r>
              <w:rPr>
                <w:rFonts w:ascii="sans-serif" w:eastAsia="sans-serif" w:hAnsi="sans-serif" w:cs="sans-serif"/>
                <w:color w:val="000000"/>
                <w:sz w:val="18"/>
                <w:szCs w:val="18"/>
              </w:rPr>
              <w:t>(241)</w:t>
            </w:r>
          </w:p>
        </w:tc>
        <w:tc>
          <w:tcPr>
            <w:tcW w:w="0" w:type="auto"/>
            <w:shd w:val="clear" w:color="auto" w:fill="E2EFD9"/>
            <w:tcMar>
              <w:top w:w="40" w:type="dxa"/>
              <w:bottom w:w="40" w:type="dxa"/>
              <w:right w:w="20" w:type="dxa"/>
            </w:tcMar>
            <w:vAlign w:val="bottom"/>
          </w:tcPr>
          <w:p w14:paraId="0D8DEA9C" w14:textId="77777777" w:rsidR="004C2197" w:rsidRDefault="004C2197">
            <w:pPr>
              <w:jc w:val="right"/>
              <w:rPr>
                <w:rFonts w:ascii="宋体"/>
              </w:rPr>
            </w:pPr>
          </w:p>
        </w:tc>
        <w:tc>
          <w:tcPr>
            <w:tcW w:w="0" w:type="auto"/>
            <w:shd w:val="clear" w:color="auto" w:fill="auto"/>
          </w:tcPr>
          <w:p w14:paraId="0D8DEA9D" w14:textId="77777777" w:rsidR="004C2197" w:rsidRDefault="004C2197">
            <w:pPr>
              <w:rPr>
                <w:rFonts w:ascii="宋体"/>
              </w:rPr>
            </w:pPr>
          </w:p>
        </w:tc>
        <w:tc>
          <w:tcPr>
            <w:tcW w:w="0" w:type="auto"/>
            <w:shd w:val="clear" w:color="auto" w:fill="auto"/>
          </w:tcPr>
          <w:p w14:paraId="0D8DEA9E" w14:textId="77777777" w:rsidR="004C2197" w:rsidRDefault="004C2197">
            <w:pPr>
              <w:rPr>
                <w:rFonts w:ascii="宋体"/>
              </w:rPr>
            </w:pPr>
          </w:p>
        </w:tc>
        <w:tc>
          <w:tcPr>
            <w:tcW w:w="0" w:type="auto"/>
            <w:shd w:val="clear" w:color="auto" w:fill="auto"/>
          </w:tcPr>
          <w:p w14:paraId="0D8DEA9F" w14:textId="77777777" w:rsidR="004C2197" w:rsidRDefault="004C2197">
            <w:pPr>
              <w:rPr>
                <w:rFonts w:ascii="宋体"/>
              </w:rPr>
            </w:pPr>
          </w:p>
        </w:tc>
        <w:tc>
          <w:tcPr>
            <w:tcW w:w="0" w:type="auto"/>
            <w:shd w:val="clear" w:color="auto" w:fill="auto"/>
          </w:tcPr>
          <w:p w14:paraId="0D8DEAA0" w14:textId="77777777" w:rsidR="004C2197" w:rsidRDefault="004C2197">
            <w:pPr>
              <w:rPr>
                <w:rFonts w:ascii="宋体"/>
              </w:rPr>
            </w:pPr>
          </w:p>
        </w:tc>
        <w:tc>
          <w:tcPr>
            <w:tcW w:w="0" w:type="auto"/>
            <w:shd w:val="clear" w:color="auto" w:fill="auto"/>
          </w:tcPr>
          <w:p w14:paraId="0D8DEAA1" w14:textId="77777777" w:rsidR="004C2197" w:rsidRDefault="004C2197">
            <w:pPr>
              <w:rPr>
                <w:rFonts w:ascii="宋体"/>
              </w:rPr>
            </w:pPr>
          </w:p>
        </w:tc>
        <w:tc>
          <w:tcPr>
            <w:tcW w:w="0" w:type="auto"/>
            <w:shd w:val="clear" w:color="auto" w:fill="auto"/>
          </w:tcPr>
          <w:p w14:paraId="0D8DEAA2" w14:textId="77777777" w:rsidR="004C2197" w:rsidRDefault="004C2197">
            <w:pPr>
              <w:rPr>
                <w:rFonts w:ascii="宋体"/>
              </w:rPr>
            </w:pPr>
          </w:p>
        </w:tc>
      </w:tr>
      <w:tr w:rsidR="004C2197" w14:paraId="0D8DEAB0" w14:textId="77777777">
        <w:trPr>
          <w:jc w:val="center"/>
        </w:trPr>
        <w:tc>
          <w:tcPr>
            <w:tcW w:w="0" w:type="auto"/>
            <w:gridSpan w:val="3"/>
            <w:shd w:val="clear" w:color="auto" w:fill="FFFFFF"/>
            <w:tcMar>
              <w:top w:w="40" w:type="dxa"/>
              <w:left w:w="135" w:type="dxa"/>
              <w:bottom w:w="40" w:type="dxa"/>
              <w:right w:w="20" w:type="dxa"/>
            </w:tcMar>
            <w:vAlign w:val="bottom"/>
          </w:tcPr>
          <w:p w14:paraId="0D8DEAA4" w14:textId="77777777" w:rsidR="004C2197" w:rsidRDefault="00863B83">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0D8DEAA5" w14:textId="77777777" w:rsidR="004C2197" w:rsidRDefault="00863B83">
            <w:pPr>
              <w:jc w:val="right"/>
              <w:textAlignment w:val="bottom"/>
            </w:pPr>
            <w:r>
              <w:rPr>
                <w:rFonts w:ascii="sans-serif" w:eastAsia="sans-serif" w:hAnsi="sans-serif" w:cs="sans-serif"/>
                <w:color w:val="000000"/>
                <w:sz w:val="18"/>
                <w:szCs w:val="18"/>
              </w:rPr>
              <w:t>(7)</w:t>
            </w:r>
          </w:p>
        </w:tc>
        <w:tc>
          <w:tcPr>
            <w:tcW w:w="0" w:type="auto"/>
            <w:shd w:val="clear" w:color="auto" w:fill="FFFFFF"/>
            <w:tcMar>
              <w:top w:w="40" w:type="dxa"/>
              <w:bottom w:w="40" w:type="dxa"/>
              <w:right w:w="20" w:type="dxa"/>
            </w:tcMar>
            <w:vAlign w:val="bottom"/>
          </w:tcPr>
          <w:p w14:paraId="0D8DEAA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A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A8" w14:textId="77777777" w:rsidR="004C2197" w:rsidRDefault="00863B83">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bottom w:w="40" w:type="dxa"/>
              <w:right w:w="20" w:type="dxa"/>
            </w:tcMar>
            <w:vAlign w:val="bottom"/>
          </w:tcPr>
          <w:p w14:paraId="0D8DEAA9" w14:textId="77777777" w:rsidR="004C2197" w:rsidRDefault="004C2197">
            <w:pPr>
              <w:jc w:val="right"/>
              <w:rPr>
                <w:rFonts w:ascii="宋体"/>
              </w:rPr>
            </w:pPr>
          </w:p>
        </w:tc>
        <w:tc>
          <w:tcPr>
            <w:tcW w:w="0" w:type="auto"/>
            <w:shd w:val="clear" w:color="auto" w:fill="auto"/>
          </w:tcPr>
          <w:p w14:paraId="0D8DEAAA" w14:textId="77777777" w:rsidR="004C2197" w:rsidRDefault="004C2197">
            <w:pPr>
              <w:rPr>
                <w:rFonts w:ascii="宋体"/>
              </w:rPr>
            </w:pPr>
          </w:p>
        </w:tc>
        <w:tc>
          <w:tcPr>
            <w:tcW w:w="0" w:type="auto"/>
            <w:shd w:val="clear" w:color="auto" w:fill="auto"/>
          </w:tcPr>
          <w:p w14:paraId="0D8DEAAB" w14:textId="77777777" w:rsidR="004C2197" w:rsidRDefault="004C2197">
            <w:pPr>
              <w:rPr>
                <w:rFonts w:ascii="宋体"/>
              </w:rPr>
            </w:pPr>
          </w:p>
        </w:tc>
        <w:tc>
          <w:tcPr>
            <w:tcW w:w="0" w:type="auto"/>
            <w:shd w:val="clear" w:color="auto" w:fill="auto"/>
          </w:tcPr>
          <w:p w14:paraId="0D8DEAAC" w14:textId="77777777" w:rsidR="004C2197" w:rsidRDefault="004C2197">
            <w:pPr>
              <w:rPr>
                <w:rFonts w:ascii="宋体"/>
              </w:rPr>
            </w:pPr>
          </w:p>
        </w:tc>
        <w:tc>
          <w:tcPr>
            <w:tcW w:w="0" w:type="auto"/>
            <w:shd w:val="clear" w:color="auto" w:fill="auto"/>
          </w:tcPr>
          <w:p w14:paraId="0D8DEAAD" w14:textId="77777777" w:rsidR="004C2197" w:rsidRDefault="004C2197">
            <w:pPr>
              <w:rPr>
                <w:rFonts w:ascii="宋体"/>
              </w:rPr>
            </w:pPr>
          </w:p>
        </w:tc>
        <w:tc>
          <w:tcPr>
            <w:tcW w:w="0" w:type="auto"/>
            <w:shd w:val="clear" w:color="auto" w:fill="auto"/>
          </w:tcPr>
          <w:p w14:paraId="0D8DEAAE" w14:textId="77777777" w:rsidR="004C2197" w:rsidRDefault="004C2197">
            <w:pPr>
              <w:rPr>
                <w:rFonts w:ascii="宋体"/>
              </w:rPr>
            </w:pPr>
          </w:p>
        </w:tc>
        <w:tc>
          <w:tcPr>
            <w:tcW w:w="0" w:type="auto"/>
            <w:shd w:val="clear" w:color="auto" w:fill="auto"/>
          </w:tcPr>
          <w:p w14:paraId="0D8DEAAF" w14:textId="77777777" w:rsidR="004C2197" w:rsidRDefault="004C2197">
            <w:pPr>
              <w:rPr>
                <w:rFonts w:ascii="宋体"/>
              </w:rPr>
            </w:pPr>
          </w:p>
        </w:tc>
      </w:tr>
      <w:tr w:rsidR="004C2197" w14:paraId="0D8DEABD" w14:textId="77777777">
        <w:trPr>
          <w:jc w:val="center"/>
        </w:trPr>
        <w:tc>
          <w:tcPr>
            <w:tcW w:w="0" w:type="auto"/>
            <w:gridSpan w:val="3"/>
            <w:shd w:val="clear" w:color="auto" w:fill="E2EFD9"/>
            <w:tcMar>
              <w:top w:w="40" w:type="dxa"/>
              <w:left w:w="20" w:type="dxa"/>
              <w:bottom w:w="40" w:type="dxa"/>
              <w:right w:w="20" w:type="dxa"/>
            </w:tcMar>
            <w:vAlign w:val="bottom"/>
          </w:tcPr>
          <w:p w14:paraId="0D8DEAB1" w14:textId="77777777" w:rsidR="004C2197" w:rsidRDefault="00863B83">
            <w:pPr>
              <w:textAlignment w:val="bottom"/>
            </w:pPr>
            <w:r>
              <w:rPr>
                <w:rFonts w:ascii="sans-serif" w:eastAsia="sans-serif" w:hAnsi="sans-serif" w:cs="sans-serif"/>
                <w:color w:val="000000"/>
                <w:sz w:val="18"/>
                <w:szCs w:val="18"/>
              </w:rPr>
              <w:t>Net cash provided by (used in) 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AB2" w14:textId="77777777" w:rsidR="004C2197" w:rsidRDefault="00863B83">
            <w:pPr>
              <w:jc w:val="right"/>
              <w:textAlignment w:val="bottom"/>
            </w:pPr>
            <w:r>
              <w:rPr>
                <w:rFonts w:ascii="sans-serif" w:eastAsia="sans-serif" w:hAnsi="sans-serif" w:cs="sans-serif"/>
                <w:color w:val="000000"/>
                <w:sz w:val="18"/>
                <w:szCs w:val="18"/>
              </w:rPr>
              <w:t>(14,545)</w:t>
            </w:r>
          </w:p>
        </w:tc>
        <w:tc>
          <w:tcPr>
            <w:tcW w:w="0" w:type="auto"/>
            <w:tcBorders>
              <w:top w:val="single" w:sz="8" w:space="0" w:color="000000"/>
            </w:tcBorders>
            <w:shd w:val="clear" w:color="auto" w:fill="E2EFD9"/>
            <w:tcMar>
              <w:top w:w="40" w:type="dxa"/>
              <w:bottom w:w="40" w:type="dxa"/>
              <w:right w:w="20" w:type="dxa"/>
            </w:tcMar>
            <w:vAlign w:val="bottom"/>
          </w:tcPr>
          <w:p w14:paraId="0D8DEAB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B4"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AB5" w14:textId="77777777" w:rsidR="004C2197" w:rsidRDefault="00863B83">
            <w:pPr>
              <w:jc w:val="right"/>
              <w:textAlignment w:val="bottom"/>
            </w:pPr>
            <w:r>
              <w:rPr>
                <w:rFonts w:ascii="sans-serif" w:eastAsia="sans-serif" w:hAnsi="sans-serif" w:cs="sans-serif"/>
                <w:color w:val="000000"/>
                <w:sz w:val="18"/>
                <w:szCs w:val="18"/>
              </w:rPr>
              <w:t>5,040 </w:t>
            </w:r>
          </w:p>
        </w:tc>
        <w:tc>
          <w:tcPr>
            <w:tcW w:w="0" w:type="auto"/>
            <w:tcBorders>
              <w:top w:val="single" w:sz="8" w:space="0" w:color="000000"/>
            </w:tcBorders>
            <w:shd w:val="clear" w:color="auto" w:fill="E2EFD9"/>
            <w:tcMar>
              <w:top w:w="40" w:type="dxa"/>
              <w:bottom w:w="40" w:type="dxa"/>
              <w:right w:w="20" w:type="dxa"/>
            </w:tcMar>
            <w:vAlign w:val="bottom"/>
          </w:tcPr>
          <w:p w14:paraId="0D8DEAB6" w14:textId="77777777" w:rsidR="004C2197" w:rsidRDefault="004C2197">
            <w:pPr>
              <w:jc w:val="right"/>
              <w:rPr>
                <w:rFonts w:ascii="宋体"/>
              </w:rPr>
            </w:pPr>
          </w:p>
        </w:tc>
        <w:tc>
          <w:tcPr>
            <w:tcW w:w="0" w:type="auto"/>
            <w:shd w:val="clear" w:color="auto" w:fill="auto"/>
          </w:tcPr>
          <w:p w14:paraId="0D8DEAB7" w14:textId="77777777" w:rsidR="004C2197" w:rsidRDefault="004C2197">
            <w:pPr>
              <w:rPr>
                <w:rFonts w:ascii="宋体"/>
              </w:rPr>
            </w:pPr>
          </w:p>
        </w:tc>
        <w:tc>
          <w:tcPr>
            <w:tcW w:w="0" w:type="auto"/>
            <w:shd w:val="clear" w:color="auto" w:fill="auto"/>
          </w:tcPr>
          <w:p w14:paraId="0D8DEAB8" w14:textId="77777777" w:rsidR="004C2197" w:rsidRDefault="004C2197">
            <w:pPr>
              <w:rPr>
                <w:rFonts w:ascii="宋体"/>
              </w:rPr>
            </w:pPr>
          </w:p>
        </w:tc>
        <w:tc>
          <w:tcPr>
            <w:tcW w:w="0" w:type="auto"/>
            <w:shd w:val="clear" w:color="auto" w:fill="auto"/>
          </w:tcPr>
          <w:p w14:paraId="0D8DEAB9" w14:textId="77777777" w:rsidR="004C2197" w:rsidRDefault="004C2197">
            <w:pPr>
              <w:rPr>
                <w:rFonts w:ascii="宋体"/>
              </w:rPr>
            </w:pPr>
          </w:p>
        </w:tc>
        <w:tc>
          <w:tcPr>
            <w:tcW w:w="0" w:type="auto"/>
            <w:shd w:val="clear" w:color="auto" w:fill="auto"/>
          </w:tcPr>
          <w:p w14:paraId="0D8DEABA" w14:textId="77777777" w:rsidR="004C2197" w:rsidRDefault="004C2197">
            <w:pPr>
              <w:rPr>
                <w:rFonts w:ascii="宋体"/>
              </w:rPr>
            </w:pPr>
          </w:p>
        </w:tc>
        <w:tc>
          <w:tcPr>
            <w:tcW w:w="0" w:type="auto"/>
            <w:shd w:val="clear" w:color="auto" w:fill="auto"/>
          </w:tcPr>
          <w:p w14:paraId="0D8DEABB" w14:textId="77777777" w:rsidR="004C2197" w:rsidRDefault="004C2197">
            <w:pPr>
              <w:rPr>
                <w:rFonts w:ascii="宋体"/>
              </w:rPr>
            </w:pPr>
          </w:p>
        </w:tc>
        <w:tc>
          <w:tcPr>
            <w:tcW w:w="0" w:type="auto"/>
            <w:shd w:val="clear" w:color="auto" w:fill="auto"/>
          </w:tcPr>
          <w:p w14:paraId="0D8DEABC" w14:textId="77777777" w:rsidR="004C2197" w:rsidRDefault="004C2197">
            <w:pPr>
              <w:rPr>
                <w:rFonts w:ascii="宋体"/>
              </w:rPr>
            </w:pPr>
          </w:p>
        </w:tc>
      </w:tr>
      <w:tr w:rsidR="004C2197" w14:paraId="0D8DEAC8" w14:textId="77777777">
        <w:trPr>
          <w:jc w:val="center"/>
        </w:trPr>
        <w:tc>
          <w:tcPr>
            <w:tcW w:w="0" w:type="auto"/>
            <w:gridSpan w:val="3"/>
            <w:shd w:val="clear" w:color="auto" w:fill="FFFFFF"/>
            <w:tcMar>
              <w:top w:w="40" w:type="dxa"/>
              <w:left w:w="20" w:type="dxa"/>
              <w:bottom w:w="40" w:type="dxa"/>
              <w:right w:w="20" w:type="dxa"/>
            </w:tcMar>
            <w:vAlign w:val="bottom"/>
          </w:tcPr>
          <w:p w14:paraId="0D8DEABE" w14:textId="77777777" w:rsidR="004C2197" w:rsidRDefault="00863B83">
            <w:pPr>
              <w:textAlignment w:val="bottom"/>
            </w:pPr>
            <w:r>
              <w:rPr>
                <w:rFonts w:ascii="sans-serif" w:eastAsia="sans-serif" w:hAnsi="sans-serif" w:cs="sans-serif"/>
                <w:color w:val="000000"/>
                <w:sz w:val="18"/>
                <w:szCs w:val="18"/>
              </w:rPr>
              <w:t xml:space="preserve">Cash flows from </w:t>
            </w:r>
            <w:r>
              <w:rPr>
                <w:rFonts w:ascii="sans-serif" w:eastAsia="sans-serif" w:hAnsi="sans-serif" w:cs="sans-serif"/>
                <w:color w:val="000000"/>
                <w:sz w:val="18"/>
                <w:szCs w:val="18"/>
              </w:rPr>
              <w:t>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8DEABF"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FFFFFF"/>
            <w:tcMar>
              <w:left w:w="20" w:type="dxa"/>
              <w:right w:w="20" w:type="dxa"/>
            </w:tcMar>
            <w:vAlign w:val="bottom"/>
          </w:tcPr>
          <w:p w14:paraId="0D8DEAC0" w14:textId="77777777" w:rsidR="004C2197" w:rsidRDefault="004C219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8DEAC1" w14:textId="77777777" w:rsidR="004C2197" w:rsidRDefault="00863B83">
            <w:pPr>
              <w:textAlignment w:val="bottom"/>
            </w:pPr>
            <w:r>
              <w:rPr>
                <w:rFonts w:ascii="sans-serif" w:eastAsia="sans-serif" w:hAnsi="sans-serif" w:cs="sans-serif"/>
                <w:color w:val="000000"/>
                <w:sz w:val="18"/>
                <w:szCs w:val="18"/>
              </w:rPr>
              <w:t> </w:t>
            </w:r>
          </w:p>
        </w:tc>
        <w:tc>
          <w:tcPr>
            <w:tcW w:w="0" w:type="auto"/>
            <w:shd w:val="clear" w:color="auto" w:fill="auto"/>
          </w:tcPr>
          <w:p w14:paraId="0D8DEAC2" w14:textId="77777777" w:rsidR="004C2197" w:rsidRDefault="004C2197">
            <w:pPr>
              <w:rPr>
                <w:rFonts w:ascii="宋体"/>
              </w:rPr>
            </w:pPr>
          </w:p>
        </w:tc>
        <w:tc>
          <w:tcPr>
            <w:tcW w:w="0" w:type="auto"/>
            <w:shd w:val="clear" w:color="auto" w:fill="auto"/>
          </w:tcPr>
          <w:p w14:paraId="0D8DEAC3" w14:textId="77777777" w:rsidR="004C2197" w:rsidRDefault="004C2197">
            <w:pPr>
              <w:rPr>
                <w:rFonts w:ascii="宋体"/>
              </w:rPr>
            </w:pPr>
          </w:p>
        </w:tc>
        <w:tc>
          <w:tcPr>
            <w:tcW w:w="0" w:type="auto"/>
            <w:shd w:val="clear" w:color="auto" w:fill="auto"/>
          </w:tcPr>
          <w:p w14:paraId="0D8DEAC4" w14:textId="77777777" w:rsidR="004C2197" w:rsidRDefault="004C2197">
            <w:pPr>
              <w:rPr>
                <w:rFonts w:ascii="宋体"/>
              </w:rPr>
            </w:pPr>
          </w:p>
        </w:tc>
        <w:tc>
          <w:tcPr>
            <w:tcW w:w="0" w:type="auto"/>
            <w:shd w:val="clear" w:color="auto" w:fill="auto"/>
          </w:tcPr>
          <w:p w14:paraId="0D8DEAC5" w14:textId="77777777" w:rsidR="004C2197" w:rsidRDefault="004C2197">
            <w:pPr>
              <w:rPr>
                <w:rFonts w:ascii="宋体"/>
              </w:rPr>
            </w:pPr>
          </w:p>
        </w:tc>
        <w:tc>
          <w:tcPr>
            <w:tcW w:w="0" w:type="auto"/>
            <w:shd w:val="clear" w:color="auto" w:fill="auto"/>
          </w:tcPr>
          <w:p w14:paraId="0D8DEAC6" w14:textId="77777777" w:rsidR="004C2197" w:rsidRDefault="004C2197">
            <w:pPr>
              <w:rPr>
                <w:rFonts w:ascii="宋体"/>
              </w:rPr>
            </w:pPr>
          </w:p>
        </w:tc>
        <w:tc>
          <w:tcPr>
            <w:tcW w:w="0" w:type="auto"/>
            <w:shd w:val="clear" w:color="auto" w:fill="auto"/>
          </w:tcPr>
          <w:p w14:paraId="0D8DEAC7" w14:textId="77777777" w:rsidR="004C2197" w:rsidRDefault="004C2197">
            <w:pPr>
              <w:rPr>
                <w:rFonts w:ascii="宋体"/>
              </w:rPr>
            </w:pPr>
          </w:p>
        </w:tc>
      </w:tr>
      <w:tr w:rsidR="004C2197" w14:paraId="0D8DEAD5" w14:textId="77777777">
        <w:trPr>
          <w:jc w:val="center"/>
        </w:trPr>
        <w:tc>
          <w:tcPr>
            <w:tcW w:w="0" w:type="auto"/>
            <w:gridSpan w:val="3"/>
            <w:shd w:val="clear" w:color="auto" w:fill="E2EFD9"/>
            <w:tcMar>
              <w:top w:w="40" w:type="dxa"/>
              <w:left w:w="135" w:type="dxa"/>
              <w:bottom w:w="40" w:type="dxa"/>
              <w:right w:w="20" w:type="dxa"/>
            </w:tcMar>
            <w:vAlign w:val="bottom"/>
          </w:tcPr>
          <w:p w14:paraId="0D8DEAC9" w14:textId="77777777" w:rsidR="004C2197" w:rsidRDefault="00863B83">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0D8DEACA" w14:textId="77777777" w:rsidR="004C2197" w:rsidRDefault="00863B83">
            <w:pPr>
              <w:jc w:val="right"/>
              <w:textAlignment w:val="bottom"/>
            </w:pPr>
            <w:r>
              <w:rPr>
                <w:rFonts w:ascii="sans-serif" w:eastAsia="sans-serif" w:hAnsi="sans-serif" w:cs="sans-serif"/>
                <w:color w:val="000000"/>
                <w:sz w:val="18"/>
                <w:szCs w:val="18"/>
              </w:rPr>
              <w:t>4,971 </w:t>
            </w:r>
          </w:p>
        </w:tc>
        <w:tc>
          <w:tcPr>
            <w:tcW w:w="0" w:type="auto"/>
            <w:shd w:val="clear" w:color="auto" w:fill="E2EFD9"/>
            <w:tcMar>
              <w:top w:w="40" w:type="dxa"/>
              <w:bottom w:w="40" w:type="dxa"/>
              <w:right w:w="20" w:type="dxa"/>
            </w:tcMar>
            <w:vAlign w:val="bottom"/>
          </w:tcPr>
          <w:p w14:paraId="0D8DEAC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C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CD" w14:textId="77777777" w:rsidR="004C2197" w:rsidRDefault="00863B83">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bottom w:w="40" w:type="dxa"/>
              <w:right w:w="20" w:type="dxa"/>
            </w:tcMar>
            <w:vAlign w:val="bottom"/>
          </w:tcPr>
          <w:p w14:paraId="0D8DEACE" w14:textId="77777777" w:rsidR="004C2197" w:rsidRDefault="004C2197">
            <w:pPr>
              <w:jc w:val="right"/>
              <w:rPr>
                <w:rFonts w:ascii="宋体"/>
              </w:rPr>
            </w:pPr>
          </w:p>
        </w:tc>
        <w:tc>
          <w:tcPr>
            <w:tcW w:w="0" w:type="auto"/>
            <w:shd w:val="clear" w:color="auto" w:fill="auto"/>
          </w:tcPr>
          <w:p w14:paraId="0D8DEACF" w14:textId="77777777" w:rsidR="004C2197" w:rsidRDefault="004C2197">
            <w:pPr>
              <w:rPr>
                <w:rFonts w:ascii="宋体"/>
              </w:rPr>
            </w:pPr>
          </w:p>
        </w:tc>
        <w:tc>
          <w:tcPr>
            <w:tcW w:w="0" w:type="auto"/>
            <w:shd w:val="clear" w:color="auto" w:fill="auto"/>
          </w:tcPr>
          <w:p w14:paraId="0D8DEAD0" w14:textId="77777777" w:rsidR="004C2197" w:rsidRDefault="004C2197">
            <w:pPr>
              <w:rPr>
                <w:rFonts w:ascii="宋体"/>
              </w:rPr>
            </w:pPr>
          </w:p>
        </w:tc>
        <w:tc>
          <w:tcPr>
            <w:tcW w:w="0" w:type="auto"/>
            <w:shd w:val="clear" w:color="auto" w:fill="auto"/>
          </w:tcPr>
          <w:p w14:paraId="0D8DEAD1" w14:textId="77777777" w:rsidR="004C2197" w:rsidRDefault="004C2197">
            <w:pPr>
              <w:rPr>
                <w:rFonts w:ascii="宋体"/>
              </w:rPr>
            </w:pPr>
          </w:p>
        </w:tc>
        <w:tc>
          <w:tcPr>
            <w:tcW w:w="0" w:type="auto"/>
            <w:shd w:val="clear" w:color="auto" w:fill="auto"/>
          </w:tcPr>
          <w:p w14:paraId="0D8DEAD2" w14:textId="77777777" w:rsidR="004C2197" w:rsidRDefault="004C2197">
            <w:pPr>
              <w:rPr>
                <w:rFonts w:ascii="宋体"/>
              </w:rPr>
            </w:pPr>
          </w:p>
        </w:tc>
        <w:tc>
          <w:tcPr>
            <w:tcW w:w="0" w:type="auto"/>
            <w:shd w:val="clear" w:color="auto" w:fill="auto"/>
          </w:tcPr>
          <w:p w14:paraId="0D8DEAD3" w14:textId="77777777" w:rsidR="004C2197" w:rsidRDefault="004C2197">
            <w:pPr>
              <w:rPr>
                <w:rFonts w:ascii="宋体"/>
              </w:rPr>
            </w:pPr>
          </w:p>
        </w:tc>
        <w:tc>
          <w:tcPr>
            <w:tcW w:w="0" w:type="auto"/>
            <w:shd w:val="clear" w:color="auto" w:fill="auto"/>
          </w:tcPr>
          <w:p w14:paraId="0D8DEAD4" w14:textId="77777777" w:rsidR="004C2197" w:rsidRDefault="004C2197">
            <w:pPr>
              <w:rPr>
                <w:rFonts w:ascii="宋体"/>
              </w:rPr>
            </w:pPr>
          </w:p>
        </w:tc>
      </w:tr>
      <w:tr w:rsidR="004C2197" w14:paraId="0D8DEAE2" w14:textId="77777777">
        <w:trPr>
          <w:jc w:val="center"/>
        </w:trPr>
        <w:tc>
          <w:tcPr>
            <w:tcW w:w="0" w:type="auto"/>
            <w:gridSpan w:val="3"/>
            <w:shd w:val="clear" w:color="auto" w:fill="FFFFFF"/>
            <w:tcMar>
              <w:top w:w="40" w:type="dxa"/>
              <w:left w:w="135" w:type="dxa"/>
              <w:bottom w:w="40" w:type="dxa"/>
              <w:right w:w="20" w:type="dxa"/>
            </w:tcMar>
            <w:vAlign w:val="bottom"/>
          </w:tcPr>
          <w:p w14:paraId="0D8DEAD6" w14:textId="77777777" w:rsidR="004C2197" w:rsidRDefault="00863B83">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FFFFFF"/>
            <w:tcMar>
              <w:top w:w="40" w:type="dxa"/>
              <w:left w:w="20" w:type="dxa"/>
              <w:bottom w:w="40" w:type="dxa"/>
              <w:right w:w="0" w:type="dxa"/>
            </w:tcMar>
            <w:vAlign w:val="bottom"/>
          </w:tcPr>
          <w:p w14:paraId="0D8DEAD7" w14:textId="77777777" w:rsidR="004C2197" w:rsidRDefault="00863B83">
            <w:pPr>
              <w:jc w:val="right"/>
              <w:textAlignment w:val="bottom"/>
            </w:pPr>
            <w:r>
              <w:rPr>
                <w:rFonts w:ascii="sans-serif" w:eastAsia="sans-serif" w:hAnsi="sans-serif" w:cs="sans-serif"/>
                <w:color w:val="000000"/>
                <w:sz w:val="18"/>
                <w:szCs w:val="18"/>
              </w:rPr>
              <w:t>94 </w:t>
            </w:r>
          </w:p>
        </w:tc>
        <w:tc>
          <w:tcPr>
            <w:tcW w:w="0" w:type="auto"/>
            <w:shd w:val="clear" w:color="auto" w:fill="FFFFFF"/>
            <w:tcMar>
              <w:top w:w="40" w:type="dxa"/>
              <w:bottom w:w="40" w:type="dxa"/>
              <w:right w:w="20" w:type="dxa"/>
            </w:tcMar>
            <w:vAlign w:val="bottom"/>
          </w:tcPr>
          <w:p w14:paraId="0D8DEAD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D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DA" w14:textId="77777777" w:rsidR="004C2197" w:rsidRDefault="00863B83">
            <w:pPr>
              <w:jc w:val="right"/>
              <w:textAlignment w:val="bottom"/>
            </w:pPr>
            <w:r>
              <w:rPr>
                <w:rFonts w:ascii="sans-serif" w:eastAsia="sans-serif" w:hAnsi="sans-serif" w:cs="sans-serif"/>
                <w:color w:val="000000"/>
                <w:sz w:val="18"/>
                <w:szCs w:val="18"/>
              </w:rPr>
              <w:t>83 </w:t>
            </w:r>
          </w:p>
        </w:tc>
        <w:tc>
          <w:tcPr>
            <w:tcW w:w="0" w:type="auto"/>
            <w:shd w:val="clear" w:color="auto" w:fill="FFFFFF"/>
            <w:tcMar>
              <w:top w:w="40" w:type="dxa"/>
              <w:bottom w:w="40" w:type="dxa"/>
              <w:right w:w="20" w:type="dxa"/>
            </w:tcMar>
            <w:vAlign w:val="bottom"/>
          </w:tcPr>
          <w:p w14:paraId="0D8DEADB" w14:textId="77777777" w:rsidR="004C2197" w:rsidRDefault="004C2197">
            <w:pPr>
              <w:jc w:val="right"/>
              <w:rPr>
                <w:rFonts w:ascii="宋体"/>
              </w:rPr>
            </w:pPr>
          </w:p>
        </w:tc>
        <w:tc>
          <w:tcPr>
            <w:tcW w:w="0" w:type="auto"/>
            <w:shd w:val="clear" w:color="auto" w:fill="auto"/>
          </w:tcPr>
          <w:p w14:paraId="0D8DEADC" w14:textId="77777777" w:rsidR="004C2197" w:rsidRDefault="004C2197">
            <w:pPr>
              <w:rPr>
                <w:rFonts w:ascii="宋体"/>
              </w:rPr>
            </w:pPr>
          </w:p>
        </w:tc>
        <w:tc>
          <w:tcPr>
            <w:tcW w:w="0" w:type="auto"/>
            <w:shd w:val="clear" w:color="auto" w:fill="auto"/>
          </w:tcPr>
          <w:p w14:paraId="0D8DEADD" w14:textId="77777777" w:rsidR="004C2197" w:rsidRDefault="004C2197">
            <w:pPr>
              <w:rPr>
                <w:rFonts w:ascii="宋体"/>
              </w:rPr>
            </w:pPr>
          </w:p>
        </w:tc>
        <w:tc>
          <w:tcPr>
            <w:tcW w:w="0" w:type="auto"/>
            <w:shd w:val="clear" w:color="auto" w:fill="auto"/>
          </w:tcPr>
          <w:p w14:paraId="0D8DEADE" w14:textId="77777777" w:rsidR="004C2197" w:rsidRDefault="004C2197">
            <w:pPr>
              <w:rPr>
                <w:rFonts w:ascii="宋体"/>
              </w:rPr>
            </w:pPr>
          </w:p>
        </w:tc>
        <w:tc>
          <w:tcPr>
            <w:tcW w:w="0" w:type="auto"/>
            <w:shd w:val="clear" w:color="auto" w:fill="auto"/>
          </w:tcPr>
          <w:p w14:paraId="0D8DEADF" w14:textId="77777777" w:rsidR="004C2197" w:rsidRDefault="004C2197">
            <w:pPr>
              <w:rPr>
                <w:rFonts w:ascii="宋体"/>
              </w:rPr>
            </w:pPr>
          </w:p>
        </w:tc>
        <w:tc>
          <w:tcPr>
            <w:tcW w:w="0" w:type="auto"/>
            <w:shd w:val="clear" w:color="auto" w:fill="auto"/>
          </w:tcPr>
          <w:p w14:paraId="0D8DEAE0" w14:textId="77777777" w:rsidR="004C2197" w:rsidRDefault="004C2197">
            <w:pPr>
              <w:rPr>
                <w:rFonts w:ascii="宋体"/>
              </w:rPr>
            </w:pPr>
          </w:p>
        </w:tc>
        <w:tc>
          <w:tcPr>
            <w:tcW w:w="0" w:type="auto"/>
            <w:shd w:val="clear" w:color="auto" w:fill="auto"/>
          </w:tcPr>
          <w:p w14:paraId="0D8DEAE1" w14:textId="77777777" w:rsidR="004C2197" w:rsidRDefault="004C2197">
            <w:pPr>
              <w:rPr>
                <w:rFonts w:ascii="宋体"/>
              </w:rPr>
            </w:pPr>
          </w:p>
        </w:tc>
      </w:tr>
      <w:tr w:rsidR="004C2197" w14:paraId="0D8DEAEF" w14:textId="77777777">
        <w:trPr>
          <w:jc w:val="center"/>
        </w:trPr>
        <w:tc>
          <w:tcPr>
            <w:tcW w:w="0" w:type="auto"/>
            <w:gridSpan w:val="3"/>
            <w:shd w:val="clear" w:color="auto" w:fill="E2EFD9"/>
            <w:tcMar>
              <w:top w:w="40" w:type="dxa"/>
              <w:left w:w="135" w:type="dxa"/>
              <w:bottom w:w="40" w:type="dxa"/>
              <w:right w:w="20" w:type="dxa"/>
            </w:tcMar>
            <w:vAlign w:val="bottom"/>
          </w:tcPr>
          <w:p w14:paraId="0D8DEAE3" w14:textId="77777777" w:rsidR="004C2197" w:rsidRDefault="00863B83">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0D8DEAE4" w14:textId="77777777" w:rsidR="004C2197" w:rsidRDefault="00863B83">
            <w:pPr>
              <w:jc w:val="right"/>
              <w:textAlignment w:val="bottom"/>
            </w:pPr>
            <w:r>
              <w:rPr>
                <w:rFonts w:ascii="sans-serif" w:eastAsia="sans-serif" w:hAnsi="sans-serif" w:cs="sans-serif"/>
                <w:color w:val="000000"/>
                <w:sz w:val="18"/>
                <w:szCs w:val="18"/>
              </w:rPr>
              <w:t>(418)</w:t>
            </w:r>
          </w:p>
        </w:tc>
        <w:tc>
          <w:tcPr>
            <w:tcW w:w="0" w:type="auto"/>
            <w:shd w:val="clear" w:color="auto" w:fill="E2EFD9"/>
            <w:tcMar>
              <w:top w:w="40" w:type="dxa"/>
              <w:bottom w:w="40" w:type="dxa"/>
              <w:right w:w="20" w:type="dxa"/>
            </w:tcMar>
            <w:vAlign w:val="bottom"/>
          </w:tcPr>
          <w:p w14:paraId="0D8DEAE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AE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AE7" w14:textId="77777777" w:rsidR="004C2197" w:rsidRDefault="00863B83">
            <w:pPr>
              <w:jc w:val="right"/>
              <w:textAlignment w:val="bottom"/>
            </w:pPr>
            <w:r>
              <w:rPr>
                <w:rFonts w:ascii="sans-serif" w:eastAsia="sans-serif" w:hAnsi="sans-serif" w:cs="sans-serif"/>
                <w:color w:val="000000"/>
                <w:sz w:val="18"/>
                <w:szCs w:val="18"/>
              </w:rPr>
              <w:t>(261)</w:t>
            </w:r>
          </w:p>
        </w:tc>
        <w:tc>
          <w:tcPr>
            <w:tcW w:w="0" w:type="auto"/>
            <w:shd w:val="clear" w:color="auto" w:fill="E2EFD9"/>
            <w:tcMar>
              <w:top w:w="40" w:type="dxa"/>
              <w:bottom w:w="40" w:type="dxa"/>
              <w:right w:w="20" w:type="dxa"/>
            </w:tcMar>
            <w:vAlign w:val="bottom"/>
          </w:tcPr>
          <w:p w14:paraId="0D8DEAE8" w14:textId="77777777" w:rsidR="004C2197" w:rsidRDefault="004C2197">
            <w:pPr>
              <w:jc w:val="right"/>
              <w:rPr>
                <w:rFonts w:ascii="宋体"/>
              </w:rPr>
            </w:pPr>
          </w:p>
        </w:tc>
        <w:tc>
          <w:tcPr>
            <w:tcW w:w="0" w:type="auto"/>
            <w:shd w:val="clear" w:color="auto" w:fill="auto"/>
          </w:tcPr>
          <w:p w14:paraId="0D8DEAE9" w14:textId="77777777" w:rsidR="004C2197" w:rsidRDefault="004C2197">
            <w:pPr>
              <w:rPr>
                <w:rFonts w:ascii="宋体"/>
              </w:rPr>
            </w:pPr>
          </w:p>
        </w:tc>
        <w:tc>
          <w:tcPr>
            <w:tcW w:w="0" w:type="auto"/>
            <w:shd w:val="clear" w:color="auto" w:fill="auto"/>
          </w:tcPr>
          <w:p w14:paraId="0D8DEAEA" w14:textId="77777777" w:rsidR="004C2197" w:rsidRDefault="004C2197">
            <w:pPr>
              <w:rPr>
                <w:rFonts w:ascii="宋体"/>
              </w:rPr>
            </w:pPr>
          </w:p>
        </w:tc>
        <w:tc>
          <w:tcPr>
            <w:tcW w:w="0" w:type="auto"/>
            <w:shd w:val="clear" w:color="auto" w:fill="auto"/>
          </w:tcPr>
          <w:p w14:paraId="0D8DEAEB" w14:textId="77777777" w:rsidR="004C2197" w:rsidRDefault="004C2197">
            <w:pPr>
              <w:rPr>
                <w:rFonts w:ascii="宋体"/>
              </w:rPr>
            </w:pPr>
          </w:p>
        </w:tc>
        <w:tc>
          <w:tcPr>
            <w:tcW w:w="0" w:type="auto"/>
            <w:shd w:val="clear" w:color="auto" w:fill="auto"/>
          </w:tcPr>
          <w:p w14:paraId="0D8DEAEC" w14:textId="77777777" w:rsidR="004C2197" w:rsidRDefault="004C2197">
            <w:pPr>
              <w:rPr>
                <w:rFonts w:ascii="宋体"/>
              </w:rPr>
            </w:pPr>
          </w:p>
        </w:tc>
        <w:tc>
          <w:tcPr>
            <w:tcW w:w="0" w:type="auto"/>
            <w:shd w:val="clear" w:color="auto" w:fill="auto"/>
          </w:tcPr>
          <w:p w14:paraId="0D8DEAED" w14:textId="77777777" w:rsidR="004C2197" w:rsidRDefault="004C2197">
            <w:pPr>
              <w:rPr>
                <w:rFonts w:ascii="宋体"/>
              </w:rPr>
            </w:pPr>
          </w:p>
        </w:tc>
        <w:tc>
          <w:tcPr>
            <w:tcW w:w="0" w:type="auto"/>
            <w:shd w:val="clear" w:color="auto" w:fill="auto"/>
          </w:tcPr>
          <w:p w14:paraId="0D8DEAEE" w14:textId="77777777" w:rsidR="004C2197" w:rsidRDefault="004C2197">
            <w:pPr>
              <w:rPr>
                <w:rFonts w:ascii="宋体"/>
              </w:rPr>
            </w:pPr>
          </w:p>
        </w:tc>
      </w:tr>
      <w:tr w:rsidR="004C2197" w14:paraId="0D8DEAFC" w14:textId="77777777">
        <w:trPr>
          <w:jc w:val="center"/>
        </w:trPr>
        <w:tc>
          <w:tcPr>
            <w:tcW w:w="0" w:type="auto"/>
            <w:gridSpan w:val="3"/>
            <w:shd w:val="clear" w:color="auto" w:fill="FFFFFF"/>
            <w:tcMar>
              <w:top w:w="40" w:type="dxa"/>
              <w:left w:w="135" w:type="dxa"/>
              <w:bottom w:w="40" w:type="dxa"/>
              <w:right w:w="20" w:type="dxa"/>
            </w:tcMar>
            <w:vAlign w:val="bottom"/>
          </w:tcPr>
          <w:p w14:paraId="0D8DEAF0" w14:textId="77777777" w:rsidR="004C2197" w:rsidRDefault="00863B83">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0D8DEAF1" w14:textId="77777777" w:rsidR="004C2197" w:rsidRDefault="00863B83">
            <w:pPr>
              <w:jc w:val="right"/>
              <w:textAlignment w:val="bottom"/>
            </w:pPr>
            <w:r>
              <w:rPr>
                <w:rFonts w:ascii="sans-serif" w:eastAsia="sans-serif" w:hAnsi="sans-serif" w:cs="sans-serif"/>
                <w:color w:val="000000"/>
                <w:sz w:val="18"/>
                <w:szCs w:val="18"/>
              </w:rPr>
              <w:t>(197)</w:t>
            </w:r>
          </w:p>
        </w:tc>
        <w:tc>
          <w:tcPr>
            <w:tcW w:w="0" w:type="auto"/>
            <w:shd w:val="clear" w:color="auto" w:fill="FFFFFF"/>
            <w:tcMar>
              <w:top w:w="40" w:type="dxa"/>
              <w:bottom w:w="40" w:type="dxa"/>
              <w:right w:w="20" w:type="dxa"/>
            </w:tcMar>
            <w:vAlign w:val="bottom"/>
          </w:tcPr>
          <w:p w14:paraId="0D8DEAF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AF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AF4" w14:textId="77777777" w:rsidR="004C2197" w:rsidRDefault="00863B83">
            <w:pPr>
              <w:jc w:val="right"/>
              <w:textAlignment w:val="bottom"/>
            </w:pPr>
            <w:r>
              <w:rPr>
                <w:rFonts w:ascii="sans-serif" w:eastAsia="sans-serif" w:hAnsi="sans-serif" w:cs="sans-serif"/>
                <w:color w:val="000000"/>
                <w:sz w:val="18"/>
                <w:szCs w:val="18"/>
              </w:rPr>
              <w:t>(195)</w:t>
            </w:r>
          </w:p>
        </w:tc>
        <w:tc>
          <w:tcPr>
            <w:tcW w:w="0" w:type="auto"/>
            <w:shd w:val="clear" w:color="auto" w:fill="FFFFFF"/>
            <w:tcMar>
              <w:top w:w="40" w:type="dxa"/>
              <w:bottom w:w="40" w:type="dxa"/>
              <w:right w:w="20" w:type="dxa"/>
            </w:tcMar>
            <w:vAlign w:val="bottom"/>
          </w:tcPr>
          <w:p w14:paraId="0D8DEAF5" w14:textId="77777777" w:rsidR="004C2197" w:rsidRDefault="004C2197">
            <w:pPr>
              <w:jc w:val="right"/>
              <w:rPr>
                <w:rFonts w:ascii="宋体"/>
              </w:rPr>
            </w:pPr>
          </w:p>
        </w:tc>
        <w:tc>
          <w:tcPr>
            <w:tcW w:w="0" w:type="auto"/>
            <w:shd w:val="clear" w:color="auto" w:fill="auto"/>
          </w:tcPr>
          <w:p w14:paraId="0D8DEAF6" w14:textId="77777777" w:rsidR="004C2197" w:rsidRDefault="004C2197">
            <w:pPr>
              <w:rPr>
                <w:rFonts w:ascii="宋体"/>
              </w:rPr>
            </w:pPr>
          </w:p>
        </w:tc>
        <w:tc>
          <w:tcPr>
            <w:tcW w:w="0" w:type="auto"/>
            <w:shd w:val="clear" w:color="auto" w:fill="auto"/>
          </w:tcPr>
          <w:p w14:paraId="0D8DEAF7" w14:textId="77777777" w:rsidR="004C2197" w:rsidRDefault="004C2197">
            <w:pPr>
              <w:rPr>
                <w:rFonts w:ascii="宋体"/>
              </w:rPr>
            </w:pPr>
          </w:p>
        </w:tc>
        <w:tc>
          <w:tcPr>
            <w:tcW w:w="0" w:type="auto"/>
            <w:shd w:val="clear" w:color="auto" w:fill="auto"/>
          </w:tcPr>
          <w:p w14:paraId="0D8DEAF8" w14:textId="77777777" w:rsidR="004C2197" w:rsidRDefault="004C2197">
            <w:pPr>
              <w:rPr>
                <w:rFonts w:ascii="宋体"/>
              </w:rPr>
            </w:pPr>
          </w:p>
        </w:tc>
        <w:tc>
          <w:tcPr>
            <w:tcW w:w="0" w:type="auto"/>
            <w:shd w:val="clear" w:color="auto" w:fill="auto"/>
          </w:tcPr>
          <w:p w14:paraId="0D8DEAF9" w14:textId="77777777" w:rsidR="004C2197" w:rsidRDefault="004C2197">
            <w:pPr>
              <w:rPr>
                <w:rFonts w:ascii="宋体"/>
              </w:rPr>
            </w:pPr>
          </w:p>
        </w:tc>
        <w:tc>
          <w:tcPr>
            <w:tcW w:w="0" w:type="auto"/>
            <w:shd w:val="clear" w:color="auto" w:fill="auto"/>
          </w:tcPr>
          <w:p w14:paraId="0D8DEAFA" w14:textId="77777777" w:rsidR="004C2197" w:rsidRDefault="004C2197">
            <w:pPr>
              <w:rPr>
                <w:rFonts w:ascii="宋体"/>
              </w:rPr>
            </w:pPr>
          </w:p>
        </w:tc>
        <w:tc>
          <w:tcPr>
            <w:tcW w:w="0" w:type="auto"/>
            <w:shd w:val="clear" w:color="auto" w:fill="auto"/>
          </w:tcPr>
          <w:p w14:paraId="0D8DEAFB" w14:textId="77777777" w:rsidR="004C2197" w:rsidRDefault="004C2197">
            <w:pPr>
              <w:rPr>
                <w:rFonts w:ascii="宋体"/>
              </w:rPr>
            </w:pPr>
          </w:p>
        </w:tc>
      </w:tr>
      <w:tr w:rsidR="004C2197" w14:paraId="0D8DEB07" w14:textId="77777777">
        <w:trPr>
          <w:jc w:val="center"/>
          <w:hidden/>
        </w:trPr>
        <w:tc>
          <w:tcPr>
            <w:tcW w:w="0" w:type="auto"/>
            <w:gridSpan w:val="3"/>
            <w:shd w:val="clear" w:color="auto" w:fill="auto"/>
          </w:tcPr>
          <w:p w14:paraId="0D8DEAFD" w14:textId="77777777" w:rsidR="004C2197" w:rsidRDefault="004C2197">
            <w:pPr>
              <w:rPr>
                <w:rFonts w:ascii="宋体"/>
                <w:vanish/>
              </w:rPr>
            </w:pPr>
          </w:p>
        </w:tc>
        <w:tc>
          <w:tcPr>
            <w:tcW w:w="0" w:type="auto"/>
            <w:gridSpan w:val="3"/>
            <w:shd w:val="clear" w:color="auto" w:fill="auto"/>
          </w:tcPr>
          <w:p w14:paraId="0D8DEAFE" w14:textId="77777777" w:rsidR="004C2197" w:rsidRDefault="004C2197">
            <w:pPr>
              <w:rPr>
                <w:rFonts w:ascii="宋体"/>
                <w:vanish/>
              </w:rPr>
            </w:pPr>
          </w:p>
        </w:tc>
        <w:tc>
          <w:tcPr>
            <w:tcW w:w="0" w:type="auto"/>
            <w:gridSpan w:val="3"/>
            <w:shd w:val="clear" w:color="auto" w:fill="auto"/>
          </w:tcPr>
          <w:p w14:paraId="0D8DEAFF" w14:textId="77777777" w:rsidR="004C2197" w:rsidRDefault="004C2197">
            <w:pPr>
              <w:rPr>
                <w:rFonts w:ascii="宋体"/>
                <w:vanish/>
              </w:rPr>
            </w:pPr>
          </w:p>
        </w:tc>
        <w:tc>
          <w:tcPr>
            <w:tcW w:w="0" w:type="auto"/>
            <w:gridSpan w:val="3"/>
            <w:shd w:val="clear" w:color="auto" w:fill="auto"/>
          </w:tcPr>
          <w:p w14:paraId="0D8DEB00" w14:textId="77777777" w:rsidR="004C2197" w:rsidRDefault="004C2197">
            <w:pPr>
              <w:rPr>
                <w:rFonts w:ascii="宋体"/>
                <w:vanish/>
              </w:rPr>
            </w:pPr>
          </w:p>
        </w:tc>
        <w:tc>
          <w:tcPr>
            <w:tcW w:w="0" w:type="auto"/>
            <w:shd w:val="clear" w:color="auto" w:fill="auto"/>
          </w:tcPr>
          <w:p w14:paraId="0D8DEB01" w14:textId="77777777" w:rsidR="004C2197" w:rsidRDefault="004C2197">
            <w:pPr>
              <w:rPr>
                <w:rFonts w:ascii="宋体"/>
              </w:rPr>
            </w:pPr>
          </w:p>
        </w:tc>
        <w:tc>
          <w:tcPr>
            <w:tcW w:w="0" w:type="auto"/>
            <w:shd w:val="clear" w:color="auto" w:fill="auto"/>
          </w:tcPr>
          <w:p w14:paraId="0D8DEB02" w14:textId="77777777" w:rsidR="004C2197" w:rsidRDefault="004C2197">
            <w:pPr>
              <w:rPr>
                <w:rFonts w:ascii="宋体"/>
              </w:rPr>
            </w:pPr>
          </w:p>
        </w:tc>
        <w:tc>
          <w:tcPr>
            <w:tcW w:w="0" w:type="auto"/>
            <w:shd w:val="clear" w:color="auto" w:fill="auto"/>
          </w:tcPr>
          <w:p w14:paraId="0D8DEB03" w14:textId="77777777" w:rsidR="004C2197" w:rsidRDefault="004C2197">
            <w:pPr>
              <w:rPr>
                <w:rFonts w:ascii="宋体"/>
              </w:rPr>
            </w:pPr>
          </w:p>
        </w:tc>
        <w:tc>
          <w:tcPr>
            <w:tcW w:w="0" w:type="auto"/>
            <w:shd w:val="clear" w:color="auto" w:fill="auto"/>
          </w:tcPr>
          <w:p w14:paraId="0D8DEB04" w14:textId="77777777" w:rsidR="004C2197" w:rsidRDefault="004C2197">
            <w:pPr>
              <w:rPr>
                <w:rFonts w:ascii="宋体"/>
              </w:rPr>
            </w:pPr>
          </w:p>
        </w:tc>
        <w:tc>
          <w:tcPr>
            <w:tcW w:w="0" w:type="auto"/>
            <w:shd w:val="clear" w:color="auto" w:fill="auto"/>
          </w:tcPr>
          <w:p w14:paraId="0D8DEB05" w14:textId="77777777" w:rsidR="004C2197" w:rsidRDefault="004C2197">
            <w:pPr>
              <w:rPr>
                <w:rFonts w:ascii="宋体"/>
              </w:rPr>
            </w:pPr>
          </w:p>
        </w:tc>
        <w:tc>
          <w:tcPr>
            <w:tcW w:w="0" w:type="auto"/>
            <w:shd w:val="clear" w:color="auto" w:fill="auto"/>
          </w:tcPr>
          <w:p w14:paraId="0D8DEB06" w14:textId="77777777" w:rsidR="004C2197" w:rsidRDefault="004C2197">
            <w:pPr>
              <w:rPr>
                <w:rFonts w:ascii="宋体"/>
              </w:rPr>
            </w:pPr>
          </w:p>
        </w:tc>
      </w:tr>
      <w:tr w:rsidR="004C2197" w14:paraId="0D8DEB12" w14:textId="77777777">
        <w:trPr>
          <w:jc w:val="center"/>
          <w:hidden/>
        </w:trPr>
        <w:tc>
          <w:tcPr>
            <w:tcW w:w="0" w:type="auto"/>
            <w:gridSpan w:val="3"/>
            <w:shd w:val="clear" w:color="auto" w:fill="auto"/>
          </w:tcPr>
          <w:p w14:paraId="0D8DEB08" w14:textId="77777777" w:rsidR="004C2197" w:rsidRDefault="004C2197">
            <w:pPr>
              <w:rPr>
                <w:rFonts w:ascii="宋体"/>
                <w:vanish/>
              </w:rPr>
            </w:pPr>
          </w:p>
        </w:tc>
        <w:tc>
          <w:tcPr>
            <w:tcW w:w="0" w:type="auto"/>
            <w:gridSpan w:val="3"/>
            <w:shd w:val="clear" w:color="auto" w:fill="auto"/>
          </w:tcPr>
          <w:p w14:paraId="0D8DEB09" w14:textId="77777777" w:rsidR="004C2197" w:rsidRDefault="004C2197">
            <w:pPr>
              <w:rPr>
                <w:rFonts w:ascii="宋体"/>
                <w:vanish/>
              </w:rPr>
            </w:pPr>
          </w:p>
        </w:tc>
        <w:tc>
          <w:tcPr>
            <w:tcW w:w="0" w:type="auto"/>
            <w:gridSpan w:val="3"/>
            <w:shd w:val="clear" w:color="auto" w:fill="auto"/>
          </w:tcPr>
          <w:p w14:paraId="0D8DEB0A" w14:textId="77777777" w:rsidR="004C2197" w:rsidRDefault="004C2197">
            <w:pPr>
              <w:rPr>
                <w:rFonts w:ascii="宋体"/>
                <w:vanish/>
              </w:rPr>
            </w:pPr>
          </w:p>
        </w:tc>
        <w:tc>
          <w:tcPr>
            <w:tcW w:w="0" w:type="auto"/>
            <w:gridSpan w:val="3"/>
            <w:shd w:val="clear" w:color="auto" w:fill="auto"/>
          </w:tcPr>
          <w:p w14:paraId="0D8DEB0B" w14:textId="77777777" w:rsidR="004C2197" w:rsidRDefault="004C2197">
            <w:pPr>
              <w:rPr>
                <w:rFonts w:ascii="宋体"/>
                <w:vanish/>
              </w:rPr>
            </w:pPr>
          </w:p>
        </w:tc>
        <w:tc>
          <w:tcPr>
            <w:tcW w:w="0" w:type="auto"/>
            <w:shd w:val="clear" w:color="auto" w:fill="auto"/>
          </w:tcPr>
          <w:p w14:paraId="0D8DEB0C" w14:textId="77777777" w:rsidR="004C2197" w:rsidRDefault="004C2197">
            <w:pPr>
              <w:rPr>
                <w:rFonts w:ascii="宋体"/>
              </w:rPr>
            </w:pPr>
          </w:p>
        </w:tc>
        <w:tc>
          <w:tcPr>
            <w:tcW w:w="0" w:type="auto"/>
            <w:shd w:val="clear" w:color="auto" w:fill="auto"/>
          </w:tcPr>
          <w:p w14:paraId="0D8DEB0D" w14:textId="77777777" w:rsidR="004C2197" w:rsidRDefault="004C2197">
            <w:pPr>
              <w:rPr>
                <w:rFonts w:ascii="宋体"/>
              </w:rPr>
            </w:pPr>
          </w:p>
        </w:tc>
        <w:tc>
          <w:tcPr>
            <w:tcW w:w="0" w:type="auto"/>
            <w:shd w:val="clear" w:color="auto" w:fill="auto"/>
          </w:tcPr>
          <w:p w14:paraId="0D8DEB0E" w14:textId="77777777" w:rsidR="004C2197" w:rsidRDefault="004C2197">
            <w:pPr>
              <w:rPr>
                <w:rFonts w:ascii="宋体"/>
              </w:rPr>
            </w:pPr>
          </w:p>
        </w:tc>
        <w:tc>
          <w:tcPr>
            <w:tcW w:w="0" w:type="auto"/>
            <w:shd w:val="clear" w:color="auto" w:fill="auto"/>
          </w:tcPr>
          <w:p w14:paraId="0D8DEB0F" w14:textId="77777777" w:rsidR="004C2197" w:rsidRDefault="004C2197">
            <w:pPr>
              <w:rPr>
                <w:rFonts w:ascii="宋体"/>
              </w:rPr>
            </w:pPr>
          </w:p>
        </w:tc>
        <w:tc>
          <w:tcPr>
            <w:tcW w:w="0" w:type="auto"/>
            <w:shd w:val="clear" w:color="auto" w:fill="auto"/>
          </w:tcPr>
          <w:p w14:paraId="0D8DEB10" w14:textId="77777777" w:rsidR="004C2197" w:rsidRDefault="004C2197">
            <w:pPr>
              <w:rPr>
                <w:rFonts w:ascii="宋体"/>
              </w:rPr>
            </w:pPr>
          </w:p>
        </w:tc>
        <w:tc>
          <w:tcPr>
            <w:tcW w:w="0" w:type="auto"/>
            <w:shd w:val="clear" w:color="auto" w:fill="auto"/>
          </w:tcPr>
          <w:p w14:paraId="0D8DEB11" w14:textId="77777777" w:rsidR="004C2197" w:rsidRDefault="004C2197">
            <w:pPr>
              <w:rPr>
                <w:rFonts w:ascii="宋体"/>
              </w:rPr>
            </w:pPr>
          </w:p>
        </w:tc>
      </w:tr>
      <w:tr w:rsidR="004C2197" w14:paraId="0D8DEB1D" w14:textId="77777777">
        <w:trPr>
          <w:jc w:val="center"/>
          <w:hidden/>
        </w:trPr>
        <w:tc>
          <w:tcPr>
            <w:tcW w:w="0" w:type="auto"/>
            <w:gridSpan w:val="3"/>
            <w:shd w:val="clear" w:color="auto" w:fill="auto"/>
          </w:tcPr>
          <w:p w14:paraId="0D8DEB13" w14:textId="77777777" w:rsidR="004C2197" w:rsidRDefault="004C2197">
            <w:pPr>
              <w:rPr>
                <w:rFonts w:ascii="宋体"/>
                <w:vanish/>
              </w:rPr>
            </w:pPr>
          </w:p>
        </w:tc>
        <w:tc>
          <w:tcPr>
            <w:tcW w:w="0" w:type="auto"/>
            <w:gridSpan w:val="3"/>
            <w:shd w:val="clear" w:color="auto" w:fill="auto"/>
          </w:tcPr>
          <w:p w14:paraId="0D8DEB14" w14:textId="77777777" w:rsidR="004C2197" w:rsidRDefault="004C2197">
            <w:pPr>
              <w:rPr>
                <w:rFonts w:ascii="宋体"/>
                <w:vanish/>
              </w:rPr>
            </w:pPr>
          </w:p>
        </w:tc>
        <w:tc>
          <w:tcPr>
            <w:tcW w:w="0" w:type="auto"/>
            <w:gridSpan w:val="3"/>
            <w:shd w:val="clear" w:color="auto" w:fill="auto"/>
          </w:tcPr>
          <w:p w14:paraId="0D8DEB15" w14:textId="77777777" w:rsidR="004C2197" w:rsidRDefault="004C2197">
            <w:pPr>
              <w:rPr>
                <w:rFonts w:ascii="宋体"/>
                <w:vanish/>
              </w:rPr>
            </w:pPr>
          </w:p>
        </w:tc>
        <w:tc>
          <w:tcPr>
            <w:tcW w:w="0" w:type="auto"/>
            <w:gridSpan w:val="3"/>
            <w:shd w:val="clear" w:color="auto" w:fill="auto"/>
          </w:tcPr>
          <w:p w14:paraId="0D8DEB16" w14:textId="77777777" w:rsidR="004C2197" w:rsidRDefault="004C2197">
            <w:pPr>
              <w:rPr>
                <w:rFonts w:ascii="宋体"/>
                <w:vanish/>
              </w:rPr>
            </w:pPr>
          </w:p>
        </w:tc>
        <w:tc>
          <w:tcPr>
            <w:tcW w:w="0" w:type="auto"/>
            <w:shd w:val="clear" w:color="auto" w:fill="auto"/>
          </w:tcPr>
          <w:p w14:paraId="0D8DEB17" w14:textId="77777777" w:rsidR="004C2197" w:rsidRDefault="004C2197">
            <w:pPr>
              <w:rPr>
                <w:rFonts w:ascii="宋体"/>
              </w:rPr>
            </w:pPr>
          </w:p>
        </w:tc>
        <w:tc>
          <w:tcPr>
            <w:tcW w:w="0" w:type="auto"/>
            <w:shd w:val="clear" w:color="auto" w:fill="auto"/>
          </w:tcPr>
          <w:p w14:paraId="0D8DEB18" w14:textId="77777777" w:rsidR="004C2197" w:rsidRDefault="004C2197">
            <w:pPr>
              <w:rPr>
                <w:rFonts w:ascii="宋体"/>
              </w:rPr>
            </w:pPr>
          </w:p>
        </w:tc>
        <w:tc>
          <w:tcPr>
            <w:tcW w:w="0" w:type="auto"/>
            <w:shd w:val="clear" w:color="auto" w:fill="auto"/>
          </w:tcPr>
          <w:p w14:paraId="0D8DEB19" w14:textId="77777777" w:rsidR="004C2197" w:rsidRDefault="004C2197">
            <w:pPr>
              <w:rPr>
                <w:rFonts w:ascii="宋体"/>
              </w:rPr>
            </w:pPr>
          </w:p>
        </w:tc>
        <w:tc>
          <w:tcPr>
            <w:tcW w:w="0" w:type="auto"/>
            <w:shd w:val="clear" w:color="auto" w:fill="auto"/>
          </w:tcPr>
          <w:p w14:paraId="0D8DEB1A" w14:textId="77777777" w:rsidR="004C2197" w:rsidRDefault="004C2197">
            <w:pPr>
              <w:rPr>
                <w:rFonts w:ascii="宋体"/>
              </w:rPr>
            </w:pPr>
          </w:p>
        </w:tc>
        <w:tc>
          <w:tcPr>
            <w:tcW w:w="0" w:type="auto"/>
            <w:shd w:val="clear" w:color="auto" w:fill="auto"/>
          </w:tcPr>
          <w:p w14:paraId="0D8DEB1B" w14:textId="77777777" w:rsidR="004C2197" w:rsidRDefault="004C2197">
            <w:pPr>
              <w:rPr>
                <w:rFonts w:ascii="宋体"/>
              </w:rPr>
            </w:pPr>
          </w:p>
        </w:tc>
        <w:tc>
          <w:tcPr>
            <w:tcW w:w="0" w:type="auto"/>
            <w:shd w:val="clear" w:color="auto" w:fill="auto"/>
          </w:tcPr>
          <w:p w14:paraId="0D8DEB1C" w14:textId="77777777" w:rsidR="004C2197" w:rsidRDefault="004C2197">
            <w:pPr>
              <w:rPr>
                <w:rFonts w:ascii="宋体"/>
              </w:rPr>
            </w:pPr>
          </w:p>
        </w:tc>
      </w:tr>
      <w:tr w:rsidR="004C2197" w14:paraId="0D8DEB2A" w14:textId="77777777">
        <w:trPr>
          <w:jc w:val="center"/>
        </w:trPr>
        <w:tc>
          <w:tcPr>
            <w:tcW w:w="0" w:type="auto"/>
            <w:gridSpan w:val="3"/>
            <w:shd w:val="clear" w:color="auto" w:fill="E2EFD9"/>
            <w:tcMar>
              <w:top w:w="40" w:type="dxa"/>
              <w:left w:w="135" w:type="dxa"/>
              <w:bottom w:w="40" w:type="dxa"/>
              <w:right w:w="20" w:type="dxa"/>
            </w:tcMar>
            <w:vAlign w:val="bottom"/>
          </w:tcPr>
          <w:p w14:paraId="0D8DEB1E" w14:textId="77777777" w:rsidR="004C2197" w:rsidRDefault="00863B83">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0D8DEB1F" w14:textId="77777777" w:rsidR="004C2197" w:rsidRDefault="00863B83">
            <w:pPr>
              <w:jc w:val="right"/>
              <w:textAlignment w:val="bottom"/>
            </w:pPr>
            <w:r>
              <w:rPr>
                <w:rFonts w:ascii="sans-serif" w:eastAsia="sans-serif" w:hAnsi="sans-serif" w:cs="sans-serif"/>
                <w:color w:val="000000"/>
                <w:sz w:val="18"/>
                <w:szCs w:val="18"/>
              </w:rPr>
              <w:t>(3)</w:t>
            </w:r>
          </w:p>
        </w:tc>
        <w:tc>
          <w:tcPr>
            <w:tcW w:w="0" w:type="auto"/>
            <w:shd w:val="clear" w:color="auto" w:fill="E2EFD9"/>
            <w:tcMar>
              <w:top w:w="40" w:type="dxa"/>
              <w:bottom w:w="40" w:type="dxa"/>
              <w:right w:w="20" w:type="dxa"/>
            </w:tcMar>
            <w:vAlign w:val="bottom"/>
          </w:tcPr>
          <w:p w14:paraId="0D8DEB2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B21"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B22" w14:textId="77777777" w:rsidR="004C2197" w:rsidRDefault="00863B83">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bottom w:w="40" w:type="dxa"/>
              <w:right w:w="20" w:type="dxa"/>
            </w:tcMar>
            <w:vAlign w:val="bottom"/>
          </w:tcPr>
          <w:p w14:paraId="0D8DEB23" w14:textId="77777777" w:rsidR="004C2197" w:rsidRDefault="004C2197">
            <w:pPr>
              <w:jc w:val="right"/>
              <w:rPr>
                <w:rFonts w:ascii="宋体"/>
              </w:rPr>
            </w:pPr>
          </w:p>
        </w:tc>
        <w:tc>
          <w:tcPr>
            <w:tcW w:w="0" w:type="auto"/>
            <w:shd w:val="clear" w:color="auto" w:fill="auto"/>
          </w:tcPr>
          <w:p w14:paraId="0D8DEB24" w14:textId="77777777" w:rsidR="004C2197" w:rsidRDefault="004C2197">
            <w:pPr>
              <w:rPr>
                <w:rFonts w:ascii="宋体"/>
              </w:rPr>
            </w:pPr>
          </w:p>
        </w:tc>
        <w:tc>
          <w:tcPr>
            <w:tcW w:w="0" w:type="auto"/>
            <w:shd w:val="clear" w:color="auto" w:fill="auto"/>
          </w:tcPr>
          <w:p w14:paraId="0D8DEB25" w14:textId="77777777" w:rsidR="004C2197" w:rsidRDefault="004C2197">
            <w:pPr>
              <w:rPr>
                <w:rFonts w:ascii="宋体"/>
              </w:rPr>
            </w:pPr>
          </w:p>
        </w:tc>
        <w:tc>
          <w:tcPr>
            <w:tcW w:w="0" w:type="auto"/>
            <w:shd w:val="clear" w:color="auto" w:fill="auto"/>
          </w:tcPr>
          <w:p w14:paraId="0D8DEB26" w14:textId="77777777" w:rsidR="004C2197" w:rsidRDefault="004C2197">
            <w:pPr>
              <w:rPr>
                <w:rFonts w:ascii="宋体"/>
              </w:rPr>
            </w:pPr>
          </w:p>
        </w:tc>
        <w:tc>
          <w:tcPr>
            <w:tcW w:w="0" w:type="auto"/>
            <w:shd w:val="clear" w:color="auto" w:fill="auto"/>
          </w:tcPr>
          <w:p w14:paraId="0D8DEB27" w14:textId="77777777" w:rsidR="004C2197" w:rsidRDefault="004C2197">
            <w:pPr>
              <w:rPr>
                <w:rFonts w:ascii="宋体"/>
              </w:rPr>
            </w:pPr>
          </w:p>
        </w:tc>
        <w:tc>
          <w:tcPr>
            <w:tcW w:w="0" w:type="auto"/>
            <w:shd w:val="clear" w:color="auto" w:fill="auto"/>
          </w:tcPr>
          <w:p w14:paraId="0D8DEB28" w14:textId="77777777" w:rsidR="004C2197" w:rsidRDefault="004C2197">
            <w:pPr>
              <w:rPr>
                <w:rFonts w:ascii="宋体"/>
              </w:rPr>
            </w:pPr>
          </w:p>
        </w:tc>
        <w:tc>
          <w:tcPr>
            <w:tcW w:w="0" w:type="auto"/>
            <w:shd w:val="clear" w:color="auto" w:fill="auto"/>
          </w:tcPr>
          <w:p w14:paraId="0D8DEB29" w14:textId="77777777" w:rsidR="004C2197" w:rsidRDefault="004C2197">
            <w:pPr>
              <w:rPr>
                <w:rFonts w:ascii="宋体"/>
              </w:rPr>
            </w:pPr>
          </w:p>
        </w:tc>
      </w:tr>
      <w:tr w:rsidR="004C2197" w14:paraId="0D8DEB37" w14:textId="77777777">
        <w:trPr>
          <w:jc w:val="center"/>
        </w:trPr>
        <w:tc>
          <w:tcPr>
            <w:tcW w:w="0" w:type="auto"/>
            <w:gridSpan w:val="3"/>
            <w:shd w:val="clear" w:color="auto" w:fill="FFFFFF"/>
            <w:tcMar>
              <w:top w:w="40" w:type="dxa"/>
              <w:left w:w="20" w:type="dxa"/>
              <w:bottom w:w="40" w:type="dxa"/>
              <w:right w:w="20" w:type="dxa"/>
            </w:tcMar>
            <w:vAlign w:val="bottom"/>
          </w:tcPr>
          <w:p w14:paraId="0D8DEB2B" w14:textId="77777777" w:rsidR="004C2197" w:rsidRDefault="00863B83">
            <w:pPr>
              <w:textAlignment w:val="bottom"/>
            </w:pPr>
            <w:r>
              <w:rPr>
                <w:rFonts w:ascii="sans-serif" w:eastAsia="sans-serif" w:hAnsi="sans-serif" w:cs="sans-serif"/>
                <w:color w:val="000000"/>
                <w:sz w:val="18"/>
                <w:szCs w:val="18"/>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B2C" w14:textId="77777777" w:rsidR="004C2197" w:rsidRDefault="00863B83">
            <w:pPr>
              <w:jc w:val="right"/>
              <w:textAlignment w:val="bottom"/>
            </w:pPr>
            <w:r>
              <w:rPr>
                <w:rFonts w:ascii="sans-serif" w:eastAsia="sans-serif" w:hAnsi="sans-serif" w:cs="sans-serif"/>
                <w:color w:val="000000"/>
                <w:sz w:val="18"/>
                <w:szCs w:val="18"/>
              </w:rPr>
              <w:t>4,447 </w:t>
            </w:r>
          </w:p>
        </w:tc>
        <w:tc>
          <w:tcPr>
            <w:tcW w:w="0" w:type="auto"/>
            <w:tcBorders>
              <w:top w:val="single" w:sz="8" w:space="0" w:color="000000"/>
            </w:tcBorders>
            <w:shd w:val="clear" w:color="auto" w:fill="FFFFFF"/>
            <w:tcMar>
              <w:top w:w="40" w:type="dxa"/>
              <w:bottom w:w="40" w:type="dxa"/>
              <w:right w:w="20" w:type="dxa"/>
            </w:tcMar>
            <w:vAlign w:val="bottom"/>
          </w:tcPr>
          <w:p w14:paraId="0D8DEB2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B2E"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B2F" w14:textId="77777777" w:rsidR="004C2197" w:rsidRDefault="00863B83">
            <w:pPr>
              <w:jc w:val="right"/>
              <w:textAlignment w:val="bottom"/>
            </w:pPr>
            <w:r>
              <w:rPr>
                <w:rFonts w:ascii="sans-serif" w:eastAsia="sans-serif" w:hAnsi="sans-serif" w:cs="sans-serif"/>
                <w:color w:val="000000"/>
                <w:sz w:val="18"/>
                <w:szCs w:val="18"/>
              </w:rPr>
              <w:t>(373)</w:t>
            </w:r>
          </w:p>
        </w:tc>
        <w:tc>
          <w:tcPr>
            <w:tcW w:w="0" w:type="auto"/>
            <w:tcBorders>
              <w:top w:val="single" w:sz="8" w:space="0" w:color="000000"/>
            </w:tcBorders>
            <w:shd w:val="clear" w:color="auto" w:fill="FFFFFF"/>
            <w:tcMar>
              <w:top w:w="40" w:type="dxa"/>
              <w:bottom w:w="40" w:type="dxa"/>
              <w:right w:w="20" w:type="dxa"/>
            </w:tcMar>
            <w:vAlign w:val="bottom"/>
          </w:tcPr>
          <w:p w14:paraId="0D8DEB30" w14:textId="77777777" w:rsidR="004C2197" w:rsidRDefault="004C2197">
            <w:pPr>
              <w:jc w:val="right"/>
              <w:rPr>
                <w:rFonts w:ascii="宋体"/>
              </w:rPr>
            </w:pPr>
          </w:p>
        </w:tc>
        <w:tc>
          <w:tcPr>
            <w:tcW w:w="0" w:type="auto"/>
            <w:shd w:val="clear" w:color="auto" w:fill="auto"/>
          </w:tcPr>
          <w:p w14:paraId="0D8DEB31" w14:textId="77777777" w:rsidR="004C2197" w:rsidRDefault="004C2197">
            <w:pPr>
              <w:rPr>
                <w:rFonts w:ascii="宋体"/>
              </w:rPr>
            </w:pPr>
          </w:p>
        </w:tc>
        <w:tc>
          <w:tcPr>
            <w:tcW w:w="0" w:type="auto"/>
            <w:shd w:val="clear" w:color="auto" w:fill="auto"/>
          </w:tcPr>
          <w:p w14:paraId="0D8DEB32" w14:textId="77777777" w:rsidR="004C2197" w:rsidRDefault="004C2197">
            <w:pPr>
              <w:rPr>
                <w:rFonts w:ascii="宋体"/>
              </w:rPr>
            </w:pPr>
          </w:p>
        </w:tc>
        <w:tc>
          <w:tcPr>
            <w:tcW w:w="0" w:type="auto"/>
            <w:shd w:val="clear" w:color="auto" w:fill="auto"/>
          </w:tcPr>
          <w:p w14:paraId="0D8DEB33" w14:textId="77777777" w:rsidR="004C2197" w:rsidRDefault="004C2197">
            <w:pPr>
              <w:rPr>
                <w:rFonts w:ascii="宋体"/>
              </w:rPr>
            </w:pPr>
          </w:p>
        </w:tc>
        <w:tc>
          <w:tcPr>
            <w:tcW w:w="0" w:type="auto"/>
            <w:shd w:val="clear" w:color="auto" w:fill="auto"/>
          </w:tcPr>
          <w:p w14:paraId="0D8DEB34" w14:textId="77777777" w:rsidR="004C2197" w:rsidRDefault="004C2197">
            <w:pPr>
              <w:rPr>
                <w:rFonts w:ascii="宋体"/>
              </w:rPr>
            </w:pPr>
          </w:p>
        </w:tc>
        <w:tc>
          <w:tcPr>
            <w:tcW w:w="0" w:type="auto"/>
            <w:shd w:val="clear" w:color="auto" w:fill="auto"/>
          </w:tcPr>
          <w:p w14:paraId="0D8DEB35" w14:textId="77777777" w:rsidR="004C2197" w:rsidRDefault="004C2197">
            <w:pPr>
              <w:rPr>
                <w:rFonts w:ascii="宋体"/>
              </w:rPr>
            </w:pPr>
          </w:p>
        </w:tc>
        <w:tc>
          <w:tcPr>
            <w:tcW w:w="0" w:type="auto"/>
            <w:shd w:val="clear" w:color="auto" w:fill="auto"/>
          </w:tcPr>
          <w:p w14:paraId="0D8DEB36" w14:textId="77777777" w:rsidR="004C2197" w:rsidRDefault="004C2197">
            <w:pPr>
              <w:rPr>
                <w:rFonts w:ascii="宋体"/>
              </w:rPr>
            </w:pPr>
          </w:p>
        </w:tc>
      </w:tr>
      <w:tr w:rsidR="004C2197" w14:paraId="0D8DEB44" w14:textId="77777777">
        <w:trPr>
          <w:jc w:val="center"/>
        </w:trPr>
        <w:tc>
          <w:tcPr>
            <w:tcW w:w="0" w:type="auto"/>
            <w:gridSpan w:val="3"/>
            <w:shd w:val="clear" w:color="auto" w:fill="E2EFD9"/>
            <w:tcMar>
              <w:top w:w="40" w:type="dxa"/>
              <w:left w:w="20" w:type="dxa"/>
              <w:bottom w:w="40" w:type="dxa"/>
              <w:right w:w="20" w:type="dxa"/>
            </w:tcMar>
            <w:vAlign w:val="bottom"/>
          </w:tcPr>
          <w:p w14:paraId="0D8DEB38" w14:textId="77777777" w:rsidR="004C2197" w:rsidRDefault="00863B83">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B39" w14:textId="77777777" w:rsidR="004C2197" w:rsidRDefault="00863B83">
            <w:pPr>
              <w:jc w:val="right"/>
              <w:textAlignment w:val="bottom"/>
            </w:pPr>
            <w:r>
              <w:rPr>
                <w:rFonts w:ascii="sans-serif" w:eastAsia="sans-serif" w:hAnsi="sans-serif" w:cs="sans-serif"/>
                <w:color w:val="000000"/>
                <w:sz w:val="18"/>
                <w:szCs w:val="18"/>
              </w:rPr>
              <w:t>(7,622)</w:t>
            </w:r>
          </w:p>
        </w:tc>
        <w:tc>
          <w:tcPr>
            <w:tcW w:w="0" w:type="auto"/>
            <w:tcBorders>
              <w:top w:val="single" w:sz="8" w:space="0" w:color="000000"/>
            </w:tcBorders>
            <w:shd w:val="clear" w:color="auto" w:fill="E2EFD9"/>
            <w:tcMar>
              <w:top w:w="40" w:type="dxa"/>
              <w:bottom w:w="40" w:type="dxa"/>
              <w:right w:w="20" w:type="dxa"/>
            </w:tcMar>
            <w:vAlign w:val="bottom"/>
          </w:tcPr>
          <w:p w14:paraId="0D8DEB3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B3B"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B3C" w14:textId="77777777" w:rsidR="004C2197" w:rsidRDefault="00863B83">
            <w:pPr>
              <w:jc w:val="right"/>
              <w:textAlignment w:val="bottom"/>
            </w:pPr>
            <w:r>
              <w:rPr>
                <w:rFonts w:ascii="sans-serif" w:eastAsia="sans-serif" w:hAnsi="sans-serif" w:cs="sans-serif"/>
                <w:color w:val="000000"/>
                <w:sz w:val="18"/>
                <w:szCs w:val="18"/>
              </w:rPr>
              <w:t>6,323 </w:t>
            </w:r>
          </w:p>
        </w:tc>
        <w:tc>
          <w:tcPr>
            <w:tcW w:w="0" w:type="auto"/>
            <w:tcBorders>
              <w:top w:val="single" w:sz="8" w:space="0" w:color="000000"/>
            </w:tcBorders>
            <w:shd w:val="clear" w:color="auto" w:fill="E2EFD9"/>
            <w:tcMar>
              <w:top w:w="40" w:type="dxa"/>
              <w:bottom w:w="40" w:type="dxa"/>
              <w:right w:w="20" w:type="dxa"/>
            </w:tcMar>
            <w:vAlign w:val="bottom"/>
          </w:tcPr>
          <w:p w14:paraId="0D8DEB3D" w14:textId="77777777" w:rsidR="004C2197" w:rsidRDefault="004C2197">
            <w:pPr>
              <w:jc w:val="right"/>
              <w:rPr>
                <w:rFonts w:ascii="宋体"/>
              </w:rPr>
            </w:pPr>
          </w:p>
        </w:tc>
        <w:tc>
          <w:tcPr>
            <w:tcW w:w="0" w:type="auto"/>
            <w:shd w:val="clear" w:color="auto" w:fill="auto"/>
          </w:tcPr>
          <w:p w14:paraId="0D8DEB3E" w14:textId="77777777" w:rsidR="004C2197" w:rsidRDefault="004C2197">
            <w:pPr>
              <w:rPr>
                <w:rFonts w:ascii="宋体"/>
              </w:rPr>
            </w:pPr>
          </w:p>
        </w:tc>
        <w:tc>
          <w:tcPr>
            <w:tcW w:w="0" w:type="auto"/>
            <w:shd w:val="clear" w:color="auto" w:fill="auto"/>
          </w:tcPr>
          <w:p w14:paraId="0D8DEB3F" w14:textId="77777777" w:rsidR="004C2197" w:rsidRDefault="004C2197">
            <w:pPr>
              <w:rPr>
                <w:rFonts w:ascii="宋体"/>
              </w:rPr>
            </w:pPr>
          </w:p>
        </w:tc>
        <w:tc>
          <w:tcPr>
            <w:tcW w:w="0" w:type="auto"/>
            <w:shd w:val="clear" w:color="auto" w:fill="auto"/>
          </w:tcPr>
          <w:p w14:paraId="0D8DEB40" w14:textId="77777777" w:rsidR="004C2197" w:rsidRDefault="004C2197">
            <w:pPr>
              <w:rPr>
                <w:rFonts w:ascii="宋体"/>
              </w:rPr>
            </w:pPr>
          </w:p>
        </w:tc>
        <w:tc>
          <w:tcPr>
            <w:tcW w:w="0" w:type="auto"/>
            <w:shd w:val="clear" w:color="auto" w:fill="auto"/>
          </w:tcPr>
          <w:p w14:paraId="0D8DEB41" w14:textId="77777777" w:rsidR="004C2197" w:rsidRDefault="004C2197">
            <w:pPr>
              <w:rPr>
                <w:rFonts w:ascii="宋体"/>
              </w:rPr>
            </w:pPr>
          </w:p>
        </w:tc>
        <w:tc>
          <w:tcPr>
            <w:tcW w:w="0" w:type="auto"/>
            <w:shd w:val="clear" w:color="auto" w:fill="auto"/>
          </w:tcPr>
          <w:p w14:paraId="0D8DEB42" w14:textId="77777777" w:rsidR="004C2197" w:rsidRDefault="004C2197">
            <w:pPr>
              <w:rPr>
                <w:rFonts w:ascii="宋体"/>
              </w:rPr>
            </w:pPr>
          </w:p>
        </w:tc>
        <w:tc>
          <w:tcPr>
            <w:tcW w:w="0" w:type="auto"/>
            <w:shd w:val="clear" w:color="auto" w:fill="auto"/>
          </w:tcPr>
          <w:p w14:paraId="0D8DEB43" w14:textId="77777777" w:rsidR="004C2197" w:rsidRDefault="004C2197">
            <w:pPr>
              <w:rPr>
                <w:rFonts w:ascii="宋体"/>
              </w:rPr>
            </w:pPr>
          </w:p>
        </w:tc>
      </w:tr>
      <w:tr w:rsidR="004C2197" w14:paraId="0D8DEB51" w14:textId="77777777">
        <w:trPr>
          <w:jc w:val="center"/>
        </w:trPr>
        <w:tc>
          <w:tcPr>
            <w:tcW w:w="0" w:type="auto"/>
            <w:gridSpan w:val="3"/>
            <w:shd w:val="clear" w:color="auto" w:fill="FFFFFF"/>
            <w:tcMar>
              <w:top w:w="40" w:type="dxa"/>
              <w:left w:w="20" w:type="dxa"/>
              <w:bottom w:w="40" w:type="dxa"/>
              <w:right w:w="20" w:type="dxa"/>
            </w:tcMar>
            <w:vAlign w:val="bottom"/>
          </w:tcPr>
          <w:p w14:paraId="0D8DEB45" w14:textId="77777777" w:rsidR="004C2197" w:rsidRDefault="00863B83">
            <w:pPr>
              <w:textAlignment w:val="bottom"/>
            </w:pPr>
            <w:r>
              <w:rPr>
                <w:rFonts w:ascii="sans-serif" w:eastAsia="sans-serif" w:hAnsi="sans-serif" w:cs="sans-serif"/>
                <w:color w:val="000000"/>
                <w:sz w:val="18"/>
                <w:szCs w:val="18"/>
              </w:rPr>
              <w:t xml:space="preserve">Cash and cash equivalents at beginning of </w:t>
            </w:r>
            <w:r>
              <w:rPr>
                <w:rFonts w:ascii="sans-serif" w:eastAsia="sans-serif" w:hAnsi="sans-serif" w:cs="sans-serif"/>
                <w:color w:val="000000"/>
                <w:sz w:val="18"/>
                <w:szCs w:val="18"/>
              </w:rPr>
              <w:t>period</w:t>
            </w:r>
          </w:p>
        </w:tc>
        <w:tc>
          <w:tcPr>
            <w:tcW w:w="0" w:type="auto"/>
            <w:gridSpan w:val="2"/>
            <w:shd w:val="clear" w:color="auto" w:fill="FFFFFF"/>
            <w:tcMar>
              <w:top w:w="40" w:type="dxa"/>
              <w:left w:w="20" w:type="dxa"/>
              <w:bottom w:w="40" w:type="dxa"/>
              <w:right w:w="0" w:type="dxa"/>
            </w:tcMar>
            <w:vAlign w:val="bottom"/>
          </w:tcPr>
          <w:p w14:paraId="0D8DEB46" w14:textId="77777777" w:rsidR="004C2197" w:rsidRDefault="00863B83">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bottom w:w="40" w:type="dxa"/>
              <w:right w:w="20" w:type="dxa"/>
            </w:tcMar>
            <w:vAlign w:val="bottom"/>
          </w:tcPr>
          <w:p w14:paraId="0D8DEB4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B4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B49" w14:textId="77777777" w:rsidR="004C2197" w:rsidRDefault="00863B83">
            <w:pPr>
              <w:jc w:val="right"/>
              <w:textAlignment w:val="bottom"/>
            </w:pPr>
            <w:r>
              <w:rPr>
                <w:rFonts w:ascii="sans-serif" w:eastAsia="sans-serif" w:hAnsi="sans-serif" w:cs="sans-serif"/>
                <w:color w:val="000000"/>
                <w:sz w:val="18"/>
                <w:szCs w:val="18"/>
              </w:rPr>
              <w:t>782 </w:t>
            </w:r>
          </w:p>
        </w:tc>
        <w:tc>
          <w:tcPr>
            <w:tcW w:w="0" w:type="auto"/>
            <w:shd w:val="clear" w:color="auto" w:fill="FFFFFF"/>
            <w:tcMar>
              <w:top w:w="40" w:type="dxa"/>
              <w:bottom w:w="40" w:type="dxa"/>
              <w:right w:w="20" w:type="dxa"/>
            </w:tcMar>
            <w:vAlign w:val="bottom"/>
          </w:tcPr>
          <w:p w14:paraId="0D8DEB4A" w14:textId="77777777" w:rsidR="004C2197" w:rsidRDefault="004C2197">
            <w:pPr>
              <w:jc w:val="right"/>
              <w:rPr>
                <w:rFonts w:ascii="宋体"/>
              </w:rPr>
            </w:pPr>
          </w:p>
        </w:tc>
        <w:tc>
          <w:tcPr>
            <w:tcW w:w="0" w:type="auto"/>
            <w:shd w:val="clear" w:color="auto" w:fill="auto"/>
          </w:tcPr>
          <w:p w14:paraId="0D8DEB4B" w14:textId="77777777" w:rsidR="004C2197" w:rsidRDefault="004C2197">
            <w:pPr>
              <w:rPr>
                <w:rFonts w:ascii="宋体"/>
              </w:rPr>
            </w:pPr>
          </w:p>
        </w:tc>
        <w:tc>
          <w:tcPr>
            <w:tcW w:w="0" w:type="auto"/>
            <w:shd w:val="clear" w:color="auto" w:fill="auto"/>
          </w:tcPr>
          <w:p w14:paraId="0D8DEB4C" w14:textId="77777777" w:rsidR="004C2197" w:rsidRDefault="004C2197">
            <w:pPr>
              <w:rPr>
                <w:rFonts w:ascii="宋体"/>
              </w:rPr>
            </w:pPr>
          </w:p>
        </w:tc>
        <w:tc>
          <w:tcPr>
            <w:tcW w:w="0" w:type="auto"/>
            <w:shd w:val="clear" w:color="auto" w:fill="auto"/>
          </w:tcPr>
          <w:p w14:paraId="0D8DEB4D" w14:textId="77777777" w:rsidR="004C2197" w:rsidRDefault="004C2197">
            <w:pPr>
              <w:rPr>
                <w:rFonts w:ascii="宋体"/>
              </w:rPr>
            </w:pPr>
          </w:p>
        </w:tc>
        <w:tc>
          <w:tcPr>
            <w:tcW w:w="0" w:type="auto"/>
            <w:shd w:val="clear" w:color="auto" w:fill="auto"/>
          </w:tcPr>
          <w:p w14:paraId="0D8DEB4E" w14:textId="77777777" w:rsidR="004C2197" w:rsidRDefault="004C2197">
            <w:pPr>
              <w:rPr>
                <w:rFonts w:ascii="宋体"/>
              </w:rPr>
            </w:pPr>
          </w:p>
        </w:tc>
        <w:tc>
          <w:tcPr>
            <w:tcW w:w="0" w:type="auto"/>
            <w:shd w:val="clear" w:color="auto" w:fill="auto"/>
          </w:tcPr>
          <w:p w14:paraId="0D8DEB4F" w14:textId="77777777" w:rsidR="004C2197" w:rsidRDefault="004C2197">
            <w:pPr>
              <w:rPr>
                <w:rFonts w:ascii="宋体"/>
              </w:rPr>
            </w:pPr>
          </w:p>
        </w:tc>
        <w:tc>
          <w:tcPr>
            <w:tcW w:w="0" w:type="auto"/>
            <w:shd w:val="clear" w:color="auto" w:fill="auto"/>
          </w:tcPr>
          <w:p w14:paraId="0D8DEB50" w14:textId="77777777" w:rsidR="004C2197" w:rsidRDefault="004C2197">
            <w:pPr>
              <w:rPr>
                <w:rFonts w:ascii="宋体"/>
              </w:rPr>
            </w:pPr>
          </w:p>
        </w:tc>
      </w:tr>
      <w:tr w:rsidR="004C2197" w14:paraId="0D8DEB60" w14:textId="77777777">
        <w:trPr>
          <w:jc w:val="center"/>
        </w:trPr>
        <w:tc>
          <w:tcPr>
            <w:tcW w:w="0" w:type="auto"/>
            <w:gridSpan w:val="3"/>
            <w:shd w:val="clear" w:color="auto" w:fill="E2EFD9"/>
            <w:tcMar>
              <w:top w:w="40" w:type="dxa"/>
              <w:left w:w="20" w:type="dxa"/>
              <w:bottom w:w="40" w:type="dxa"/>
              <w:right w:w="20" w:type="dxa"/>
            </w:tcMar>
            <w:vAlign w:val="bottom"/>
          </w:tcPr>
          <w:p w14:paraId="0D8DEB52" w14:textId="77777777" w:rsidR="004C2197" w:rsidRDefault="00863B83">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E2EFD9"/>
            <w:tcMar>
              <w:top w:w="40" w:type="dxa"/>
              <w:left w:w="20" w:type="dxa"/>
              <w:bottom w:w="40" w:type="dxa"/>
            </w:tcMar>
            <w:vAlign w:val="bottom"/>
          </w:tcPr>
          <w:p w14:paraId="0D8DEB53" w14:textId="77777777" w:rsidR="004C2197" w:rsidRDefault="00863B83">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bottom w:w="40" w:type="dxa"/>
              <w:right w:w="0" w:type="dxa"/>
            </w:tcMar>
            <w:vAlign w:val="bottom"/>
          </w:tcPr>
          <w:p w14:paraId="0D8DEB54" w14:textId="77777777" w:rsidR="004C2197" w:rsidRDefault="00863B83">
            <w:pPr>
              <w:jc w:val="right"/>
              <w:textAlignment w:val="bottom"/>
            </w:pPr>
            <w:r>
              <w:rPr>
                <w:rFonts w:ascii="sans-serif" w:eastAsia="sans-serif" w:hAnsi="sans-serif" w:cs="sans-serif"/>
                <w:color w:val="000000"/>
                <w:sz w:val="18"/>
                <w:szCs w:val="18"/>
              </w:rPr>
              <w:t>3,274 </w:t>
            </w:r>
          </w:p>
        </w:tc>
        <w:tc>
          <w:tcPr>
            <w:tcW w:w="0" w:type="auto"/>
            <w:tcBorders>
              <w:top w:val="single" w:sz="8" w:space="0" w:color="000000"/>
            </w:tcBorders>
            <w:shd w:val="clear" w:color="auto" w:fill="E2EFD9"/>
            <w:tcMar>
              <w:top w:w="40" w:type="dxa"/>
              <w:bottom w:w="40" w:type="dxa"/>
              <w:right w:w="20" w:type="dxa"/>
            </w:tcMar>
            <w:vAlign w:val="bottom"/>
          </w:tcPr>
          <w:p w14:paraId="0D8DEB5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B56" w14:textId="77777777" w:rsidR="004C2197" w:rsidRDefault="004C2197">
            <w:pPr>
              <w:rPr>
                <w:rFonts w:ascii="宋体"/>
              </w:rPr>
            </w:pPr>
          </w:p>
        </w:tc>
        <w:tc>
          <w:tcPr>
            <w:tcW w:w="0" w:type="auto"/>
            <w:tcBorders>
              <w:top w:val="single" w:sz="8" w:space="0" w:color="000000"/>
            </w:tcBorders>
            <w:shd w:val="clear" w:color="auto" w:fill="E2EFD9"/>
            <w:tcMar>
              <w:top w:w="40" w:type="dxa"/>
              <w:left w:w="20" w:type="dxa"/>
              <w:bottom w:w="40" w:type="dxa"/>
            </w:tcMar>
            <w:vAlign w:val="bottom"/>
          </w:tcPr>
          <w:p w14:paraId="0D8DEB57" w14:textId="77777777" w:rsidR="004C2197" w:rsidRDefault="00863B83">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bottom w:w="40" w:type="dxa"/>
              <w:right w:w="0" w:type="dxa"/>
            </w:tcMar>
            <w:vAlign w:val="bottom"/>
          </w:tcPr>
          <w:p w14:paraId="0D8DEB58" w14:textId="77777777" w:rsidR="004C2197" w:rsidRDefault="00863B83">
            <w:pPr>
              <w:jc w:val="right"/>
              <w:textAlignment w:val="bottom"/>
            </w:pPr>
            <w:r>
              <w:rPr>
                <w:rFonts w:ascii="sans-serif" w:eastAsia="sans-serif" w:hAnsi="sans-serif" w:cs="sans-serif"/>
                <w:color w:val="000000"/>
                <w:sz w:val="18"/>
                <w:szCs w:val="18"/>
              </w:rPr>
              <w:t>7,105 </w:t>
            </w:r>
          </w:p>
        </w:tc>
        <w:tc>
          <w:tcPr>
            <w:tcW w:w="0" w:type="auto"/>
            <w:tcBorders>
              <w:top w:val="single" w:sz="8" w:space="0" w:color="000000"/>
            </w:tcBorders>
            <w:shd w:val="clear" w:color="auto" w:fill="E2EFD9"/>
            <w:tcMar>
              <w:top w:w="40" w:type="dxa"/>
              <w:bottom w:w="40" w:type="dxa"/>
              <w:right w:w="20" w:type="dxa"/>
            </w:tcMar>
            <w:vAlign w:val="bottom"/>
          </w:tcPr>
          <w:p w14:paraId="0D8DEB59" w14:textId="77777777" w:rsidR="004C2197" w:rsidRDefault="004C2197">
            <w:pPr>
              <w:jc w:val="right"/>
              <w:rPr>
                <w:rFonts w:ascii="宋体"/>
              </w:rPr>
            </w:pPr>
          </w:p>
        </w:tc>
        <w:tc>
          <w:tcPr>
            <w:tcW w:w="0" w:type="auto"/>
            <w:shd w:val="clear" w:color="auto" w:fill="auto"/>
          </w:tcPr>
          <w:p w14:paraId="0D8DEB5A" w14:textId="77777777" w:rsidR="004C2197" w:rsidRDefault="004C2197">
            <w:pPr>
              <w:rPr>
                <w:rFonts w:ascii="宋体"/>
              </w:rPr>
            </w:pPr>
          </w:p>
        </w:tc>
        <w:tc>
          <w:tcPr>
            <w:tcW w:w="0" w:type="auto"/>
            <w:shd w:val="clear" w:color="auto" w:fill="auto"/>
          </w:tcPr>
          <w:p w14:paraId="0D8DEB5B" w14:textId="77777777" w:rsidR="004C2197" w:rsidRDefault="004C2197">
            <w:pPr>
              <w:rPr>
                <w:rFonts w:ascii="宋体"/>
              </w:rPr>
            </w:pPr>
          </w:p>
        </w:tc>
        <w:tc>
          <w:tcPr>
            <w:tcW w:w="0" w:type="auto"/>
            <w:shd w:val="clear" w:color="auto" w:fill="auto"/>
          </w:tcPr>
          <w:p w14:paraId="0D8DEB5C" w14:textId="77777777" w:rsidR="004C2197" w:rsidRDefault="004C2197">
            <w:pPr>
              <w:rPr>
                <w:rFonts w:ascii="宋体"/>
              </w:rPr>
            </w:pPr>
          </w:p>
        </w:tc>
        <w:tc>
          <w:tcPr>
            <w:tcW w:w="0" w:type="auto"/>
            <w:shd w:val="clear" w:color="auto" w:fill="auto"/>
          </w:tcPr>
          <w:p w14:paraId="0D8DEB5D" w14:textId="77777777" w:rsidR="004C2197" w:rsidRDefault="004C2197">
            <w:pPr>
              <w:rPr>
                <w:rFonts w:ascii="宋体"/>
              </w:rPr>
            </w:pPr>
          </w:p>
        </w:tc>
        <w:tc>
          <w:tcPr>
            <w:tcW w:w="0" w:type="auto"/>
            <w:shd w:val="clear" w:color="auto" w:fill="auto"/>
          </w:tcPr>
          <w:p w14:paraId="0D8DEB5E" w14:textId="77777777" w:rsidR="004C2197" w:rsidRDefault="004C2197">
            <w:pPr>
              <w:rPr>
                <w:rFonts w:ascii="宋体"/>
              </w:rPr>
            </w:pPr>
          </w:p>
        </w:tc>
        <w:tc>
          <w:tcPr>
            <w:tcW w:w="0" w:type="auto"/>
            <w:shd w:val="clear" w:color="auto" w:fill="auto"/>
          </w:tcPr>
          <w:p w14:paraId="0D8DEB5F" w14:textId="77777777" w:rsidR="004C2197" w:rsidRDefault="004C2197">
            <w:pPr>
              <w:rPr>
                <w:rFonts w:ascii="宋体"/>
              </w:rPr>
            </w:pPr>
          </w:p>
        </w:tc>
      </w:tr>
      <w:tr w:rsidR="004C2197" w14:paraId="0D8DEB6B" w14:textId="77777777">
        <w:trPr>
          <w:trHeight w:val="240"/>
          <w:jc w:val="center"/>
        </w:trPr>
        <w:tc>
          <w:tcPr>
            <w:tcW w:w="0" w:type="auto"/>
            <w:gridSpan w:val="3"/>
            <w:shd w:val="clear" w:color="auto" w:fill="FFFFFF"/>
            <w:tcMar>
              <w:left w:w="20" w:type="dxa"/>
              <w:right w:w="20" w:type="dxa"/>
            </w:tcMar>
            <w:vAlign w:val="bottom"/>
          </w:tcPr>
          <w:p w14:paraId="0D8DEB61"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EB62"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B63" w14:textId="77777777" w:rsidR="004C2197" w:rsidRDefault="004C2197">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0D8DEB64" w14:textId="77777777" w:rsidR="004C2197" w:rsidRDefault="004C2197">
            <w:pPr>
              <w:rPr>
                <w:rFonts w:ascii="宋体"/>
              </w:rPr>
            </w:pPr>
          </w:p>
        </w:tc>
        <w:tc>
          <w:tcPr>
            <w:tcW w:w="0" w:type="auto"/>
            <w:shd w:val="clear" w:color="auto" w:fill="auto"/>
          </w:tcPr>
          <w:p w14:paraId="0D8DEB65" w14:textId="77777777" w:rsidR="004C2197" w:rsidRDefault="004C2197">
            <w:pPr>
              <w:rPr>
                <w:rFonts w:ascii="宋体"/>
              </w:rPr>
            </w:pPr>
          </w:p>
        </w:tc>
        <w:tc>
          <w:tcPr>
            <w:tcW w:w="0" w:type="auto"/>
            <w:shd w:val="clear" w:color="auto" w:fill="auto"/>
          </w:tcPr>
          <w:p w14:paraId="0D8DEB66" w14:textId="77777777" w:rsidR="004C2197" w:rsidRDefault="004C2197">
            <w:pPr>
              <w:rPr>
                <w:rFonts w:ascii="宋体"/>
              </w:rPr>
            </w:pPr>
          </w:p>
        </w:tc>
        <w:tc>
          <w:tcPr>
            <w:tcW w:w="0" w:type="auto"/>
            <w:shd w:val="clear" w:color="auto" w:fill="auto"/>
          </w:tcPr>
          <w:p w14:paraId="0D8DEB67" w14:textId="77777777" w:rsidR="004C2197" w:rsidRDefault="004C2197">
            <w:pPr>
              <w:rPr>
                <w:rFonts w:ascii="宋体"/>
              </w:rPr>
            </w:pPr>
          </w:p>
        </w:tc>
        <w:tc>
          <w:tcPr>
            <w:tcW w:w="0" w:type="auto"/>
            <w:shd w:val="clear" w:color="auto" w:fill="auto"/>
          </w:tcPr>
          <w:p w14:paraId="0D8DEB68" w14:textId="77777777" w:rsidR="004C2197" w:rsidRDefault="004C2197">
            <w:pPr>
              <w:rPr>
                <w:rFonts w:ascii="宋体"/>
              </w:rPr>
            </w:pPr>
          </w:p>
        </w:tc>
        <w:tc>
          <w:tcPr>
            <w:tcW w:w="0" w:type="auto"/>
            <w:shd w:val="clear" w:color="auto" w:fill="auto"/>
          </w:tcPr>
          <w:p w14:paraId="0D8DEB69" w14:textId="77777777" w:rsidR="004C2197" w:rsidRDefault="004C2197">
            <w:pPr>
              <w:rPr>
                <w:rFonts w:ascii="宋体"/>
              </w:rPr>
            </w:pPr>
          </w:p>
        </w:tc>
        <w:tc>
          <w:tcPr>
            <w:tcW w:w="0" w:type="auto"/>
            <w:shd w:val="clear" w:color="auto" w:fill="auto"/>
          </w:tcPr>
          <w:p w14:paraId="0D8DEB6A" w14:textId="77777777" w:rsidR="004C2197" w:rsidRDefault="004C2197">
            <w:pPr>
              <w:rPr>
                <w:rFonts w:ascii="宋体"/>
              </w:rPr>
            </w:pPr>
          </w:p>
        </w:tc>
      </w:tr>
      <w:tr w:rsidR="004C2197" w14:paraId="0D8DEB76" w14:textId="77777777">
        <w:trPr>
          <w:jc w:val="center"/>
        </w:trPr>
        <w:tc>
          <w:tcPr>
            <w:tcW w:w="0" w:type="auto"/>
            <w:gridSpan w:val="3"/>
            <w:shd w:val="clear" w:color="auto" w:fill="E2EFD9"/>
            <w:tcMar>
              <w:top w:w="40" w:type="dxa"/>
              <w:left w:w="20" w:type="dxa"/>
              <w:bottom w:w="40" w:type="dxa"/>
              <w:right w:w="20" w:type="dxa"/>
            </w:tcMar>
            <w:vAlign w:val="bottom"/>
          </w:tcPr>
          <w:p w14:paraId="0D8DEB6C" w14:textId="77777777" w:rsidR="004C2197" w:rsidRDefault="00863B83">
            <w:pPr>
              <w:textAlignment w:val="bottom"/>
            </w:pPr>
            <w:r>
              <w:rPr>
                <w:rFonts w:ascii="sans-serif" w:eastAsia="sans-serif" w:hAnsi="sans-serif" w:cs="sans-serif"/>
                <w:color w:val="000000"/>
                <w:sz w:val="18"/>
                <w:szCs w:val="18"/>
              </w:rPr>
              <w:t>Other non-cash investing activity:</w:t>
            </w:r>
          </w:p>
        </w:tc>
        <w:tc>
          <w:tcPr>
            <w:tcW w:w="0" w:type="auto"/>
            <w:gridSpan w:val="3"/>
            <w:shd w:val="clear" w:color="auto" w:fill="E2EFD9"/>
            <w:tcMar>
              <w:top w:w="40" w:type="dxa"/>
              <w:left w:w="20" w:type="dxa"/>
              <w:bottom w:w="40" w:type="dxa"/>
              <w:right w:w="20" w:type="dxa"/>
            </w:tcMar>
            <w:vAlign w:val="bottom"/>
          </w:tcPr>
          <w:p w14:paraId="0D8DEB6D"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E2EFD9"/>
            <w:tcMar>
              <w:left w:w="20" w:type="dxa"/>
              <w:right w:w="20" w:type="dxa"/>
            </w:tcMar>
            <w:vAlign w:val="bottom"/>
          </w:tcPr>
          <w:p w14:paraId="0D8DEB6E"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B6F" w14:textId="77777777" w:rsidR="004C2197" w:rsidRDefault="00863B83">
            <w:pPr>
              <w:textAlignment w:val="bottom"/>
            </w:pPr>
            <w:r>
              <w:rPr>
                <w:rFonts w:ascii="sans-serif" w:eastAsia="sans-serif" w:hAnsi="sans-serif" w:cs="sans-serif"/>
                <w:color w:val="000000"/>
                <w:sz w:val="18"/>
                <w:szCs w:val="18"/>
              </w:rPr>
              <w:t> </w:t>
            </w:r>
          </w:p>
        </w:tc>
        <w:tc>
          <w:tcPr>
            <w:tcW w:w="0" w:type="auto"/>
            <w:shd w:val="clear" w:color="auto" w:fill="auto"/>
          </w:tcPr>
          <w:p w14:paraId="0D8DEB70" w14:textId="77777777" w:rsidR="004C2197" w:rsidRDefault="004C2197">
            <w:pPr>
              <w:rPr>
                <w:rFonts w:ascii="宋体"/>
              </w:rPr>
            </w:pPr>
          </w:p>
        </w:tc>
        <w:tc>
          <w:tcPr>
            <w:tcW w:w="0" w:type="auto"/>
            <w:shd w:val="clear" w:color="auto" w:fill="auto"/>
          </w:tcPr>
          <w:p w14:paraId="0D8DEB71" w14:textId="77777777" w:rsidR="004C2197" w:rsidRDefault="004C2197">
            <w:pPr>
              <w:rPr>
                <w:rFonts w:ascii="宋体"/>
              </w:rPr>
            </w:pPr>
          </w:p>
        </w:tc>
        <w:tc>
          <w:tcPr>
            <w:tcW w:w="0" w:type="auto"/>
            <w:shd w:val="clear" w:color="auto" w:fill="auto"/>
          </w:tcPr>
          <w:p w14:paraId="0D8DEB72" w14:textId="77777777" w:rsidR="004C2197" w:rsidRDefault="004C2197">
            <w:pPr>
              <w:rPr>
                <w:rFonts w:ascii="宋体"/>
              </w:rPr>
            </w:pPr>
          </w:p>
        </w:tc>
        <w:tc>
          <w:tcPr>
            <w:tcW w:w="0" w:type="auto"/>
            <w:shd w:val="clear" w:color="auto" w:fill="auto"/>
          </w:tcPr>
          <w:p w14:paraId="0D8DEB73" w14:textId="77777777" w:rsidR="004C2197" w:rsidRDefault="004C2197">
            <w:pPr>
              <w:rPr>
                <w:rFonts w:ascii="宋体"/>
              </w:rPr>
            </w:pPr>
          </w:p>
        </w:tc>
        <w:tc>
          <w:tcPr>
            <w:tcW w:w="0" w:type="auto"/>
            <w:shd w:val="clear" w:color="auto" w:fill="auto"/>
          </w:tcPr>
          <w:p w14:paraId="0D8DEB74" w14:textId="77777777" w:rsidR="004C2197" w:rsidRDefault="004C2197">
            <w:pPr>
              <w:rPr>
                <w:rFonts w:ascii="宋体"/>
              </w:rPr>
            </w:pPr>
          </w:p>
        </w:tc>
        <w:tc>
          <w:tcPr>
            <w:tcW w:w="0" w:type="auto"/>
            <w:shd w:val="clear" w:color="auto" w:fill="auto"/>
          </w:tcPr>
          <w:p w14:paraId="0D8DEB75" w14:textId="77777777" w:rsidR="004C2197" w:rsidRDefault="004C2197">
            <w:pPr>
              <w:rPr>
                <w:rFonts w:ascii="宋体"/>
              </w:rPr>
            </w:pPr>
          </w:p>
        </w:tc>
      </w:tr>
      <w:tr w:rsidR="004C2197" w14:paraId="0D8DEB85" w14:textId="77777777">
        <w:trPr>
          <w:jc w:val="center"/>
        </w:trPr>
        <w:tc>
          <w:tcPr>
            <w:tcW w:w="0" w:type="auto"/>
            <w:gridSpan w:val="3"/>
            <w:shd w:val="clear" w:color="auto" w:fill="FFFFFF"/>
            <w:tcMar>
              <w:top w:w="40" w:type="dxa"/>
              <w:left w:w="20" w:type="dxa"/>
              <w:bottom w:w="40" w:type="dxa"/>
              <w:right w:w="20" w:type="dxa"/>
            </w:tcMar>
            <w:vAlign w:val="bottom"/>
          </w:tcPr>
          <w:p w14:paraId="0D8DEB77" w14:textId="77777777" w:rsidR="004C2197" w:rsidRDefault="00863B83">
            <w:pPr>
              <w:textAlignment w:val="bottom"/>
            </w:pPr>
            <w:r>
              <w:rPr>
                <w:rFonts w:ascii="sans-serif" w:eastAsia="sans-serif" w:hAnsi="sans-serif" w:cs="sans-serif"/>
                <w:color w:val="000000"/>
                <w:sz w:val="18"/>
                <w:szCs w:val="18"/>
              </w:rPr>
              <w:t>Assets acquired by assuming related liabilities</w:t>
            </w:r>
          </w:p>
        </w:tc>
        <w:tc>
          <w:tcPr>
            <w:tcW w:w="0" w:type="auto"/>
            <w:shd w:val="clear" w:color="auto" w:fill="FFFFFF"/>
            <w:tcMar>
              <w:top w:w="40" w:type="dxa"/>
              <w:left w:w="20" w:type="dxa"/>
              <w:bottom w:w="40" w:type="dxa"/>
            </w:tcMar>
            <w:vAlign w:val="bottom"/>
          </w:tcPr>
          <w:p w14:paraId="0D8DEB78" w14:textId="77777777" w:rsidR="004C2197" w:rsidRDefault="00863B83">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0D8DEB79" w14:textId="77777777" w:rsidR="004C2197" w:rsidRDefault="00863B83">
            <w:pPr>
              <w:jc w:val="right"/>
              <w:textAlignment w:val="bottom"/>
            </w:pPr>
            <w:r>
              <w:rPr>
                <w:rFonts w:ascii="sans-serif" w:eastAsia="sans-serif" w:hAnsi="sans-serif" w:cs="sans-serif"/>
                <w:color w:val="000000"/>
                <w:sz w:val="18"/>
                <w:szCs w:val="18"/>
              </w:rPr>
              <w:t>257 </w:t>
            </w:r>
          </w:p>
        </w:tc>
        <w:tc>
          <w:tcPr>
            <w:tcW w:w="0" w:type="auto"/>
            <w:shd w:val="clear" w:color="auto" w:fill="FFFFFF"/>
            <w:tcMar>
              <w:top w:w="40" w:type="dxa"/>
              <w:bottom w:w="40" w:type="dxa"/>
              <w:right w:w="20" w:type="dxa"/>
            </w:tcMar>
            <w:vAlign w:val="bottom"/>
          </w:tcPr>
          <w:p w14:paraId="0D8DEB7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B7B"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B7C" w14:textId="77777777" w:rsidR="004C2197" w:rsidRDefault="00863B83">
            <w:pPr>
              <w:textAlignment w:val="bottom"/>
            </w:pPr>
            <w:r>
              <w:rPr>
                <w:rFonts w:ascii="sans-serif" w:eastAsia="sans-serif" w:hAnsi="sans-serif" w:cs="sans-serif"/>
                <w:color w:val="000000"/>
                <w:sz w:val="18"/>
                <w:szCs w:val="18"/>
              </w:rPr>
              <w:t>$</w:t>
            </w:r>
          </w:p>
        </w:tc>
        <w:tc>
          <w:tcPr>
            <w:tcW w:w="0" w:type="auto"/>
            <w:shd w:val="clear" w:color="auto" w:fill="FFFFFF"/>
            <w:tcMar>
              <w:top w:w="40" w:type="dxa"/>
              <w:bottom w:w="40" w:type="dxa"/>
              <w:right w:w="0" w:type="dxa"/>
            </w:tcMar>
            <w:vAlign w:val="bottom"/>
          </w:tcPr>
          <w:p w14:paraId="0D8DEB7D" w14:textId="77777777" w:rsidR="004C2197" w:rsidRDefault="00863B83">
            <w:pPr>
              <w:jc w:val="right"/>
              <w:textAlignment w:val="bottom"/>
            </w:pPr>
            <w:r>
              <w:rPr>
                <w:rFonts w:ascii="sans-serif" w:eastAsia="sans-serif" w:hAnsi="sans-serif" w:cs="sans-serif"/>
                <w:color w:val="000000"/>
                <w:sz w:val="18"/>
                <w:szCs w:val="18"/>
              </w:rPr>
              <w:t>80 </w:t>
            </w:r>
          </w:p>
        </w:tc>
        <w:tc>
          <w:tcPr>
            <w:tcW w:w="0" w:type="auto"/>
            <w:shd w:val="clear" w:color="auto" w:fill="FFFFFF"/>
            <w:tcMar>
              <w:top w:w="40" w:type="dxa"/>
              <w:bottom w:w="40" w:type="dxa"/>
              <w:right w:w="20" w:type="dxa"/>
            </w:tcMar>
            <w:vAlign w:val="bottom"/>
          </w:tcPr>
          <w:p w14:paraId="0D8DEB7E" w14:textId="77777777" w:rsidR="004C2197" w:rsidRDefault="004C2197">
            <w:pPr>
              <w:jc w:val="right"/>
              <w:rPr>
                <w:rFonts w:ascii="宋体"/>
              </w:rPr>
            </w:pPr>
          </w:p>
        </w:tc>
        <w:tc>
          <w:tcPr>
            <w:tcW w:w="0" w:type="auto"/>
            <w:shd w:val="clear" w:color="auto" w:fill="auto"/>
          </w:tcPr>
          <w:p w14:paraId="0D8DEB7F" w14:textId="77777777" w:rsidR="004C2197" w:rsidRDefault="004C2197">
            <w:pPr>
              <w:rPr>
                <w:rFonts w:ascii="宋体"/>
              </w:rPr>
            </w:pPr>
          </w:p>
        </w:tc>
        <w:tc>
          <w:tcPr>
            <w:tcW w:w="0" w:type="auto"/>
            <w:shd w:val="clear" w:color="auto" w:fill="auto"/>
          </w:tcPr>
          <w:p w14:paraId="0D8DEB80" w14:textId="77777777" w:rsidR="004C2197" w:rsidRDefault="004C2197">
            <w:pPr>
              <w:rPr>
                <w:rFonts w:ascii="宋体"/>
              </w:rPr>
            </w:pPr>
          </w:p>
        </w:tc>
        <w:tc>
          <w:tcPr>
            <w:tcW w:w="0" w:type="auto"/>
            <w:shd w:val="clear" w:color="auto" w:fill="auto"/>
          </w:tcPr>
          <w:p w14:paraId="0D8DEB81" w14:textId="77777777" w:rsidR="004C2197" w:rsidRDefault="004C2197">
            <w:pPr>
              <w:rPr>
                <w:rFonts w:ascii="宋体"/>
              </w:rPr>
            </w:pPr>
          </w:p>
        </w:tc>
        <w:tc>
          <w:tcPr>
            <w:tcW w:w="0" w:type="auto"/>
            <w:shd w:val="clear" w:color="auto" w:fill="auto"/>
          </w:tcPr>
          <w:p w14:paraId="0D8DEB82" w14:textId="77777777" w:rsidR="004C2197" w:rsidRDefault="004C2197">
            <w:pPr>
              <w:rPr>
                <w:rFonts w:ascii="宋体"/>
              </w:rPr>
            </w:pPr>
          </w:p>
        </w:tc>
        <w:tc>
          <w:tcPr>
            <w:tcW w:w="0" w:type="auto"/>
            <w:shd w:val="clear" w:color="auto" w:fill="auto"/>
          </w:tcPr>
          <w:p w14:paraId="0D8DEB83" w14:textId="77777777" w:rsidR="004C2197" w:rsidRDefault="004C2197">
            <w:pPr>
              <w:rPr>
                <w:rFonts w:ascii="宋体"/>
              </w:rPr>
            </w:pPr>
          </w:p>
        </w:tc>
        <w:tc>
          <w:tcPr>
            <w:tcW w:w="0" w:type="auto"/>
            <w:shd w:val="clear" w:color="auto" w:fill="auto"/>
          </w:tcPr>
          <w:p w14:paraId="0D8DEB84" w14:textId="77777777" w:rsidR="004C2197" w:rsidRDefault="004C2197">
            <w:pPr>
              <w:rPr>
                <w:rFonts w:ascii="宋体"/>
              </w:rPr>
            </w:pPr>
          </w:p>
        </w:tc>
      </w:tr>
      <w:tr w:rsidR="004C2197" w14:paraId="0D8DEB90" w14:textId="77777777">
        <w:trPr>
          <w:jc w:val="center"/>
          <w:hidden/>
        </w:trPr>
        <w:tc>
          <w:tcPr>
            <w:tcW w:w="0" w:type="auto"/>
            <w:gridSpan w:val="3"/>
            <w:shd w:val="clear" w:color="auto" w:fill="auto"/>
          </w:tcPr>
          <w:p w14:paraId="0D8DEB86" w14:textId="77777777" w:rsidR="004C2197" w:rsidRDefault="004C2197">
            <w:pPr>
              <w:rPr>
                <w:rFonts w:ascii="宋体"/>
                <w:vanish/>
              </w:rPr>
            </w:pPr>
          </w:p>
        </w:tc>
        <w:tc>
          <w:tcPr>
            <w:tcW w:w="0" w:type="auto"/>
            <w:gridSpan w:val="3"/>
            <w:shd w:val="clear" w:color="auto" w:fill="auto"/>
          </w:tcPr>
          <w:p w14:paraId="0D8DEB87" w14:textId="77777777" w:rsidR="004C2197" w:rsidRDefault="004C2197">
            <w:pPr>
              <w:rPr>
                <w:rFonts w:ascii="宋体"/>
                <w:vanish/>
              </w:rPr>
            </w:pPr>
          </w:p>
        </w:tc>
        <w:tc>
          <w:tcPr>
            <w:tcW w:w="0" w:type="auto"/>
            <w:gridSpan w:val="3"/>
            <w:shd w:val="clear" w:color="auto" w:fill="auto"/>
          </w:tcPr>
          <w:p w14:paraId="0D8DEB88" w14:textId="77777777" w:rsidR="004C2197" w:rsidRDefault="004C2197">
            <w:pPr>
              <w:rPr>
                <w:rFonts w:ascii="宋体"/>
                <w:vanish/>
              </w:rPr>
            </w:pPr>
          </w:p>
        </w:tc>
        <w:tc>
          <w:tcPr>
            <w:tcW w:w="0" w:type="auto"/>
            <w:gridSpan w:val="3"/>
            <w:shd w:val="clear" w:color="auto" w:fill="auto"/>
          </w:tcPr>
          <w:p w14:paraId="0D8DEB89" w14:textId="77777777" w:rsidR="004C2197" w:rsidRDefault="004C2197">
            <w:pPr>
              <w:rPr>
                <w:rFonts w:ascii="宋体"/>
                <w:vanish/>
              </w:rPr>
            </w:pPr>
          </w:p>
        </w:tc>
        <w:tc>
          <w:tcPr>
            <w:tcW w:w="0" w:type="auto"/>
            <w:shd w:val="clear" w:color="auto" w:fill="auto"/>
          </w:tcPr>
          <w:p w14:paraId="0D8DEB8A" w14:textId="77777777" w:rsidR="004C2197" w:rsidRDefault="004C2197">
            <w:pPr>
              <w:rPr>
                <w:rFonts w:ascii="宋体"/>
              </w:rPr>
            </w:pPr>
          </w:p>
        </w:tc>
        <w:tc>
          <w:tcPr>
            <w:tcW w:w="0" w:type="auto"/>
            <w:shd w:val="clear" w:color="auto" w:fill="auto"/>
          </w:tcPr>
          <w:p w14:paraId="0D8DEB8B" w14:textId="77777777" w:rsidR="004C2197" w:rsidRDefault="004C2197">
            <w:pPr>
              <w:rPr>
                <w:rFonts w:ascii="宋体"/>
              </w:rPr>
            </w:pPr>
          </w:p>
        </w:tc>
        <w:tc>
          <w:tcPr>
            <w:tcW w:w="0" w:type="auto"/>
            <w:shd w:val="clear" w:color="auto" w:fill="auto"/>
          </w:tcPr>
          <w:p w14:paraId="0D8DEB8C" w14:textId="77777777" w:rsidR="004C2197" w:rsidRDefault="004C2197">
            <w:pPr>
              <w:rPr>
                <w:rFonts w:ascii="宋体"/>
              </w:rPr>
            </w:pPr>
          </w:p>
        </w:tc>
        <w:tc>
          <w:tcPr>
            <w:tcW w:w="0" w:type="auto"/>
            <w:shd w:val="clear" w:color="auto" w:fill="auto"/>
          </w:tcPr>
          <w:p w14:paraId="0D8DEB8D" w14:textId="77777777" w:rsidR="004C2197" w:rsidRDefault="004C2197">
            <w:pPr>
              <w:rPr>
                <w:rFonts w:ascii="宋体"/>
              </w:rPr>
            </w:pPr>
          </w:p>
        </w:tc>
        <w:tc>
          <w:tcPr>
            <w:tcW w:w="0" w:type="auto"/>
            <w:shd w:val="clear" w:color="auto" w:fill="auto"/>
          </w:tcPr>
          <w:p w14:paraId="0D8DEB8E" w14:textId="77777777" w:rsidR="004C2197" w:rsidRDefault="004C2197">
            <w:pPr>
              <w:rPr>
                <w:rFonts w:ascii="宋体"/>
              </w:rPr>
            </w:pPr>
          </w:p>
        </w:tc>
        <w:tc>
          <w:tcPr>
            <w:tcW w:w="0" w:type="auto"/>
            <w:shd w:val="clear" w:color="auto" w:fill="auto"/>
          </w:tcPr>
          <w:p w14:paraId="0D8DEB8F" w14:textId="77777777" w:rsidR="004C2197" w:rsidRDefault="004C2197">
            <w:pPr>
              <w:rPr>
                <w:rFonts w:ascii="宋体"/>
              </w:rPr>
            </w:pPr>
          </w:p>
        </w:tc>
      </w:tr>
    </w:tbl>
    <w:p w14:paraId="0D8DEB91" w14:textId="77777777" w:rsidR="004C2197" w:rsidRDefault="00863B83">
      <w:pPr>
        <w:spacing w:after="180"/>
        <w:jc w:val="center"/>
      </w:pPr>
      <w:r>
        <w:rPr>
          <w:rFonts w:ascii="sans-serif" w:eastAsia="sans-serif" w:hAnsi="sans-serif" w:cs="sans-serif"/>
          <w:color w:val="000000"/>
          <w:sz w:val="20"/>
          <w:szCs w:val="20"/>
        </w:rPr>
        <w:t xml:space="preserve">See </w:t>
      </w:r>
      <w:r>
        <w:rPr>
          <w:rFonts w:ascii="sans-serif" w:eastAsia="sans-serif" w:hAnsi="sans-serif" w:cs="sans-serif"/>
          <w:color w:val="000000"/>
          <w:sz w:val="20"/>
          <w:szCs w:val="20"/>
        </w:rPr>
        <w:t>accompanying Notes to Condensed Consolidated Financial Statements.</w:t>
      </w:r>
    </w:p>
    <w:p w14:paraId="0D8DEB92" w14:textId="77777777" w:rsidR="004C2197" w:rsidRDefault="00863B83">
      <w:pPr>
        <w:spacing w:after="180"/>
        <w:jc w:val="center"/>
      </w:pPr>
      <w:r>
        <w:rPr>
          <w:rFonts w:ascii="sans-serif" w:eastAsia="sans-serif" w:hAnsi="sans-serif" w:cs="sans-serif"/>
          <w:color w:val="000000"/>
          <w:sz w:val="20"/>
          <w:szCs w:val="20"/>
        </w:rPr>
        <w:t>8</w:t>
      </w:r>
    </w:p>
    <w:p w14:paraId="0D8DEB93" w14:textId="77777777" w:rsidR="004C2197" w:rsidRDefault="00863B83">
      <w:r>
        <w:pict w14:anchorId="0D8E0CAC">
          <v:rect id="_x0000_i1032" style="width:415.3pt;height:1.5pt" o:hralign="center" o:hrstd="t" o:hr="t" fillcolor="#a0a0a0" stroked="f"/>
        </w:pict>
      </w:r>
    </w:p>
    <w:p w14:paraId="0D8DEB94" w14:textId="77777777" w:rsidR="004C2197" w:rsidRDefault="00863B83">
      <w:pPr>
        <w:jc w:val="center"/>
      </w:pPr>
      <w:r>
        <w:rPr>
          <w:rFonts w:ascii="sans-serif" w:eastAsia="sans-serif" w:hAnsi="sans-serif" w:cs="sans-serif"/>
          <w:b/>
          <w:bCs/>
          <w:color w:val="000000"/>
          <w:sz w:val="20"/>
          <w:szCs w:val="20"/>
        </w:rPr>
        <w:t>NVIDIA CORPORATION AND SUBSIDIARIES</w:t>
      </w:r>
    </w:p>
    <w:p w14:paraId="0D8DEB95" w14:textId="77777777" w:rsidR="004C2197" w:rsidRDefault="00863B83">
      <w:pPr>
        <w:jc w:val="center"/>
      </w:pPr>
      <w:r>
        <w:rPr>
          <w:rFonts w:ascii="sans-serif" w:eastAsia="sans-serif" w:hAnsi="sans-serif" w:cs="sans-serif"/>
          <w:b/>
          <w:bCs/>
          <w:color w:val="000000"/>
          <w:sz w:val="20"/>
          <w:szCs w:val="20"/>
        </w:rPr>
        <w:t>NOTES TO CONDENSED CONSOLIDATED FINANCIAL STATEMENTS</w:t>
      </w:r>
    </w:p>
    <w:p w14:paraId="0D8DEB96" w14:textId="77777777" w:rsidR="004C2197" w:rsidRDefault="00863B83">
      <w:pPr>
        <w:jc w:val="center"/>
      </w:pPr>
      <w:r>
        <w:rPr>
          <w:rFonts w:ascii="sans-serif" w:eastAsia="sans-serif" w:hAnsi="sans-serif" w:cs="sans-serif"/>
          <w:b/>
          <w:bCs/>
          <w:color w:val="000000"/>
          <w:sz w:val="20"/>
          <w:szCs w:val="20"/>
        </w:rPr>
        <w:t>(Unaudited)</w:t>
      </w:r>
    </w:p>
    <w:p w14:paraId="0D8DEB97" w14:textId="77777777" w:rsidR="004C2197" w:rsidRDefault="004C2197">
      <w:pPr>
        <w:spacing w:after="180"/>
        <w:jc w:val="both"/>
      </w:pPr>
    </w:p>
    <w:p w14:paraId="0D8DEB98" w14:textId="77777777" w:rsidR="004C2197" w:rsidRDefault="004C2197">
      <w:pPr>
        <w:spacing w:after="180"/>
        <w:jc w:val="center"/>
      </w:pPr>
    </w:p>
    <w:p w14:paraId="0D8DEB99" w14:textId="77777777" w:rsidR="004C2197" w:rsidRDefault="00863B83">
      <w:pPr>
        <w:spacing w:before="240" w:after="120"/>
        <w:jc w:val="both"/>
      </w:pPr>
      <w:r>
        <w:rPr>
          <w:rFonts w:ascii="sans-serif" w:eastAsia="sans-serif" w:hAnsi="sans-serif" w:cs="sans-serif"/>
          <w:b/>
          <w:bCs/>
          <w:color w:val="76B900"/>
          <w:sz w:val="22"/>
          <w:szCs w:val="22"/>
        </w:rPr>
        <w:t>Note 1 - Summary of Significant Accounting Policies</w:t>
      </w:r>
    </w:p>
    <w:p w14:paraId="0D8DEB9A" w14:textId="77777777" w:rsidR="004C2197" w:rsidRDefault="00863B83">
      <w:pPr>
        <w:spacing w:before="240" w:after="60"/>
        <w:jc w:val="both"/>
      </w:pPr>
      <w:r>
        <w:rPr>
          <w:rFonts w:ascii="sans-serif" w:eastAsia="sans-serif" w:hAnsi="sans-serif" w:cs="sans-serif"/>
          <w:b/>
          <w:bCs/>
          <w:color w:val="76B900"/>
          <w:sz w:val="20"/>
          <w:szCs w:val="20"/>
        </w:rPr>
        <w:t xml:space="preserve">Basis of </w:t>
      </w:r>
      <w:r>
        <w:rPr>
          <w:rFonts w:ascii="sans-serif" w:eastAsia="sans-serif" w:hAnsi="sans-serif" w:cs="sans-serif"/>
          <w:b/>
          <w:bCs/>
          <w:color w:val="76B900"/>
          <w:sz w:val="20"/>
          <w:szCs w:val="20"/>
        </w:rPr>
        <w:t>Presentation</w:t>
      </w:r>
    </w:p>
    <w:p w14:paraId="0D8DEB9B" w14:textId="77777777" w:rsidR="004C2197" w:rsidRDefault="00863B83">
      <w:pPr>
        <w:spacing w:after="180"/>
        <w:jc w:val="both"/>
      </w:pPr>
      <w:r>
        <w:rPr>
          <w:rFonts w:ascii="sans-serif" w:eastAsia="sans-serif" w:hAnsi="sans-serif" w:cs="sans-serif"/>
          <w:color w:val="000000"/>
          <w:sz w:val="20"/>
          <w:szCs w:val="20"/>
        </w:rPr>
        <w:t>The accompanying unaudited condensed consolidated financial statements were prepared in accordance with accounting principles generally accepted in the United States of America, or U.S. GAAP, for interim financial information and with the inst</w:t>
      </w:r>
      <w:r>
        <w:rPr>
          <w:rFonts w:ascii="sans-serif" w:eastAsia="sans-serif" w:hAnsi="sans-serif" w:cs="sans-serif"/>
          <w:color w:val="000000"/>
          <w:sz w:val="20"/>
          <w:szCs w:val="20"/>
        </w:rPr>
        <w:t>ructions to Form 10-Q and Article 10 of Securities and Exchange Commission, or SEC, Regulation S-X. The January 26, 2020 consolidated balance sheet was derived from our audited consolidated financial statements included in our Annual Report on Form 10-K fo</w:t>
      </w:r>
      <w:r>
        <w:rPr>
          <w:rFonts w:ascii="sans-serif" w:eastAsia="sans-serif" w:hAnsi="sans-serif" w:cs="sans-serif"/>
          <w:color w:val="000000"/>
          <w:sz w:val="20"/>
          <w:szCs w:val="20"/>
        </w:rPr>
        <w:t>r the fiscal year ended January 26, 2020, as filed with the SEC, but does not include all disclosures required by U.S. GAAP. In the opinion of management, all adjustments, consisting only of normal recurring adjustments considered necessary for a fair stat</w:t>
      </w:r>
      <w:r>
        <w:rPr>
          <w:rFonts w:ascii="sans-serif" w:eastAsia="sans-serif" w:hAnsi="sans-serif" w:cs="sans-serif"/>
          <w:color w:val="000000"/>
          <w:sz w:val="20"/>
          <w:szCs w:val="20"/>
        </w:rPr>
        <w:t>ement of results of operations and financial position have been included. The results for the interim periods presented are not necessarily indicative of the results expected for any future period. The following information should be read in conjunction wi</w:t>
      </w:r>
      <w:r>
        <w:rPr>
          <w:rFonts w:ascii="sans-serif" w:eastAsia="sans-serif" w:hAnsi="sans-serif" w:cs="sans-serif"/>
          <w:color w:val="000000"/>
          <w:sz w:val="20"/>
          <w:szCs w:val="20"/>
        </w:rPr>
        <w:t>th the audited consolidated financial statements and notes thereto included in our Annual Report on Form 10-K for the fiscal year ended January 26, 2020.</w:t>
      </w:r>
      <w:r>
        <w:rPr>
          <w:rFonts w:ascii="sans-serif" w:eastAsia="sans-serif" w:hAnsi="sans-serif" w:cs="sans-serif"/>
          <w:b/>
          <w:bCs/>
          <w:color w:val="000000"/>
          <w:sz w:val="20"/>
          <w:szCs w:val="20"/>
        </w:rPr>
        <w:t> </w:t>
      </w:r>
    </w:p>
    <w:p w14:paraId="0D8DEB9C" w14:textId="77777777" w:rsidR="004C2197" w:rsidRDefault="00863B83">
      <w:pPr>
        <w:spacing w:after="180"/>
        <w:jc w:val="both"/>
      </w:pPr>
      <w:r>
        <w:rPr>
          <w:rFonts w:ascii="sans-serif" w:eastAsia="sans-serif" w:hAnsi="sans-serif" w:cs="sans-serif"/>
          <w:color w:val="000000"/>
          <w:sz w:val="20"/>
          <w:szCs w:val="20"/>
        </w:rPr>
        <w:t>The unaudited condensed consolidated financial statements in this report include the financial result</w:t>
      </w:r>
      <w:r>
        <w:rPr>
          <w:rFonts w:ascii="sans-serif" w:eastAsia="sans-serif" w:hAnsi="sans-serif" w:cs="sans-serif"/>
          <w:color w:val="000000"/>
          <w:sz w:val="20"/>
          <w:szCs w:val="20"/>
        </w:rPr>
        <w:t>s of Mellanox Technologies Ltd., or Mellanox, prospectively from April 27, 2020. For additional details, refer to Note 2 - Business Combination.</w:t>
      </w:r>
    </w:p>
    <w:p w14:paraId="0D8DEB9D" w14:textId="77777777" w:rsidR="004C2197" w:rsidRDefault="00863B83">
      <w:pPr>
        <w:spacing w:before="240" w:after="60"/>
        <w:jc w:val="both"/>
      </w:pPr>
      <w:r>
        <w:rPr>
          <w:rFonts w:ascii="sans-serif" w:eastAsia="sans-serif" w:hAnsi="sans-serif" w:cs="sans-serif"/>
          <w:b/>
          <w:bCs/>
          <w:color w:val="76B900"/>
          <w:sz w:val="20"/>
          <w:szCs w:val="20"/>
        </w:rPr>
        <w:t>Significant Accounting Policies</w:t>
      </w:r>
    </w:p>
    <w:p w14:paraId="0D8DEB9E" w14:textId="77777777" w:rsidR="004C2197" w:rsidRDefault="00863B83">
      <w:pPr>
        <w:spacing w:after="180"/>
        <w:jc w:val="both"/>
      </w:pPr>
      <w:r>
        <w:rPr>
          <w:rFonts w:ascii="sans-serif" w:eastAsia="sans-serif" w:hAnsi="sans-serif" w:cs="sans-serif"/>
          <w:color w:val="000000"/>
          <w:sz w:val="20"/>
          <w:szCs w:val="20"/>
        </w:rPr>
        <w:t>Except for the accounting policies for business combination and investment in n</w:t>
      </w:r>
      <w:r>
        <w:rPr>
          <w:rFonts w:ascii="sans-serif" w:eastAsia="sans-serif" w:hAnsi="sans-serif" w:cs="sans-serif"/>
          <w:color w:val="000000"/>
          <w:sz w:val="20"/>
          <w:szCs w:val="20"/>
        </w:rPr>
        <w:t>on-affiliated entities, there have been no material changes to our significant accounting policies disclosed in Note 1 - Organization and Summary of Significant Accounting Policies, of the Notes to the Consolidated Financial Statements included in our Annu</w:t>
      </w:r>
      <w:r>
        <w:rPr>
          <w:rFonts w:ascii="sans-serif" w:eastAsia="sans-serif" w:hAnsi="sans-serif" w:cs="sans-serif"/>
          <w:color w:val="000000"/>
          <w:sz w:val="20"/>
          <w:szCs w:val="20"/>
        </w:rPr>
        <w:t>al Report on Form 10-K for the fiscal year ended January 26, 2020.</w:t>
      </w:r>
    </w:p>
    <w:p w14:paraId="0D8DEB9F" w14:textId="77777777" w:rsidR="004C2197" w:rsidRDefault="00863B83">
      <w:pPr>
        <w:spacing w:before="120" w:after="120"/>
        <w:jc w:val="both"/>
      </w:pPr>
      <w:r>
        <w:rPr>
          <w:rFonts w:ascii="sans-serif" w:eastAsia="sans-serif" w:hAnsi="sans-serif" w:cs="sans-serif"/>
          <w:b/>
          <w:bCs/>
          <w:color w:val="000000"/>
          <w:sz w:val="20"/>
          <w:szCs w:val="20"/>
        </w:rPr>
        <w:t>Business Combination</w:t>
      </w:r>
    </w:p>
    <w:p w14:paraId="0D8DEBA0" w14:textId="77777777" w:rsidR="004C2197" w:rsidRDefault="00863B83">
      <w:pPr>
        <w:spacing w:after="180"/>
        <w:jc w:val="both"/>
      </w:pPr>
      <w:r>
        <w:rPr>
          <w:rFonts w:ascii="sans-serif" w:eastAsia="sans-serif" w:hAnsi="sans-serif" w:cs="sans-serif"/>
          <w:color w:val="000000"/>
          <w:sz w:val="20"/>
          <w:szCs w:val="20"/>
        </w:rPr>
        <w:t xml:space="preserve">We allocate the fair value of the purchase price of an acquisition to the tangible assets acquired, liabilities assumed, and intangible assets acquired, </w:t>
      </w:r>
      <w:r>
        <w:rPr>
          <w:rFonts w:ascii="sans-serif" w:eastAsia="sans-serif" w:hAnsi="sans-serif" w:cs="sans-serif"/>
          <w:color w:val="000000"/>
          <w:sz w:val="20"/>
          <w:szCs w:val="20"/>
        </w:rPr>
        <w:t>including in-process research and development, or IPR&amp;D, based on their estimated fair values. The excess of the fair value of the purchase price over the fair values of these net tangible and intangible assets acquired is recorded as goodwill. Management’</w:t>
      </w:r>
      <w:r>
        <w:rPr>
          <w:rFonts w:ascii="sans-serif" w:eastAsia="sans-serif" w:hAnsi="sans-serif" w:cs="sans-serif"/>
          <w:color w:val="000000"/>
          <w:sz w:val="20"/>
          <w:szCs w:val="20"/>
        </w:rPr>
        <w:t>s estimates of fair value are based upon assumptions believed to be reasonable, but our estimates and assumptions are inherently uncertain and subject to refinement. The estimates and assumptions used in valuing intangible assets include, but are not limit</w:t>
      </w:r>
      <w:r>
        <w:rPr>
          <w:rFonts w:ascii="sans-serif" w:eastAsia="sans-serif" w:hAnsi="sans-serif" w:cs="sans-serif"/>
          <w:color w:val="000000"/>
          <w:sz w:val="20"/>
          <w:szCs w:val="20"/>
        </w:rPr>
        <w:t xml:space="preserve">ed to, the amount and timing of projected future cash flows, discount rate used to determine the present value of these cash flows and asset lives. These estimates are inherently uncertain and, therefore, actual results may differ from the estimates made. </w:t>
      </w:r>
      <w:r>
        <w:rPr>
          <w:rFonts w:ascii="sans-serif" w:eastAsia="sans-serif" w:hAnsi="sans-serif" w:cs="sans-serif"/>
          <w:color w:val="000000"/>
          <w:sz w:val="20"/>
          <w:szCs w:val="20"/>
        </w:rPr>
        <w:t>As a result, during the measurement period of up to one year from the acquisition date, we record adjustments to the assets acquired and liabilities assumed with the corresponding offset to goodwill. Upon the conclusion of the measurement period or final d</w:t>
      </w:r>
      <w:r>
        <w:rPr>
          <w:rFonts w:ascii="sans-serif" w:eastAsia="sans-serif" w:hAnsi="sans-serif" w:cs="sans-serif"/>
          <w:color w:val="000000"/>
          <w:sz w:val="20"/>
          <w:szCs w:val="20"/>
        </w:rPr>
        <w:t>etermination of the fair value of the purchase price of an acquisition, whichever comes first, any subsequent adjustments are recorded to our condensed consolidated statements of income.</w:t>
      </w:r>
    </w:p>
    <w:p w14:paraId="0D8DEBA1" w14:textId="77777777" w:rsidR="004C2197" w:rsidRDefault="00863B83">
      <w:pPr>
        <w:spacing w:after="180"/>
        <w:jc w:val="both"/>
      </w:pPr>
      <w:r>
        <w:rPr>
          <w:rFonts w:ascii="sans-serif" w:eastAsia="sans-serif" w:hAnsi="sans-serif" w:cs="sans-serif"/>
          <w:color w:val="000000"/>
          <w:sz w:val="20"/>
          <w:szCs w:val="20"/>
        </w:rPr>
        <w:t>We initially capitalize the fair value of IPR&amp;D as an intangible asse</w:t>
      </w:r>
      <w:r>
        <w:rPr>
          <w:rFonts w:ascii="sans-serif" w:eastAsia="sans-serif" w:hAnsi="sans-serif" w:cs="sans-serif"/>
          <w:color w:val="000000"/>
          <w:sz w:val="20"/>
          <w:szCs w:val="20"/>
        </w:rPr>
        <w:t xml:space="preserve">t with an indefinite life. We assess for impairment thereafter. When IPR&amp;D projects are completed, we reclassify the IPR&amp;D as an amortizable purchased intangible asset and amortize over the asset’s estimated useful life. </w:t>
      </w:r>
    </w:p>
    <w:p w14:paraId="0D8DEBA2" w14:textId="77777777" w:rsidR="004C2197" w:rsidRDefault="00863B83">
      <w:pPr>
        <w:spacing w:after="180"/>
        <w:jc w:val="both"/>
      </w:pPr>
      <w:r>
        <w:rPr>
          <w:rFonts w:ascii="sans-serif" w:eastAsia="sans-serif" w:hAnsi="sans-serif" w:cs="sans-serif"/>
          <w:color w:val="000000"/>
          <w:sz w:val="20"/>
          <w:szCs w:val="20"/>
        </w:rPr>
        <w:t>Acquisition-related expenses are r</w:t>
      </w:r>
      <w:r>
        <w:rPr>
          <w:rFonts w:ascii="sans-serif" w:eastAsia="sans-serif" w:hAnsi="sans-serif" w:cs="sans-serif"/>
          <w:color w:val="000000"/>
          <w:sz w:val="20"/>
          <w:szCs w:val="20"/>
        </w:rPr>
        <w:t>ecognized separately from the business combination and expensed as incurred.</w:t>
      </w:r>
    </w:p>
    <w:p w14:paraId="0D8DEBA3" w14:textId="77777777" w:rsidR="004C2197" w:rsidRDefault="00863B83">
      <w:pPr>
        <w:spacing w:before="120" w:after="120"/>
        <w:jc w:val="both"/>
      </w:pPr>
      <w:r>
        <w:rPr>
          <w:rFonts w:ascii="sans-serif" w:eastAsia="sans-serif" w:hAnsi="sans-serif" w:cs="sans-serif"/>
          <w:b/>
          <w:bCs/>
          <w:color w:val="000000"/>
          <w:sz w:val="20"/>
          <w:szCs w:val="20"/>
        </w:rPr>
        <w:t>Investment in Non-Affiliated Entities</w:t>
      </w:r>
    </w:p>
    <w:p w14:paraId="0D8DEBA4" w14:textId="77777777" w:rsidR="004C2197" w:rsidRDefault="00863B83">
      <w:pPr>
        <w:spacing w:after="180"/>
        <w:jc w:val="both"/>
      </w:pPr>
      <w:r>
        <w:rPr>
          <w:rFonts w:ascii="sans-serif" w:eastAsia="sans-serif" w:hAnsi="sans-serif" w:cs="sans-serif"/>
          <w:color w:val="000000"/>
          <w:sz w:val="20"/>
          <w:szCs w:val="20"/>
        </w:rPr>
        <w:t>Non-marketable equity investments in privately-held companies are recorded at fair value on a non-recurring basis only if an impairment or ob</w:t>
      </w:r>
      <w:r>
        <w:rPr>
          <w:rFonts w:ascii="sans-serif" w:eastAsia="sans-serif" w:hAnsi="sans-serif" w:cs="sans-serif"/>
          <w:color w:val="000000"/>
          <w:sz w:val="20"/>
          <w:szCs w:val="20"/>
        </w:rPr>
        <w:t>servable price adjustment occurs in the period with changes in fair value recorded through net income. These investments are valued using observable and unobservable inputs or data in an inactive market and the valuation requires our judgment due to the ab</w:t>
      </w:r>
      <w:r>
        <w:rPr>
          <w:rFonts w:ascii="sans-serif" w:eastAsia="sans-serif" w:hAnsi="sans-serif" w:cs="sans-serif"/>
          <w:color w:val="000000"/>
          <w:sz w:val="20"/>
          <w:szCs w:val="20"/>
        </w:rPr>
        <w:t>sence of market prices and inherent lack of liquidity. The estimated fair value is based on quantitative and qualitative factors including subsequent financing activities by the investee.</w:t>
      </w:r>
    </w:p>
    <w:p w14:paraId="0D8DEBA5" w14:textId="77777777" w:rsidR="004C2197" w:rsidRDefault="004C2197">
      <w:pPr>
        <w:spacing w:after="180"/>
        <w:jc w:val="both"/>
      </w:pPr>
    </w:p>
    <w:p w14:paraId="0D8DEBA6" w14:textId="77777777" w:rsidR="004C2197" w:rsidRDefault="00863B83">
      <w:pPr>
        <w:spacing w:after="180"/>
        <w:jc w:val="center"/>
      </w:pPr>
      <w:r>
        <w:rPr>
          <w:rFonts w:ascii="sans-serif" w:eastAsia="sans-serif" w:hAnsi="sans-serif" w:cs="sans-serif"/>
          <w:color w:val="000000"/>
          <w:sz w:val="20"/>
          <w:szCs w:val="20"/>
        </w:rPr>
        <w:t>9</w:t>
      </w:r>
    </w:p>
    <w:p w14:paraId="0D8DEBA7" w14:textId="77777777" w:rsidR="004C2197" w:rsidRDefault="00863B83">
      <w:r>
        <w:pict w14:anchorId="0D8E0CAD">
          <v:rect id="_x0000_i1033" style="width:415.3pt;height:1.5pt" o:hralign="center" o:hrstd="t" o:hr="t" fillcolor="#a0a0a0" stroked="f"/>
        </w:pict>
      </w:r>
    </w:p>
    <w:p w14:paraId="0D8DEBA8" w14:textId="77777777" w:rsidR="004C2197" w:rsidRDefault="00863B83">
      <w:pPr>
        <w:jc w:val="center"/>
      </w:pPr>
      <w:r>
        <w:rPr>
          <w:rFonts w:ascii="sans-serif" w:eastAsia="sans-serif" w:hAnsi="sans-serif" w:cs="sans-serif"/>
          <w:b/>
          <w:bCs/>
          <w:color w:val="000000"/>
          <w:sz w:val="20"/>
          <w:szCs w:val="20"/>
        </w:rPr>
        <w:t>NVIDIA CORPORATION AND SUBSIDIARIES</w:t>
      </w:r>
    </w:p>
    <w:p w14:paraId="0D8DEBA9" w14:textId="77777777" w:rsidR="004C2197" w:rsidRDefault="00863B83">
      <w:pPr>
        <w:jc w:val="center"/>
      </w:pPr>
      <w:r>
        <w:rPr>
          <w:rFonts w:ascii="sans-serif" w:eastAsia="sans-serif" w:hAnsi="sans-serif" w:cs="sans-serif"/>
          <w:b/>
          <w:bCs/>
          <w:color w:val="000000"/>
          <w:sz w:val="20"/>
          <w:szCs w:val="20"/>
        </w:rPr>
        <w:t>NOTES TO CONDENSED CONSOLID</w:t>
      </w:r>
      <w:r>
        <w:rPr>
          <w:rFonts w:ascii="sans-serif" w:eastAsia="sans-serif" w:hAnsi="sans-serif" w:cs="sans-serif"/>
          <w:b/>
          <w:bCs/>
          <w:color w:val="000000"/>
          <w:sz w:val="20"/>
          <w:szCs w:val="20"/>
        </w:rPr>
        <w:t>ATED FINANCIAL STATEMENTS (Continued)</w:t>
      </w:r>
    </w:p>
    <w:p w14:paraId="0D8DEBAA" w14:textId="77777777" w:rsidR="004C2197" w:rsidRDefault="00863B83">
      <w:pPr>
        <w:jc w:val="center"/>
      </w:pPr>
      <w:r>
        <w:rPr>
          <w:rFonts w:ascii="sans-serif" w:eastAsia="sans-serif" w:hAnsi="sans-serif" w:cs="sans-serif"/>
          <w:b/>
          <w:bCs/>
          <w:color w:val="000000"/>
          <w:sz w:val="20"/>
          <w:szCs w:val="20"/>
        </w:rPr>
        <w:t>(Unaudited)</w:t>
      </w:r>
    </w:p>
    <w:p w14:paraId="0D8DEBAB" w14:textId="77777777" w:rsidR="004C2197" w:rsidRDefault="004C2197">
      <w:pPr>
        <w:spacing w:after="180"/>
        <w:jc w:val="both"/>
      </w:pPr>
    </w:p>
    <w:p w14:paraId="0D8DEBAC" w14:textId="77777777" w:rsidR="004C2197" w:rsidRDefault="004C2197">
      <w:pPr>
        <w:spacing w:after="180"/>
        <w:jc w:val="both"/>
      </w:pPr>
    </w:p>
    <w:p w14:paraId="0D8DEBAD" w14:textId="77777777" w:rsidR="004C2197" w:rsidRDefault="00863B83">
      <w:pPr>
        <w:spacing w:before="240" w:after="60"/>
        <w:jc w:val="both"/>
      </w:pPr>
      <w:r>
        <w:rPr>
          <w:rFonts w:ascii="sans-serif" w:eastAsia="sans-serif" w:hAnsi="sans-serif" w:cs="sans-serif"/>
          <w:b/>
          <w:bCs/>
          <w:color w:val="76B900"/>
          <w:sz w:val="20"/>
          <w:szCs w:val="20"/>
        </w:rPr>
        <w:t>Fiscal Year</w:t>
      </w:r>
    </w:p>
    <w:p w14:paraId="0D8DEBAE" w14:textId="77777777" w:rsidR="004C2197" w:rsidRDefault="00863B83">
      <w:pPr>
        <w:spacing w:after="180"/>
        <w:jc w:val="both"/>
      </w:pPr>
      <w:r>
        <w:rPr>
          <w:rFonts w:ascii="sans-serif" w:eastAsia="sans-serif" w:hAnsi="sans-serif" w:cs="sans-serif"/>
          <w:color w:val="000000"/>
          <w:sz w:val="20"/>
          <w:szCs w:val="20"/>
        </w:rPr>
        <w:t>We operate on a 52- or 53-week year, ending on the last Sunday in January. Fiscal year 2021 is a 53-week year and fiscal year 2020 is a 52-week year. The second quarters of fiscal years 2021 a</w:t>
      </w:r>
      <w:r>
        <w:rPr>
          <w:rFonts w:ascii="sans-serif" w:eastAsia="sans-serif" w:hAnsi="sans-serif" w:cs="sans-serif"/>
          <w:color w:val="000000"/>
          <w:sz w:val="20"/>
          <w:szCs w:val="20"/>
        </w:rPr>
        <w:t>nd 2020 were both 13-week quarters.</w:t>
      </w:r>
    </w:p>
    <w:p w14:paraId="0D8DEBAF" w14:textId="77777777" w:rsidR="004C2197" w:rsidRDefault="00863B83">
      <w:pPr>
        <w:spacing w:before="240" w:after="60"/>
        <w:jc w:val="both"/>
      </w:pPr>
      <w:r>
        <w:rPr>
          <w:rFonts w:ascii="sans-serif" w:eastAsia="sans-serif" w:hAnsi="sans-serif" w:cs="sans-serif"/>
          <w:b/>
          <w:bCs/>
          <w:color w:val="76B900"/>
          <w:sz w:val="20"/>
          <w:szCs w:val="20"/>
        </w:rPr>
        <w:t>Reclassifications</w:t>
      </w:r>
    </w:p>
    <w:p w14:paraId="0D8DEBB0" w14:textId="77777777" w:rsidR="004C2197" w:rsidRDefault="00863B83">
      <w:pPr>
        <w:spacing w:after="180"/>
        <w:jc w:val="both"/>
      </w:pPr>
      <w:r>
        <w:rPr>
          <w:rFonts w:ascii="sans-serif" w:eastAsia="sans-serif" w:hAnsi="sans-serif" w:cs="sans-serif"/>
          <w:color w:val="000000"/>
          <w:sz w:val="20"/>
          <w:szCs w:val="20"/>
        </w:rPr>
        <w:t>Certain prior fiscal year balances have been reclassified to conform to the current fiscal year presentation.</w:t>
      </w:r>
    </w:p>
    <w:p w14:paraId="0D8DEBB1" w14:textId="77777777" w:rsidR="004C2197" w:rsidRDefault="00863B83">
      <w:pPr>
        <w:spacing w:before="240" w:after="60"/>
        <w:jc w:val="both"/>
      </w:pPr>
      <w:r>
        <w:rPr>
          <w:rFonts w:ascii="sans-serif" w:eastAsia="sans-serif" w:hAnsi="sans-serif" w:cs="sans-serif"/>
          <w:b/>
          <w:bCs/>
          <w:color w:val="76B900"/>
          <w:sz w:val="20"/>
          <w:szCs w:val="20"/>
        </w:rPr>
        <w:t>Principles of Consolidation</w:t>
      </w:r>
    </w:p>
    <w:p w14:paraId="0D8DEBB2" w14:textId="77777777" w:rsidR="004C2197" w:rsidRDefault="00863B83">
      <w:pPr>
        <w:spacing w:after="180"/>
        <w:jc w:val="both"/>
      </w:pPr>
      <w:r>
        <w:rPr>
          <w:rFonts w:ascii="sans-serif" w:eastAsia="sans-serif" w:hAnsi="sans-serif" w:cs="sans-serif"/>
          <w:color w:val="000000"/>
          <w:sz w:val="20"/>
          <w:szCs w:val="20"/>
        </w:rPr>
        <w:t xml:space="preserve">Our condensed consolidated financial statements include the </w:t>
      </w:r>
      <w:r>
        <w:rPr>
          <w:rFonts w:ascii="sans-serif" w:eastAsia="sans-serif" w:hAnsi="sans-serif" w:cs="sans-serif"/>
          <w:color w:val="000000"/>
          <w:sz w:val="20"/>
          <w:szCs w:val="20"/>
        </w:rPr>
        <w:t>accounts of NVIDIA Corporation and our wholly-owned subsidiaries. All intercompany balances and transactions have been eliminated in consolidation.</w:t>
      </w:r>
    </w:p>
    <w:p w14:paraId="0D8DEBB3" w14:textId="77777777" w:rsidR="004C2197" w:rsidRDefault="00863B83">
      <w:pPr>
        <w:spacing w:before="240" w:after="60"/>
        <w:jc w:val="both"/>
      </w:pPr>
      <w:r>
        <w:rPr>
          <w:rFonts w:ascii="sans-serif" w:eastAsia="sans-serif" w:hAnsi="sans-serif" w:cs="sans-serif"/>
          <w:b/>
          <w:bCs/>
          <w:color w:val="76B900"/>
          <w:sz w:val="20"/>
          <w:szCs w:val="20"/>
        </w:rPr>
        <w:t>Use of Estimates</w:t>
      </w:r>
    </w:p>
    <w:p w14:paraId="0D8DEBB4" w14:textId="77777777" w:rsidR="004C2197" w:rsidRDefault="00863B83">
      <w:pPr>
        <w:spacing w:after="180"/>
        <w:jc w:val="both"/>
      </w:pPr>
      <w:r>
        <w:rPr>
          <w:rFonts w:ascii="sans-serif" w:eastAsia="sans-serif" w:hAnsi="sans-serif" w:cs="sans-serif"/>
          <w:color w:val="000000"/>
          <w:sz w:val="20"/>
          <w:szCs w:val="20"/>
        </w:rPr>
        <w:t>The preparation of financial statements in conformity with U.S. GAAP requires management to</w:t>
      </w:r>
      <w:r>
        <w:rPr>
          <w:rFonts w:ascii="sans-serif" w:eastAsia="sans-serif" w:hAnsi="sans-serif" w:cs="sans-serif"/>
          <w:color w:val="000000"/>
          <w:sz w:val="20"/>
          <w:szCs w:val="20"/>
        </w:rPr>
        <w:t xml:space="preserve"> make estimates and assumptions that affect the reported amounts of assets and liabilities and disclosures of contingent assets and liabilities at the date of the financial statements and the reported amounts of revenue and expenses during the reporting pe</w:t>
      </w:r>
      <w:r>
        <w:rPr>
          <w:rFonts w:ascii="sans-serif" w:eastAsia="sans-serif" w:hAnsi="sans-serif" w:cs="sans-serif"/>
          <w:color w:val="000000"/>
          <w:sz w:val="20"/>
          <w:szCs w:val="20"/>
        </w:rPr>
        <w:t>riod. Actual results could differ materially from our estimates. On an on-going basis, we evaluate our estimates, including those related to revenue recognition, cash equivalents and marketable securities, accounts receivable, inventories, income taxes, go</w:t>
      </w:r>
      <w:r>
        <w:rPr>
          <w:rFonts w:ascii="sans-serif" w:eastAsia="sans-serif" w:hAnsi="sans-serif" w:cs="sans-serif"/>
          <w:color w:val="000000"/>
          <w:sz w:val="20"/>
          <w:szCs w:val="20"/>
        </w:rPr>
        <w:t>odwill, stock-based compensation, litigation, investigation and settlement costs, restructuring and other charges, and other contingencies. The inputs into our judgments and estimates consider the economic implications of COVID-19 on our critical and signi</w:t>
      </w:r>
      <w:r>
        <w:rPr>
          <w:rFonts w:ascii="sans-serif" w:eastAsia="sans-serif" w:hAnsi="sans-serif" w:cs="sans-serif"/>
          <w:color w:val="000000"/>
          <w:sz w:val="20"/>
          <w:szCs w:val="20"/>
        </w:rPr>
        <w:t>ficant accounting estimates. These estimates are based on historical facts and various other assumptions that we believe are reasonable.</w:t>
      </w:r>
    </w:p>
    <w:p w14:paraId="0D8DEBB5" w14:textId="77777777" w:rsidR="004C2197" w:rsidRDefault="00863B83">
      <w:pPr>
        <w:spacing w:before="240" w:after="60"/>
        <w:jc w:val="both"/>
      </w:pPr>
      <w:r>
        <w:rPr>
          <w:rFonts w:ascii="sans-serif" w:eastAsia="sans-serif" w:hAnsi="sans-serif" w:cs="sans-serif"/>
          <w:b/>
          <w:bCs/>
          <w:color w:val="76B900"/>
          <w:sz w:val="20"/>
          <w:szCs w:val="20"/>
        </w:rPr>
        <w:t>Adoption of New and Recently Issued Accounting Pronouncements</w:t>
      </w:r>
    </w:p>
    <w:p w14:paraId="0D8DEBB6" w14:textId="77777777" w:rsidR="004C2197" w:rsidRDefault="00863B83">
      <w:pPr>
        <w:spacing w:before="120" w:after="120"/>
        <w:jc w:val="both"/>
      </w:pPr>
      <w:r>
        <w:rPr>
          <w:rFonts w:ascii="sans-serif" w:eastAsia="sans-serif" w:hAnsi="sans-serif" w:cs="sans-serif"/>
          <w:b/>
          <w:bCs/>
          <w:color w:val="000000"/>
          <w:sz w:val="20"/>
          <w:szCs w:val="20"/>
        </w:rPr>
        <w:t>Recently Adopted Accounting Pronouncement</w:t>
      </w:r>
    </w:p>
    <w:p w14:paraId="0D8DEBB7" w14:textId="77777777" w:rsidR="004C2197" w:rsidRDefault="00863B83">
      <w:pPr>
        <w:spacing w:after="180"/>
        <w:jc w:val="both"/>
      </w:pPr>
      <w:r>
        <w:rPr>
          <w:rFonts w:ascii="sans-serif" w:eastAsia="sans-serif" w:hAnsi="sans-serif" w:cs="sans-serif"/>
          <w:color w:val="000000"/>
          <w:sz w:val="20"/>
          <w:szCs w:val="20"/>
        </w:rPr>
        <w:t>In June 2016, t</w:t>
      </w:r>
      <w:r>
        <w:rPr>
          <w:rFonts w:ascii="sans-serif" w:eastAsia="sans-serif" w:hAnsi="sans-serif" w:cs="sans-serif"/>
          <w:color w:val="000000"/>
          <w:sz w:val="20"/>
          <w:szCs w:val="20"/>
        </w:rPr>
        <w:t>he Financial Accounting Standards Board issued a new accounting standard to replace the existing incurred loss impairment methodology with a methodology that reflects expected credit losses and requires consideration of a broader range of reasonable and su</w:t>
      </w:r>
      <w:r>
        <w:rPr>
          <w:rFonts w:ascii="sans-serif" w:eastAsia="sans-serif" w:hAnsi="sans-serif" w:cs="sans-serif"/>
          <w:color w:val="000000"/>
          <w:sz w:val="20"/>
          <w:szCs w:val="20"/>
        </w:rPr>
        <w:t>pportable information to inform credit loss estimates for accounts receivable and other financial instruments, including available-for-sale debt securities. We adopted the standard in the first quarter of fiscal year 2021 and the impact of the adoption was</w:t>
      </w:r>
      <w:r>
        <w:rPr>
          <w:rFonts w:ascii="sans-serif" w:eastAsia="sans-serif" w:hAnsi="sans-serif" w:cs="sans-serif"/>
          <w:color w:val="000000"/>
          <w:sz w:val="20"/>
          <w:szCs w:val="20"/>
        </w:rPr>
        <w:t xml:space="preserve"> not material to our consolidated financial statements.</w:t>
      </w:r>
    </w:p>
    <w:p w14:paraId="0D8DEBB8" w14:textId="77777777" w:rsidR="004C2197" w:rsidRDefault="004C2197">
      <w:pPr>
        <w:spacing w:after="180"/>
        <w:jc w:val="both"/>
      </w:pPr>
    </w:p>
    <w:p w14:paraId="0D8DEBB9" w14:textId="77777777" w:rsidR="004C2197" w:rsidRDefault="00863B83">
      <w:pPr>
        <w:spacing w:before="240" w:after="120"/>
        <w:jc w:val="both"/>
      </w:pPr>
      <w:r>
        <w:rPr>
          <w:rFonts w:ascii="sans-serif" w:eastAsia="sans-serif" w:hAnsi="sans-serif" w:cs="sans-serif"/>
          <w:b/>
          <w:bCs/>
          <w:color w:val="76B900"/>
          <w:sz w:val="22"/>
          <w:szCs w:val="22"/>
        </w:rPr>
        <w:t>Note 2 - Business Combination</w:t>
      </w:r>
    </w:p>
    <w:p w14:paraId="0D8DEBBA" w14:textId="77777777" w:rsidR="004C2197" w:rsidRDefault="00863B83">
      <w:pPr>
        <w:jc w:val="both"/>
      </w:pPr>
      <w:r>
        <w:rPr>
          <w:rFonts w:ascii="sans-serif" w:eastAsia="sans-serif" w:hAnsi="sans-serif" w:cs="sans-serif"/>
          <w:color w:val="000000"/>
          <w:sz w:val="20"/>
          <w:szCs w:val="20"/>
        </w:rPr>
        <w:t>On April 27, 2020, we completed the acquisition of all outstanding shares of Mellanox for a total purchase consideration of $7.13 billion. Mellanox is a supplier of high</w:t>
      </w:r>
      <w:r>
        <w:rPr>
          <w:rFonts w:ascii="sans-serif" w:eastAsia="sans-serif" w:hAnsi="sans-serif" w:cs="sans-serif"/>
          <w:color w:val="000000"/>
          <w:sz w:val="20"/>
          <w:szCs w:val="20"/>
        </w:rPr>
        <w:t>-performance interconnect products for computing, storage and communications applications. We acquired Mellanox to optimize data center workloads to scale across the entire computing, networking, and storage stack.</w:t>
      </w:r>
    </w:p>
    <w:p w14:paraId="0D8DEBBB" w14:textId="77777777" w:rsidR="004C2197" w:rsidRDefault="004C2197">
      <w:pPr>
        <w:spacing w:before="240" w:after="60"/>
        <w:jc w:val="both"/>
      </w:pPr>
    </w:p>
    <w:p w14:paraId="0D8DEBBC" w14:textId="77777777" w:rsidR="004C2197" w:rsidRDefault="00863B83">
      <w:pPr>
        <w:spacing w:after="180"/>
        <w:jc w:val="center"/>
      </w:pPr>
      <w:r>
        <w:rPr>
          <w:rFonts w:ascii="sans-serif" w:eastAsia="sans-serif" w:hAnsi="sans-serif" w:cs="sans-serif"/>
          <w:color w:val="000000"/>
          <w:sz w:val="20"/>
          <w:szCs w:val="20"/>
        </w:rPr>
        <w:t>10</w:t>
      </w:r>
    </w:p>
    <w:p w14:paraId="0D8DEBBD" w14:textId="77777777" w:rsidR="004C2197" w:rsidRDefault="00863B83">
      <w:r>
        <w:pict w14:anchorId="0D8E0CAE">
          <v:rect id="_x0000_i1034" style="width:415.3pt;height:1.5pt" o:hralign="center" o:hrstd="t" o:hr="t" fillcolor="#a0a0a0" stroked="f"/>
        </w:pict>
      </w:r>
    </w:p>
    <w:p w14:paraId="0D8DEBBE" w14:textId="77777777" w:rsidR="004C2197" w:rsidRDefault="00863B83">
      <w:pPr>
        <w:jc w:val="center"/>
      </w:pPr>
      <w:r>
        <w:rPr>
          <w:rFonts w:ascii="sans-serif" w:eastAsia="sans-serif" w:hAnsi="sans-serif" w:cs="sans-serif"/>
          <w:b/>
          <w:bCs/>
          <w:color w:val="000000"/>
          <w:sz w:val="20"/>
          <w:szCs w:val="20"/>
        </w:rPr>
        <w:t>NVIDIA CORPORATION AND SUBSIDIARIES</w:t>
      </w:r>
    </w:p>
    <w:p w14:paraId="0D8DEBBF"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EBC0" w14:textId="77777777" w:rsidR="004C2197" w:rsidRDefault="00863B83">
      <w:pPr>
        <w:jc w:val="center"/>
      </w:pPr>
      <w:r>
        <w:rPr>
          <w:rFonts w:ascii="sans-serif" w:eastAsia="sans-serif" w:hAnsi="sans-serif" w:cs="sans-serif"/>
          <w:b/>
          <w:bCs/>
          <w:color w:val="000000"/>
          <w:sz w:val="20"/>
          <w:szCs w:val="20"/>
        </w:rPr>
        <w:t>(Unaudited)</w:t>
      </w:r>
    </w:p>
    <w:p w14:paraId="0D8DEBC1" w14:textId="77777777" w:rsidR="004C2197" w:rsidRDefault="004C2197">
      <w:pPr>
        <w:spacing w:after="180"/>
        <w:jc w:val="both"/>
      </w:pPr>
    </w:p>
    <w:p w14:paraId="0D8DEBC2" w14:textId="77777777" w:rsidR="004C2197" w:rsidRDefault="004C2197">
      <w:pPr>
        <w:spacing w:after="180"/>
        <w:jc w:val="both"/>
      </w:pPr>
    </w:p>
    <w:p w14:paraId="0D8DEBC3" w14:textId="77777777" w:rsidR="004C2197" w:rsidRDefault="00863B83">
      <w:pPr>
        <w:spacing w:before="240" w:after="60"/>
        <w:jc w:val="both"/>
      </w:pPr>
      <w:r>
        <w:rPr>
          <w:rFonts w:ascii="sans-serif" w:eastAsia="sans-serif" w:hAnsi="sans-serif" w:cs="sans-serif"/>
          <w:b/>
          <w:bCs/>
          <w:color w:val="76B900"/>
          <w:sz w:val="20"/>
          <w:szCs w:val="20"/>
        </w:rPr>
        <w:t>Preliminary Purchase Price Allocation</w:t>
      </w:r>
    </w:p>
    <w:p w14:paraId="0D8DEBC4" w14:textId="77777777" w:rsidR="004C2197" w:rsidRDefault="00863B83">
      <w:pPr>
        <w:jc w:val="both"/>
      </w:pPr>
      <w:r>
        <w:rPr>
          <w:rFonts w:ascii="sans-serif" w:eastAsia="sans-serif" w:hAnsi="sans-serif" w:cs="sans-serif"/>
          <w:color w:val="000000"/>
          <w:sz w:val="20"/>
          <w:szCs w:val="20"/>
        </w:rPr>
        <w:t>The aggregate purchase consideration has been preliminarily allocated as follows (in millions):</w:t>
      </w:r>
    </w:p>
    <w:p w14:paraId="0D8DEBC5" w14:textId="77777777" w:rsidR="004C2197" w:rsidRDefault="004C2197"/>
    <w:p w14:paraId="0D8DEBC6" w14:textId="77777777" w:rsidR="004C2197" w:rsidRDefault="004C2197"/>
    <w:tbl>
      <w:tblPr>
        <w:tblW w:w="5000" w:type="pct"/>
        <w:tblCellMar>
          <w:top w:w="15" w:type="dxa"/>
          <w:left w:w="15" w:type="dxa"/>
          <w:bottom w:w="15" w:type="dxa"/>
          <w:right w:w="15" w:type="dxa"/>
        </w:tblCellMar>
        <w:tblLook w:val="04A0" w:firstRow="1" w:lastRow="0" w:firstColumn="1" w:lastColumn="0" w:noHBand="0" w:noVBand="1"/>
      </w:tblPr>
      <w:tblGrid>
        <w:gridCol w:w="39"/>
        <w:gridCol w:w="6564"/>
        <w:gridCol w:w="38"/>
        <w:gridCol w:w="36"/>
        <w:gridCol w:w="36"/>
        <w:gridCol w:w="36"/>
        <w:gridCol w:w="137"/>
        <w:gridCol w:w="1409"/>
        <w:gridCol w:w="41"/>
      </w:tblGrid>
      <w:tr w:rsidR="004C2197" w14:paraId="0D8DEBD0" w14:textId="77777777">
        <w:tc>
          <w:tcPr>
            <w:tcW w:w="50" w:type="pct"/>
            <w:shd w:val="clear" w:color="auto" w:fill="auto"/>
          </w:tcPr>
          <w:p w14:paraId="0D8DEBC7" w14:textId="77777777" w:rsidR="004C2197" w:rsidRDefault="004C2197">
            <w:pPr>
              <w:rPr>
                <w:rFonts w:ascii="宋体"/>
              </w:rPr>
            </w:pPr>
          </w:p>
        </w:tc>
        <w:tc>
          <w:tcPr>
            <w:tcW w:w="3980" w:type="pct"/>
            <w:shd w:val="clear" w:color="auto" w:fill="auto"/>
          </w:tcPr>
          <w:p w14:paraId="0D8DEBC8" w14:textId="77777777" w:rsidR="004C2197" w:rsidRDefault="004C2197">
            <w:pPr>
              <w:rPr>
                <w:rFonts w:ascii="宋体"/>
              </w:rPr>
            </w:pPr>
          </w:p>
        </w:tc>
        <w:tc>
          <w:tcPr>
            <w:tcW w:w="5" w:type="pct"/>
            <w:shd w:val="clear" w:color="auto" w:fill="auto"/>
          </w:tcPr>
          <w:p w14:paraId="0D8DEBC9" w14:textId="77777777" w:rsidR="004C2197" w:rsidRDefault="004C2197">
            <w:pPr>
              <w:rPr>
                <w:rFonts w:ascii="宋体"/>
              </w:rPr>
            </w:pPr>
          </w:p>
        </w:tc>
        <w:tc>
          <w:tcPr>
            <w:tcW w:w="5" w:type="pct"/>
            <w:shd w:val="clear" w:color="auto" w:fill="auto"/>
          </w:tcPr>
          <w:p w14:paraId="0D8DEBCA" w14:textId="77777777" w:rsidR="004C2197" w:rsidRDefault="004C2197">
            <w:pPr>
              <w:rPr>
                <w:rFonts w:ascii="宋体"/>
              </w:rPr>
            </w:pPr>
          </w:p>
        </w:tc>
        <w:tc>
          <w:tcPr>
            <w:tcW w:w="19" w:type="pct"/>
            <w:shd w:val="clear" w:color="auto" w:fill="auto"/>
          </w:tcPr>
          <w:p w14:paraId="0D8DEBCB" w14:textId="77777777" w:rsidR="004C2197" w:rsidRDefault="004C2197">
            <w:pPr>
              <w:rPr>
                <w:rFonts w:ascii="宋体"/>
              </w:rPr>
            </w:pPr>
          </w:p>
        </w:tc>
        <w:tc>
          <w:tcPr>
            <w:tcW w:w="5" w:type="pct"/>
            <w:shd w:val="clear" w:color="auto" w:fill="auto"/>
          </w:tcPr>
          <w:p w14:paraId="0D8DEBCC" w14:textId="77777777" w:rsidR="004C2197" w:rsidRDefault="004C2197">
            <w:pPr>
              <w:rPr>
                <w:rFonts w:ascii="宋体"/>
              </w:rPr>
            </w:pPr>
          </w:p>
        </w:tc>
        <w:tc>
          <w:tcPr>
            <w:tcW w:w="50" w:type="pct"/>
            <w:shd w:val="clear" w:color="auto" w:fill="auto"/>
          </w:tcPr>
          <w:p w14:paraId="0D8DEBCD" w14:textId="77777777" w:rsidR="004C2197" w:rsidRDefault="004C2197">
            <w:pPr>
              <w:rPr>
                <w:rFonts w:ascii="宋体"/>
              </w:rPr>
            </w:pPr>
          </w:p>
        </w:tc>
        <w:tc>
          <w:tcPr>
            <w:tcW w:w="880" w:type="pct"/>
            <w:shd w:val="clear" w:color="auto" w:fill="auto"/>
          </w:tcPr>
          <w:p w14:paraId="0D8DEBCE" w14:textId="77777777" w:rsidR="004C2197" w:rsidRDefault="004C2197">
            <w:pPr>
              <w:rPr>
                <w:rFonts w:ascii="宋体"/>
              </w:rPr>
            </w:pPr>
          </w:p>
        </w:tc>
        <w:tc>
          <w:tcPr>
            <w:tcW w:w="5" w:type="pct"/>
            <w:shd w:val="clear" w:color="auto" w:fill="auto"/>
          </w:tcPr>
          <w:p w14:paraId="0D8DEBCF" w14:textId="77777777" w:rsidR="004C2197" w:rsidRDefault="004C2197">
            <w:pPr>
              <w:rPr>
                <w:rFonts w:ascii="宋体"/>
              </w:rPr>
            </w:pPr>
          </w:p>
        </w:tc>
      </w:tr>
      <w:tr w:rsidR="004C2197" w14:paraId="0D8DEBD4" w14:textId="77777777">
        <w:tc>
          <w:tcPr>
            <w:tcW w:w="0" w:type="auto"/>
            <w:gridSpan w:val="3"/>
            <w:shd w:val="clear" w:color="auto" w:fill="E2EFD9"/>
            <w:tcMar>
              <w:top w:w="40" w:type="dxa"/>
              <w:left w:w="20" w:type="dxa"/>
              <w:bottom w:w="40" w:type="dxa"/>
              <w:right w:w="20" w:type="dxa"/>
            </w:tcMar>
            <w:vAlign w:val="bottom"/>
          </w:tcPr>
          <w:p w14:paraId="0D8DEBD1" w14:textId="77777777" w:rsidR="004C2197" w:rsidRDefault="00863B83">
            <w:pPr>
              <w:jc w:val="both"/>
              <w:textAlignment w:val="bottom"/>
            </w:pPr>
            <w:r>
              <w:rPr>
                <w:rFonts w:ascii="sans-serif" w:eastAsia="sans-serif" w:hAnsi="sans-serif" w:cs="sans-serif"/>
                <w:b/>
                <w:bCs/>
                <w:color w:val="000000"/>
                <w:sz w:val="20"/>
                <w:szCs w:val="20"/>
              </w:rPr>
              <w:t>Purchase Price</w:t>
            </w:r>
          </w:p>
        </w:tc>
        <w:tc>
          <w:tcPr>
            <w:tcW w:w="0" w:type="auto"/>
            <w:gridSpan w:val="3"/>
            <w:shd w:val="clear" w:color="auto" w:fill="E2EFD9"/>
            <w:tcMar>
              <w:left w:w="20" w:type="dxa"/>
              <w:right w:w="20" w:type="dxa"/>
            </w:tcMar>
            <w:vAlign w:val="bottom"/>
          </w:tcPr>
          <w:p w14:paraId="0D8DEBD2"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BD3" w14:textId="77777777" w:rsidR="004C2197" w:rsidRDefault="004C2197">
            <w:pPr>
              <w:rPr>
                <w:rFonts w:ascii="宋体"/>
              </w:rPr>
            </w:pPr>
          </w:p>
        </w:tc>
      </w:tr>
      <w:tr w:rsidR="004C2197" w14:paraId="0D8DEBDA" w14:textId="77777777">
        <w:tc>
          <w:tcPr>
            <w:tcW w:w="0" w:type="auto"/>
            <w:gridSpan w:val="3"/>
            <w:shd w:val="clear" w:color="auto" w:fill="FFFFFF"/>
            <w:tcMar>
              <w:top w:w="40" w:type="dxa"/>
              <w:left w:w="20" w:type="dxa"/>
              <w:bottom w:w="40" w:type="dxa"/>
              <w:right w:w="20" w:type="dxa"/>
            </w:tcMar>
            <w:vAlign w:val="bottom"/>
          </w:tcPr>
          <w:p w14:paraId="0D8DEBD5" w14:textId="77777777" w:rsidR="004C2197" w:rsidRDefault="00863B83">
            <w:pPr>
              <w:textAlignment w:val="bottom"/>
            </w:pPr>
            <w:r>
              <w:rPr>
                <w:rFonts w:ascii="sans-serif" w:eastAsia="sans-serif" w:hAnsi="sans-serif" w:cs="sans-serif"/>
                <w:color w:val="000000"/>
                <w:sz w:val="20"/>
                <w:szCs w:val="20"/>
              </w:rPr>
              <w:t xml:space="preserve">Cash </w:t>
            </w:r>
            <w:r>
              <w:rPr>
                <w:rFonts w:ascii="sans-serif" w:eastAsia="sans-serif" w:hAnsi="sans-serif" w:cs="sans-serif"/>
                <w:color w:val="000000"/>
                <w:sz w:val="20"/>
                <w:szCs w:val="20"/>
              </w:rPr>
              <w:t>paid for outstanding Mellanox ordinary shares (1)</w:t>
            </w:r>
          </w:p>
        </w:tc>
        <w:tc>
          <w:tcPr>
            <w:tcW w:w="0" w:type="auto"/>
            <w:gridSpan w:val="3"/>
            <w:shd w:val="clear" w:color="auto" w:fill="FFFFFF"/>
            <w:tcMar>
              <w:left w:w="20" w:type="dxa"/>
              <w:right w:w="20" w:type="dxa"/>
            </w:tcMar>
            <w:vAlign w:val="bottom"/>
          </w:tcPr>
          <w:p w14:paraId="0D8DEBD6"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BD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BD8" w14:textId="77777777" w:rsidR="004C2197" w:rsidRDefault="00863B83">
            <w:pPr>
              <w:jc w:val="right"/>
              <w:textAlignment w:val="bottom"/>
            </w:pPr>
            <w:r>
              <w:rPr>
                <w:rFonts w:ascii="sans-serif" w:eastAsia="sans-serif" w:hAnsi="sans-serif" w:cs="sans-serif"/>
                <w:color w:val="000000"/>
                <w:sz w:val="20"/>
                <w:szCs w:val="20"/>
              </w:rPr>
              <w:t>7,033 </w:t>
            </w:r>
          </w:p>
        </w:tc>
        <w:tc>
          <w:tcPr>
            <w:tcW w:w="0" w:type="auto"/>
            <w:shd w:val="clear" w:color="auto" w:fill="FFFFFF"/>
            <w:tcMar>
              <w:top w:w="40" w:type="dxa"/>
              <w:bottom w:w="40" w:type="dxa"/>
              <w:right w:w="20" w:type="dxa"/>
            </w:tcMar>
            <w:vAlign w:val="bottom"/>
          </w:tcPr>
          <w:p w14:paraId="0D8DEBD9" w14:textId="77777777" w:rsidR="004C2197" w:rsidRDefault="004C2197">
            <w:pPr>
              <w:jc w:val="right"/>
              <w:rPr>
                <w:rFonts w:ascii="宋体"/>
              </w:rPr>
            </w:pPr>
          </w:p>
        </w:tc>
      </w:tr>
      <w:tr w:rsidR="004C2197" w14:paraId="0D8DEBDF" w14:textId="77777777">
        <w:tc>
          <w:tcPr>
            <w:tcW w:w="0" w:type="auto"/>
            <w:gridSpan w:val="3"/>
            <w:shd w:val="clear" w:color="auto" w:fill="E2EFD9"/>
            <w:tcMar>
              <w:top w:w="40" w:type="dxa"/>
              <w:left w:w="20" w:type="dxa"/>
              <w:bottom w:w="40" w:type="dxa"/>
              <w:right w:w="20" w:type="dxa"/>
            </w:tcMar>
            <w:vAlign w:val="bottom"/>
          </w:tcPr>
          <w:p w14:paraId="0D8DEBDB" w14:textId="77777777" w:rsidR="004C2197" w:rsidRDefault="00863B83">
            <w:pPr>
              <w:textAlignment w:val="bottom"/>
            </w:pPr>
            <w:r>
              <w:rPr>
                <w:rFonts w:ascii="sans-serif" w:eastAsia="sans-serif" w:hAnsi="sans-serif" w:cs="sans-serif"/>
                <w:color w:val="000000"/>
                <w:sz w:val="20"/>
                <w:szCs w:val="20"/>
              </w:rPr>
              <w:t>Cash for Mellanox equity awards (2)</w:t>
            </w:r>
          </w:p>
        </w:tc>
        <w:tc>
          <w:tcPr>
            <w:tcW w:w="0" w:type="auto"/>
            <w:gridSpan w:val="3"/>
            <w:shd w:val="clear" w:color="auto" w:fill="E2EFD9"/>
            <w:tcMar>
              <w:left w:w="20" w:type="dxa"/>
              <w:right w:w="20" w:type="dxa"/>
            </w:tcMar>
            <w:vAlign w:val="bottom"/>
          </w:tcPr>
          <w:p w14:paraId="0D8DEBD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BDD" w14:textId="77777777" w:rsidR="004C2197" w:rsidRDefault="00863B83">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bottom w:w="40" w:type="dxa"/>
              <w:right w:w="20" w:type="dxa"/>
            </w:tcMar>
            <w:vAlign w:val="bottom"/>
          </w:tcPr>
          <w:p w14:paraId="0D8DEBDE" w14:textId="77777777" w:rsidR="004C2197" w:rsidRDefault="004C2197">
            <w:pPr>
              <w:jc w:val="right"/>
              <w:rPr>
                <w:rFonts w:ascii="宋体"/>
              </w:rPr>
            </w:pPr>
          </w:p>
        </w:tc>
      </w:tr>
      <w:tr w:rsidR="004C2197" w14:paraId="0D8DEBE4" w14:textId="77777777">
        <w:tc>
          <w:tcPr>
            <w:tcW w:w="0" w:type="auto"/>
            <w:gridSpan w:val="3"/>
            <w:shd w:val="clear" w:color="auto" w:fill="FFFFFF"/>
            <w:tcMar>
              <w:top w:w="40" w:type="dxa"/>
              <w:left w:w="240" w:type="dxa"/>
              <w:bottom w:w="40" w:type="dxa"/>
              <w:right w:w="20" w:type="dxa"/>
            </w:tcMar>
            <w:vAlign w:val="bottom"/>
          </w:tcPr>
          <w:p w14:paraId="0D8DEBE0" w14:textId="77777777" w:rsidR="004C2197" w:rsidRDefault="00863B83">
            <w:pPr>
              <w:textAlignment w:val="bottom"/>
            </w:pPr>
            <w:r>
              <w:rPr>
                <w:rFonts w:ascii="sans-serif" w:eastAsia="sans-serif" w:hAnsi="sans-serif" w:cs="sans-serif"/>
                <w:color w:val="000000"/>
                <w:sz w:val="20"/>
                <w:szCs w:val="20"/>
              </w:rPr>
              <w:t>Total cash consideration</w:t>
            </w:r>
          </w:p>
        </w:tc>
        <w:tc>
          <w:tcPr>
            <w:tcW w:w="0" w:type="auto"/>
            <w:gridSpan w:val="3"/>
            <w:shd w:val="clear" w:color="auto" w:fill="FFFFFF"/>
            <w:tcMar>
              <w:left w:w="20" w:type="dxa"/>
              <w:right w:w="20" w:type="dxa"/>
            </w:tcMar>
            <w:vAlign w:val="bottom"/>
          </w:tcPr>
          <w:p w14:paraId="0D8DEBE1"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BE2" w14:textId="77777777" w:rsidR="004C2197" w:rsidRDefault="00863B83">
            <w:pPr>
              <w:jc w:val="right"/>
              <w:textAlignment w:val="bottom"/>
            </w:pPr>
            <w:r>
              <w:rPr>
                <w:rFonts w:ascii="sans-serif" w:eastAsia="sans-serif" w:hAnsi="sans-serif" w:cs="sans-serif"/>
                <w:color w:val="000000"/>
                <w:sz w:val="20"/>
                <w:szCs w:val="20"/>
              </w:rPr>
              <w:t>7,049 </w:t>
            </w:r>
          </w:p>
        </w:tc>
        <w:tc>
          <w:tcPr>
            <w:tcW w:w="0" w:type="auto"/>
            <w:tcBorders>
              <w:top w:val="single" w:sz="8" w:space="0" w:color="000000"/>
            </w:tcBorders>
            <w:shd w:val="clear" w:color="auto" w:fill="FFFFFF"/>
            <w:tcMar>
              <w:top w:w="40" w:type="dxa"/>
              <w:bottom w:w="40" w:type="dxa"/>
              <w:right w:w="20" w:type="dxa"/>
            </w:tcMar>
            <w:vAlign w:val="bottom"/>
          </w:tcPr>
          <w:p w14:paraId="0D8DEBE3" w14:textId="77777777" w:rsidR="004C2197" w:rsidRDefault="004C2197">
            <w:pPr>
              <w:jc w:val="right"/>
              <w:rPr>
                <w:rFonts w:ascii="宋体"/>
              </w:rPr>
            </w:pPr>
          </w:p>
        </w:tc>
      </w:tr>
      <w:tr w:rsidR="004C2197" w14:paraId="0D8DEBE9" w14:textId="77777777">
        <w:tc>
          <w:tcPr>
            <w:tcW w:w="0" w:type="auto"/>
            <w:gridSpan w:val="3"/>
            <w:shd w:val="clear" w:color="auto" w:fill="E2EFD9"/>
            <w:tcMar>
              <w:top w:w="40" w:type="dxa"/>
              <w:left w:w="20" w:type="dxa"/>
              <w:bottom w:w="40" w:type="dxa"/>
              <w:right w:w="20" w:type="dxa"/>
            </w:tcMar>
            <w:vAlign w:val="bottom"/>
          </w:tcPr>
          <w:p w14:paraId="0D8DEBE5" w14:textId="77777777" w:rsidR="004C2197" w:rsidRDefault="00863B83">
            <w:pPr>
              <w:textAlignment w:val="bottom"/>
            </w:pPr>
            <w:r>
              <w:rPr>
                <w:rFonts w:ascii="sans-serif" w:eastAsia="sans-serif" w:hAnsi="sans-serif" w:cs="sans-serif"/>
                <w:color w:val="000000"/>
                <w:sz w:val="20"/>
                <w:szCs w:val="20"/>
              </w:rPr>
              <w:t>Fair value of Mellanox equity awards assumed by NVIDIA (3)</w:t>
            </w:r>
          </w:p>
        </w:tc>
        <w:tc>
          <w:tcPr>
            <w:tcW w:w="0" w:type="auto"/>
            <w:gridSpan w:val="3"/>
            <w:shd w:val="clear" w:color="auto" w:fill="E2EFD9"/>
            <w:tcMar>
              <w:left w:w="20" w:type="dxa"/>
              <w:right w:w="20" w:type="dxa"/>
            </w:tcMar>
            <w:vAlign w:val="bottom"/>
          </w:tcPr>
          <w:p w14:paraId="0D8DEBE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BE7" w14:textId="77777777" w:rsidR="004C2197" w:rsidRDefault="00863B83">
            <w:pPr>
              <w:jc w:val="right"/>
              <w:textAlignment w:val="bottom"/>
            </w:pPr>
            <w:r>
              <w:rPr>
                <w:rFonts w:ascii="sans-serif" w:eastAsia="sans-serif" w:hAnsi="sans-serif" w:cs="sans-serif"/>
                <w:color w:val="000000"/>
                <w:sz w:val="20"/>
                <w:szCs w:val="20"/>
              </w:rPr>
              <w:t>85 </w:t>
            </w:r>
          </w:p>
        </w:tc>
        <w:tc>
          <w:tcPr>
            <w:tcW w:w="0" w:type="auto"/>
            <w:shd w:val="clear" w:color="auto" w:fill="E2EFD9"/>
            <w:tcMar>
              <w:top w:w="40" w:type="dxa"/>
              <w:bottom w:w="40" w:type="dxa"/>
              <w:right w:w="20" w:type="dxa"/>
            </w:tcMar>
            <w:vAlign w:val="bottom"/>
          </w:tcPr>
          <w:p w14:paraId="0D8DEBE8" w14:textId="77777777" w:rsidR="004C2197" w:rsidRDefault="004C2197">
            <w:pPr>
              <w:jc w:val="right"/>
              <w:rPr>
                <w:rFonts w:ascii="宋体"/>
              </w:rPr>
            </w:pPr>
          </w:p>
        </w:tc>
      </w:tr>
      <w:tr w:rsidR="004C2197" w14:paraId="0D8DEBEF" w14:textId="77777777">
        <w:tc>
          <w:tcPr>
            <w:tcW w:w="0" w:type="auto"/>
            <w:gridSpan w:val="3"/>
            <w:shd w:val="clear" w:color="auto" w:fill="FFFFFF"/>
            <w:tcMar>
              <w:top w:w="40" w:type="dxa"/>
              <w:left w:w="240" w:type="dxa"/>
              <w:bottom w:w="40" w:type="dxa"/>
              <w:right w:w="20" w:type="dxa"/>
            </w:tcMar>
            <w:vAlign w:val="bottom"/>
          </w:tcPr>
          <w:p w14:paraId="0D8DEBEA" w14:textId="77777777" w:rsidR="004C2197" w:rsidRDefault="00863B83">
            <w:pPr>
              <w:textAlignment w:val="bottom"/>
            </w:pPr>
            <w:r>
              <w:rPr>
                <w:rFonts w:ascii="sans-serif" w:eastAsia="sans-serif" w:hAnsi="sans-serif" w:cs="sans-serif"/>
                <w:color w:val="000000"/>
                <w:sz w:val="20"/>
                <w:szCs w:val="20"/>
              </w:rPr>
              <w:t>Total purchase consideration</w:t>
            </w:r>
          </w:p>
        </w:tc>
        <w:tc>
          <w:tcPr>
            <w:tcW w:w="0" w:type="auto"/>
            <w:gridSpan w:val="3"/>
            <w:shd w:val="clear" w:color="auto" w:fill="FFFFFF"/>
            <w:tcMar>
              <w:left w:w="20" w:type="dxa"/>
              <w:right w:w="20" w:type="dxa"/>
            </w:tcMar>
            <w:vAlign w:val="bottom"/>
          </w:tcPr>
          <w:p w14:paraId="0D8DEBEB" w14:textId="77777777" w:rsidR="004C2197" w:rsidRDefault="004C2197">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0D8DEBE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0D8DEBED" w14:textId="77777777" w:rsidR="004C2197" w:rsidRDefault="00863B83">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tcBorders>
            <w:shd w:val="clear" w:color="auto" w:fill="FFFFFF"/>
            <w:tcMar>
              <w:top w:w="40" w:type="dxa"/>
              <w:bottom w:w="40" w:type="dxa"/>
              <w:right w:w="20" w:type="dxa"/>
            </w:tcMar>
            <w:vAlign w:val="bottom"/>
          </w:tcPr>
          <w:p w14:paraId="0D8DEBEE" w14:textId="77777777" w:rsidR="004C2197" w:rsidRDefault="004C2197">
            <w:pPr>
              <w:jc w:val="right"/>
              <w:rPr>
                <w:rFonts w:ascii="宋体"/>
              </w:rPr>
            </w:pPr>
          </w:p>
        </w:tc>
      </w:tr>
      <w:tr w:rsidR="004C2197" w14:paraId="0D8DEBF3" w14:textId="77777777">
        <w:trPr>
          <w:trHeight w:val="300"/>
        </w:trPr>
        <w:tc>
          <w:tcPr>
            <w:tcW w:w="0" w:type="auto"/>
            <w:gridSpan w:val="3"/>
            <w:shd w:val="clear" w:color="auto" w:fill="E2EFD9"/>
            <w:tcMar>
              <w:left w:w="20" w:type="dxa"/>
              <w:right w:w="20" w:type="dxa"/>
            </w:tcMar>
            <w:vAlign w:val="bottom"/>
          </w:tcPr>
          <w:p w14:paraId="0D8DEBF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BF1"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EBF2" w14:textId="77777777" w:rsidR="004C2197" w:rsidRDefault="004C2197">
            <w:pPr>
              <w:rPr>
                <w:rFonts w:ascii="宋体"/>
              </w:rPr>
            </w:pPr>
          </w:p>
        </w:tc>
      </w:tr>
      <w:tr w:rsidR="004C2197" w14:paraId="0D8DEBF7" w14:textId="77777777">
        <w:tc>
          <w:tcPr>
            <w:tcW w:w="0" w:type="auto"/>
            <w:gridSpan w:val="3"/>
            <w:shd w:val="clear" w:color="auto" w:fill="FFFFFF"/>
            <w:tcMar>
              <w:top w:w="40" w:type="dxa"/>
              <w:left w:w="20" w:type="dxa"/>
              <w:bottom w:w="40" w:type="dxa"/>
              <w:right w:w="20" w:type="dxa"/>
            </w:tcMar>
            <w:vAlign w:val="bottom"/>
          </w:tcPr>
          <w:p w14:paraId="0D8DEBF4" w14:textId="77777777" w:rsidR="004C2197" w:rsidRDefault="00863B83">
            <w:pPr>
              <w:jc w:val="both"/>
              <w:textAlignment w:val="bottom"/>
            </w:pPr>
            <w:r>
              <w:rPr>
                <w:rFonts w:ascii="sans-serif" w:eastAsia="sans-serif" w:hAnsi="sans-serif" w:cs="sans-serif"/>
                <w:b/>
                <w:bCs/>
                <w:color w:val="000000"/>
                <w:sz w:val="20"/>
                <w:szCs w:val="20"/>
              </w:rPr>
              <w:t>Allocation</w:t>
            </w:r>
          </w:p>
        </w:tc>
        <w:tc>
          <w:tcPr>
            <w:tcW w:w="0" w:type="auto"/>
            <w:gridSpan w:val="3"/>
            <w:shd w:val="clear" w:color="auto" w:fill="FFFFFF"/>
            <w:tcMar>
              <w:left w:w="20" w:type="dxa"/>
              <w:right w:w="20" w:type="dxa"/>
            </w:tcMar>
            <w:vAlign w:val="bottom"/>
          </w:tcPr>
          <w:p w14:paraId="0D8DEBF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BF6" w14:textId="77777777" w:rsidR="004C2197" w:rsidRDefault="004C2197">
            <w:pPr>
              <w:rPr>
                <w:rFonts w:ascii="宋体"/>
              </w:rPr>
            </w:pPr>
          </w:p>
        </w:tc>
      </w:tr>
      <w:tr w:rsidR="004C2197" w14:paraId="0D8DEBFD" w14:textId="77777777">
        <w:tc>
          <w:tcPr>
            <w:tcW w:w="0" w:type="auto"/>
            <w:gridSpan w:val="3"/>
            <w:shd w:val="clear" w:color="auto" w:fill="E2EFD9"/>
            <w:tcMar>
              <w:top w:w="40" w:type="dxa"/>
              <w:left w:w="20" w:type="dxa"/>
              <w:bottom w:w="40" w:type="dxa"/>
              <w:right w:w="20" w:type="dxa"/>
            </w:tcMar>
            <w:vAlign w:val="bottom"/>
          </w:tcPr>
          <w:p w14:paraId="0D8DEBF8" w14:textId="77777777" w:rsidR="004C2197" w:rsidRDefault="00863B83">
            <w:pPr>
              <w:textAlignment w:val="bottom"/>
            </w:pPr>
            <w:r>
              <w:rPr>
                <w:rFonts w:ascii="sans-serif" w:eastAsia="sans-serif" w:hAnsi="sans-serif" w:cs="sans-serif"/>
                <w:color w:val="000000"/>
                <w:sz w:val="20"/>
                <w:szCs w:val="20"/>
              </w:rPr>
              <w:t>Cash and cash equivalents</w:t>
            </w:r>
          </w:p>
        </w:tc>
        <w:tc>
          <w:tcPr>
            <w:tcW w:w="0" w:type="auto"/>
            <w:gridSpan w:val="3"/>
            <w:shd w:val="clear" w:color="auto" w:fill="E2EFD9"/>
            <w:tcMar>
              <w:left w:w="20" w:type="dxa"/>
              <w:right w:w="20" w:type="dxa"/>
            </w:tcMar>
            <w:vAlign w:val="bottom"/>
          </w:tcPr>
          <w:p w14:paraId="0D8DEBF9"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BF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BFB" w14:textId="77777777" w:rsidR="004C2197" w:rsidRDefault="00863B83">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bottom w:w="40" w:type="dxa"/>
              <w:right w:w="20" w:type="dxa"/>
            </w:tcMar>
            <w:vAlign w:val="bottom"/>
          </w:tcPr>
          <w:p w14:paraId="0D8DEBFC" w14:textId="77777777" w:rsidR="004C2197" w:rsidRDefault="004C2197">
            <w:pPr>
              <w:jc w:val="right"/>
              <w:rPr>
                <w:rFonts w:ascii="宋体"/>
              </w:rPr>
            </w:pPr>
          </w:p>
        </w:tc>
      </w:tr>
      <w:tr w:rsidR="004C2197" w14:paraId="0D8DEC02" w14:textId="77777777">
        <w:tc>
          <w:tcPr>
            <w:tcW w:w="0" w:type="auto"/>
            <w:gridSpan w:val="3"/>
            <w:shd w:val="clear" w:color="auto" w:fill="FFFFFF"/>
            <w:tcMar>
              <w:top w:w="40" w:type="dxa"/>
              <w:left w:w="20" w:type="dxa"/>
              <w:bottom w:w="40" w:type="dxa"/>
              <w:right w:w="20" w:type="dxa"/>
            </w:tcMar>
            <w:vAlign w:val="bottom"/>
          </w:tcPr>
          <w:p w14:paraId="0D8DEBFE" w14:textId="77777777" w:rsidR="004C2197" w:rsidRDefault="00863B83">
            <w:pPr>
              <w:textAlignment w:val="bottom"/>
            </w:pPr>
            <w:r>
              <w:rPr>
                <w:rFonts w:ascii="sans-serif" w:eastAsia="sans-serif" w:hAnsi="sans-serif" w:cs="sans-serif"/>
                <w:color w:val="000000"/>
                <w:sz w:val="20"/>
                <w:szCs w:val="20"/>
              </w:rPr>
              <w:t>Marketable securities</w:t>
            </w:r>
          </w:p>
        </w:tc>
        <w:tc>
          <w:tcPr>
            <w:tcW w:w="0" w:type="auto"/>
            <w:gridSpan w:val="3"/>
            <w:shd w:val="clear" w:color="auto" w:fill="FFFFFF"/>
            <w:tcMar>
              <w:left w:w="20" w:type="dxa"/>
              <w:right w:w="20" w:type="dxa"/>
            </w:tcMar>
            <w:vAlign w:val="bottom"/>
          </w:tcPr>
          <w:p w14:paraId="0D8DEBF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00" w14:textId="77777777" w:rsidR="004C2197" w:rsidRDefault="00863B83">
            <w:pPr>
              <w:jc w:val="right"/>
              <w:textAlignment w:val="bottom"/>
            </w:pPr>
            <w:r>
              <w:rPr>
                <w:rFonts w:ascii="sans-serif" w:eastAsia="sans-serif" w:hAnsi="sans-serif" w:cs="sans-serif"/>
                <w:color w:val="000000"/>
                <w:sz w:val="20"/>
                <w:szCs w:val="20"/>
              </w:rPr>
              <w:t>699 </w:t>
            </w:r>
          </w:p>
        </w:tc>
        <w:tc>
          <w:tcPr>
            <w:tcW w:w="0" w:type="auto"/>
            <w:shd w:val="clear" w:color="auto" w:fill="FFFFFF"/>
            <w:tcMar>
              <w:top w:w="40" w:type="dxa"/>
              <w:bottom w:w="40" w:type="dxa"/>
              <w:right w:w="20" w:type="dxa"/>
            </w:tcMar>
            <w:vAlign w:val="bottom"/>
          </w:tcPr>
          <w:p w14:paraId="0D8DEC01" w14:textId="77777777" w:rsidR="004C2197" w:rsidRDefault="004C2197">
            <w:pPr>
              <w:jc w:val="right"/>
              <w:rPr>
                <w:rFonts w:ascii="宋体"/>
              </w:rPr>
            </w:pPr>
          </w:p>
        </w:tc>
      </w:tr>
      <w:tr w:rsidR="004C2197" w14:paraId="0D8DEC07" w14:textId="77777777">
        <w:tc>
          <w:tcPr>
            <w:tcW w:w="0" w:type="auto"/>
            <w:gridSpan w:val="3"/>
            <w:shd w:val="clear" w:color="auto" w:fill="E2EFD9"/>
            <w:tcMar>
              <w:top w:w="40" w:type="dxa"/>
              <w:left w:w="20" w:type="dxa"/>
              <w:bottom w:w="40" w:type="dxa"/>
              <w:right w:w="20" w:type="dxa"/>
            </w:tcMar>
            <w:vAlign w:val="bottom"/>
          </w:tcPr>
          <w:p w14:paraId="0D8DEC03" w14:textId="77777777" w:rsidR="004C2197" w:rsidRDefault="00863B83">
            <w:pPr>
              <w:textAlignment w:val="bottom"/>
            </w:pPr>
            <w:r>
              <w:rPr>
                <w:rFonts w:ascii="sans-serif" w:eastAsia="sans-serif" w:hAnsi="sans-serif" w:cs="sans-serif"/>
                <w:color w:val="000000"/>
                <w:sz w:val="20"/>
                <w:szCs w:val="20"/>
              </w:rPr>
              <w:t>Accounts receivable, net</w:t>
            </w:r>
          </w:p>
        </w:tc>
        <w:tc>
          <w:tcPr>
            <w:tcW w:w="0" w:type="auto"/>
            <w:gridSpan w:val="3"/>
            <w:shd w:val="clear" w:color="auto" w:fill="E2EFD9"/>
            <w:tcMar>
              <w:left w:w="20" w:type="dxa"/>
              <w:right w:w="20" w:type="dxa"/>
            </w:tcMar>
            <w:vAlign w:val="bottom"/>
          </w:tcPr>
          <w:p w14:paraId="0D8DEC0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05" w14:textId="77777777" w:rsidR="004C2197" w:rsidRDefault="00863B83">
            <w:pPr>
              <w:jc w:val="right"/>
              <w:textAlignment w:val="bottom"/>
            </w:pPr>
            <w:r>
              <w:rPr>
                <w:rFonts w:ascii="sans-serif" w:eastAsia="sans-serif" w:hAnsi="sans-serif" w:cs="sans-serif"/>
                <w:color w:val="000000"/>
                <w:sz w:val="20"/>
                <w:szCs w:val="20"/>
              </w:rPr>
              <w:t>216 </w:t>
            </w:r>
          </w:p>
        </w:tc>
        <w:tc>
          <w:tcPr>
            <w:tcW w:w="0" w:type="auto"/>
            <w:shd w:val="clear" w:color="auto" w:fill="E2EFD9"/>
            <w:tcMar>
              <w:top w:w="40" w:type="dxa"/>
              <w:bottom w:w="40" w:type="dxa"/>
              <w:right w:w="20" w:type="dxa"/>
            </w:tcMar>
            <w:vAlign w:val="bottom"/>
          </w:tcPr>
          <w:p w14:paraId="0D8DEC06" w14:textId="77777777" w:rsidR="004C2197" w:rsidRDefault="004C2197">
            <w:pPr>
              <w:jc w:val="right"/>
              <w:rPr>
                <w:rFonts w:ascii="宋体"/>
              </w:rPr>
            </w:pPr>
          </w:p>
        </w:tc>
      </w:tr>
      <w:tr w:rsidR="004C2197" w14:paraId="0D8DEC0C" w14:textId="77777777">
        <w:tc>
          <w:tcPr>
            <w:tcW w:w="0" w:type="auto"/>
            <w:gridSpan w:val="3"/>
            <w:shd w:val="clear" w:color="auto" w:fill="FFFFFF"/>
            <w:tcMar>
              <w:top w:w="40" w:type="dxa"/>
              <w:left w:w="20" w:type="dxa"/>
              <w:bottom w:w="40" w:type="dxa"/>
              <w:right w:w="20" w:type="dxa"/>
            </w:tcMar>
            <w:vAlign w:val="bottom"/>
          </w:tcPr>
          <w:p w14:paraId="0D8DEC08" w14:textId="77777777" w:rsidR="004C2197" w:rsidRDefault="00863B83">
            <w:pPr>
              <w:textAlignment w:val="bottom"/>
            </w:pPr>
            <w:r>
              <w:rPr>
                <w:rFonts w:ascii="sans-serif" w:eastAsia="sans-serif" w:hAnsi="sans-serif" w:cs="sans-serif"/>
                <w:color w:val="000000"/>
                <w:sz w:val="20"/>
                <w:szCs w:val="20"/>
              </w:rPr>
              <w:t>Inventories</w:t>
            </w:r>
          </w:p>
        </w:tc>
        <w:tc>
          <w:tcPr>
            <w:tcW w:w="0" w:type="auto"/>
            <w:gridSpan w:val="3"/>
            <w:shd w:val="clear" w:color="auto" w:fill="FFFFFF"/>
            <w:tcMar>
              <w:left w:w="20" w:type="dxa"/>
              <w:right w:w="20" w:type="dxa"/>
            </w:tcMar>
            <w:vAlign w:val="bottom"/>
          </w:tcPr>
          <w:p w14:paraId="0D8DEC0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0A" w14:textId="77777777" w:rsidR="004C2197" w:rsidRDefault="00863B83">
            <w:pPr>
              <w:jc w:val="right"/>
              <w:textAlignment w:val="bottom"/>
            </w:pPr>
            <w:r>
              <w:rPr>
                <w:rFonts w:ascii="sans-serif" w:eastAsia="sans-serif" w:hAnsi="sans-serif" w:cs="sans-serif"/>
                <w:color w:val="000000"/>
                <w:sz w:val="20"/>
                <w:szCs w:val="20"/>
              </w:rPr>
              <w:t>320 </w:t>
            </w:r>
          </w:p>
        </w:tc>
        <w:tc>
          <w:tcPr>
            <w:tcW w:w="0" w:type="auto"/>
            <w:shd w:val="clear" w:color="auto" w:fill="FFFFFF"/>
            <w:tcMar>
              <w:top w:w="40" w:type="dxa"/>
              <w:bottom w:w="40" w:type="dxa"/>
              <w:right w:w="20" w:type="dxa"/>
            </w:tcMar>
            <w:vAlign w:val="bottom"/>
          </w:tcPr>
          <w:p w14:paraId="0D8DEC0B" w14:textId="77777777" w:rsidR="004C2197" w:rsidRDefault="004C2197">
            <w:pPr>
              <w:jc w:val="right"/>
              <w:rPr>
                <w:rFonts w:ascii="宋体"/>
              </w:rPr>
            </w:pPr>
          </w:p>
        </w:tc>
      </w:tr>
      <w:tr w:rsidR="004C2197" w14:paraId="0D8DEC11" w14:textId="77777777">
        <w:tc>
          <w:tcPr>
            <w:tcW w:w="0" w:type="auto"/>
            <w:gridSpan w:val="3"/>
            <w:shd w:val="clear" w:color="auto" w:fill="E2EFD9"/>
            <w:tcMar>
              <w:top w:w="40" w:type="dxa"/>
              <w:left w:w="20" w:type="dxa"/>
              <w:bottom w:w="40" w:type="dxa"/>
              <w:right w:w="20" w:type="dxa"/>
            </w:tcMar>
            <w:vAlign w:val="bottom"/>
          </w:tcPr>
          <w:p w14:paraId="0D8DEC0D" w14:textId="77777777" w:rsidR="004C2197" w:rsidRDefault="00863B83">
            <w:pPr>
              <w:textAlignment w:val="bottom"/>
            </w:pPr>
            <w:r>
              <w:rPr>
                <w:rFonts w:ascii="sans-serif" w:eastAsia="sans-serif" w:hAnsi="sans-serif" w:cs="sans-serif"/>
                <w:color w:val="000000"/>
                <w:sz w:val="20"/>
                <w:szCs w:val="20"/>
              </w:rPr>
              <w:t>Prepaid expenses and other assets</w:t>
            </w:r>
          </w:p>
        </w:tc>
        <w:tc>
          <w:tcPr>
            <w:tcW w:w="0" w:type="auto"/>
            <w:gridSpan w:val="3"/>
            <w:shd w:val="clear" w:color="auto" w:fill="E2EFD9"/>
            <w:tcMar>
              <w:left w:w="20" w:type="dxa"/>
              <w:right w:w="20" w:type="dxa"/>
            </w:tcMar>
            <w:vAlign w:val="bottom"/>
          </w:tcPr>
          <w:p w14:paraId="0D8DEC0E"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0F" w14:textId="77777777" w:rsidR="004C2197" w:rsidRDefault="00863B83">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bottom w:w="40" w:type="dxa"/>
              <w:right w:w="20" w:type="dxa"/>
            </w:tcMar>
            <w:vAlign w:val="bottom"/>
          </w:tcPr>
          <w:p w14:paraId="0D8DEC10" w14:textId="77777777" w:rsidR="004C2197" w:rsidRDefault="004C2197">
            <w:pPr>
              <w:jc w:val="right"/>
              <w:rPr>
                <w:rFonts w:ascii="宋体"/>
              </w:rPr>
            </w:pPr>
          </w:p>
        </w:tc>
      </w:tr>
      <w:tr w:rsidR="004C2197" w14:paraId="0D8DEC16" w14:textId="77777777">
        <w:tc>
          <w:tcPr>
            <w:tcW w:w="0" w:type="auto"/>
            <w:gridSpan w:val="3"/>
            <w:shd w:val="clear" w:color="auto" w:fill="FFFFFF"/>
            <w:tcMar>
              <w:top w:w="40" w:type="dxa"/>
              <w:left w:w="20" w:type="dxa"/>
              <w:bottom w:w="40" w:type="dxa"/>
              <w:right w:w="20" w:type="dxa"/>
            </w:tcMar>
            <w:vAlign w:val="bottom"/>
          </w:tcPr>
          <w:p w14:paraId="0D8DEC12" w14:textId="77777777" w:rsidR="004C2197" w:rsidRDefault="00863B83">
            <w:pPr>
              <w:textAlignment w:val="bottom"/>
            </w:pPr>
            <w:r>
              <w:rPr>
                <w:rFonts w:ascii="sans-serif" w:eastAsia="sans-serif" w:hAnsi="sans-serif" w:cs="sans-serif"/>
                <w:color w:val="000000"/>
                <w:sz w:val="20"/>
                <w:szCs w:val="20"/>
              </w:rPr>
              <w:t>Property and equipment, net</w:t>
            </w:r>
          </w:p>
        </w:tc>
        <w:tc>
          <w:tcPr>
            <w:tcW w:w="0" w:type="auto"/>
            <w:gridSpan w:val="3"/>
            <w:shd w:val="clear" w:color="auto" w:fill="FFFFFF"/>
            <w:tcMar>
              <w:left w:w="20" w:type="dxa"/>
              <w:right w:w="20" w:type="dxa"/>
            </w:tcMar>
            <w:vAlign w:val="bottom"/>
          </w:tcPr>
          <w:p w14:paraId="0D8DEC1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14" w14:textId="77777777" w:rsidR="004C2197" w:rsidRDefault="00863B83">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bottom w:w="40" w:type="dxa"/>
              <w:right w:w="20" w:type="dxa"/>
            </w:tcMar>
            <w:vAlign w:val="bottom"/>
          </w:tcPr>
          <w:p w14:paraId="0D8DEC15" w14:textId="77777777" w:rsidR="004C2197" w:rsidRDefault="004C2197">
            <w:pPr>
              <w:jc w:val="right"/>
              <w:rPr>
                <w:rFonts w:ascii="宋体"/>
              </w:rPr>
            </w:pPr>
          </w:p>
        </w:tc>
      </w:tr>
      <w:tr w:rsidR="004C2197" w14:paraId="0D8DEC1B" w14:textId="77777777">
        <w:tc>
          <w:tcPr>
            <w:tcW w:w="0" w:type="auto"/>
            <w:gridSpan w:val="3"/>
            <w:shd w:val="clear" w:color="auto" w:fill="E2EFD9"/>
            <w:tcMar>
              <w:top w:w="40" w:type="dxa"/>
              <w:left w:w="20" w:type="dxa"/>
              <w:bottom w:w="40" w:type="dxa"/>
              <w:right w:w="20" w:type="dxa"/>
            </w:tcMar>
            <w:vAlign w:val="bottom"/>
          </w:tcPr>
          <w:p w14:paraId="0D8DEC17" w14:textId="77777777" w:rsidR="004C2197" w:rsidRDefault="00863B83">
            <w:pPr>
              <w:textAlignment w:val="bottom"/>
            </w:pPr>
            <w:r>
              <w:rPr>
                <w:rFonts w:ascii="sans-serif" w:eastAsia="sans-serif" w:hAnsi="sans-serif" w:cs="sans-serif"/>
                <w:color w:val="000000"/>
                <w:sz w:val="20"/>
                <w:szCs w:val="20"/>
              </w:rPr>
              <w:t>Goodwill</w:t>
            </w:r>
          </w:p>
        </w:tc>
        <w:tc>
          <w:tcPr>
            <w:tcW w:w="0" w:type="auto"/>
            <w:gridSpan w:val="3"/>
            <w:shd w:val="clear" w:color="auto" w:fill="E2EFD9"/>
            <w:tcMar>
              <w:left w:w="20" w:type="dxa"/>
              <w:right w:w="20" w:type="dxa"/>
            </w:tcMar>
            <w:vAlign w:val="bottom"/>
          </w:tcPr>
          <w:p w14:paraId="0D8DEC1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19" w14:textId="77777777" w:rsidR="004C2197" w:rsidRDefault="00863B83">
            <w:pPr>
              <w:jc w:val="right"/>
              <w:textAlignment w:val="bottom"/>
            </w:pPr>
            <w:r>
              <w:rPr>
                <w:rFonts w:ascii="sans-serif" w:eastAsia="sans-serif" w:hAnsi="sans-serif" w:cs="sans-serif"/>
                <w:color w:val="000000"/>
                <w:sz w:val="20"/>
                <w:szCs w:val="20"/>
              </w:rPr>
              <w:t>3,431 </w:t>
            </w:r>
          </w:p>
        </w:tc>
        <w:tc>
          <w:tcPr>
            <w:tcW w:w="0" w:type="auto"/>
            <w:shd w:val="clear" w:color="auto" w:fill="E2EFD9"/>
            <w:tcMar>
              <w:top w:w="40" w:type="dxa"/>
              <w:bottom w:w="40" w:type="dxa"/>
              <w:right w:w="20" w:type="dxa"/>
            </w:tcMar>
            <w:vAlign w:val="bottom"/>
          </w:tcPr>
          <w:p w14:paraId="0D8DEC1A" w14:textId="77777777" w:rsidR="004C2197" w:rsidRDefault="004C2197">
            <w:pPr>
              <w:jc w:val="right"/>
              <w:rPr>
                <w:rFonts w:ascii="宋体"/>
              </w:rPr>
            </w:pPr>
          </w:p>
        </w:tc>
      </w:tr>
      <w:tr w:rsidR="004C2197" w14:paraId="0D8DEC20" w14:textId="77777777">
        <w:tc>
          <w:tcPr>
            <w:tcW w:w="0" w:type="auto"/>
            <w:gridSpan w:val="3"/>
            <w:shd w:val="clear" w:color="auto" w:fill="FFFFFF"/>
            <w:tcMar>
              <w:top w:w="40" w:type="dxa"/>
              <w:left w:w="20" w:type="dxa"/>
              <w:bottom w:w="40" w:type="dxa"/>
              <w:right w:w="20" w:type="dxa"/>
            </w:tcMar>
            <w:vAlign w:val="bottom"/>
          </w:tcPr>
          <w:p w14:paraId="0D8DEC1C" w14:textId="77777777" w:rsidR="004C2197" w:rsidRDefault="00863B83">
            <w:pPr>
              <w:textAlignment w:val="bottom"/>
            </w:pPr>
            <w:r>
              <w:rPr>
                <w:rFonts w:ascii="sans-serif" w:eastAsia="sans-serif" w:hAnsi="sans-serif" w:cs="sans-serif"/>
                <w:color w:val="000000"/>
                <w:sz w:val="20"/>
                <w:szCs w:val="20"/>
              </w:rPr>
              <w:t>Intangible assets</w:t>
            </w:r>
          </w:p>
        </w:tc>
        <w:tc>
          <w:tcPr>
            <w:tcW w:w="0" w:type="auto"/>
            <w:gridSpan w:val="3"/>
            <w:shd w:val="clear" w:color="auto" w:fill="FFFFFF"/>
            <w:tcMar>
              <w:left w:w="20" w:type="dxa"/>
              <w:right w:w="20" w:type="dxa"/>
            </w:tcMar>
            <w:vAlign w:val="bottom"/>
          </w:tcPr>
          <w:p w14:paraId="0D8DEC1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1E" w14:textId="77777777" w:rsidR="004C2197" w:rsidRDefault="00863B83">
            <w:pPr>
              <w:jc w:val="right"/>
              <w:textAlignment w:val="bottom"/>
            </w:pPr>
            <w:r>
              <w:rPr>
                <w:rFonts w:ascii="sans-serif" w:eastAsia="sans-serif" w:hAnsi="sans-serif" w:cs="sans-serif"/>
                <w:color w:val="000000"/>
                <w:sz w:val="20"/>
                <w:szCs w:val="20"/>
              </w:rPr>
              <w:t>2,970 </w:t>
            </w:r>
          </w:p>
        </w:tc>
        <w:tc>
          <w:tcPr>
            <w:tcW w:w="0" w:type="auto"/>
            <w:shd w:val="clear" w:color="auto" w:fill="FFFFFF"/>
            <w:tcMar>
              <w:top w:w="40" w:type="dxa"/>
              <w:bottom w:w="40" w:type="dxa"/>
              <w:right w:w="20" w:type="dxa"/>
            </w:tcMar>
            <w:vAlign w:val="bottom"/>
          </w:tcPr>
          <w:p w14:paraId="0D8DEC1F" w14:textId="77777777" w:rsidR="004C2197" w:rsidRDefault="004C2197">
            <w:pPr>
              <w:jc w:val="right"/>
              <w:rPr>
                <w:rFonts w:ascii="宋体"/>
              </w:rPr>
            </w:pPr>
          </w:p>
        </w:tc>
      </w:tr>
      <w:tr w:rsidR="004C2197" w14:paraId="0D8DEC25" w14:textId="77777777">
        <w:tc>
          <w:tcPr>
            <w:tcW w:w="0" w:type="auto"/>
            <w:gridSpan w:val="3"/>
            <w:shd w:val="clear" w:color="auto" w:fill="E2EFD9"/>
            <w:tcMar>
              <w:top w:w="40" w:type="dxa"/>
              <w:left w:w="20" w:type="dxa"/>
              <w:bottom w:w="40" w:type="dxa"/>
              <w:right w:w="20" w:type="dxa"/>
            </w:tcMar>
            <w:vAlign w:val="bottom"/>
          </w:tcPr>
          <w:p w14:paraId="0D8DEC21" w14:textId="77777777" w:rsidR="004C2197" w:rsidRDefault="00863B83">
            <w:pPr>
              <w:textAlignment w:val="bottom"/>
            </w:pPr>
            <w:r>
              <w:rPr>
                <w:rFonts w:ascii="sans-serif" w:eastAsia="sans-serif" w:hAnsi="sans-serif" w:cs="sans-serif"/>
                <w:color w:val="000000"/>
                <w:sz w:val="20"/>
                <w:szCs w:val="20"/>
              </w:rPr>
              <w:t>Accounts payable</w:t>
            </w:r>
          </w:p>
        </w:tc>
        <w:tc>
          <w:tcPr>
            <w:tcW w:w="0" w:type="auto"/>
            <w:gridSpan w:val="3"/>
            <w:shd w:val="clear" w:color="auto" w:fill="E2EFD9"/>
            <w:tcMar>
              <w:left w:w="20" w:type="dxa"/>
              <w:right w:w="20" w:type="dxa"/>
            </w:tcMar>
            <w:vAlign w:val="bottom"/>
          </w:tcPr>
          <w:p w14:paraId="0D8DEC2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23" w14:textId="77777777" w:rsidR="004C2197" w:rsidRDefault="00863B83">
            <w:pPr>
              <w:jc w:val="right"/>
              <w:textAlignment w:val="bottom"/>
            </w:pPr>
            <w:r>
              <w:rPr>
                <w:rFonts w:ascii="sans-serif" w:eastAsia="sans-serif" w:hAnsi="sans-serif" w:cs="sans-serif"/>
                <w:color w:val="000000"/>
                <w:sz w:val="20"/>
                <w:szCs w:val="20"/>
              </w:rPr>
              <w:t>(136)</w:t>
            </w:r>
          </w:p>
        </w:tc>
        <w:tc>
          <w:tcPr>
            <w:tcW w:w="0" w:type="auto"/>
            <w:shd w:val="clear" w:color="auto" w:fill="E2EFD9"/>
            <w:tcMar>
              <w:top w:w="40" w:type="dxa"/>
              <w:bottom w:w="40" w:type="dxa"/>
              <w:right w:w="20" w:type="dxa"/>
            </w:tcMar>
            <w:vAlign w:val="bottom"/>
          </w:tcPr>
          <w:p w14:paraId="0D8DEC24" w14:textId="77777777" w:rsidR="004C2197" w:rsidRDefault="004C2197">
            <w:pPr>
              <w:jc w:val="right"/>
              <w:rPr>
                <w:rFonts w:ascii="宋体"/>
              </w:rPr>
            </w:pPr>
          </w:p>
        </w:tc>
      </w:tr>
      <w:tr w:rsidR="004C2197" w14:paraId="0D8DEC2A" w14:textId="77777777">
        <w:tc>
          <w:tcPr>
            <w:tcW w:w="0" w:type="auto"/>
            <w:gridSpan w:val="3"/>
            <w:shd w:val="clear" w:color="auto" w:fill="FFFFFF"/>
            <w:tcMar>
              <w:top w:w="40" w:type="dxa"/>
              <w:left w:w="20" w:type="dxa"/>
              <w:bottom w:w="40" w:type="dxa"/>
              <w:right w:w="20" w:type="dxa"/>
            </w:tcMar>
            <w:vAlign w:val="bottom"/>
          </w:tcPr>
          <w:p w14:paraId="0D8DEC26" w14:textId="77777777" w:rsidR="004C2197" w:rsidRDefault="00863B83">
            <w:pPr>
              <w:textAlignment w:val="bottom"/>
            </w:pPr>
            <w:r>
              <w:rPr>
                <w:rFonts w:ascii="sans-serif" w:eastAsia="sans-serif" w:hAnsi="sans-serif" w:cs="sans-serif"/>
                <w:color w:val="000000"/>
                <w:sz w:val="20"/>
                <w:szCs w:val="20"/>
              </w:rPr>
              <w:t>Accrued and other current liabilities</w:t>
            </w:r>
          </w:p>
        </w:tc>
        <w:tc>
          <w:tcPr>
            <w:tcW w:w="0" w:type="auto"/>
            <w:gridSpan w:val="3"/>
            <w:shd w:val="clear" w:color="auto" w:fill="FFFFFF"/>
            <w:tcMar>
              <w:left w:w="20" w:type="dxa"/>
              <w:right w:w="20" w:type="dxa"/>
            </w:tcMar>
            <w:vAlign w:val="bottom"/>
          </w:tcPr>
          <w:p w14:paraId="0D8DEC2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28" w14:textId="77777777" w:rsidR="004C2197" w:rsidRDefault="00863B83">
            <w:pPr>
              <w:jc w:val="right"/>
              <w:textAlignment w:val="bottom"/>
            </w:pPr>
            <w:r>
              <w:rPr>
                <w:rFonts w:ascii="sans-serif" w:eastAsia="sans-serif" w:hAnsi="sans-serif" w:cs="sans-serif"/>
                <w:color w:val="000000"/>
                <w:sz w:val="20"/>
                <w:szCs w:val="20"/>
              </w:rPr>
              <w:t>(236)</w:t>
            </w:r>
          </w:p>
        </w:tc>
        <w:tc>
          <w:tcPr>
            <w:tcW w:w="0" w:type="auto"/>
            <w:shd w:val="clear" w:color="auto" w:fill="FFFFFF"/>
            <w:tcMar>
              <w:top w:w="40" w:type="dxa"/>
              <w:bottom w:w="40" w:type="dxa"/>
              <w:right w:w="20" w:type="dxa"/>
            </w:tcMar>
            <w:vAlign w:val="bottom"/>
          </w:tcPr>
          <w:p w14:paraId="0D8DEC29" w14:textId="77777777" w:rsidR="004C2197" w:rsidRDefault="004C2197">
            <w:pPr>
              <w:jc w:val="right"/>
              <w:rPr>
                <w:rFonts w:ascii="宋体"/>
              </w:rPr>
            </w:pPr>
          </w:p>
        </w:tc>
      </w:tr>
      <w:tr w:rsidR="004C2197" w14:paraId="0D8DEC2F" w14:textId="77777777">
        <w:tc>
          <w:tcPr>
            <w:tcW w:w="0" w:type="auto"/>
            <w:gridSpan w:val="3"/>
            <w:shd w:val="clear" w:color="auto" w:fill="E2EFD9"/>
            <w:tcMar>
              <w:top w:w="40" w:type="dxa"/>
              <w:left w:w="20" w:type="dxa"/>
              <w:bottom w:w="40" w:type="dxa"/>
              <w:right w:w="20" w:type="dxa"/>
            </w:tcMar>
            <w:vAlign w:val="bottom"/>
          </w:tcPr>
          <w:p w14:paraId="0D8DEC2B" w14:textId="77777777" w:rsidR="004C2197" w:rsidRDefault="00863B83">
            <w:pPr>
              <w:textAlignment w:val="bottom"/>
            </w:pPr>
            <w:r>
              <w:rPr>
                <w:rFonts w:ascii="sans-serif" w:eastAsia="sans-serif" w:hAnsi="sans-serif" w:cs="sans-serif"/>
                <w:color w:val="000000"/>
                <w:sz w:val="20"/>
                <w:szCs w:val="20"/>
              </w:rPr>
              <w:t>Income tax liability</w:t>
            </w:r>
          </w:p>
        </w:tc>
        <w:tc>
          <w:tcPr>
            <w:tcW w:w="0" w:type="auto"/>
            <w:gridSpan w:val="3"/>
            <w:shd w:val="clear" w:color="auto" w:fill="E2EFD9"/>
            <w:tcMar>
              <w:left w:w="20" w:type="dxa"/>
              <w:right w:w="20" w:type="dxa"/>
            </w:tcMar>
            <w:vAlign w:val="bottom"/>
          </w:tcPr>
          <w:p w14:paraId="0D8DEC2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2D" w14:textId="77777777" w:rsidR="004C2197" w:rsidRDefault="00863B83">
            <w:pPr>
              <w:jc w:val="right"/>
              <w:textAlignment w:val="bottom"/>
            </w:pPr>
            <w:r>
              <w:rPr>
                <w:rFonts w:ascii="sans-serif" w:eastAsia="sans-serif" w:hAnsi="sans-serif" w:cs="sans-serif"/>
                <w:color w:val="000000"/>
                <w:sz w:val="20"/>
                <w:szCs w:val="20"/>
              </w:rPr>
              <w:t>(191)</w:t>
            </w:r>
          </w:p>
        </w:tc>
        <w:tc>
          <w:tcPr>
            <w:tcW w:w="0" w:type="auto"/>
            <w:shd w:val="clear" w:color="auto" w:fill="E2EFD9"/>
            <w:tcMar>
              <w:top w:w="40" w:type="dxa"/>
              <w:bottom w:w="40" w:type="dxa"/>
              <w:right w:w="20" w:type="dxa"/>
            </w:tcMar>
            <w:vAlign w:val="bottom"/>
          </w:tcPr>
          <w:p w14:paraId="0D8DEC2E" w14:textId="77777777" w:rsidR="004C2197" w:rsidRDefault="004C2197">
            <w:pPr>
              <w:jc w:val="right"/>
              <w:rPr>
                <w:rFonts w:ascii="宋体"/>
              </w:rPr>
            </w:pPr>
          </w:p>
        </w:tc>
      </w:tr>
      <w:tr w:rsidR="004C2197" w14:paraId="0D8DEC34" w14:textId="77777777">
        <w:tc>
          <w:tcPr>
            <w:tcW w:w="0" w:type="auto"/>
            <w:gridSpan w:val="3"/>
            <w:shd w:val="clear" w:color="auto" w:fill="FFFFFF"/>
            <w:tcMar>
              <w:top w:w="40" w:type="dxa"/>
              <w:left w:w="20" w:type="dxa"/>
              <w:bottom w:w="40" w:type="dxa"/>
              <w:right w:w="20" w:type="dxa"/>
            </w:tcMar>
            <w:vAlign w:val="bottom"/>
          </w:tcPr>
          <w:p w14:paraId="0D8DEC30" w14:textId="77777777" w:rsidR="004C2197" w:rsidRDefault="00863B83">
            <w:pPr>
              <w:textAlignment w:val="bottom"/>
            </w:pPr>
            <w:r>
              <w:rPr>
                <w:rFonts w:ascii="sans-serif" w:eastAsia="sans-serif" w:hAnsi="sans-serif" w:cs="sans-serif"/>
                <w:color w:val="000000"/>
                <w:sz w:val="20"/>
                <w:szCs w:val="20"/>
              </w:rPr>
              <w:t>Deferred income tax liability</w:t>
            </w:r>
          </w:p>
        </w:tc>
        <w:tc>
          <w:tcPr>
            <w:tcW w:w="0" w:type="auto"/>
            <w:gridSpan w:val="3"/>
            <w:shd w:val="clear" w:color="auto" w:fill="FFFFFF"/>
            <w:tcMar>
              <w:left w:w="20" w:type="dxa"/>
              <w:right w:w="20" w:type="dxa"/>
            </w:tcMar>
            <w:vAlign w:val="bottom"/>
          </w:tcPr>
          <w:p w14:paraId="0D8DEC3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C32" w14:textId="77777777" w:rsidR="004C2197" w:rsidRDefault="00863B83">
            <w:pPr>
              <w:jc w:val="right"/>
              <w:textAlignment w:val="bottom"/>
            </w:pPr>
            <w:r>
              <w:rPr>
                <w:rFonts w:ascii="sans-serif" w:eastAsia="sans-serif" w:hAnsi="sans-serif" w:cs="sans-serif"/>
                <w:color w:val="000000"/>
                <w:sz w:val="20"/>
                <w:szCs w:val="20"/>
              </w:rPr>
              <w:t>(258)</w:t>
            </w:r>
          </w:p>
        </w:tc>
        <w:tc>
          <w:tcPr>
            <w:tcW w:w="0" w:type="auto"/>
            <w:shd w:val="clear" w:color="auto" w:fill="FFFFFF"/>
            <w:tcMar>
              <w:top w:w="40" w:type="dxa"/>
              <w:bottom w:w="40" w:type="dxa"/>
              <w:right w:w="20" w:type="dxa"/>
            </w:tcMar>
            <w:vAlign w:val="bottom"/>
          </w:tcPr>
          <w:p w14:paraId="0D8DEC33" w14:textId="77777777" w:rsidR="004C2197" w:rsidRDefault="004C2197">
            <w:pPr>
              <w:jc w:val="right"/>
              <w:rPr>
                <w:rFonts w:ascii="宋体"/>
              </w:rPr>
            </w:pPr>
          </w:p>
        </w:tc>
      </w:tr>
      <w:tr w:rsidR="004C2197" w14:paraId="0D8DEC39" w14:textId="77777777">
        <w:tc>
          <w:tcPr>
            <w:tcW w:w="0" w:type="auto"/>
            <w:gridSpan w:val="3"/>
            <w:shd w:val="clear" w:color="auto" w:fill="E2EFD9"/>
            <w:tcMar>
              <w:top w:w="40" w:type="dxa"/>
              <w:left w:w="20" w:type="dxa"/>
              <w:bottom w:w="40" w:type="dxa"/>
              <w:right w:w="20" w:type="dxa"/>
            </w:tcMar>
            <w:vAlign w:val="bottom"/>
          </w:tcPr>
          <w:p w14:paraId="0D8DEC35" w14:textId="77777777" w:rsidR="004C2197" w:rsidRDefault="00863B83">
            <w:pPr>
              <w:textAlignment w:val="bottom"/>
            </w:pPr>
            <w:r>
              <w:rPr>
                <w:rFonts w:ascii="sans-serif" w:eastAsia="sans-serif" w:hAnsi="sans-serif" w:cs="sans-serif"/>
                <w:color w:val="000000"/>
                <w:sz w:val="20"/>
                <w:szCs w:val="20"/>
              </w:rPr>
              <w:t>Other long-term liabilities</w:t>
            </w:r>
          </w:p>
        </w:tc>
        <w:tc>
          <w:tcPr>
            <w:tcW w:w="0" w:type="auto"/>
            <w:gridSpan w:val="3"/>
            <w:shd w:val="clear" w:color="auto" w:fill="E2EFD9"/>
            <w:tcMar>
              <w:left w:w="20" w:type="dxa"/>
              <w:right w:w="20" w:type="dxa"/>
            </w:tcMar>
            <w:vAlign w:val="bottom"/>
          </w:tcPr>
          <w:p w14:paraId="0D8DEC3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C37" w14:textId="77777777" w:rsidR="004C2197" w:rsidRDefault="00863B83">
            <w:pPr>
              <w:jc w:val="right"/>
              <w:textAlignment w:val="bottom"/>
            </w:pPr>
            <w:r>
              <w:rPr>
                <w:rFonts w:ascii="sans-serif" w:eastAsia="sans-serif" w:hAnsi="sans-serif" w:cs="sans-serif"/>
                <w:color w:val="000000"/>
                <w:sz w:val="20"/>
                <w:szCs w:val="20"/>
              </w:rPr>
              <w:t>(119)</w:t>
            </w:r>
          </w:p>
        </w:tc>
        <w:tc>
          <w:tcPr>
            <w:tcW w:w="0" w:type="auto"/>
            <w:shd w:val="clear" w:color="auto" w:fill="E2EFD9"/>
            <w:tcMar>
              <w:top w:w="40" w:type="dxa"/>
              <w:bottom w:w="40" w:type="dxa"/>
              <w:right w:w="20" w:type="dxa"/>
            </w:tcMar>
            <w:vAlign w:val="bottom"/>
          </w:tcPr>
          <w:p w14:paraId="0D8DEC38" w14:textId="77777777" w:rsidR="004C2197" w:rsidRDefault="004C2197">
            <w:pPr>
              <w:jc w:val="right"/>
              <w:rPr>
                <w:rFonts w:ascii="宋体"/>
              </w:rPr>
            </w:pPr>
          </w:p>
        </w:tc>
      </w:tr>
      <w:tr w:rsidR="004C2197" w14:paraId="0D8DEC3F" w14:textId="77777777">
        <w:tc>
          <w:tcPr>
            <w:tcW w:w="0" w:type="auto"/>
            <w:gridSpan w:val="3"/>
            <w:shd w:val="clear" w:color="auto" w:fill="FFFFFF"/>
            <w:tcMar>
              <w:left w:w="20" w:type="dxa"/>
              <w:right w:w="20" w:type="dxa"/>
            </w:tcMar>
            <w:vAlign w:val="bottom"/>
          </w:tcPr>
          <w:p w14:paraId="0D8DEC3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C3B"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C3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C3D" w14:textId="77777777" w:rsidR="004C2197" w:rsidRDefault="00863B83">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C3E" w14:textId="77777777" w:rsidR="004C2197" w:rsidRDefault="004C2197">
            <w:pPr>
              <w:jc w:val="right"/>
              <w:rPr>
                <w:rFonts w:ascii="宋体"/>
              </w:rPr>
            </w:pPr>
          </w:p>
        </w:tc>
      </w:tr>
    </w:tbl>
    <w:p w14:paraId="0D8DEC40" w14:textId="77777777" w:rsidR="004C2197" w:rsidRDefault="004C2197"/>
    <w:p w14:paraId="0D8DEC41" w14:textId="77777777" w:rsidR="004C2197" w:rsidRDefault="00863B83">
      <w:pPr>
        <w:ind w:hanging="360"/>
        <w:jc w:val="both"/>
      </w:pPr>
      <w:r>
        <w:rPr>
          <w:rFonts w:ascii="sans-serif" w:eastAsia="sans-serif" w:hAnsi="sans-serif" w:cs="sans-serif"/>
          <w:color w:val="000000"/>
          <w:sz w:val="16"/>
          <w:szCs w:val="16"/>
        </w:rPr>
        <w:t xml:space="preserve">(1) Represents the cash consideration of </w:t>
      </w:r>
      <w:r>
        <w:rPr>
          <w:rFonts w:ascii="sans-serif" w:eastAsia="sans-serif" w:hAnsi="sans-serif" w:cs="sans-serif"/>
          <w:color w:val="000000"/>
          <w:sz w:val="16"/>
          <w:szCs w:val="16"/>
        </w:rPr>
        <w:t>$125.00 per share paid to Mellanox shareholders for approximately 56 million shares of outstanding Mellanox ordinary shares.</w:t>
      </w:r>
      <w:r>
        <w:rPr>
          <w:rFonts w:ascii="Arial" w:eastAsia="宋体" w:hAnsi="Arial" w:cs="Arial"/>
          <w:i/>
          <w:iCs/>
          <w:color w:val="000000"/>
          <w:sz w:val="16"/>
          <w:szCs w:val="16"/>
        </w:rPr>
        <w:t xml:space="preserve"> </w:t>
      </w:r>
    </w:p>
    <w:p w14:paraId="0D8DEC42" w14:textId="77777777" w:rsidR="004C2197" w:rsidRDefault="00863B83">
      <w:pPr>
        <w:ind w:hanging="360"/>
        <w:jc w:val="both"/>
      </w:pPr>
      <w:r>
        <w:rPr>
          <w:rFonts w:ascii="sans-serif" w:eastAsia="sans-serif" w:hAnsi="sans-serif" w:cs="sans-serif"/>
          <w:color w:val="000000"/>
          <w:sz w:val="16"/>
          <w:szCs w:val="16"/>
        </w:rPr>
        <w:t>(2) Represents the cash consideration for the settlement of approximately 249 thousand Mellanox stock options held by employees an</w:t>
      </w:r>
      <w:r>
        <w:rPr>
          <w:rFonts w:ascii="sans-serif" w:eastAsia="sans-serif" w:hAnsi="sans-serif" w:cs="sans-serif"/>
          <w:color w:val="000000"/>
          <w:sz w:val="16"/>
          <w:szCs w:val="16"/>
        </w:rPr>
        <w:t>d non-employee directors of Mellanox.</w:t>
      </w:r>
    </w:p>
    <w:p w14:paraId="0D8DEC43" w14:textId="77777777" w:rsidR="004C2197" w:rsidRDefault="00863B83">
      <w:pPr>
        <w:ind w:hanging="360"/>
        <w:jc w:val="both"/>
      </w:pPr>
      <w:r>
        <w:rPr>
          <w:rFonts w:ascii="sans-serif" w:eastAsia="sans-serif" w:hAnsi="sans-serif" w:cs="sans-serif"/>
          <w:color w:val="000000"/>
          <w:sz w:val="16"/>
          <w:szCs w:val="16"/>
        </w:rPr>
        <w:t>(3) Represents the fair value of Mellanox’s stock-based compensation awards attributable to pre-combination services.</w:t>
      </w:r>
    </w:p>
    <w:p w14:paraId="0D8DEC44" w14:textId="77777777" w:rsidR="004C2197" w:rsidRDefault="004C2197">
      <w:pPr>
        <w:ind w:hanging="360"/>
      </w:pPr>
    </w:p>
    <w:p w14:paraId="0D8DEC45" w14:textId="77777777" w:rsidR="004C2197" w:rsidRDefault="00863B83">
      <w:pPr>
        <w:spacing w:after="180"/>
        <w:jc w:val="both"/>
      </w:pPr>
      <w:r>
        <w:rPr>
          <w:rFonts w:ascii="sans-serif" w:eastAsia="sans-serif" w:hAnsi="sans-serif" w:cs="sans-serif"/>
          <w:color w:val="000000"/>
          <w:sz w:val="20"/>
          <w:szCs w:val="20"/>
        </w:rPr>
        <w:t>We allocated the purchase price to tangible and identified intangible assets acquired and liabiliti</w:t>
      </w:r>
      <w:r>
        <w:rPr>
          <w:rFonts w:ascii="sans-serif" w:eastAsia="sans-serif" w:hAnsi="sans-serif" w:cs="sans-serif"/>
          <w:color w:val="000000"/>
          <w:sz w:val="20"/>
          <w:szCs w:val="20"/>
        </w:rPr>
        <w:t>es assumed based on the preliminary estimates of their estimated fair values, which were determined using generally accepted valuation techniques based on estimates and assumptions made by management at the time of the acquisition and are subject to change</w:t>
      </w:r>
      <w:r>
        <w:rPr>
          <w:rFonts w:ascii="sans-serif" w:eastAsia="sans-serif" w:hAnsi="sans-serif" w:cs="sans-serif"/>
          <w:color w:val="000000"/>
          <w:sz w:val="20"/>
          <w:szCs w:val="20"/>
        </w:rPr>
        <w:t xml:space="preserve"> during the measurement period which is not expected to exceed one year. The primary tasks that are required to be completed include validation of business level forecasts, jurisdictional forecasts, customer attrition rates, contingent liabilities assessme</w:t>
      </w:r>
      <w:r>
        <w:rPr>
          <w:rFonts w:ascii="sans-serif" w:eastAsia="sans-serif" w:hAnsi="sans-serif" w:cs="sans-serif"/>
          <w:color w:val="000000"/>
          <w:sz w:val="20"/>
          <w:szCs w:val="20"/>
        </w:rPr>
        <w:t xml:space="preserve">nts and any related tax impacts from the acquisition. Any adjustments to our preliminary purchase price allocation identified during the measurement period will be recognized in the period in which the adjustments are determined. </w:t>
      </w:r>
    </w:p>
    <w:p w14:paraId="0D8DEC46" w14:textId="77777777" w:rsidR="004C2197" w:rsidRDefault="00863B83">
      <w:pPr>
        <w:spacing w:after="180"/>
        <w:jc w:val="both"/>
      </w:pPr>
      <w:r>
        <w:rPr>
          <w:rFonts w:ascii="sans-serif" w:eastAsia="sans-serif" w:hAnsi="sans-serif" w:cs="sans-serif"/>
          <w:color w:val="000000"/>
          <w:sz w:val="20"/>
          <w:szCs w:val="20"/>
        </w:rPr>
        <w:t>The goodwill is primarily</w:t>
      </w:r>
      <w:r>
        <w:rPr>
          <w:rFonts w:ascii="sans-serif" w:eastAsia="sans-serif" w:hAnsi="sans-serif" w:cs="sans-serif"/>
          <w:color w:val="000000"/>
          <w:sz w:val="20"/>
          <w:szCs w:val="20"/>
        </w:rPr>
        <w:t xml:space="preserve"> attributable to the planned growth in the combined business of NVIDIA and Mellanox. Goodwill is not amortized to earnings, but instead is reviewed for impairment at least annually, absent any interim indicators of impairment. Goodwill recognized in the ac</w:t>
      </w:r>
      <w:r>
        <w:rPr>
          <w:rFonts w:ascii="sans-serif" w:eastAsia="sans-serif" w:hAnsi="sans-serif" w:cs="sans-serif"/>
          <w:color w:val="000000"/>
          <w:sz w:val="20"/>
          <w:szCs w:val="20"/>
        </w:rPr>
        <w:t>quisition is not expected to be deductible for foreign tax purposes. Goodwill arising from the Mellanox acquisition has been allocated to the Compute and Networking segment. Refer to Note 15 – Segment Information for further details on segments.</w:t>
      </w:r>
    </w:p>
    <w:p w14:paraId="0D8DEC47" w14:textId="77777777" w:rsidR="004C2197" w:rsidRDefault="00863B83">
      <w:pPr>
        <w:spacing w:after="180"/>
        <w:jc w:val="both"/>
      </w:pPr>
      <w:r>
        <w:rPr>
          <w:rFonts w:ascii="sans-serif" w:eastAsia="sans-serif" w:hAnsi="sans-serif" w:cs="sans-serif"/>
          <w:color w:val="000000"/>
          <w:sz w:val="20"/>
          <w:szCs w:val="20"/>
        </w:rPr>
        <w:t>The operat</w:t>
      </w:r>
      <w:r>
        <w:rPr>
          <w:rFonts w:ascii="sans-serif" w:eastAsia="sans-serif" w:hAnsi="sans-serif" w:cs="sans-serif"/>
          <w:color w:val="000000"/>
          <w:sz w:val="20"/>
          <w:szCs w:val="20"/>
        </w:rPr>
        <w:t>ing results of Mellanox have been included in our condensed consolidated financial statements for the second quarter of fiscal year 2021 from the acquisition date. Revenue attributable to Mellanox was approximately 14% of consolidated revenue. There is not</w:t>
      </w:r>
      <w:r>
        <w:rPr>
          <w:rFonts w:ascii="sans-serif" w:eastAsia="sans-serif" w:hAnsi="sans-serif" w:cs="sans-serif"/>
          <w:color w:val="000000"/>
          <w:sz w:val="20"/>
          <w:szCs w:val="20"/>
        </w:rPr>
        <w:t xml:space="preserve"> a practical way to determine net income attributable to Mellanox due to integration. </w:t>
      </w:r>
    </w:p>
    <w:p w14:paraId="0D8DEC48" w14:textId="77777777" w:rsidR="004C2197" w:rsidRDefault="00863B83">
      <w:pPr>
        <w:spacing w:after="180"/>
        <w:jc w:val="center"/>
      </w:pPr>
      <w:r>
        <w:rPr>
          <w:rFonts w:ascii="sans-serif" w:eastAsia="sans-serif" w:hAnsi="sans-serif" w:cs="sans-serif"/>
          <w:color w:val="000000"/>
          <w:sz w:val="20"/>
          <w:szCs w:val="20"/>
        </w:rPr>
        <w:t>11</w:t>
      </w:r>
    </w:p>
    <w:p w14:paraId="0D8DEC49" w14:textId="77777777" w:rsidR="004C2197" w:rsidRDefault="00863B83">
      <w:r>
        <w:pict w14:anchorId="0D8E0CAF">
          <v:rect id="_x0000_i1035" style="width:415.3pt;height:1.5pt" o:hralign="center" o:hrstd="t" o:hr="t" fillcolor="#a0a0a0" stroked="f"/>
        </w:pict>
      </w:r>
    </w:p>
    <w:p w14:paraId="0D8DEC4A" w14:textId="77777777" w:rsidR="004C2197" w:rsidRDefault="00863B83">
      <w:pPr>
        <w:jc w:val="center"/>
      </w:pPr>
      <w:r>
        <w:rPr>
          <w:rFonts w:ascii="sans-serif" w:eastAsia="sans-serif" w:hAnsi="sans-serif" w:cs="sans-serif"/>
          <w:b/>
          <w:bCs/>
          <w:color w:val="000000"/>
          <w:sz w:val="20"/>
          <w:szCs w:val="20"/>
        </w:rPr>
        <w:t>NVIDIA CORPORATION AND SUBSIDIARIES</w:t>
      </w:r>
    </w:p>
    <w:p w14:paraId="0D8DEC4B"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EC4C" w14:textId="77777777" w:rsidR="004C2197" w:rsidRDefault="00863B83">
      <w:pPr>
        <w:jc w:val="center"/>
      </w:pPr>
      <w:r>
        <w:rPr>
          <w:rFonts w:ascii="sans-serif" w:eastAsia="sans-serif" w:hAnsi="sans-serif" w:cs="sans-serif"/>
          <w:b/>
          <w:bCs/>
          <w:color w:val="000000"/>
          <w:sz w:val="20"/>
          <w:szCs w:val="20"/>
        </w:rPr>
        <w:t>(Unaudited)</w:t>
      </w:r>
    </w:p>
    <w:p w14:paraId="0D8DEC4D" w14:textId="77777777" w:rsidR="004C2197" w:rsidRDefault="004C2197">
      <w:pPr>
        <w:spacing w:after="180"/>
        <w:jc w:val="both"/>
      </w:pPr>
    </w:p>
    <w:p w14:paraId="0D8DEC4E" w14:textId="77777777" w:rsidR="004C2197" w:rsidRDefault="004C2197">
      <w:pPr>
        <w:spacing w:after="180"/>
        <w:jc w:val="both"/>
      </w:pPr>
    </w:p>
    <w:p w14:paraId="0D8DEC4F" w14:textId="77777777" w:rsidR="004C2197" w:rsidRDefault="00863B83">
      <w:pPr>
        <w:spacing w:after="180"/>
        <w:jc w:val="both"/>
      </w:pPr>
      <w:r>
        <w:rPr>
          <w:rFonts w:ascii="sans-serif" w:eastAsia="sans-serif" w:hAnsi="sans-serif" w:cs="sans-serif"/>
          <w:color w:val="000000"/>
          <w:sz w:val="20"/>
          <w:szCs w:val="20"/>
        </w:rPr>
        <w:t xml:space="preserve">Acquisition-related costs of </w:t>
      </w:r>
      <w:r>
        <w:rPr>
          <w:rFonts w:ascii="sans-serif" w:eastAsia="sans-serif" w:hAnsi="sans-serif" w:cs="sans-serif"/>
          <w:color w:val="000000"/>
          <w:sz w:val="20"/>
          <w:szCs w:val="20"/>
        </w:rPr>
        <w:t>$26 million were included in selling, general and administrative expense for the first half of fiscal year 2021.</w:t>
      </w:r>
    </w:p>
    <w:p w14:paraId="0D8DEC50" w14:textId="77777777" w:rsidR="004C2197" w:rsidRDefault="00863B83">
      <w:pPr>
        <w:spacing w:before="240"/>
      </w:pPr>
      <w:r>
        <w:rPr>
          <w:rFonts w:ascii="sans-serif" w:eastAsia="sans-serif" w:hAnsi="sans-serif" w:cs="sans-serif"/>
          <w:b/>
          <w:bCs/>
          <w:color w:val="76B900"/>
          <w:sz w:val="20"/>
          <w:szCs w:val="20"/>
        </w:rPr>
        <w:t>Intangible Assets</w:t>
      </w:r>
    </w:p>
    <w:p w14:paraId="0D8DEC51" w14:textId="77777777" w:rsidR="004C2197" w:rsidRDefault="00863B83">
      <w:pPr>
        <w:spacing w:after="180"/>
        <w:jc w:val="both"/>
      </w:pPr>
      <w:r>
        <w:rPr>
          <w:rFonts w:ascii="sans-serif" w:eastAsia="sans-serif" w:hAnsi="sans-serif" w:cs="sans-serif"/>
          <w:color w:val="000000"/>
          <w:sz w:val="20"/>
          <w:szCs w:val="20"/>
        </w:rPr>
        <w:t>The estimated fair value and weighted average useful life of the acquired intangible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5036"/>
        <w:gridCol w:w="37"/>
        <w:gridCol w:w="138"/>
        <w:gridCol w:w="1426"/>
        <w:gridCol w:w="42"/>
        <w:gridCol w:w="36"/>
        <w:gridCol w:w="36"/>
        <w:gridCol w:w="36"/>
        <w:gridCol w:w="48"/>
        <w:gridCol w:w="1422"/>
        <w:gridCol w:w="37"/>
      </w:tblGrid>
      <w:tr w:rsidR="004C2197" w14:paraId="0D8DEC5E" w14:textId="77777777">
        <w:tc>
          <w:tcPr>
            <w:tcW w:w="50" w:type="pct"/>
            <w:shd w:val="clear" w:color="auto" w:fill="auto"/>
          </w:tcPr>
          <w:p w14:paraId="0D8DEC52" w14:textId="77777777" w:rsidR="004C2197" w:rsidRDefault="004C2197">
            <w:pPr>
              <w:rPr>
                <w:rFonts w:ascii="宋体"/>
              </w:rPr>
            </w:pPr>
          </w:p>
        </w:tc>
        <w:tc>
          <w:tcPr>
            <w:tcW w:w="3044" w:type="pct"/>
            <w:shd w:val="clear" w:color="auto" w:fill="auto"/>
          </w:tcPr>
          <w:p w14:paraId="0D8DEC53" w14:textId="77777777" w:rsidR="004C2197" w:rsidRDefault="004C2197">
            <w:pPr>
              <w:rPr>
                <w:rFonts w:ascii="宋体"/>
              </w:rPr>
            </w:pPr>
          </w:p>
        </w:tc>
        <w:tc>
          <w:tcPr>
            <w:tcW w:w="5" w:type="pct"/>
            <w:shd w:val="clear" w:color="auto" w:fill="auto"/>
          </w:tcPr>
          <w:p w14:paraId="0D8DEC54" w14:textId="77777777" w:rsidR="004C2197" w:rsidRDefault="004C2197">
            <w:pPr>
              <w:rPr>
                <w:rFonts w:ascii="宋体"/>
              </w:rPr>
            </w:pPr>
          </w:p>
        </w:tc>
        <w:tc>
          <w:tcPr>
            <w:tcW w:w="50" w:type="pct"/>
            <w:shd w:val="clear" w:color="auto" w:fill="auto"/>
          </w:tcPr>
          <w:p w14:paraId="0D8DEC55" w14:textId="77777777" w:rsidR="004C2197" w:rsidRDefault="004C2197">
            <w:pPr>
              <w:rPr>
                <w:rFonts w:ascii="宋体"/>
              </w:rPr>
            </w:pPr>
          </w:p>
        </w:tc>
        <w:tc>
          <w:tcPr>
            <w:tcW w:w="880" w:type="pct"/>
            <w:shd w:val="clear" w:color="auto" w:fill="auto"/>
          </w:tcPr>
          <w:p w14:paraId="0D8DEC56" w14:textId="77777777" w:rsidR="004C2197" w:rsidRDefault="004C2197">
            <w:pPr>
              <w:rPr>
                <w:rFonts w:ascii="宋体"/>
              </w:rPr>
            </w:pPr>
          </w:p>
        </w:tc>
        <w:tc>
          <w:tcPr>
            <w:tcW w:w="5" w:type="pct"/>
            <w:shd w:val="clear" w:color="auto" w:fill="auto"/>
          </w:tcPr>
          <w:p w14:paraId="0D8DEC57" w14:textId="77777777" w:rsidR="004C2197" w:rsidRDefault="004C2197">
            <w:pPr>
              <w:rPr>
                <w:rFonts w:ascii="宋体"/>
              </w:rPr>
            </w:pPr>
          </w:p>
        </w:tc>
        <w:tc>
          <w:tcPr>
            <w:tcW w:w="5" w:type="pct"/>
            <w:shd w:val="clear" w:color="auto" w:fill="auto"/>
          </w:tcPr>
          <w:p w14:paraId="0D8DEC58" w14:textId="77777777" w:rsidR="004C2197" w:rsidRDefault="004C2197">
            <w:pPr>
              <w:rPr>
                <w:rFonts w:ascii="宋体"/>
              </w:rPr>
            </w:pPr>
          </w:p>
        </w:tc>
        <w:tc>
          <w:tcPr>
            <w:tcW w:w="19" w:type="pct"/>
            <w:shd w:val="clear" w:color="auto" w:fill="auto"/>
          </w:tcPr>
          <w:p w14:paraId="0D8DEC59" w14:textId="77777777" w:rsidR="004C2197" w:rsidRDefault="004C2197">
            <w:pPr>
              <w:rPr>
                <w:rFonts w:ascii="宋体"/>
              </w:rPr>
            </w:pPr>
          </w:p>
        </w:tc>
        <w:tc>
          <w:tcPr>
            <w:tcW w:w="5" w:type="pct"/>
            <w:shd w:val="clear" w:color="auto" w:fill="auto"/>
          </w:tcPr>
          <w:p w14:paraId="0D8DEC5A" w14:textId="77777777" w:rsidR="004C2197" w:rsidRDefault="004C2197">
            <w:pPr>
              <w:rPr>
                <w:rFonts w:ascii="宋体"/>
              </w:rPr>
            </w:pPr>
          </w:p>
        </w:tc>
        <w:tc>
          <w:tcPr>
            <w:tcW w:w="50" w:type="pct"/>
            <w:shd w:val="clear" w:color="auto" w:fill="auto"/>
          </w:tcPr>
          <w:p w14:paraId="0D8DEC5B" w14:textId="77777777" w:rsidR="004C2197" w:rsidRDefault="004C2197">
            <w:pPr>
              <w:rPr>
                <w:rFonts w:ascii="宋体"/>
              </w:rPr>
            </w:pPr>
          </w:p>
        </w:tc>
        <w:tc>
          <w:tcPr>
            <w:tcW w:w="880" w:type="pct"/>
            <w:shd w:val="clear" w:color="auto" w:fill="auto"/>
          </w:tcPr>
          <w:p w14:paraId="0D8DEC5C" w14:textId="77777777" w:rsidR="004C2197" w:rsidRDefault="004C2197">
            <w:pPr>
              <w:rPr>
                <w:rFonts w:ascii="宋体"/>
              </w:rPr>
            </w:pPr>
          </w:p>
        </w:tc>
        <w:tc>
          <w:tcPr>
            <w:tcW w:w="5" w:type="pct"/>
            <w:shd w:val="clear" w:color="auto" w:fill="auto"/>
          </w:tcPr>
          <w:p w14:paraId="0D8DEC5D" w14:textId="77777777" w:rsidR="004C2197" w:rsidRDefault="004C2197">
            <w:pPr>
              <w:rPr>
                <w:rFonts w:ascii="宋体"/>
              </w:rPr>
            </w:pPr>
          </w:p>
        </w:tc>
      </w:tr>
      <w:tr w:rsidR="004C2197" w14:paraId="0D8DEC63" w14:textId="77777777">
        <w:tc>
          <w:tcPr>
            <w:tcW w:w="0" w:type="auto"/>
            <w:gridSpan w:val="3"/>
            <w:shd w:val="clear" w:color="auto" w:fill="auto"/>
            <w:tcMar>
              <w:left w:w="20" w:type="dxa"/>
              <w:right w:w="20" w:type="dxa"/>
            </w:tcMar>
            <w:vAlign w:val="bottom"/>
          </w:tcPr>
          <w:p w14:paraId="0D8DEC5F"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C60" w14:textId="77777777" w:rsidR="004C2197" w:rsidRDefault="00863B83">
            <w:pPr>
              <w:jc w:val="center"/>
              <w:textAlignment w:val="bottom"/>
            </w:pPr>
            <w:r>
              <w:rPr>
                <w:rFonts w:ascii="sans-serif" w:eastAsia="sans-serif" w:hAnsi="sans-serif" w:cs="sans-serif"/>
                <w:b/>
                <w:bCs/>
                <w:color w:val="000000"/>
                <w:sz w:val="20"/>
                <w:szCs w:val="20"/>
              </w:rPr>
              <w:t>Fair Value</w:t>
            </w:r>
          </w:p>
        </w:tc>
        <w:tc>
          <w:tcPr>
            <w:tcW w:w="0" w:type="auto"/>
            <w:gridSpan w:val="3"/>
            <w:shd w:val="clear" w:color="auto" w:fill="auto"/>
            <w:tcMar>
              <w:left w:w="20" w:type="dxa"/>
              <w:right w:w="20" w:type="dxa"/>
            </w:tcMar>
            <w:vAlign w:val="bottom"/>
          </w:tcPr>
          <w:p w14:paraId="0D8DEC61"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C62" w14:textId="77777777" w:rsidR="004C2197" w:rsidRDefault="00863B83">
            <w:pPr>
              <w:jc w:val="center"/>
              <w:textAlignment w:val="bottom"/>
            </w:pPr>
            <w:r>
              <w:rPr>
                <w:rFonts w:ascii="sans-serif" w:eastAsia="sans-serif" w:hAnsi="sans-serif" w:cs="sans-serif"/>
                <w:b/>
                <w:bCs/>
                <w:color w:val="000000"/>
                <w:sz w:val="20"/>
                <w:szCs w:val="20"/>
              </w:rPr>
              <w:t>Weighted Average Useful Lives</w:t>
            </w:r>
          </w:p>
        </w:tc>
      </w:tr>
      <w:tr w:rsidR="004C2197" w14:paraId="0D8DEC68" w14:textId="77777777">
        <w:tc>
          <w:tcPr>
            <w:tcW w:w="0" w:type="auto"/>
            <w:gridSpan w:val="3"/>
            <w:shd w:val="clear" w:color="auto" w:fill="auto"/>
            <w:tcMar>
              <w:left w:w="20" w:type="dxa"/>
              <w:right w:w="20" w:type="dxa"/>
            </w:tcMar>
            <w:vAlign w:val="bottom"/>
          </w:tcPr>
          <w:p w14:paraId="0D8DEC64"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C65" w14:textId="77777777" w:rsidR="004C2197" w:rsidRDefault="00863B83">
            <w:pPr>
              <w:jc w:val="center"/>
              <w:textAlignment w:val="bottom"/>
            </w:pPr>
            <w:r>
              <w:rPr>
                <w:rFonts w:ascii="sans-serif" w:eastAsia="sans-serif" w:hAnsi="sans-serif" w:cs="sans-serif"/>
                <w:color w:val="000000"/>
                <w:sz w:val="20"/>
                <w:szCs w:val="20"/>
              </w:rPr>
              <w:t>(In millions)</w:t>
            </w:r>
          </w:p>
        </w:tc>
        <w:tc>
          <w:tcPr>
            <w:tcW w:w="0" w:type="auto"/>
            <w:gridSpan w:val="3"/>
            <w:shd w:val="clear" w:color="auto" w:fill="auto"/>
            <w:tcMar>
              <w:left w:w="20" w:type="dxa"/>
              <w:right w:w="20" w:type="dxa"/>
            </w:tcMar>
            <w:vAlign w:val="bottom"/>
          </w:tcPr>
          <w:p w14:paraId="0D8DEC6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C67" w14:textId="77777777" w:rsidR="004C2197" w:rsidRDefault="004C2197">
            <w:pPr>
              <w:rPr>
                <w:rFonts w:ascii="宋体"/>
              </w:rPr>
            </w:pPr>
          </w:p>
        </w:tc>
      </w:tr>
      <w:tr w:rsidR="004C2197" w14:paraId="0D8DEC6F" w14:textId="77777777">
        <w:tc>
          <w:tcPr>
            <w:tcW w:w="0" w:type="auto"/>
            <w:gridSpan w:val="3"/>
            <w:shd w:val="clear" w:color="auto" w:fill="E2EFD9"/>
            <w:tcMar>
              <w:top w:w="40" w:type="dxa"/>
              <w:left w:w="20" w:type="dxa"/>
              <w:bottom w:w="40" w:type="dxa"/>
              <w:right w:w="20" w:type="dxa"/>
            </w:tcMar>
            <w:vAlign w:val="bottom"/>
          </w:tcPr>
          <w:p w14:paraId="0D8DEC69" w14:textId="77777777" w:rsidR="004C2197" w:rsidRDefault="00863B83">
            <w:pPr>
              <w:textAlignment w:val="bottom"/>
            </w:pPr>
            <w:r>
              <w:rPr>
                <w:rFonts w:ascii="sans-serif" w:eastAsia="sans-serif" w:hAnsi="sans-serif" w:cs="sans-serif"/>
                <w:color w:val="000000"/>
                <w:sz w:val="20"/>
                <w:szCs w:val="20"/>
              </w:rPr>
              <w:t>Developed technology (1)</w:t>
            </w:r>
          </w:p>
        </w:tc>
        <w:tc>
          <w:tcPr>
            <w:tcW w:w="0" w:type="auto"/>
            <w:shd w:val="clear" w:color="auto" w:fill="E2EFD9"/>
            <w:tcMar>
              <w:top w:w="40" w:type="dxa"/>
              <w:left w:w="20" w:type="dxa"/>
              <w:bottom w:w="40" w:type="dxa"/>
            </w:tcMar>
            <w:vAlign w:val="bottom"/>
          </w:tcPr>
          <w:p w14:paraId="0D8DEC6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C6B" w14:textId="77777777" w:rsidR="004C2197" w:rsidRDefault="00863B83">
            <w:pPr>
              <w:jc w:val="right"/>
              <w:textAlignment w:val="bottom"/>
            </w:pPr>
            <w:r>
              <w:rPr>
                <w:rFonts w:ascii="sans-serif" w:eastAsia="sans-serif" w:hAnsi="sans-serif" w:cs="sans-serif"/>
                <w:color w:val="000000"/>
                <w:sz w:val="20"/>
                <w:szCs w:val="20"/>
              </w:rPr>
              <w:t>1,640 </w:t>
            </w:r>
          </w:p>
        </w:tc>
        <w:tc>
          <w:tcPr>
            <w:tcW w:w="0" w:type="auto"/>
            <w:shd w:val="clear" w:color="auto" w:fill="E2EFD9"/>
            <w:tcMar>
              <w:top w:w="40" w:type="dxa"/>
              <w:bottom w:w="40" w:type="dxa"/>
              <w:right w:w="20" w:type="dxa"/>
            </w:tcMar>
            <w:vAlign w:val="bottom"/>
          </w:tcPr>
          <w:p w14:paraId="0D8DEC6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C6D"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C6E" w14:textId="77777777" w:rsidR="004C2197" w:rsidRDefault="00863B83">
            <w:pPr>
              <w:jc w:val="center"/>
              <w:textAlignment w:val="bottom"/>
            </w:pPr>
            <w:r>
              <w:rPr>
                <w:rFonts w:ascii="sans-serif" w:eastAsia="sans-serif" w:hAnsi="sans-serif" w:cs="sans-serif"/>
                <w:color w:val="000000"/>
                <w:sz w:val="20"/>
                <w:szCs w:val="20"/>
              </w:rPr>
              <w:t>5 years</w:t>
            </w:r>
          </w:p>
        </w:tc>
      </w:tr>
      <w:tr w:rsidR="004C2197" w14:paraId="0D8DEC75" w14:textId="77777777">
        <w:tc>
          <w:tcPr>
            <w:tcW w:w="0" w:type="auto"/>
            <w:gridSpan w:val="3"/>
            <w:shd w:val="clear" w:color="auto" w:fill="FFFFFF"/>
            <w:tcMar>
              <w:top w:w="40" w:type="dxa"/>
              <w:left w:w="20" w:type="dxa"/>
              <w:bottom w:w="40" w:type="dxa"/>
              <w:right w:w="20" w:type="dxa"/>
            </w:tcMar>
            <w:vAlign w:val="bottom"/>
          </w:tcPr>
          <w:p w14:paraId="0D8DEC70" w14:textId="77777777" w:rsidR="004C2197" w:rsidRDefault="00863B83">
            <w:pPr>
              <w:textAlignment w:val="bottom"/>
            </w:pPr>
            <w:r>
              <w:rPr>
                <w:rFonts w:ascii="sans-serif" w:eastAsia="sans-serif" w:hAnsi="sans-serif" w:cs="sans-serif"/>
                <w:color w:val="000000"/>
                <w:sz w:val="20"/>
                <w:szCs w:val="20"/>
              </w:rPr>
              <w:t>Customer relationships (2)</w:t>
            </w:r>
          </w:p>
        </w:tc>
        <w:tc>
          <w:tcPr>
            <w:tcW w:w="0" w:type="auto"/>
            <w:gridSpan w:val="2"/>
            <w:shd w:val="clear" w:color="auto" w:fill="FFFFFF"/>
            <w:tcMar>
              <w:top w:w="40" w:type="dxa"/>
              <w:left w:w="20" w:type="dxa"/>
              <w:bottom w:w="40" w:type="dxa"/>
              <w:right w:w="0" w:type="dxa"/>
            </w:tcMar>
            <w:vAlign w:val="bottom"/>
          </w:tcPr>
          <w:p w14:paraId="0D8DEC71" w14:textId="77777777" w:rsidR="004C2197" w:rsidRDefault="00863B83">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bottom w:w="40" w:type="dxa"/>
              <w:right w:w="20" w:type="dxa"/>
            </w:tcMar>
            <w:vAlign w:val="bottom"/>
          </w:tcPr>
          <w:p w14:paraId="0D8DEC7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C73"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C74" w14:textId="77777777" w:rsidR="004C2197" w:rsidRDefault="00863B83">
            <w:pPr>
              <w:jc w:val="center"/>
              <w:textAlignment w:val="bottom"/>
            </w:pPr>
            <w:r>
              <w:rPr>
                <w:rFonts w:ascii="sans-serif" w:eastAsia="sans-serif" w:hAnsi="sans-serif" w:cs="sans-serif"/>
                <w:color w:val="000000"/>
                <w:sz w:val="20"/>
                <w:szCs w:val="20"/>
              </w:rPr>
              <w:t>3 years</w:t>
            </w:r>
          </w:p>
        </w:tc>
      </w:tr>
      <w:tr w:rsidR="004C2197" w14:paraId="0D8DEC7B" w14:textId="77777777">
        <w:tc>
          <w:tcPr>
            <w:tcW w:w="0" w:type="auto"/>
            <w:gridSpan w:val="3"/>
            <w:shd w:val="clear" w:color="auto" w:fill="E2EFD9"/>
            <w:tcMar>
              <w:top w:w="40" w:type="dxa"/>
              <w:left w:w="20" w:type="dxa"/>
              <w:bottom w:w="40" w:type="dxa"/>
              <w:right w:w="20" w:type="dxa"/>
            </w:tcMar>
            <w:vAlign w:val="bottom"/>
          </w:tcPr>
          <w:p w14:paraId="0D8DEC76" w14:textId="77777777" w:rsidR="004C2197" w:rsidRDefault="00863B83">
            <w:pPr>
              <w:textAlignment w:val="bottom"/>
            </w:pPr>
            <w:r>
              <w:rPr>
                <w:rFonts w:ascii="sans-serif" w:eastAsia="sans-serif" w:hAnsi="sans-serif" w:cs="sans-serif"/>
                <w:color w:val="000000"/>
                <w:sz w:val="20"/>
                <w:szCs w:val="20"/>
              </w:rPr>
              <w:t>Order backlog (3)</w:t>
            </w:r>
          </w:p>
        </w:tc>
        <w:tc>
          <w:tcPr>
            <w:tcW w:w="0" w:type="auto"/>
            <w:gridSpan w:val="2"/>
            <w:shd w:val="clear" w:color="auto" w:fill="E2EFD9"/>
            <w:tcMar>
              <w:top w:w="40" w:type="dxa"/>
              <w:left w:w="20" w:type="dxa"/>
              <w:bottom w:w="40" w:type="dxa"/>
              <w:right w:w="0" w:type="dxa"/>
            </w:tcMar>
            <w:vAlign w:val="bottom"/>
          </w:tcPr>
          <w:p w14:paraId="0D8DEC77" w14:textId="77777777" w:rsidR="004C2197" w:rsidRDefault="00863B83">
            <w:pPr>
              <w:jc w:val="right"/>
              <w:textAlignment w:val="bottom"/>
            </w:pPr>
            <w:r>
              <w:rPr>
                <w:rFonts w:ascii="sans-serif" w:eastAsia="sans-serif" w:hAnsi="sans-serif" w:cs="sans-serif"/>
                <w:color w:val="000000"/>
                <w:sz w:val="20"/>
                <w:szCs w:val="20"/>
              </w:rPr>
              <w:t>190 </w:t>
            </w:r>
          </w:p>
        </w:tc>
        <w:tc>
          <w:tcPr>
            <w:tcW w:w="0" w:type="auto"/>
            <w:shd w:val="clear" w:color="auto" w:fill="E2EFD9"/>
            <w:tcMar>
              <w:top w:w="40" w:type="dxa"/>
              <w:bottom w:w="40" w:type="dxa"/>
              <w:right w:w="20" w:type="dxa"/>
            </w:tcMar>
            <w:vAlign w:val="bottom"/>
          </w:tcPr>
          <w:p w14:paraId="0D8DEC7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C79"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C7A" w14:textId="77777777" w:rsidR="004C2197" w:rsidRDefault="00863B83">
            <w:pPr>
              <w:jc w:val="center"/>
              <w:textAlignment w:val="bottom"/>
            </w:pPr>
            <w:r>
              <w:rPr>
                <w:rFonts w:ascii="sans-serif" w:eastAsia="sans-serif" w:hAnsi="sans-serif" w:cs="sans-serif"/>
                <w:color w:val="000000"/>
                <w:sz w:val="20"/>
                <w:szCs w:val="20"/>
              </w:rPr>
              <w:t>Based on actual shipments</w:t>
            </w:r>
          </w:p>
        </w:tc>
      </w:tr>
      <w:tr w:rsidR="004C2197" w14:paraId="0D8DEC81" w14:textId="77777777">
        <w:tc>
          <w:tcPr>
            <w:tcW w:w="0" w:type="auto"/>
            <w:gridSpan w:val="3"/>
            <w:shd w:val="clear" w:color="auto" w:fill="FFFFFF"/>
            <w:tcMar>
              <w:top w:w="40" w:type="dxa"/>
              <w:left w:w="20" w:type="dxa"/>
              <w:bottom w:w="40" w:type="dxa"/>
              <w:right w:w="20" w:type="dxa"/>
            </w:tcMar>
            <w:vAlign w:val="bottom"/>
          </w:tcPr>
          <w:p w14:paraId="0D8DEC7C" w14:textId="77777777" w:rsidR="004C2197" w:rsidRDefault="00863B83">
            <w:pPr>
              <w:textAlignment w:val="bottom"/>
            </w:pPr>
            <w:r>
              <w:rPr>
                <w:rFonts w:ascii="sans-serif" w:eastAsia="sans-serif" w:hAnsi="sans-serif" w:cs="sans-serif"/>
                <w:color w:val="000000"/>
                <w:sz w:val="20"/>
                <w:szCs w:val="20"/>
              </w:rPr>
              <w:t>Trade names (4)</w:t>
            </w:r>
          </w:p>
        </w:tc>
        <w:tc>
          <w:tcPr>
            <w:tcW w:w="0" w:type="auto"/>
            <w:gridSpan w:val="2"/>
            <w:shd w:val="clear" w:color="auto" w:fill="FFFFFF"/>
            <w:tcMar>
              <w:top w:w="40" w:type="dxa"/>
              <w:left w:w="20" w:type="dxa"/>
              <w:bottom w:w="40" w:type="dxa"/>
              <w:right w:w="0" w:type="dxa"/>
            </w:tcMar>
            <w:vAlign w:val="bottom"/>
          </w:tcPr>
          <w:p w14:paraId="0D8DEC7D" w14:textId="77777777" w:rsidR="004C2197" w:rsidRDefault="00863B83">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bottom w:w="40" w:type="dxa"/>
              <w:right w:w="20" w:type="dxa"/>
            </w:tcMar>
            <w:vAlign w:val="bottom"/>
          </w:tcPr>
          <w:p w14:paraId="0D8DEC7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C7F"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C80" w14:textId="77777777" w:rsidR="004C2197" w:rsidRDefault="00863B83">
            <w:pPr>
              <w:jc w:val="center"/>
              <w:textAlignment w:val="bottom"/>
            </w:pPr>
            <w:r>
              <w:rPr>
                <w:rFonts w:ascii="sans-serif" w:eastAsia="sans-serif" w:hAnsi="sans-serif" w:cs="sans-serif"/>
                <w:color w:val="000000"/>
                <w:sz w:val="20"/>
                <w:szCs w:val="20"/>
              </w:rPr>
              <w:t>5 years</w:t>
            </w:r>
          </w:p>
        </w:tc>
      </w:tr>
      <w:tr w:rsidR="004C2197" w14:paraId="0D8DEC87" w14:textId="77777777">
        <w:tc>
          <w:tcPr>
            <w:tcW w:w="0" w:type="auto"/>
            <w:gridSpan w:val="3"/>
            <w:shd w:val="clear" w:color="auto" w:fill="E2EFD9"/>
            <w:tcMar>
              <w:top w:w="40" w:type="dxa"/>
              <w:left w:w="240" w:type="dxa"/>
              <w:bottom w:w="40" w:type="dxa"/>
              <w:right w:w="20" w:type="dxa"/>
            </w:tcMar>
            <w:vAlign w:val="bottom"/>
          </w:tcPr>
          <w:p w14:paraId="0D8DEC82" w14:textId="77777777" w:rsidR="004C2197" w:rsidRDefault="00863B83">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identified finite-lived intangible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DEC83" w14:textId="77777777" w:rsidR="004C2197" w:rsidRDefault="00863B83">
            <w:pPr>
              <w:jc w:val="right"/>
              <w:textAlignment w:val="bottom"/>
            </w:pPr>
            <w:r>
              <w:rPr>
                <w:rFonts w:ascii="sans-serif" w:eastAsia="sans-serif" w:hAnsi="sans-serif" w:cs="sans-serif"/>
                <w:color w:val="000000"/>
                <w:sz w:val="20"/>
                <w:szCs w:val="20"/>
              </w:rPr>
              <w:t>2,340 </w:t>
            </w:r>
          </w:p>
        </w:tc>
        <w:tc>
          <w:tcPr>
            <w:tcW w:w="0" w:type="auto"/>
            <w:tcBorders>
              <w:top w:val="single" w:sz="8" w:space="0" w:color="000000"/>
            </w:tcBorders>
            <w:shd w:val="clear" w:color="auto" w:fill="E2EFD9"/>
            <w:tcMar>
              <w:top w:w="40" w:type="dxa"/>
              <w:bottom w:w="40" w:type="dxa"/>
              <w:right w:w="20" w:type="dxa"/>
            </w:tcMar>
            <w:vAlign w:val="bottom"/>
          </w:tcPr>
          <w:p w14:paraId="0D8DEC8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C85"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C86" w14:textId="77777777" w:rsidR="004C2197" w:rsidRDefault="004C2197">
            <w:pPr>
              <w:rPr>
                <w:rFonts w:ascii="宋体"/>
              </w:rPr>
            </w:pPr>
          </w:p>
        </w:tc>
      </w:tr>
      <w:tr w:rsidR="004C2197" w14:paraId="0D8DEC8D" w14:textId="77777777">
        <w:tc>
          <w:tcPr>
            <w:tcW w:w="0" w:type="auto"/>
            <w:gridSpan w:val="3"/>
            <w:shd w:val="clear" w:color="auto" w:fill="FFFFFF"/>
            <w:tcMar>
              <w:top w:w="40" w:type="dxa"/>
              <w:left w:w="20" w:type="dxa"/>
              <w:bottom w:w="40" w:type="dxa"/>
              <w:right w:w="20" w:type="dxa"/>
            </w:tcMar>
            <w:vAlign w:val="bottom"/>
          </w:tcPr>
          <w:p w14:paraId="0D8DEC88" w14:textId="77777777" w:rsidR="004C2197" w:rsidRDefault="00863B83">
            <w:pPr>
              <w:textAlignment w:val="bottom"/>
            </w:pPr>
            <w:r>
              <w:rPr>
                <w:rFonts w:ascii="sans-serif" w:eastAsia="sans-serif" w:hAnsi="sans-serif" w:cs="sans-serif"/>
                <w:color w:val="000000"/>
                <w:sz w:val="20"/>
                <w:szCs w:val="20"/>
              </w:rPr>
              <w:t>IPR&amp;D (5)</w:t>
            </w:r>
          </w:p>
        </w:tc>
        <w:tc>
          <w:tcPr>
            <w:tcW w:w="0" w:type="auto"/>
            <w:gridSpan w:val="2"/>
            <w:shd w:val="clear" w:color="auto" w:fill="FFFFFF"/>
            <w:tcMar>
              <w:top w:w="40" w:type="dxa"/>
              <w:left w:w="20" w:type="dxa"/>
              <w:bottom w:w="40" w:type="dxa"/>
              <w:right w:w="0" w:type="dxa"/>
            </w:tcMar>
            <w:vAlign w:val="bottom"/>
          </w:tcPr>
          <w:p w14:paraId="0D8DEC89" w14:textId="77777777" w:rsidR="004C2197" w:rsidRDefault="00863B83">
            <w:pPr>
              <w:jc w:val="right"/>
              <w:textAlignment w:val="bottom"/>
            </w:pPr>
            <w:r>
              <w:rPr>
                <w:rFonts w:ascii="sans-serif" w:eastAsia="sans-serif" w:hAnsi="sans-serif" w:cs="sans-serif"/>
                <w:color w:val="000000"/>
                <w:sz w:val="20"/>
                <w:szCs w:val="20"/>
              </w:rPr>
              <w:t>630 </w:t>
            </w:r>
          </w:p>
        </w:tc>
        <w:tc>
          <w:tcPr>
            <w:tcW w:w="0" w:type="auto"/>
            <w:shd w:val="clear" w:color="auto" w:fill="FFFFFF"/>
            <w:tcMar>
              <w:top w:w="40" w:type="dxa"/>
              <w:bottom w:w="40" w:type="dxa"/>
              <w:right w:w="20" w:type="dxa"/>
            </w:tcMar>
            <w:vAlign w:val="bottom"/>
          </w:tcPr>
          <w:p w14:paraId="0D8DEC8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C8B"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C8C" w14:textId="77777777" w:rsidR="004C2197" w:rsidRDefault="00863B83">
            <w:pPr>
              <w:jc w:val="center"/>
              <w:textAlignment w:val="bottom"/>
            </w:pPr>
            <w:r>
              <w:rPr>
                <w:rFonts w:ascii="sans-serif" w:eastAsia="sans-serif" w:hAnsi="sans-serif" w:cs="sans-serif"/>
                <w:color w:val="000000"/>
                <w:sz w:val="20"/>
                <w:szCs w:val="20"/>
              </w:rPr>
              <w:t>N/A</w:t>
            </w:r>
          </w:p>
        </w:tc>
      </w:tr>
      <w:tr w:rsidR="004C2197" w14:paraId="0D8DEC94" w14:textId="77777777">
        <w:tc>
          <w:tcPr>
            <w:tcW w:w="0" w:type="auto"/>
            <w:gridSpan w:val="3"/>
            <w:shd w:val="clear" w:color="auto" w:fill="E2EFD9"/>
            <w:tcMar>
              <w:top w:w="40" w:type="dxa"/>
              <w:left w:w="240" w:type="dxa"/>
              <w:bottom w:w="40" w:type="dxa"/>
              <w:right w:w="20" w:type="dxa"/>
            </w:tcMar>
            <w:vAlign w:val="bottom"/>
          </w:tcPr>
          <w:p w14:paraId="0D8DEC8E" w14:textId="77777777" w:rsidR="004C2197" w:rsidRDefault="00863B83">
            <w:pPr>
              <w:textAlignment w:val="bottom"/>
            </w:pPr>
            <w:r>
              <w:rPr>
                <w:rFonts w:ascii="sans-serif" w:eastAsia="sans-serif" w:hAnsi="sans-serif" w:cs="sans-serif"/>
                <w:color w:val="000000"/>
                <w:sz w:val="20"/>
                <w:szCs w:val="20"/>
              </w:rPr>
              <w:t>Total identified intangible assets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EC8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EC90" w14:textId="77777777" w:rsidR="004C2197" w:rsidRDefault="00863B83">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EC9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C92"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C93" w14:textId="77777777" w:rsidR="004C2197" w:rsidRDefault="004C2197">
            <w:pPr>
              <w:rPr>
                <w:rFonts w:ascii="宋体"/>
              </w:rPr>
            </w:pPr>
          </w:p>
        </w:tc>
      </w:tr>
    </w:tbl>
    <w:p w14:paraId="0D8DEC95" w14:textId="77777777" w:rsidR="004C2197" w:rsidRDefault="004C2197"/>
    <w:p w14:paraId="0D8DEC96" w14:textId="77777777" w:rsidR="004C2197" w:rsidRDefault="00863B83">
      <w:pPr>
        <w:ind w:hanging="360"/>
        <w:jc w:val="both"/>
      </w:pPr>
      <w:r>
        <w:rPr>
          <w:rFonts w:ascii="sans-serif" w:eastAsia="sans-serif" w:hAnsi="sans-serif" w:cs="sans-serif"/>
          <w:color w:val="000000"/>
          <w:sz w:val="16"/>
          <w:szCs w:val="16"/>
        </w:rPr>
        <w:t>(1) The fair value of developed technology was identified using the Multi-Period Excess Earning Method.</w:t>
      </w:r>
    </w:p>
    <w:p w14:paraId="0D8DEC97" w14:textId="77777777" w:rsidR="004C2197" w:rsidRDefault="00863B83">
      <w:pPr>
        <w:ind w:hanging="360"/>
        <w:jc w:val="both"/>
      </w:pPr>
      <w:r>
        <w:rPr>
          <w:rFonts w:ascii="sans-serif" w:eastAsia="sans-serif" w:hAnsi="sans-serif" w:cs="sans-serif"/>
          <w:color w:val="000000"/>
          <w:sz w:val="16"/>
          <w:szCs w:val="16"/>
        </w:rPr>
        <w:t xml:space="preserve">(2) Customer </w:t>
      </w:r>
      <w:r>
        <w:rPr>
          <w:rFonts w:ascii="sans-serif" w:eastAsia="sans-serif" w:hAnsi="sans-serif" w:cs="sans-serif"/>
          <w:color w:val="000000"/>
          <w:sz w:val="16"/>
          <w:szCs w:val="16"/>
        </w:rPr>
        <w:t>relationships represent the fair value of the existing relationships using the With and Without Method.</w:t>
      </w:r>
    </w:p>
    <w:p w14:paraId="0D8DEC98" w14:textId="77777777" w:rsidR="004C2197" w:rsidRDefault="00863B83">
      <w:pPr>
        <w:ind w:hanging="360"/>
        <w:jc w:val="both"/>
      </w:pPr>
      <w:r>
        <w:rPr>
          <w:rFonts w:ascii="sans-serif" w:eastAsia="sans-serif" w:hAnsi="sans-serif" w:cs="sans-serif"/>
          <w:color w:val="000000"/>
          <w:sz w:val="16"/>
          <w:szCs w:val="16"/>
        </w:rPr>
        <w:t>(3) Order backlog represents primarily the fair value of purchase arrangements with customers using the Multi-Period Excess Earning Method.</w:t>
      </w:r>
    </w:p>
    <w:p w14:paraId="0D8DEC99" w14:textId="77777777" w:rsidR="004C2197" w:rsidRDefault="00863B83">
      <w:pPr>
        <w:ind w:hanging="360"/>
        <w:jc w:val="both"/>
      </w:pPr>
      <w:r>
        <w:rPr>
          <w:rFonts w:ascii="sans-serif" w:eastAsia="sans-serif" w:hAnsi="sans-serif" w:cs="sans-serif"/>
          <w:color w:val="000000"/>
          <w:sz w:val="16"/>
          <w:szCs w:val="16"/>
        </w:rPr>
        <w:t>(4) Trade na</w:t>
      </w:r>
      <w:r>
        <w:rPr>
          <w:rFonts w:ascii="sans-serif" w:eastAsia="sans-serif" w:hAnsi="sans-serif" w:cs="sans-serif"/>
          <w:color w:val="000000"/>
          <w:sz w:val="16"/>
          <w:szCs w:val="16"/>
        </w:rPr>
        <w:t>mes primarily relate to Mellanox trade names and fair value was determined by applying the Relief-from-Royalty Method under the income approach.</w:t>
      </w:r>
    </w:p>
    <w:p w14:paraId="0D8DEC9A" w14:textId="77777777" w:rsidR="004C2197" w:rsidRDefault="00863B83">
      <w:pPr>
        <w:ind w:hanging="360"/>
        <w:jc w:val="both"/>
      </w:pPr>
      <w:r>
        <w:rPr>
          <w:rFonts w:ascii="sans-serif" w:eastAsia="sans-serif" w:hAnsi="sans-serif" w:cs="sans-serif"/>
          <w:color w:val="000000"/>
          <w:sz w:val="16"/>
          <w:szCs w:val="16"/>
        </w:rPr>
        <w:t>(5) The fair value of IPR&amp;D was determined using the Multi-Period Excess Earning Method.</w:t>
      </w:r>
    </w:p>
    <w:p w14:paraId="0D8DEC9B" w14:textId="77777777" w:rsidR="004C2197" w:rsidRDefault="004C2197">
      <w:pPr>
        <w:ind w:hanging="360"/>
        <w:jc w:val="both"/>
      </w:pPr>
    </w:p>
    <w:p w14:paraId="0D8DEC9C" w14:textId="77777777" w:rsidR="004C2197" w:rsidRDefault="00863B83">
      <w:pPr>
        <w:spacing w:after="180"/>
        <w:jc w:val="both"/>
      </w:pPr>
      <w:r>
        <w:rPr>
          <w:rFonts w:ascii="sans-serif" w:eastAsia="sans-serif" w:hAnsi="sans-serif" w:cs="sans-serif"/>
          <w:color w:val="000000"/>
          <w:sz w:val="20"/>
          <w:szCs w:val="20"/>
        </w:rPr>
        <w:t>The fair value of the</w:t>
      </w:r>
      <w:r>
        <w:rPr>
          <w:rFonts w:ascii="sans-serif" w:eastAsia="sans-serif" w:hAnsi="sans-serif" w:cs="sans-serif"/>
          <w:color w:val="000000"/>
          <w:sz w:val="20"/>
          <w:szCs w:val="20"/>
        </w:rPr>
        <w:t xml:space="preserve"> finite-lived intangible assets will be amortized over the estimated useful lives based on the pattern in which the economic benefits are expected to be received to cost of revenue and operating expenses. </w:t>
      </w:r>
    </w:p>
    <w:p w14:paraId="0D8DEC9D" w14:textId="77777777" w:rsidR="004C2197" w:rsidRDefault="00863B83">
      <w:pPr>
        <w:spacing w:after="180"/>
        <w:jc w:val="both"/>
      </w:pPr>
      <w:r>
        <w:rPr>
          <w:rFonts w:ascii="sans-serif" w:eastAsia="sans-serif" w:hAnsi="sans-serif" w:cs="sans-serif"/>
          <w:color w:val="000000"/>
          <w:sz w:val="20"/>
          <w:szCs w:val="20"/>
        </w:rPr>
        <w:t xml:space="preserve">Mellanox had an IPR&amp;D project associated with the </w:t>
      </w:r>
      <w:r>
        <w:rPr>
          <w:rFonts w:ascii="sans-serif" w:eastAsia="sans-serif" w:hAnsi="sans-serif" w:cs="sans-serif"/>
          <w:color w:val="000000"/>
          <w:sz w:val="20"/>
          <w:szCs w:val="20"/>
        </w:rPr>
        <w:t>next generation interconnect product that had not yet reached technological feasibility as of the acquisition date. Accordingly, we recorded an indefinite-lived intangible asset of $630 million for the fair value of this project, which will initially not b</w:t>
      </w:r>
      <w:r>
        <w:rPr>
          <w:rFonts w:ascii="sans-serif" w:eastAsia="sans-serif" w:hAnsi="sans-serif" w:cs="sans-serif"/>
          <w:color w:val="000000"/>
          <w:sz w:val="20"/>
          <w:szCs w:val="20"/>
        </w:rPr>
        <w:t>e amortized. Instead, the project will be tested for impairment whenever events or changes in circumstances indicate that the project may be impaired or may have reached technological feasibility. Once the project reaches technological feasibility, we will</w:t>
      </w:r>
      <w:r>
        <w:rPr>
          <w:rFonts w:ascii="sans-serif" w:eastAsia="sans-serif" w:hAnsi="sans-serif" w:cs="sans-serif"/>
          <w:color w:val="000000"/>
          <w:sz w:val="20"/>
          <w:szCs w:val="20"/>
        </w:rPr>
        <w:t xml:space="preserve"> begin to amortize the intangible asset over its estimated useful life.</w:t>
      </w:r>
    </w:p>
    <w:p w14:paraId="0D8DEC9E" w14:textId="77777777" w:rsidR="004C2197" w:rsidRDefault="00863B83">
      <w:pPr>
        <w:spacing w:before="240" w:after="60"/>
        <w:jc w:val="both"/>
      </w:pPr>
      <w:r>
        <w:rPr>
          <w:rFonts w:ascii="sans-serif" w:eastAsia="sans-serif" w:hAnsi="sans-serif" w:cs="sans-serif"/>
          <w:b/>
          <w:bCs/>
          <w:color w:val="76B900"/>
          <w:sz w:val="20"/>
          <w:szCs w:val="20"/>
        </w:rPr>
        <w:t>Supplemental Unaudited Pro Forma Information</w:t>
      </w:r>
    </w:p>
    <w:p w14:paraId="0D8DEC9F" w14:textId="77777777" w:rsidR="004C2197" w:rsidRDefault="00863B83">
      <w:pPr>
        <w:spacing w:after="180"/>
        <w:jc w:val="both"/>
      </w:pPr>
      <w:r>
        <w:rPr>
          <w:rFonts w:ascii="sans-serif" w:eastAsia="sans-serif" w:hAnsi="sans-serif" w:cs="sans-serif"/>
          <w:color w:val="000000"/>
          <w:sz w:val="20"/>
          <w:szCs w:val="20"/>
        </w:rPr>
        <w:t xml:space="preserve">The following unaudited pro forma financial information summarizes the combined results of operations for NVIDIA and Mellanox as if the companies were combined as of the beginning of fiscal year 2020: </w:t>
      </w:r>
    </w:p>
    <w:tbl>
      <w:tblPr>
        <w:tblW w:w="5000" w:type="pct"/>
        <w:tblCellMar>
          <w:top w:w="15" w:type="dxa"/>
          <w:left w:w="15" w:type="dxa"/>
          <w:bottom w:w="15" w:type="dxa"/>
          <w:right w:w="15" w:type="dxa"/>
        </w:tblCellMar>
        <w:tblLook w:val="04A0" w:firstRow="1" w:lastRow="0" w:firstColumn="1" w:lastColumn="0" w:noHBand="0" w:noVBand="1"/>
      </w:tblPr>
      <w:tblGrid>
        <w:gridCol w:w="37"/>
        <w:gridCol w:w="2268"/>
        <w:gridCol w:w="36"/>
        <w:gridCol w:w="137"/>
        <w:gridCol w:w="1122"/>
        <w:gridCol w:w="41"/>
        <w:gridCol w:w="36"/>
        <w:gridCol w:w="36"/>
        <w:gridCol w:w="36"/>
        <w:gridCol w:w="137"/>
        <w:gridCol w:w="1063"/>
        <w:gridCol w:w="41"/>
        <w:gridCol w:w="36"/>
        <w:gridCol w:w="36"/>
        <w:gridCol w:w="36"/>
        <w:gridCol w:w="137"/>
        <w:gridCol w:w="1063"/>
        <w:gridCol w:w="41"/>
        <w:gridCol w:w="36"/>
        <w:gridCol w:w="36"/>
        <w:gridCol w:w="36"/>
        <w:gridCol w:w="137"/>
        <w:gridCol w:w="1063"/>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DECB8" w14:textId="77777777">
        <w:trPr>
          <w:gridAfter w:val="18"/>
        </w:trPr>
        <w:tc>
          <w:tcPr>
            <w:tcW w:w="50" w:type="pct"/>
            <w:shd w:val="clear" w:color="auto" w:fill="auto"/>
          </w:tcPr>
          <w:p w14:paraId="0D8DECA0" w14:textId="77777777" w:rsidR="004C2197" w:rsidRDefault="004C2197">
            <w:pPr>
              <w:rPr>
                <w:rFonts w:ascii="宋体"/>
              </w:rPr>
            </w:pPr>
          </w:p>
        </w:tc>
        <w:tc>
          <w:tcPr>
            <w:tcW w:w="1531" w:type="pct"/>
            <w:shd w:val="clear" w:color="auto" w:fill="auto"/>
          </w:tcPr>
          <w:p w14:paraId="0D8DECA1" w14:textId="77777777" w:rsidR="004C2197" w:rsidRDefault="004C2197">
            <w:pPr>
              <w:rPr>
                <w:rFonts w:ascii="宋体"/>
              </w:rPr>
            </w:pPr>
          </w:p>
        </w:tc>
        <w:tc>
          <w:tcPr>
            <w:tcW w:w="5" w:type="pct"/>
            <w:shd w:val="clear" w:color="auto" w:fill="auto"/>
          </w:tcPr>
          <w:p w14:paraId="0D8DECA2" w14:textId="77777777" w:rsidR="004C2197" w:rsidRDefault="004C2197">
            <w:pPr>
              <w:rPr>
                <w:rFonts w:ascii="宋体"/>
              </w:rPr>
            </w:pPr>
          </w:p>
        </w:tc>
        <w:tc>
          <w:tcPr>
            <w:tcW w:w="50" w:type="pct"/>
            <w:shd w:val="clear" w:color="auto" w:fill="auto"/>
          </w:tcPr>
          <w:p w14:paraId="0D8DECA3" w14:textId="77777777" w:rsidR="004C2197" w:rsidRDefault="004C2197">
            <w:pPr>
              <w:rPr>
                <w:rFonts w:ascii="宋体"/>
              </w:rPr>
            </w:pPr>
          </w:p>
        </w:tc>
        <w:tc>
          <w:tcPr>
            <w:tcW w:w="771" w:type="pct"/>
            <w:shd w:val="clear" w:color="auto" w:fill="auto"/>
          </w:tcPr>
          <w:p w14:paraId="0D8DECA4" w14:textId="77777777" w:rsidR="004C2197" w:rsidRDefault="004C2197">
            <w:pPr>
              <w:rPr>
                <w:rFonts w:ascii="宋体"/>
              </w:rPr>
            </w:pPr>
          </w:p>
        </w:tc>
        <w:tc>
          <w:tcPr>
            <w:tcW w:w="5" w:type="pct"/>
            <w:shd w:val="clear" w:color="auto" w:fill="auto"/>
          </w:tcPr>
          <w:p w14:paraId="0D8DECA5" w14:textId="77777777" w:rsidR="004C2197" w:rsidRDefault="004C2197">
            <w:pPr>
              <w:rPr>
                <w:rFonts w:ascii="宋体"/>
              </w:rPr>
            </w:pPr>
          </w:p>
        </w:tc>
        <w:tc>
          <w:tcPr>
            <w:tcW w:w="5" w:type="pct"/>
            <w:shd w:val="clear" w:color="auto" w:fill="auto"/>
          </w:tcPr>
          <w:p w14:paraId="0D8DECA6" w14:textId="77777777" w:rsidR="004C2197" w:rsidRDefault="004C2197">
            <w:pPr>
              <w:rPr>
                <w:rFonts w:ascii="宋体"/>
              </w:rPr>
            </w:pPr>
          </w:p>
        </w:tc>
        <w:tc>
          <w:tcPr>
            <w:tcW w:w="26" w:type="pct"/>
            <w:shd w:val="clear" w:color="auto" w:fill="auto"/>
          </w:tcPr>
          <w:p w14:paraId="0D8DECA7" w14:textId="77777777" w:rsidR="004C2197" w:rsidRDefault="004C2197">
            <w:pPr>
              <w:rPr>
                <w:rFonts w:ascii="宋体"/>
              </w:rPr>
            </w:pPr>
          </w:p>
        </w:tc>
        <w:tc>
          <w:tcPr>
            <w:tcW w:w="5" w:type="pct"/>
            <w:shd w:val="clear" w:color="auto" w:fill="auto"/>
          </w:tcPr>
          <w:p w14:paraId="0D8DECA8" w14:textId="77777777" w:rsidR="004C2197" w:rsidRDefault="004C2197">
            <w:pPr>
              <w:rPr>
                <w:rFonts w:ascii="宋体"/>
              </w:rPr>
            </w:pPr>
          </w:p>
        </w:tc>
        <w:tc>
          <w:tcPr>
            <w:tcW w:w="50" w:type="pct"/>
            <w:shd w:val="clear" w:color="auto" w:fill="auto"/>
          </w:tcPr>
          <w:p w14:paraId="0D8DECA9" w14:textId="77777777" w:rsidR="004C2197" w:rsidRDefault="004C2197">
            <w:pPr>
              <w:rPr>
                <w:rFonts w:ascii="宋体"/>
              </w:rPr>
            </w:pPr>
          </w:p>
        </w:tc>
        <w:tc>
          <w:tcPr>
            <w:tcW w:w="771" w:type="pct"/>
            <w:shd w:val="clear" w:color="auto" w:fill="auto"/>
          </w:tcPr>
          <w:p w14:paraId="0D8DECAA" w14:textId="77777777" w:rsidR="004C2197" w:rsidRDefault="004C2197">
            <w:pPr>
              <w:rPr>
                <w:rFonts w:ascii="宋体"/>
              </w:rPr>
            </w:pPr>
          </w:p>
        </w:tc>
        <w:tc>
          <w:tcPr>
            <w:tcW w:w="5" w:type="pct"/>
            <w:shd w:val="clear" w:color="auto" w:fill="auto"/>
          </w:tcPr>
          <w:p w14:paraId="0D8DECAB" w14:textId="77777777" w:rsidR="004C2197" w:rsidRDefault="004C2197">
            <w:pPr>
              <w:rPr>
                <w:rFonts w:ascii="宋体"/>
              </w:rPr>
            </w:pPr>
          </w:p>
        </w:tc>
        <w:tc>
          <w:tcPr>
            <w:tcW w:w="5" w:type="pct"/>
            <w:shd w:val="clear" w:color="auto" w:fill="auto"/>
          </w:tcPr>
          <w:p w14:paraId="0D8DECAC" w14:textId="77777777" w:rsidR="004C2197" w:rsidRDefault="004C2197">
            <w:pPr>
              <w:rPr>
                <w:rFonts w:ascii="宋体"/>
              </w:rPr>
            </w:pPr>
          </w:p>
        </w:tc>
        <w:tc>
          <w:tcPr>
            <w:tcW w:w="26" w:type="pct"/>
            <w:shd w:val="clear" w:color="auto" w:fill="auto"/>
          </w:tcPr>
          <w:p w14:paraId="0D8DECAD" w14:textId="77777777" w:rsidR="004C2197" w:rsidRDefault="004C2197">
            <w:pPr>
              <w:rPr>
                <w:rFonts w:ascii="宋体"/>
              </w:rPr>
            </w:pPr>
          </w:p>
        </w:tc>
        <w:tc>
          <w:tcPr>
            <w:tcW w:w="5" w:type="pct"/>
            <w:shd w:val="clear" w:color="auto" w:fill="auto"/>
          </w:tcPr>
          <w:p w14:paraId="0D8DECAE" w14:textId="77777777" w:rsidR="004C2197" w:rsidRDefault="004C2197">
            <w:pPr>
              <w:rPr>
                <w:rFonts w:ascii="宋体"/>
              </w:rPr>
            </w:pPr>
          </w:p>
        </w:tc>
        <w:tc>
          <w:tcPr>
            <w:tcW w:w="50" w:type="pct"/>
            <w:shd w:val="clear" w:color="auto" w:fill="auto"/>
          </w:tcPr>
          <w:p w14:paraId="0D8DECAF" w14:textId="77777777" w:rsidR="004C2197" w:rsidRDefault="004C2197">
            <w:pPr>
              <w:rPr>
                <w:rFonts w:ascii="宋体"/>
              </w:rPr>
            </w:pPr>
          </w:p>
        </w:tc>
        <w:tc>
          <w:tcPr>
            <w:tcW w:w="771" w:type="pct"/>
            <w:shd w:val="clear" w:color="auto" w:fill="auto"/>
          </w:tcPr>
          <w:p w14:paraId="0D8DECB0" w14:textId="77777777" w:rsidR="004C2197" w:rsidRDefault="004C2197">
            <w:pPr>
              <w:rPr>
                <w:rFonts w:ascii="宋体"/>
              </w:rPr>
            </w:pPr>
          </w:p>
        </w:tc>
        <w:tc>
          <w:tcPr>
            <w:tcW w:w="5" w:type="pct"/>
            <w:shd w:val="clear" w:color="auto" w:fill="auto"/>
          </w:tcPr>
          <w:p w14:paraId="0D8DECB1" w14:textId="77777777" w:rsidR="004C2197" w:rsidRDefault="004C2197">
            <w:pPr>
              <w:rPr>
                <w:rFonts w:ascii="宋体"/>
              </w:rPr>
            </w:pPr>
          </w:p>
        </w:tc>
        <w:tc>
          <w:tcPr>
            <w:tcW w:w="5" w:type="pct"/>
            <w:shd w:val="clear" w:color="auto" w:fill="auto"/>
          </w:tcPr>
          <w:p w14:paraId="0D8DECB2" w14:textId="77777777" w:rsidR="004C2197" w:rsidRDefault="004C2197">
            <w:pPr>
              <w:rPr>
                <w:rFonts w:ascii="宋体"/>
              </w:rPr>
            </w:pPr>
          </w:p>
        </w:tc>
        <w:tc>
          <w:tcPr>
            <w:tcW w:w="26" w:type="pct"/>
            <w:shd w:val="clear" w:color="auto" w:fill="auto"/>
          </w:tcPr>
          <w:p w14:paraId="0D8DECB3" w14:textId="77777777" w:rsidR="004C2197" w:rsidRDefault="004C2197">
            <w:pPr>
              <w:rPr>
                <w:rFonts w:ascii="宋体"/>
              </w:rPr>
            </w:pPr>
          </w:p>
        </w:tc>
        <w:tc>
          <w:tcPr>
            <w:tcW w:w="5" w:type="pct"/>
            <w:shd w:val="clear" w:color="auto" w:fill="auto"/>
          </w:tcPr>
          <w:p w14:paraId="0D8DECB4" w14:textId="77777777" w:rsidR="004C2197" w:rsidRDefault="004C2197">
            <w:pPr>
              <w:rPr>
                <w:rFonts w:ascii="宋体"/>
              </w:rPr>
            </w:pPr>
          </w:p>
        </w:tc>
        <w:tc>
          <w:tcPr>
            <w:tcW w:w="50" w:type="pct"/>
            <w:shd w:val="clear" w:color="auto" w:fill="auto"/>
          </w:tcPr>
          <w:p w14:paraId="0D8DECB5" w14:textId="77777777" w:rsidR="004C2197" w:rsidRDefault="004C2197">
            <w:pPr>
              <w:rPr>
                <w:rFonts w:ascii="宋体"/>
              </w:rPr>
            </w:pPr>
          </w:p>
        </w:tc>
        <w:tc>
          <w:tcPr>
            <w:tcW w:w="771" w:type="pct"/>
            <w:shd w:val="clear" w:color="auto" w:fill="auto"/>
          </w:tcPr>
          <w:p w14:paraId="0D8DECB6" w14:textId="77777777" w:rsidR="004C2197" w:rsidRDefault="004C2197">
            <w:pPr>
              <w:rPr>
                <w:rFonts w:ascii="宋体"/>
              </w:rPr>
            </w:pPr>
          </w:p>
        </w:tc>
        <w:tc>
          <w:tcPr>
            <w:tcW w:w="5" w:type="pct"/>
            <w:shd w:val="clear" w:color="auto" w:fill="auto"/>
          </w:tcPr>
          <w:p w14:paraId="0D8DECB7" w14:textId="77777777" w:rsidR="004C2197" w:rsidRDefault="004C2197">
            <w:pPr>
              <w:rPr>
                <w:rFonts w:ascii="宋体"/>
              </w:rPr>
            </w:pPr>
          </w:p>
        </w:tc>
      </w:tr>
      <w:tr w:rsidR="004C2197" w14:paraId="0D8DECC1" w14:textId="77777777">
        <w:tc>
          <w:tcPr>
            <w:tcW w:w="0" w:type="auto"/>
            <w:gridSpan w:val="3"/>
            <w:shd w:val="clear" w:color="auto" w:fill="auto"/>
            <w:tcMar>
              <w:left w:w="20" w:type="dxa"/>
              <w:right w:w="20" w:type="dxa"/>
            </w:tcMar>
            <w:vAlign w:val="bottom"/>
          </w:tcPr>
          <w:p w14:paraId="0D8DECB9" w14:textId="77777777" w:rsidR="004C2197" w:rsidRDefault="004C219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0D8DECBA" w14:textId="77777777" w:rsidR="004C2197" w:rsidRDefault="00863B83">
            <w:pPr>
              <w:jc w:val="center"/>
              <w:textAlignment w:val="bottom"/>
            </w:pPr>
            <w:r>
              <w:rPr>
                <w:rFonts w:ascii="sans-serif" w:eastAsia="sans-serif" w:hAnsi="sans-serif" w:cs="sans-serif"/>
                <w:b/>
                <w:bCs/>
                <w:color w:val="000000"/>
                <w:sz w:val="20"/>
                <w:szCs w:val="20"/>
              </w:rPr>
              <w:t>Pro Forma</w:t>
            </w:r>
          </w:p>
        </w:tc>
        <w:tc>
          <w:tcPr>
            <w:tcW w:w="0" w:type="auto"/>
            <w:gridSpan w:val="3"/>
            <w:shd w:val="clear" w:color="auto" w:fill="auto"/>
          </w:tcPr>
          <w:p w14:paraId="0D8DECBB" w14:textId="77777777" w:rsidR="004C2197" w:rsidRDefault="004C2197">
            <w:pPr>
              <w:rPr>
                <w:rFonts w:ascii="宋体"/>
                <w:vanish/>
              </w:rPr>
            </w:pPr>
          </w:p>
        </w:tc>
        <w:tc>
          <w:tcPr>
            <w:tcW w:w="0" w:type="auto"/>
            <w:gridSpan w:val="3"/>
            <w:shd w:val="clear" w:color="auto" w:fill="auto"/>
          </w:tcPr>
          <w:p w14:paraId="0D8DECBC" w14:textId="77777777" w:rsidR="004C2197" w:rsidRDefault="004C2197">
            <w:pPr>
              <w:rPr>
                <w:rFonts w:ascii="宋体"/>
                <w:vanish/>
              </w:rPr>
            </w:pPr>
          </w:p>
        </w:tc>
        <w:tc>
          <w:tcPr>
            <w:tcW w:w="0" w:type="auto"/>
            <w:gridSpan w:val="3"/>
            <w:shd w:val="clear" w:color="auto" w:fill="auto"/>
          </w:tcPr>
          <w:p w14:paraId="0D8DECBD" w14:textId="77777777" w:rsidR="004C2197" w:rsidRDefault="004C2197">
            <w:pPr>
              <w:rPr>
                <w:rFonts w:ascii="宋体"/>
                <w:vanish/>
              </w:rPr>
            </w:pPr>
          </w:p>
        </w:tc>
        <w:tc>
          <w:tcPr>
            <w:tcW w:w="0" w:type="auto"/>
            <w:gridSpan w:val="3"/>
            <w:shd w:val="clear" w:color="auto" w:fill="auto"/>
          </w:tcPr>
          <w:p w14:paraId="0D8DECBE" w14:textId="77777777" w:rsidR="004C2197" w:rsidRDefault="004C2197">
            <w:pPr>
              <w:rPr>
                <w:rFonts w:ascii="宋体"/>
                <w:vanish/>
              </w:rPr>
            </w:pPr>
          </w:p>
        </w:tc>
        <w:tc>
          <w:tcPr>
            <w:tcW w:w="0" w:type="auto"/>
            <w:gridSpan w:val="3"/>
            <w:shd w:val="clear" w:color="auto" w:fill="auto"/>
          </w:tcPr>
          <w:p w14:paraId="0D8DECBF" w14:textId="77777777" w:rsidR="004C2197" w:rsidRDefault="004C2197">
            <w:pPr>
              <w:rPr>
                <w:rFonts w:ascii="宋体"/>
                <w:vanish/>
              </w:rPr>
            </w:pPr>
          </w:p>
        </w:tc>
        <w:tc>
          <w:tcPr>
            <w:tcW w:w="0" w:type="auto"/>
            <w:gridSpan w:val="3"/>
            <w:shd w:val="clear" w:color="auto" w:fill="auto"/>
          </w:tcPr>
          <w:p w14:paraId="0D8DECC0" w14:textId="77777777" w:rsidR="004C2197" w:rsidRDefault="004C2197">
            <w:pPr>
              <w:rPr>
                <w:rFonts w:ascii="宋体"/>
                <w:vanish/>
              </w:rPr>
            </w:pPr>
          </w:p>
        </w:tc>
      </w:tr>
      <w:tr w:rsidR="004C2197" w14:paraId="0D8DECD0" w14:textId="77777777">
        <w:tc>
          <w:tcPr>
            <w:tcW w:w="0" w:type="auto"/>
            <w:gridSpan w:val="3"/>
            <w:shd w:val="clear" w:color="auto" w:fill="auto"/>
            <w:tcMar>
              <w:top w:w="40" w:type="dxa"/>
              <w:left w:w="20" w:type="dxa"/>
              <w:bottom w:w="40" w:type="dxa"/>
              <w:right w:w="20" w:type="dxa"/>
            </w:tcMar>
            <w:vAlign w:val="bottom"/>
          </w:tcPr>
          <w:p w14:paraId="0D8DECC2"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8DECC3"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DECC4" w14:textId="77777777" w:rsidR="004C2197" w:rsidRDefault="004C2197">
            <w:pPr>
              <w:rPr>
                <w:rFonts w:ascii="宋体"/>
                <w:vanish/>
              </w:rPr>
            </w:pPr>
          </w:p>
        </w:tc>
        <w:tc>
          <w:tcPr>
            <w:tcW w:w="0" w:type="auto"/>
            <w:gridSpan w:val="3"/>
            <w:shd w:val="clear" w:color="auto" w:fill="auto"/>
          </w:tcPr>
          <w:p w14:paraId="0D8DECC5" w14:textId="77777777" w:rsidR="004C2197" w:rsidRDefault="004C2197">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0D8DECC6" w14:textId="77777777" w:rsidR="004C2197" w:rsidRDefault="004C21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8DECC7"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ECC8" w14:textId="77777777" w:rsidR="004C2197" w:rsidRDefault="004C2197">
            <w:pPr>
              <w:rPr>
                <w:rFonts w:ascii="宋体"/>
                <w:vanish/>
              </w:rPr>
            </w:pPr>
          </w:p>
        </w:tc>
        <w:tc>
          <w:tcPr>
            <w:tcW w:w="0" w:type="auto"/>
            <w:gridSpan w:val="3"/>
            <w:shd w:val="clear" w:color="auto" w:fill="auto"/>
          </w:tcPr>
          <w:p w14:paraId="0D8DECC9" w14:textId="77777777" w:rsidR="004C2197" w:rsidRDefault="004C2197">
            <w:pPr>
              <w:rPr>
                <w:rFonts w:ascii="宋体"/>
                <w:vanish/>
              </w:rPr>
            </w:pPr>
          </w:p>
        </w:tc>
        <w:tc>
          <w:tcPr>
            <w:tcW w:w="0" w:type="auto"/>
            <w:shd w:val="clear" w:color="auto" w:fill="auto"/>
          </w:tcPr>
          <w:p w14:paraId="0D8DECCA" w14:textId="77777777" w:rsidR="004C2197" w:rsidRDefault="004C2197">
            <w:pPr>
              <w:rPr>
                <w:rFonts w:ascii="宋体"/>
              </w:rPr>
            </w:pPr>
          </w:p>
        </w:tc>
        <w:tc>
          <w:tcPr>
            <w:tcW w:w="0" w:type="auto"/>
            <w:shd w:val="clear" w:color="auto" w:fill="auto"/>
          </w:tcPr>
          <w:p w14:paraId="0D8DECCB" w14:textId="77777777" w:rsidR="004C2197" w:rsidRDefault="004C2197">
            <w:pPr>
              <w:rPr>
                <w:rFonts w:ascii="宋体"/>
              </w:rPr>
            </w:pPr>
          </w:p>
        </w:tc>
        <w:tc>
          <w:tcPr>
            <w:tcW w:w="0" w:type="auto"/>
            <w:shd w:val="clear" w:color="auto" w:fill="auto"/>
          </w:tcPr>
          <w:p w14:paraId="0D8DECCC" w14:textId="77777777" w:rsidR="004C2197" w:rsidRDefault="004C2197">
            <w:pPr>
              <w:rPr>
                <w:rFonts w:ascii="宋体"/>
              </w:rPr>
            </w:pPr>
          </w:p>
        </w:tc>
        <w:tc>
          <w:tcPr>
            <w:tcW w:w="0" w:type="auto"/>
            <w:shd w:val="clear" w:color="auto" w:fill="auto"/>
          </w:tcPr>
          <w:p w14:paraId="0D8DECCD" w14:textId="77777777" w:rsidR="004C2197" w:rsidRDefault="004C2197">
            <w:pPr>
              <w:rPr>
                <w:rFonts w:ascii="宋体"/>
              </w:rPr>
            </w:pPr>
          </w:p>
        </w:tc>
        <w:tc>
          <w:tcPr>
            <w:tcW w:w="0" w:type="auto"/>
            <w:shd w:val="clear" w:color="auto" w:fill="auto"/>
          </w:tcPr>
          <w:p w14:paraId="0D8DECCE" w14:textId="77777777" w:rsidR="004C2197" w:rsidRDefault="004C2197">
            <w:pPr>
              <w:rPr>
                <w:rFonts w:ascii="宋体"/>
              </w:rPr>
            </w:pPr>
          </w:p>
        </w:tc>
        <w:tc>
          <w:tcPr>
            <w:tcW w:w="0" w:type="auto"/>
            <w:shd w:val="clear" w:color="auto" w:fill="auto"/>
          </w:tcPr>
          <w:p w14:paraId="0D8DECCF" w14:textId="77777777" w:rsidR="004C2197" w:rsidRDefault="004C2197">
            <w:pPr>
              <w:rPr>
                <w:rFonts w:ascii="宋体"/>
              </w:rPr>
            </w:pPr>
          </w:p>
        </w:tc>
      </w:tr>
      <w:tr w:rsidR="004C2197" w14:paraId="0D8DECEB" w14:textId="77777777">
        <w:tc>
          <w:tcPr>
            <w:tcW w:w="0" w:type="auto"/>
            <w:gridSpan w:val="3"/>
            <w:shd w:val="clear" w:color="auto" w:fill="auto"/>
            <w:tcMar>
              <w:top w:w="40" w:type="dxa"/>
              <w:left w:w="20" w:type="dxa"/>
              <w:bottom w:w="40" w:type="dxa"/>
              <w:right w:w="20" w:type="dxa"/>
            </w:tcMar>
            <w:vAlign w:val="bottom"/>
          </w:tcPr>
          <w:p w14:paraId="0D8DECD1"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CD2"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DECD3"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CD4"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shd w:val="clear" w:color="auto" w:fill="auto"/>
            <w:tcMar>
              <w:left w:w="20" w:type="dxa"/>
              <w:right w:w="20" w:type="dxa"/>
            </w:tcMar>
            <w:vAlign w:val="bottom"/>
          </w:tcPr>
          <w:p w14:paraId="0D8DECD5"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CD6"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DECD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CD8"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shd w:val="clear" w:color="auto" w:fill="auto"/>
          </w:tcPr>
          <w:p w14:paraId="0D8DECD9" w14:textId="77777777" w:rsidR="004C2197" w:rsidRDefault="004C2197">
            <w:pPr>
              <w:rPr>
                <w:rFonts w:ascii="宋体"/>
              </w:rPr>
            </w:pPr>
          </w:p>
        </w:tc>
        <w:tc>
          <w:tcPr>
            <w:tcW w:w="0" w:type="auto"/>
            <w:shd w:val="clear" w:color="auto" w:fill="auto"/>
          </w:tcPr>
          <w:p w14:paraId="0D8DECDA" w14:textId="77777777" w:rsidR="004C2197" w:rsidRDefault="004C2197">
            <w:pPr>
              <w:rPr>
                <w:rFonts w:ascii="宋体"/>
              </w:rPr>
            </w:pPr>
          </w:p>
        </w:tc>
        <w:tc>
          <w:tcPr>
            <w:tcW w:w="0" w:type="auto"/>
            <w:shd w:val="clear" w:color="auto" w:fill="auto"/>
          </w:tcPr>
          <w:p w14:paraId="0D8DECDB" w14:textId="77777777" w:rsidR="004C2197" w:rsidRDefault="004C2197">
            <w:pPr>
              <w:rPr>
                <w:rFonts w:ascii="宋体"/>
              </w:rPr>
            </w:pPr>
          </w:p>
        </w:tc>
        <w:tc>
          <w:tcPr>
            <w:tcW w:w="0" w:type="auto"/>
            <w:shd w:val="clear" w:color="auto" w:fill="auto"/>
          </w:tcPr>
          <w:p w14:paraId="0D8DECDC" w14:textId="77777777" w:rsidR="004C2197" w:rsidRDefault="004C2197">
            <w:pPr>
              <w:rPr>
                <w:rFonts w:ascii="宋体"/>
              </w:rPr>
            </w:pPr>
          </w:p>
        </w:tc>
        <w:tc>
          <w:tcPr>
            <w:tcW w:w="0" w:type="auto"/>
            <w:shd w:val="clear" w:color="auto" w:fill="auto"/>
          </w:tcPr>
          <w:p w14:paraId="0D8DECDD" w14:textId="77777777" w:rsidR="004C2197" w:rsidRDefault="004C2197">
            <w:pPr>
              <w:rPr>
                <w:rFonts w:ascii="宋体"/>
              </w:rPr>
            </w:pPr>
          </w:p>
        </w:tc>
        <w:tc>
          <w:tcPr>
            <w:tcW w:w="0" w:type="auto"/>
            <w:shd w:val="clear" w:color="auto" w:fill="auto"/>
          </w:tcPr>
          <w:p w14:paraId="0D8DECDE" w14:textId="77777777" w:rsidR="004C2197" w:rsidRDefault="004C2197">
            <w:pPr>
              <w:rPr>
                <w:rFonts w:ascii="宋体"/>
              </w:rPr>
            </w:pPr>
          </w:p>
        </w:tc>
        <w:tc>
          <w:tcPr>
            <w:tcW w:w="0" w:type="auto"/>
            <w:shd w:val="clear" w:color="auto" w:fill="auto"/>
          </w:tcPr>
          <w:p w14:paraId="0D8DECDF" w14:textId="77777777" w:rsidR="004C2197" w:rsidRDefault="004C2197">
            <w:pPr>
              <w:rPr>
                <w:rFonts w:ascii="宋体"/>
              </w:rPr>
            </w:pPr>
          </w:p>
        </w:tc>
        <w:tc>
          <w:tcPr>
            <w:tcW w:w="0" w:type="auto"/>
            <w:shd w:val="clear" w:color="auto" w:fill="auto"/>
          </w:tcPr>
          <w:p w14:paraId="0D8DECE0" w14:textId="77777777" w:rsidR="004C2197" w:rsidRDefault="004C2197">
            <w:pPr>
              <w:rPr>
                <w:rFonts w:ascii="宋体"/>
              </w:rPr>
            </w:pPr>
          </w:p>
        </w:tc>
        <w:tc>
          <w:tcPr>
            <w:tcW w:w="0" w:type="auto"/>
            <w:shd w:val="clear" w:color="auto" w:fill="auto"/>
          </w:tcPr>
          <w:p w14:paraId="0D8DECE1" w14:textId="77777777" w:rsidR="004C2197" w:rsidRDefault="004C2197">
            <w:pPr>
              <w:rPr>
                <w:rFonts w:ascii="宋体"/>
              </w:rPr>
            </w:pPr>
          </w:p>
        </w:tc>
        <w:tc>
          <w:tcPr>
            <w:tcW w:w="0" w:type="auto"/>
            <w:shd w:val="clear" w:color="auto" w:fill="auto"/>
          </w:tcPr>
          <w:p w14:paraId="0D8DECE2" w14:textId="77777777" w:rsidR="004C2197" w:rsidRDefault="004C2197">
            <w:pPr>
              <w:rPr>
                <w:rFonts w:ascii="宋体"/>
              </w:rPr>
            </w:pPr>
          </w:p>
        </w:tc>
        <w:tc>
          <w:tcPr>
            <w:tcW w:w="0" w:type="auto"/>
            <w:shd w:val="clear" w:color="auto" w:fill="auto"/>
          </w:tcPr>
          <w:p w14:paraId="0D8DECE3" w14:textId="77777777" w:rsidR="004C2197" w:rsidRDefault="004C2197">
            <w:pPr>
              <w:rPr>
                <w:rFonts w:ascii="宋体"/>
              </w:rPr>
            </w:pPr>
          </w:p>
        </w:tc>
        <w:tc>
          <w:tcPr>
            <w:tcW w:w="0" w:type="auto"/>
            <w:shd w:val="clear" w:color="auto" w:fill="auto"/>
          </w:tcPr>
          <w:p w14:paraId="0D8DECE4" w14:textId="77777777" w:rsidR="004C2197" w:rsidRDefault="004C2197">
            <w:pPr>
              <w:rPr>
                <w:rFonts w:ascii="宋体"/>
              </w:rPr>
            </w:pPr>
          </w:p>
        </w:tc>
        <w:tc>
          <w:tcPr>
            <w:tcW w:w="0" w:type="auto"/>
            <w:shd w:val="clear" w:color="auto" w:fill="auto"/>
          </w:tcPr>
          <w:p w14:paraId="0D8DECE5" w14:textId="77777777" w:rsidR="004C2197" w:rsidRDefault="004C2197">
            <w:pPr>
              <w:rPr>
                <w:rFonts w:ascii="宋体"/>
              </w:rPr>
            </w:pPr>
          </w:p>
        </w:tc>
        <w:tc>
          <w:tcPr>
            <w:tcW w:w="0" w:type="auto"/>
            <w:shd w:val="clear" w:color="auto" w:fill="auto"/>
          </w:tcPr>
          <w:p w14:paraId="0D8DECE6" w14:textId="77777777" w:rsidR="004C2197" w:rsidRDefault="004C2197">
            <w:pPr>
              <w:rPr>
                <w:rFonts w:ascii="宋体"/>
              </w:rPr>
            </w:pPr>
          </w:p>
        </w:tc>
        <w:tc>
          <w:tcPr>
            <w:tcW w:w="0" w:type="auto"/>
            <w:shd w:val="clear" w:color="auto" w:fill="auto"/>
          </w:tcPr>
          <w:p w14:paraId="0D8DECE7" w14:textId="77777777" w:rsidR="004C2197" w:rsidRDefault="004C2197">
            <w:pPr>
              <w:rPr>
                <w:rFonts w:ascii="宋体"/>
              </w:rPr>
            </w:pPr>
          </w:p>
        </w:tc>
        <w:tc>
          <w:tcPr>
            <w:tcW w:w="0" w:type="auto"/>
            <w:shd w:val="clear" w:color="auto" w:fill="auto"/>
          </w:tcPr>
          <w:p w14:paraId="0D8DECE8" w14:textId="77777777" w:rsidR="004C2197" w:rsidRDefault="004C2197">
            <w:pPr>
              <w:rPr>
                <w:rFonts w:ascii="宋体"/>
              </w:rPr>
            </w:pPr>
          </w:p>
        </w:tc>
        <w:tc>
          <w:tcPr>
            <w:tcW w:w="0" w:type="auto"/>
            <w:shd w:val="clear" w:color="auto" w:fill="auto"/>
          </w:tcPr>
          <w:p w14:paraId="0D8DECE9" w14:textId="77777777" w:rsidR="004C2197" w:rsidRDefault="004C2197">
            <w:pPr>
              <w:rPr>
                <w:rFonts w:ascii="宋体"/>
              </w:rPr>
            </w:pPr>
          </w:p>
        </w:tc>
        <w:tc>
          <w:tcPr>
            <w:tcW w:w="0" w:type="auto"/>
            <w:shd w:val="clear" w:color="auto" w:fill="auto"/>
          </w:tcPr>
          <w:p w14:paraId="0D8DECEA" w14:textId="77777777" w:rsidR="004C2197" w:rsidRDefault="004C2197">
            <w:pPr>
              <w:rPr>
                <w:rFonts w:ascii="宋体"/>
              </w:rPr>
            </w:pPr>
          </w:p>
        </w:tc>
      </w:tr>
      <w:tr w:rsidR="004C2197" w14:paraId="0D8DED06" w14:textId="77777777">
        <w:trPr>
          <w:trHeight w:val="60"/>
        </w:trPr>
        <w:tc>
          <w:tcPr>
            <w:tcW w:w="0" w:type="auto"/>
            <w:gridSpan w:val="3"/>
            <w:shd w:val="clear" w:color="auto" w:fill="auto"/>
            <w:tcMar>
              <w:left w:w="20" w:type="dxa"/>
              <w:right w:w="20" w:type="dxa"/>
            </w:tcMar>
            <w:vAlign w:val="bottom"/>
          </w:tcPr>
          <w:p w14:paraId="0D8DECEC"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CED"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CEE"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CEF"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CF0"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CF1"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CF2"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CF3" w14:textId="77777777" w:rsidR="004C2197" w:rsidRDefault="004C2197">
            <w:pPr>
              <w:rPr>
                <w:rFonts w:ascii="宋体"/>
              </w:rPr>
            </w:pPr>
          </w:p>
        </w:tc>
        <w:tc>
          <w:tcPr>
            <w:tcW w:w="0" w:type="auto"/>
            <w:shd w:val="clear" w:color="auto" w:fill="auto"/>
          </w:tcPr>
          <w:p w14:paraId="0D8DECF4" w14:textId="77777777" w:rsidR="004C2197" w:rsidRDefault="004C2197">
            <w:pPr>
              <w:rPr>
                <w:rFonts w:ascii="宋体"/>
              </w:rPr>
            </w:pPr>
          </w:p>
        </w:tc>
        <w:tc>
          <w:tcPr>
            <w:tcW w:w="0" w:type="auto"/>
            <w:shd w:val="clear" w:color="auto" w:fill="auto"/>
          </w:tcPr>
          <w:p w14:paraId="0D8DECF5" w14:textId="77777777" w:rsidR="004C2197" w:rsidRDefault="004C2197">
            <w:pPr>
              <w:rPr>
                <w:rFonts w:ascii="宋体"/>
              </w:rPr>
            </w:pPr>
          </w:p>
        </w:tc>
        <w:tc>
          <w:tcPr>
            <w:tcW w:w="0" w:type="auto"/>
            <w:shd w:val="clear" w:color="auto" w:fill="auto"/>
          </w:tcPr>
          <w:p w14:paraId="0D8DECF6" w14:textId="77777777" w:rsidR="004C2197" w:rsidRDefault="004C2197">
            <w:pPr>
              <w:rPr>
                <w:rFonts w:ascii="宋体"/>
              </w:rPr>
            </w:pPr>
          </w:p>
        </w:tc>
        <w:tc>
          <w:tcPr>
            <w:tcW w:w="0" w:type="auto"/>
            <w:shd w:val="clear" w:color="auto" w:fill="auto"/>
          </w:tcPr>
          <w:p w14:paraId="0D8DECF7" w14:textId="77777777" w:rsidR="004C2197" w:rsidRDefault="004C2197">
            <w:pPr>
              <w:rPr>
                <w:rFonts w:ascii="宋体"/>
              </w:rPr>
            </w:pPr>
          </w:p>
        </w:tc>
        <w:tc>
          <w:tcPr>
            <w:tcW w:w="0" w:type="auto"/>
            <w:shd w:val="clear" w:color="auto" w:fill="auto"/>
          </w:tcPr>
          <w:p w14:paraId="0D8DECF8" w14:textId="77777777" w:rsidR="004C2197" w:rsidRDefault="004C2197">
            <w:pPr>
              <w:rPr>
                <w:rFonts w:ascii="宋体"/>
              </w:rPr>
            </w:pPr>
          </w:p>
        </w:tc>
        <w:tc>
          <w:tcPr>
            <w:tcW w:w="0" w:type="auto"/>
            <w:shd w:val="clear" w:color="auto" w:fill="auto"/>
          </w:tcPr>
          <w:p w14:paraId="0D8DECF9" w14:textId="77777777" w:rsidR="004C2197" w:rsidRDefault="004C2197">
            <w:pPr>
              <w:rPr>
                <w:rFonts w:ascii="宋体"/>
              </w:rPr>
            </w:pPr>
          </w:p>
        </w:tc>
        <w:tc>
          <w:tcPr>
            <w:tcW w:w="0" w:type="auto"/>
            <w:shd w:val="clear" w:color="auto" w:fill="auto"/>
          </w:tcPr>
          <w:p w14:paraId="0D8DECFA" w14:textId="77777777" w:rsidR="004C2197" w:rsidRDefault="004C2197">
            <w:pPr>
              <w:rPr>
                <w:rFonts w:ascii="宋体"/>
              </w:rPr>
            </w:pPr>
          </w:p>
        </w:tc>
        <w:tc>
          <w:tcPr>
            <w:tcW w:w="0" w:type="auto"/>
            <w:shd w:val="clear" w:color="auto" w:fill="auto"/>
          </w:tcPr>
          <w:p w14:paraId="0D8DECFB" w14:textId="77777777" w:rsidR="004C2197" w:rsidRDefault="004C2197">
            <w:pPr>
              <w:rPr>
                <w:rFonts w:ascii="宋体"/>
              </w:rPr>
            </w:pPr>
          </w:p>
        </w:tc>
        <w:tc>
          <w:tcPr>
            <w:tcW w:w="0" w:type="auto"/>
            <w:shd w:val="clear" w:color="auto" w:fill="auto"/>
          </w:tcPr>
          <w:p w14:paraId="0D8DECFC" w14:textId="77777777" w:rsidR="004C2197" w:rsidRDefault="004C2197">
            <w:pPr>
              <w:rPr>
                <w:rFonts w:ascii="宋体"/>
              </w:rPr>
            </w:pPr>
          </w:p>
        </w:tc>
        <w:tc>
          <w:tcPr>
            <w:tcW w:w="0" w:type="auto"/>
            <w:shd w:val="clear" w:color="auto" w:fill="auto"/>
          </w:tcPr>
          <w:p w14:paraId="0D8DECFD" w14:textId="77777777" w:rsidR="004C2197" w:rsidRDefault="004C2197">
            <w:pPr>
              <w:rPr>
                <w:rFonts w:ascii="宋体"/>
              </w:rPr>
            </w:pPr>
          </w:p>
        </w:tc>
        <w:tc>
          <w:tcPr>
            <w:tcW w:w="0" w:type="auto"/>
            <w:shd w:val="clear" w:color="auto" w:fill="auto"/>
          </w:tcPr>
          <w:p w14:paraId="0D8DECFE" w14:textId="77777777" w:rsidR="004C2197" w:rsidRDefault="004C2197">
            <w:pPr>
              <w:rPr>
                <w:rFonts w:ascii="宋体"/>
              </w:rPr>
            </w:pPr>
          </w:p>
        </w:tc>
        <w:tc>
          <w:tcPr>
            <w:tcW w:w="0" w:type="auto"/>
            <w:shd w:val="clear" w:color="auto" w:fill="auto"/>
          </w:tcPr>
          <w:p w14:paraId="0D8DECFF" w14:textId="77777777" w:rsidR="004C2197" w:rsidRDefault="004C2197">
            <w:pPr>
              <w:rPr>
                <w:rFonts w:ascii="宋体"/>
              </w:rPr>
            </w:pPr>
          </w:p>
        </w:tc>
        <w:tc>
          <w:tcPr>
            <w:tcW w:w="0" w:type="auto"/>
            <w:shd w:val="clear" w:color="auto" w:fill="auto"/>
          </w:tcPr>
          <w:p w14:paraId="0D8DED00" w14:textId="77777777" w:rsidR="004C2197" w:rsidRDefault="004C2197">
            <w:pPr>
              <w:rPr>
                <w:rFonts w:ascii="宋体"/>
              </w:rPr>
            </w:pPr>
          </w:p>
        </w:tc>
        <w:tc>
          <w:tcPr>
            <w:tcW w:w="0" w:type="auto"/>
            <w:shd w:val="clear" w:color="auto" w:fill="auto"/>
          </w:tcPr>
          <w:p w14:paraId="0D8DED01" w14:textId="77777777" w:rsidR="004C2197" w:rsidRDefault="004C2197">
            <w:pPr>
              <w:rPr>
                <w:rFonts w:ascii="宋体"/>
              </w:rPr>
            </w:pPr>
          </w:p>
        </w:tc>
        <w:tc>
          <w:tcPr>
            <w:tcW w:w="0" w:type="auto"/>
            <w:shd w:val="clear" w:color="auto" w:fill="auto"/>
          </w:tcPr>
          <w:p w14:paraId="0D8DED02" w14:textId="77777777" w:rsidR="004C2197" w:rsidRDefault="004C2197">
            <w:pPr>
              <w:rPr>
                <w:rFonts w:ascii="宋体"/>
              </w:rPr>
            </w:pPr>
          </w:p>
        </w:tc>
        <w:tc>
          <w:tcPr>
            <w:tcW w:w="0" w:type="auto"/>
            <w:shd w:val="clear" w:color="auto" w:fill="auto"/>
          </w:tcPr>
          <w:p w14:paraId="0D8DED03" w14:textId="77777777" w:rsidR="004C2197" w:rsidRDefault="004C2197">
            <w:pPr>
              <w:rPr>
                <w:rFonts w:ascii="宋体"/>
              </w:rPr>
            </w:pPr>
          </w:p>
        </w:tc>
        <w:tc>
          <w:tcPr>
            <w:tcW w:w="0" w:type="auto"/>
            <w:shd w:val="clear" w:color="auto" w:fill="auto"/>
          </w:tcPr>
          <w:p w14:paraId="0D8DED04" w14:textId="77777777" w:rsidR="004C2197" w:rsidRDefault="004C2197">
            <w:pPr>
              <w:rPr>
                <w:rFonts w:ascii="宋体"/>
              </w:rPr>
            </w:pPr>
          </w:p>
        </w:tc>
        <w:tc>
          <w:tcPr>
            <w:tcW w:w="0" w:type="auto"/>
            <w:shd w:val="clear" w:color="auto" w:fill="auto"/>
          </w:tcPr>
          <w:p w14:paraId="0D8DED05" w14:textId="77777777" w:rsidR="004C2197" w:rsidRDefault="004C2197">
            <w:pPr>
              <w:rPr>
                <w:rFonts w:ascii="宋体"/>
              </w:rPr>
            </w:pPr>
          </w:p>
        </w:tc>
      </w:tr>
      <w:tr w:rsidR="004C2197" w14:paraId="0D8DED0F" w14:textId="77777777">
        <w:tc>
          <w:tcPr>
            <w:tcW w:w="0" w:type="auto"/>
            <w:gridSpan w:val="3"/>
            <w:shd w:val="clear" w:color="auto" w:fill="auto"/>
            <w:tcMar>
              <w:left w:w="20" w:type="dxa"/>
              <w:right w:w="20" w:type="dxa"/>
            </w:tcMar>
            <w:vAlign w:val="bottom"/>
          </w:tcPr>
          <w:p w14:paraId="0D8DED07" w14:textId="77777777" w:rsidR="004C2197" w:rsidRDefault="004C2197">
            <w:pPr>
              <w:rPr>
                <w:rFonts w:ascii="宋体"/>
              </w:rPr>
            </w:pPr>
          </w:p>
        </w:tc>
        <w:tc>
          <w:tcPr>
            <w:tcW w:w="0" w:type="auto"/>
            <w:gridSpan w:val="21"/>
            <w:shd w:val="clear" w:color="auto" w:fill="FFFFFF"/>
            <w:tcMar>
              <w:top w:w="40" w:type="dxa"/>
              <w:left w:w="20" w:type="dxa"/>
              <w:bottom w:w="40" w:type="dxa"/>
              <w:right w:w="20" w:type="dxa"/>
            </w:tcMar>
            <w:vAlign w:val="bottom"/>
          </w:tcPr>
          <w:p w14:paraId="0D8DED08"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ED09" w14:textId="77777777" w:rsidR="004C2197" w:rsidRDefault="004C2197">
            <w:pPr>
              <w:rPr>
                <w:rFonts w:ascii="宋体"/>
                <w:vanish/>
              </w:rPr>
            </w:pPr>
          </w:p>
        </w:tc>
        <w:tc>
          <w:tcPr>
            <w:tcW w:w="0" w:type="auto"/>
            <w:gridSpan w:val="3"/>
            <w:shd w:val="clear" w:color="auto" w:fill="auto"/>
          </w:tcPr>
          <w:p w14:paraId="0D8DED0A" w14:textId="77777777" w:rsidR="004C2197" w:rsidRDefault="004C2197">
            <w:pPr>
              <w:rPr>
                <w:rFonts w:ascii="宋体"/>
                <w:vanish/>
              </w:rPr>
            </w:pPr>
          </w:p>
        </w:tc>
        <w:tc>
          <w:tcPr>
            <w:tcW w:w="0" w:type="auto"/>
            <w:gridSpan w:val="3"/>
            <w:shd w:val="clear" w:color="auto" w:fill="auto"/>
          </w:tcPr>
          <w:p w14:paraId="0D8DED0B" w14:textId="77777777" w:rsidR="004C2197" w:rsidRDefault="004C2197">
            <w:pPr>
              <w:rPr>
                <w:rFonts w:ascii="宋体"/>
                <w:vanish/>
              </w:rPr>
            </w:pPr>
          </w:p>
        </w:tc>
        <w:tc>
          <w:tcPr>
            <w:tcW w:w="0" w:type="auto"/>
            <w:gridSpan w:val="3"/>
            <w:shd w:val="clear" w:color="auto" w:fill="auto"/>
          </w:tcPr>
          <w:p w14:paraId="0D8DED0C" w14:textId="77777777" w:rsidR="004C2197" w:rsidRDefault="004C2197">
            <w:pPr>
              <w:rPr>
                <w:rFonts w:ascii="宋体"/>
                <w:vanish/>
              </w:rPr>
            </w:pPr>
          </w:p>
        </w:tc>
        <w:tc>
          <w:tcPr>
            <w:tcW w:w="0" w:type="auto"/>
            <w:gridSpan w:val="3"/>
            <w:shd w:val="clear" w:color="auto" w:fill="auto"/>
          </w:tcPr>
          <w:p w14:paraId="0D8DED0D" w14:textId="77777777" w:rsidR="004C2197" w:rsidRDefault="004C2197">
            <w:pPr>
              <w:rPr>
                <w:rFonts w:ascii="宋体"/>
                <w:vanish/>
              </w:rPr>
            </w:pPr>
          </w:p>
        </w:tc>
        <w:tc>
          <w:tcPr>
            <w:tcW w:w="0" w:type="auto"/>
            <w:gridSpan w:val="3"/>
            <w:shd w:val="clear" w:color="auto" w:fill="auto"/>
          </w:tcPr>
          <w:p w14:paraId="0D8DED0E" w14:textId="77777777" w:rsidR="004C2197" w:rsidRDefault="004C2197">
            <w:pPr>
              <w:rPr>
                <w:rFonts w:ascii="宋体"/>
                <w:vanish/>
              </w:rPr>
            </w:pPr>
          </w:p>
        </w:tc>
      </w:tr>
      <w:tr w:rsidR="004C2197" w14:paraId="0D8DED32" w14:textId="77777777">
        <w:tc>
          <w:tcPr>
            <w:tcW w:w="0" w:type="auto"/>
            <w:gridSpan w:val="3"/>
            <w:shd w:val="clear" w:color="auto" w:fill="E2EFD9"/>
            <w:tcMar>
              <w:top w:w="40" w:type="dxa"/>
              <w:left w:w="20" w:type="dxa"/>
              <w:bottom w:w="40" w:type="dxa"/>
              <w:right w:w="20" w:type="dxa"/>
            </w:tcMar>
            <w:vAlign w:val="bottom"/>
          </w:tcPr>
          <w:p w14:paraId="0D8DED10"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tcMar>
            <w:vAlign w:val="bottom"/>
          </w:tcPr>
          <w:p w14:paraId="0D8DED1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12"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bottom w:w="40" w:type="dxa"/>
              <w:right w:w="20" w:type="dxa"/>
            </w:tcMar>
            <w:vAlign w:val="bottom"/>
          </w:tcPr>
          <w:p w14:paraId="0D8DED1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D14"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D15"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16" w14:textId="77777777" w:rsidR="004C2197" w:rsidRDefault="00863B83">
            <w:pPr>
              <w:jc w:val="right"/>
              <w:textAlignment w:val="bottom"/>
            </w:pPr>
            <w:r>
              <w:rPr>
                <w:rFonts w:ascii="sans-serif" w:eastAsia="sans-serif" w:hAnsi="sans-serif" w:cs="sans-serif"/>
                <w:color w:val="000000"/>
                <w:sz w:val="20"/>
                <w:szCs w:val="20"/>
              </w:rPr>
              <w:t>2,889 </w:t>
            </w:r>
          </w:p>
        </w:tc>
        <w:tc>
          <w:tcPr>
            <w:tcW w:w="0" w:type="auto"/>
            <w:shd w:val="clear" w:color="auto" w:fill="E2EFD9"/>
            <w:tcMar>
              <w:top w:w="40" w:type="dxa"/>
              <w:bottom w:w="40" w:type="dxa"/>
              <w:right w:w="20" w:type="dxa"/>
            </w:tcMar>
            <w:vAlign w:val="bottom"/>
          </w:tcPr>
          <w:p w14:paraId="0D8DED1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D18"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D1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1A" w14:textId="77777777" w:rsidR="004C2197" w:rsidRDefault="00863B83">
            <w:pPr>
              <w:jc w:val="right"/>
              <w:textAlignment w:val="bottom"/>
            </w:pPr>
            <w:r>
              <w:rPr>
                <w:rFonts w:ascii="sans-serif" w:eastAsia="sans-serif" w:hAnsi="sans-serif" w:cs="sans-serif"/>
                <w:color w:val="000000"/>
                <w:sz w:val="20"/>
                <w:szCs w:val="20"/>
              </w:rPr>
              <w:t>7,375 </w:t>
            </w:r>
          </w:p>
        </w:tc>
        <w:tc>
          <w:tcPr>
            <w:tcW w:w="0" w:type="auto"/>
            <w:shd w:val="clear" w:color="auto" w:fill="E2EFD9"/>
            <w:tcMar>
              <w:top w:w="40" w:type="dxa"/>
              <w:bottom w:w="40" w:type="dxa"/>
              <w:right w:w="20" w:type="dxa"/>
            </w:tcMar>
            <w:vAlign w:val="bottom"/>
          </w:tcPr>
          <w:p w14:paraId="0D8DED1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D1C"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D1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1E" w14:textId="77777777" w:rsidR="004C2197" w:rsidRDefault="00863B83">
            <w:pPr>
              <w:jc w:val="right"/>
              <w:textAlignment w:val="bottom"/>
            </w:pPr>
            <w:r>
              <w:rPr>
                <w:rFonts w:ascii="sans-serif" w:eastAsia="sans-serif" w:hAnsi="sans-serif" w:cs="sans-serif"/>
                <w:color w:val="000000"/>
                <w:sz w:val="20"/>
                <w:szCs w:val="20"/>
              </w:rPr>
              <w:t>5,415 </w:t>
            </w:r>
          </w:p>
        </w:tc>
        <w:tc>
          <w:tcPr>
            <w:tcW w:w="0" w:type="auto"/>
            <w:shd w:val="clear" w:color="auto" w:fill="E2EFD9"/>
            <w:tcMar>
              <w:top w:w="40" w:type="dxa"/>
              <w:bottom w:w="40" w:type="dxa"/>
              <w:right w:w="20" w:type="dxa"/>
            </w:tcMar>
            <w:vAlign w:val="bottom"/>
          </w:tcPr>
          <w:p w14:paraId="0D8DED1F" w14:textId="77777777" w:rsidR="004C2197" w:rsidRDefault="004C2197">
            <w:pPr>
              <w:jc w:val="right"/>
              <w:rPr>
                <w:rFonts w:ascii="宋体"/>
              </w:rPr>
            </w:pPr>
          </w:p>
        </w:tc>
        <w:tc>
          <w:tcPr>
            <w:tcW w:w="0" w:type="auto"/>
            <w:shd w:val="clear" w:color="auto" w:fill="auto"/>
          </w:tcPr>
          <w:p w14:paraId="0D8DED20" w14:textId="77777777" w:rsidR="004C2197" w:rsidRDefault="004C2197">
            <w:pPr>
              <w:rPr>
                <w:rFonts w:ascii="宋体"/>
              </w:rPr>
            </w:pPr>
          </w:p>
        </w:tc>
        <w:tc>
          <w:tcPr>
            <w:tcW w:w="0" w:type="auto"/>
            <w:shd w:val="clear" w:color="auto" w:fill="auto"/>
          </w:tcPr>
          <w:p w14:paraId="0D8DED21" w14:textId="77777777" w:rsidR="004C2197" w:rsidRDefault="004C2197">
            <w:pPr>
              <w:rPr>
                <w:rFonts w:ascii="宋体"/>
              </w:rPr>
            </w:pPr>
          </w:p>
        </w:tc>
        <w:tc>
          <w:tcPr>
            <w:tcW w:w="0" w:type="auto"/>
            <w:shd w:val="clear" w:color="auto" w:fill="auto"/>
          </w:tcPr>
          <w:p w14:paraId="0D8DED22" w14:textId="77777777" w:rsidR="004C2197" w:rsidRDefault="004C2197">
            <w:pPr>
              <w:rPr>
                <w:rFonts w:ascii="宋体"/>
              </w:rPr>
            </w:pPr>
          </w:p>
        </w:tc>
        <w:tc>
          <w:tcPr>
            <w:tcW w:w="0" w:type="auto"/>
            <w:shd w:val="clear" w:color="auto" w:fill="auto"/>
          </w:tcPr>
          <w:p w14:paraId="0D8DED23" w14:textId="77777777" w:rsidR="004C2197" w:rsidRDefault="004C2197">
            <w:pPr>
              <w:rPr>
                <w:rFonts w:ascii="宋体"/>
              </w:rPr>
            </w:pPr>
          </w:p>
        </w:tc>
        <w:tc>
          <w:tcPr>
            <w:tcW w:w="0" w:type="auto"/>
            <w:shd w:val="clear" w:color="auto" w:fill="auto"/>
          </w:tcPr>
          <w:p w14:paraId="0D8DED24" w14:textId="77777777" w:rsidR="004C2197" w:rsidRDefault="004C2197">
            <w:pPr>
              <w:rPr>
                <w:rFonts w:ascii="宋体"/>
              </w:rPr>
            </w:pPr>
          </w:p>
        </w:tc>
        <w:tc>
          <w:tcPr>
            <w:tcW w:w="0" w:type="auto"/>
            <w:shd w:val="clear" w:color="auto" w:fill="auto"/>
          </w:tcPr>
          <w:p w14:paraId="0D8DED25" w14:textId="77777777" w:rsidR="004C2197" w:rsidRDefault="004C2197">
            <w:pPr>
              <w:rPr>
                <w:rFonts w:ascii="宋体"/>
              </w:rPr>
            </w:pPr>
          </w:p>
        </w:tc>
        <w:tc>
          <w:tcPr>
            <w:tcW w:w="0" w:type="auto"/>
            <w:shd w:val="clear" w:color="auto" w:fill="auto"/>
          </w:tcPr>
          <w:p w14:paraId="0D8DED26" w14:textId="77777777" w:rsidR="004C2197" w:rsidRDefault="004C2197">
            <w:pPr>
              <w:rPr>
                <w:rFonts w:ascii="宋体"/>
              </w:rPr>
            </w:pPr>
          </w:p>
        </w:tc>
        <w:tc>
          <w:tcPr>
            <w:tcW w:w="0" w:type="auto"/>
            <w:shd w:val="clear" w:color="auto" w:fill="auto"/>
          </w:tcPr>
          <w:p w14:paraId="0D8DED27" w14:textId="77777777" w:rsidR="004C2197" w:rsidRDefault="004C2197">
            <w:pPr>
              <w:rPr>
                <w:rFonts w:ascii="宋体"/>
              </w:rPr>
            </w:pPr>
          </w:p>
        </w:tc>
        <w:tc>
          <w:tcPr>
            <w:tcW w:w="0" w:type="auto"/>
            <w:shd w:val="clear" w:color="auto" w:fill="auto"/>
          </w:tcPr>
          <w:p w14:paraId="0D8DED28" w14:textId="77777777" w:rsidR="004C2197" w:rsidRDefault="004C2197">
            <w:pPr>
              <w:rPr>
                <w:rFonts w:ascii="宋体"/>
              </w:rPr>
            </w:pPr>
          </w:p>
        </w:tc>
        <w:tc>
          <w:tcPr>
            <w:tcW w:w="0" w:type="auto"/>
            <w:shd w:val="clear" w:color="auto" w:fill="auto"/>
          </w:tcPr>
          <w:p w14:paraId="0D8DED29" w14:textId="77777777" w:rsidR="004C2197" w:rsidRDefault="004C2197">
            <w:pPr>
              <w:rPr>
                <w:rFonts w:ascii="宋体"/>
              </w:rPr>
            </w:pPr>
          </w:p>
        </w:tc>
        <w:tc>
          <w:tcPr>
            <w:tcW w:w="0" w:type="auto"/>
            <w:shd w:val="clear" w:color="auto" w:fill="auto"/>
          </w:tcPr>
          <w:p w14:paraId="0D8DED2A" w14:textId="77777777" w:rsidR="004C2197" w:rsidRDefault="004C2197">
            <w:pPr>
              <w:rPr>
                <w:rFonts w:ascii="宋体"/>
              </w:rPr>
            </w:pPr>
          </w:p>
        </w:tc>
        <w:tc>
          <w:tcPr>
            <w:tcW w:w="0" w:type="auto"/>
            <w:shd w:val="clear" w:color="auto" w:fill="auto"/>
          </w:tcPr>
          <w:p w14:paraId="0D8DED2B" w14:textId="77777777" w:rsidR="004C2197" w:rsidRDefault="004C2197">
            <w:pPr>
              <w:rPr>
                <w:rFonts w:ascii="宋体"/>
              </w:rPr>
            </w:pPr>
          </w:p>
        </w:tc>
        <w:tc>
          <w:tcPr>
            <w:tcW w:w="0" w:type="auto"/>
            <w:shd w:val="clear" w:color="auto" w:fill="auto"/>
          </w:tcPr>
          <w:p w14:paraId="0D8DED2C" w14:textId="77777777" w:rsidR="004C2197" w:rsidRDefault="004C2197">
            <w:pPr>
              <w:rPr>
                <w:rFonts w:ascii="宋体"/>
              </w:rPr>
            </w:pPr>
          </w:p>
        </w:tc>
        <w:tc>
          <w:tcPr>
            <w:tcW w:w="0" w:type="auto"/>
            <w:shd w:val="clear" w:color="auto" w:fill="auto"/>
          </w:tcPr>
          <w:p w14:paraId="0D8DED2D" w14:textId="77777777" w:rsidR="004C2197" w:rsidRDefault="004C2197">
            <w:pPr>
              <w:rPr>
                <w:rFonts w:ascii="宋体"/>
              </w:rPr>
            </w:pPr>
          </w:p>
        </w:tc>
        <w:tc>
          <w:tcPr>
            <w:tcW w:w="0" w:type="auto"/>
            <w:shd w:val="clear" w:color="auto" w:fill="auto"/>
          </w:tcPr>
          <w:p w14:paraId="0D8DED2E" w14:textId="77777777" w:rsidR="004C2197" w:rsidRDefault="004C2197">
            <w:pPr>
              <w:rPr>
                <w:rFonts w:ascii="宋体"/>
              </w:rPr>
            </w:pPr>
          </w:p>
        </w:tc>
        <w:tc>
          <w:tcPr>
            <w:tcW w:w="0" w:type="auto"/>
            <w:shd w:val="clear" w:color="auto" w:fill="auto"/>
          </w:tcPr>
          <w:p w14:paraId="0D8DED2F" w14:textId="77777777" w:rsidR="004C2197" w:rsidRDefault="004C2197">
            <w:pPr>
              <w:rPr>
                <w:rFonts w:ascii="宋体"/>
              </w:rPr>
            </w:pPr>
          </w:p>
        </w:tc>
        <w:tc>
          <w:tcPr>
            <w:tcW w:w="0" w:type="auto"/>
            <w:shd w:val="clear" w:color="auto" w:fill="auto"/>
          </w:tcPr>
          <w:p w14:paraId="0D8DED30" w14:textId="77777777" w:rsidR="004C2197" w:rsidRDefault="004C2197">
            <w:pPr>
              <w:rPr>
                <w:rFonts w:ascii="宋体"/>
              </w:rPr>
            </w:pPr>
          </w:p>
        </w:tc>
        <w:tc>
          <w:tcPr>
            <w:tcW w:w="0" w:type="auto"/>
            <w:shd w:val="clear" w:color="auto" w:fill="auto"/>
          </w:tcPr>
          <w:p w14:paraId="0D8DED31" w14:textId="77777777" w:rsidR="004C2197" w:rsidRDefault="004C2197">
            <w:pPr>
              <w:rPr>
                <w:rFonts w:ascii="宋体"/>
              </w:rPr>
            </w:pPr>
          </w:p>
        </w:tc>
      </w:tr>
      <w:tr w:rsidR="004C2197" w14:paraId="0D8DED55" w14:textId="77777777">
        <w:tc>
          <w:tcPr>
            <w:tcW w:w="0" w:type="auto"/>
            <w:gridSpan w:val="3"/>
            <w:shd w:val="clear" w:color="auto" w:fill="FFFFFF"/>
            <w:tcMar>
              <w:top w:w="40" w:type="dxa"/>
              <w:left w:w="20" w:type="dxa"/>
              <w:bottom w:w="40" w:type="dxa"/>
              <w:right w:w="20" w:type="dxa"/>
            </w:tcMar>
            <w:vAlign w:val="bottom"/>
          </w:tcPr>
          <w:p w14:paraId="0D8DED33" w14:textId="77777777" w:rsidR="004C2197" w:rsidRDefault="00863B83">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tcMar>
            <w:vAlign w:val="bottom"/>
          </w:tcPr>
          <w:p w14:paraId="0D8DED3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35" w14:textId="77777777" w:rsidR="004C2197" w:rsidRDefault="00863B83">
            <w:pPr>
              <w:jc w:val="right"/>
              <w:textAlignment w:val="bottom"/>
            </w:pPr>
            <w:r>
              <w:rPr>
                <w:rFonts w:ascii="sans-serif" w:eastAsia="sans-serif" w:hAnsi="sans-serif" w:cs="sans-serif"/>
                <w:color w:val="000000"/>
                <w:sz w:val="20"/>
                <w:szCs w:val="20"/>
              </w:rPr>
              <w:t>964 </w:t>
            </w:r>
          </w:p>
        </w:tc>
        <w:tc>
          <w:tcPr>
            <w:tcW w:w="0" w:type="auto"/>
            <w:shd w:val="clear" w:color="auto" w:fill="FFFFFF"/>
            <w:tcMar>
              <w:top w:w="40" w:type="dxa"/>
              <w:bottom w:w="40" w:type="dxa"/>
              <w:right w:w="20" w:type="dxa"/>
            </w:tcMar>
            <w:vAlign w:val="bottom"/>
          </w:tcPr>
          <w:p w14:paraId="0D8DED3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D37"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D3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39" w14:textId="77777777" w:rsidR="004C2197" w:rsidRDefault="00863B83">
            <w:pPr>
              <w:jc w:val="right"/>
              <w:textAlignment w:val="bottom"/>
            </w:pPr>
            <w:r>
              <w:rPr>
                <w:rFonts w:ascii="sans-serif" w:eastAsia="sans-serif" w:hAnsi="sans-serif" w:cs="sans-serif"/>
                <w:color w:val="000000"/>
                <w:sz w:val="20"/>
                <w:szCs w:val="20"/>
              </w:rPr>
              <w:t>411 </w:t>
            </w:r>
          </w:p>
        </w:tc>
        <w:tc>
          <w:tcPr>
            <w:tcW w:w="0" w:type="auto"/>
            <w:shd w:val="clear" w:color="auto" w:fill="FFFFFF"/>
            <w:tcMar>
              <w:top w:w="40" w:type="dxa"/>
              <w:bottom w:w="40" w:type="dxa"/>
              <w:right w:w="20" w:type="dxa"/>
            </w:tcMar>
            <w:vAlign w:val="bottom"/>
          </w:tcPr>
          <w:p w14:paraId="0D8DED3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D3B"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D3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3D" w14:textId="77777777" w:rsidR="004C2197" w:rsidRDefault="00863B83">
            <w:pPr>
              <w:jc w:val="right"/>
              <w:textAlignment w:val="bottom"/>
            </w:pPr>
            <w:r>
              <w:rPr>
                <w:rFonts w:ascii="sans-serif" w:eastAsia="sans-serif" w:hAnsi="sans-serif" w:cs="sans-serif"/>
                <w:color w:val="000000"/>
                <w:sz w:val="20"/>
                <w:szCs w:val="20"/>
              </w:rPr>
              <w:t>1,883 </w:t>
            </w:r>
          </w:p>
        </w:tc>
        <w:tc>
          <w:tcPr>
            <w:tcW w:w="0" w:type="auto"/>
            <w:shd w:val="clear" w:color="auto" w:fill="FFFFFF"/>
            <w:tcMar>
              <w:top w:w="40" w:type="dxa"/>
              <w:bottom w:w="40" w:type="dxa"/>
              <w:right w:w="20" w:type="dxa"/>
            </w:tcMar>
            <w:vAlign w:val="bottom"/>
          </w:tcPr>
          <w:p w14:paraId="0D8DED3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D3F"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D4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41" w14:textId="77777777" w:rsidR="004C2197" w:rsidRDefault="00863B83">
            <w:pPr>
              <w:jc w:val="right"/>
              <w:textAlignment w:val="bottom"/>
            </w:pPr>
            <w:r>
              <w:rPr>
                <w:rFonts w:ascii="sans-serif" w:eastAsia="sans-serif" w:hAnsi="sans-serif" w:cs="sans-serif"/>
                <w:color w:val="000000"/>
                <w:sz w:val="20"/>
                <w:szCs w:val="20"/>
              </w:rPr>
              <w:t>404 </w:t>
            </w:r>
          </w:p>
        </w:tc>
        <w:tc>
          <w:tcPr>
            <w:tcW w:w="0" w:type="auto"/>
            <w:shd w:val="clear" w:color="auto" w:fill="FFFFFF"/>
            <w:tcMar>
              <w:top w:w="40" w:type="dxa"/>
              <w:bottom w:w="40" w:type="dxa"/>
              <w:right w:w="20" w:type="dxa"/>
            </w:tcMar>
            <w:vAlign w:val="bottom"/>
          </w:tcPr>
          <w:p w14:paraId="0D8DED42" w14:textId="77777777" w:rsidR="004C2197" w:rsidRDefault="004C2197">
            <w:pPr>
              <w:jc w:val="right"/>
              <w:rPr>
                <w:rFonts w:ascii="宋体"/>
              </w:rPr>
            </w:pPr>
          </w:p>
        </w:tc>
        <w:tc>
          <w:tcPr>
            <w:tcW w:w="0" w:type="auto"/>
            <w:shd w:val="clear" w:color="auto" w:fill="auto"/>
          </w:tcPr>
          <w:p w14:paraId="0D8DED43" w14:textId="77777777" w:rsidR="004C2197" w:rsidRDefault="004C2197">
            <w:pPr>
              <w:rPr>
                <w:rFonts w:ascii="宋体"/>
              </w:rPr>
            </w:pPr>
          </w:p>
        </w:tc>
        <w:tc>
          <w:tcPr>
            <w:tcW w:w="0" w:type="auto"/>
            <w:shd w:val="clear" w:color="auto" w:fill="auto"/>
          </w:tcPr>
          <w:p w14:paraId="0D8DED44" w14:textId="77777777" w:rsidR="004C2197" w:rsidRDefault="004C2197">
            <w:pPr>
              <w:rPr>
                <w:rFonts w:ascii="宋体"/>
              </w:rPr>
            </w:pPr>
          </w:p>
        </w:tc>
        <w:tc>
          <w:tcPr>
            <w:tcW w:w="0" w:type="auto"/>
            <w:shd w:val="clear" w:color="auto" w:fill="auto"/>
          </w:tcPr>
          <w:p w14:paraId="0D8DED45" w14:textId="77777777" w:rsidR="004C2197" w:rsidRDefault="004C2197">
            <w:pPr>
              <w:rPr>
                <w:rFonts w:ascii="宋体"/>
              </w:rPr>
            </w:pPr>
          </w:p>
        </w:tc>
        <w:tc>
          <w:tcPr>
            <w:tcW w:w="0" w:type="auto"/>
            <w:shd w:val="clear" w:color="auto" w:fill="auto"/>
          </w:tcPr>
          <w:p w14:paraId="0D8DED46" w14:textId="77777777" w:rsidR="004C2197" w:rsidRDefault="004C2197">
            <w:pPr>
              <w:rPr>
                <w:rFonts w:ascii="宋体"/>
              </w:rPr>
            </w:pPr>
          </w:p>
        </w:tc>
        <w:tc>
          <w:tcPr>
            <w:tcW w:w="0" w:type="auto"/>
            <w:shd w:val="clear" w:color="auto" w:fill="auto"/>
          </w:tcPr>
          <w:p w14:paraId="0D8DED47" w14:textId="77777777" w:rsidR="004C2197" w:rsidRDefault="004C2197">
            <w:pPr>
              <w:rPr>
                <w:rFonts w:ascii="宋体"/>
              </w:rPr>
            </w:pPr>
          </w:p>
        </w:tc>
        <w:tc>
          <w:tcPr>
            <w:tcW w:w="0" w:type="auto"/>
            <w:shd w:val="clear" w:color="auto" w:fill="auto"/>
          </w:tcPr>
          <w:p w14:paraId="0D8DED48" w14:textId="77777777" w:rsidR="004C2197" w:rsidRDefault="004C2197">
            <w:pPr>
              <w:rPr>
                <w:rFonts w:ascii="宋体"/>
              </w:rPr>
            </w:pPr>
          </w:p>
        </w:tc>
        <w:tc>
          <w:tcPr>
            <w:tcW w:w="0" w:type="auto"/>
            <w:shd w:val="clear" w:color="auto" w:fill="auto"/>
          </w:tcPr>
          <w:p w14:paraId="0D8DED49" w14:textId="77777777" w:rsidR="004C2197" w:rsidRDefault="004C2197">
            <w:pPr>
              <w:rPr>
                <w:rFonts w:ascii="宋体"/>
              </w:rPr>
            </w:pPr>
          </w:p>
        </w:tc>
        <w:tc>
          <w:tcPr>
            <w:tcW w:w="0" w:type="auto"/>
            <w:shd w:val="clear" w:color="auto" w:fill="auto"/>
          </w:tcPr>
          <w:p w14:paraId="0D8DED4A" w14:textId="77777777" w:rsidR="004C2197" w:rsidRDefault="004C2197">
            <w:pPr>
              <w:rPr>
                <w:rFonts w:ascii="宋体"/>
              </w:rPr>
            </w:pPr>
          </w:p>
        </w:tc>
        <w:tc>
          <w:tcPr>
            <w:tcW w:w="0" w:type="auto"/>
            <w:shd w:val="clear" w:color="auto" w:fill="auto"/>
          </w:tcPr>
          <w:p w14:paraId="0D8DED4B" w14:textId="77777777" w:rsidR="004C2197" w:rsidRDefault="004C2197">
            <w:pPr>
              <w:rPr>
                <w:rFonts w:ascii="宋体"/>
              </w:rPr>
            </w:pPr>
          </w:p>
        </w:tc>
        <w:tc>
          <w:tcPr>
            <w:tcW w:w="0" w:type="auto"/>
            <w:shd w:val="clear" w:color="auto" w:fill="auto"/>
          </w:tcPr>
          <w:p w14:paraId="0D8DED4C" w14:textId="77777777" w:rsidR="004C2197" w:rsidRDefault="004C2197">
            <w:pPr>
              <w:rPr>
                <w:rFonts w:ascii="宋体"/>
              </w:rPr>
            </w:pPr>
          </w:p>
        </w:tc>
        <w:tc>
          <w:tcPr>
            <w:tcW w:w="0" w:type="auto"/>
            <w:shd w:val="clear" w:color="auto" w:fill="auto"/>
          </w:tcPr>
          <w:p w14:paraId="0D8DED4D" w14:textId="77777777" w:rsidR="004C2197" w:rsidRDefault="004C2197">
            <w:pPr>
              <w:rPr>
                <w:rFonts w:ascii="宋体"/>
              </w:rPr>
            </w:pPr>
          </w:p>
        </w:tc>
        <w:tc>
          <w:tcPr>
            <w:tcW w:w="0" w:type="auto"/>
            <w:shd w:val="clear" w:color="auto" w:fill="auto"/>
          </w:tcPr>
          <w:p w14:paraId="0D8DED4E" w14:textId="77777777" w:rsidR="004C2197" w:rsidRDefault="004C2197">
            <w:pPr>
              <w:rPr>
                <w:rFonts w:ascii="宋体"/>
              </w:rPr>
            </w:pPr>
          </w:p>
        </w:tc>
        <w:tc>
          <w:tcPr>
            <w:tcW w:w="0" w:type="auto"/>
            <w:shd w:val="clear" w:color="auto" w:fill="auto"/>
          </w:tcPr>
          <w:p w14:paraId="0D8DED4F" w14:textId="77777777" w:rsidR="004C2197" w:rsidRDefault="004C2197">
            <w:pPr>
              <w:rPr>
                <w:rFonts w:ascii="宋体"/>
              </w:rPr>
            </w:pPr>
          </w:p>
        </w:tc>
        <w:tc>
          <w:tcPr>
            <w:tcW w:w="0" w:type="auto"/>
            <w:shd w:val="clear" w:color="auto" w:fill="auto"/>
          </w:tcPr>
          <w:p w14:paraId="0D8DED50" w14:textId="77777777" w:rsidR="004C2197" w:rsidRDefault="004C2197">
            <w:pPr>
              <w:rPr>
                <w:rFonts w:ascii="宋体"/>
              </w:rPr>
            </w:pPr>
          </w:p>
        </w:tc>
        <w:tc>
          <w:tcPr>
            <w:tcW w:w="0" w:type="auto"/>
            <w:shd w:val="clear" w:color="auto" w:fill="auto"/>
          </w:tcPr>
          <w:p w14:paraId="0D8DED51" w14:textId="77777777" w:rsidR="004C2197" w:rsidRDefault="004C2197">
            <w:pPr>
              <w:rPr>
                <w:rFonts w:ascii="宋体"/>
              </w:rPr>
            </w:pPr>
          </w:p>
        </w:tc>
        <w:tc>
          <w:tcPr>
            <w:tcW w:w="0" w:type="auto"/>
            <w:shd w:val="clear" w:color="auto" w:fill="auto"/>
          </w:tcPr>
          <w:p w14:paraId="0D8DED52" w14:textId="77777777" w:rsidR="004C2197" w:rsidRDefault="004C2197">
            <w:pPr>
              <w:rPr>
                <w:rFonts w:ascii="宋体"/>
              </w:rPr>
            </w:pPr>
          </w:p>
        </w:tc>
        <w:tc>
          <w:tcPr>
            <w:tcW w:w="0" w:type="auto"/>
            <w:shd w:val="clear" w:color="auto" w:fill="auto"/>
          </w:tcPr>
          <w:p w14:paraId="0D8DED53" w14:textId="77777777" w:rsidR="004C2197" w:rsidRDefault="004C2197">
            <w:pPr>
              <w:rPr>
                <w:rFonts w:ascii="宋体"/>
              </w:rPr>
            </w:pPr>
          </w:p>
        </w:tc>
        <w:tc>
          <w:tcPr>
            <w:tcW w:w="0" w:type="auto"/>
            <w:shd w:val="clear" w:color="auto" w:fill="auto"/>
          </w:tcPr>
          <w:p w14:paraId="0D8DED54" w14:textId="77777777" w:rsidR="004C2197" w:rsidRDefault="004C2197">
            <w:pPr>
              <w:rPr>
                <w:rFonts w:ascii="宋体"/>
              </w:rPr>
            </w:pPr>
          </w:p>
        </w:tc>
      </w:tr>
    </w:tbl>
    <w:p w14:paraId="0D8DED56" w14:textId="77777777" w:rsidR="004C2197" w:rsidRDefault="00863B83">
      <w:pPr>
        <w:spacing w:after="180"/>
        <w:jc w:val="center"/>
      </w:pPr>
      <w:r>
        <w:rPr>
          <w:rFonts w:ascii="sans-serif" w:eastAsia="sans-serif" w:hAnsi="sans-serif" w:cs="sans-serif"/>
          <w:color w:val="000000"/>
          <w:sz w:val="20"/>
          <w:szCs w:val="20"/>
        </w:rPr>
        <w:t>12</w:t>
      </w:r>
    </w:p>
    <w:p w14:paraId="0D8DED57" w14:textId="77777777" w:rsidR="004C2197" w:rsidRDefault="00863B83">
      <w:r>
        <w:pict w14:anchorId="0D8E0CB0">
          <v:rect id="_x0000_i1036" style="width:415.3pt;height:1.5pt" o:hralign="center" o:hrstd="t" o:hr="t" fillcolor="#a0a0a0" stroked="f"/>
        </w:pict>
      </w:r>
    </w:p>
    <w:p w14:paraId="0D8DED58" w14:textId="77777777" w:rsidR="004C2197" w:rsidRDefault="00863B83">
      <w:pPr>
        <w:jc w:val="center"/>
      </w:pPr>
      <w:r>
        <w:rPr>
          <w:rFonts w:ascii="sans-serif" w:eastAsia="sans-serif" w:hAnsi="sans-serif" w:cs="sans-serif"/>
          <w:b/>
          <w:bCs/>
          <w:color w:val="000000"/>
          <w:sz w:val="20"/>
          <w:szCs w:val="20"/>
        </w:rPr>
        <w:t>NVIDIA CORPORATION AND SUBSIDIARIES</w:t>
      </w:r>
    </w:p>
    <w:p w14:paraId="0D8DED59"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ED5A" w14:textId="77777777" w:rsidR="004C2197" w:rsidRDefault="00863B83">
      <w:pPr>
        <w:jc w:val="center"/>
      </w:pPr>
      <w:r>
        <w:rPr>
          <w:rFonts w:ascii="sans-serif" w:eastAsia="sans-serif" w:hAnsi="sans-serif" w:cs="sans-serif"/>
          <w:b/>
          <w:bCs/>
          <w:color w:val="000000"/>
          <w:sz w:val="20"/>
          <w:szCs w:val="20"/>
        </w:rPr>
        <w:t>(Unaudited)</w:t>
      </w:r>
    </w:p>
    <w:p w14:paraId="0D8DED5B" w14:textId="77777777" w:rsidR="004C2197" w:rsidRDefault="004C2197">
      <w:pPr>
        <w:spacing w:after="180"/>
        <w:jc w:val="both"/>
      </w:pPr>
    </w:p>
    <w:p w14:paraId="0D8DED5C" w14:textId="77777777" w:rsidR="004C2197" w:rsidRDefault="004C2197">
      <w:pPr>
        <w:spacing w:after="180"/>
        <w:jc w:val="both"/>
      </w:pPr>
    </w:p>
    <w:p w14:paraId="0D8DED5D" w14:textId="77777777" w:rsidR="004C2197" w:rsidRDefault="00863B83">
      <w:pPr>
        <w:spacing w:before="240" w:after="60"/>
        <w:jc w:val="both"/>
      </w:pPr>
      <w:r>
        <w:rPr>
          <w:rFonts w:ascii="sans-serif" w:eastAsia="sans-serif" w:hAnsi="sans-serif" w:cs="sans-serif"/>
          <w:color w:val="000000"/>
          <w:sz w:val="20"/>
          <w:szCs w:val="20"/>
        </w:rPr>
        <w:t xml:space="preserve">The unaudited pro forma information includes adjustments related to amortization of acquired intangible assets, adjustments to stock-based compensation expense, fair value of acquired inventory, and transaction costs. The unaudited pro forma </w:t>
      </w:r>
      <w:r>
        <w:rPr>
          <w:rFonts w:ascii="sans-serif" w:eastAsia="sans-serif" w:hAnsi="sans-serif" w:cs="sans-serif"/>
          <w:color w:val="000000"/>
          <w:sz w:val="20"/>
          <w:szCs w:val="20"/>
        </w:rPr>
        <w:t>information presented above is for informational purposes only and is not necessarily indicative of our consolidated results of operations of the combined business had the acquisition actually occurred at the beginning of fiscal year 2020 or of the results</w:t>
      </w:r>
      <w:r>
        <w:rPr>
          <w:rFonts w:ascii="sans-serif" w:eastAsia="sans-serif" w:hAnsi="sans-serif" w:cs="sans-serif"/>
          <w:color w:val="000000"/>
          <w:sz w:val="20"/>
          <w:szCs w:val="20"/>
        </w:rPr>
        <w:t xml:space="preserve"> of our future operations of the combined businesses.</w:t>
      </w:r>
    </w:p>
    <w:p w14:paraId="0D8DED5E" w14:textId="77777777" w:rsidR="004C2197" w:rsidRDefault="00863B83">
      <w:pPr>
        <w:spacing w:after="180"/>
        <w:jc w:val="both"/>
      </w:pPr>
      <w:r>
        <w:rPr>
          <w:rFonts w:ascii="sans-serif" w:eastAsia="sans-serif" w:hAnsi="sans-serif" w:cs="sans-serif"/>
          <w:color w:val="000000"/>
          <w:sz w:val="20"/>
          <w:szCs w:val="20"/>
        </w:rPr>
        <w:t>The pro forma results reflect the inventory step-up expense of $161 million in the first half of fiscal year 2020 and were excluded from the pro forma results for the second quarter and first half of fi</w:t>
      </w:r>
      <w:r>
        <w:rPr>
          <w:rFonts w:ascii="sans-serif" w:eastAsia="sans-serif" w:hAnsi="sans-serif" w:cs="sans-serif"/>
          <w:color w:val="000000"/>
          <w:sz w:val="20"/>
          <w:szCs w:val="20"/>
        </w:rPr>
        <w:t>scal year 2021. There were no other material nonrecurring adjustments.</w:t>
      </w:r>
    </w:p>
    <w:p w14:paraId="0D8DED5F" w14:textId="77777777" w:rsidR="004C2197" w:rsidRDefault="004C2197">
      <w:pPr>
        <w:spacing w:after="180"/>
        <w:jc w:val="both"/>
      </w:pPr>
    </w:p>
    <w:p w14:paraId="0D8DED60" w14:textId="77777777" w:rsidR="004C2197" w:rsidRDefault="00863B83">
      <w:pPr>
        <w:spacing w:before="240" w:after="120"/>
        <w:jc w:val="both"/>
      </w:pPr>
      <w:r>
        <w:rPr>
          <w:rFonts w:ascii="sans-serif" w:eastAsia="sans-serif" w:hAnsi="sans-serif" w:cs="sans-serif"/>
          <w:b/>
          <w:bCs/>
          <w:color w:val="76B900"/>
          <w:sz w:val="22"/>
          <w:szCs w:val="22"/>
        </w:rPr>
        <w:t>Note 3 - Leases</w:t>
      </w:r>
    </w:p>
    <w:p w14:paraId="0D8DED61" w14:textId="77777777" w:rsidR="004C2197" w:rsidRDefault="00863B83">
      <w:pPr>
        <w:spacing w:before="240" w:after="60"/>
        <w:jc w:val="both"/>
      </w:pPr>
      <w:r>
        <w:rPr>
          <w:rFonts w:ascii="sans-serif" w:eastAsia="sans-serif" w:hAnsi="sans-serif" w:cs="sans-serif"/>
          <w:color w:val="000000"/>
          <w:sz w:val="20"/>
          <w:szCs w:val="20"/>
        </w:rPr>
        <w:t xml:space="preserve">Our lease obligations primarily consist of operating leases for our headquarters complex, domestic and international office facilities, and data center space, with </w:t>
      </w:r>
      <w:r>
        <w:rPr>
          <w:rFonts w:ascii="sans-serif" w:eastAsia="sans-serif" w:hAnsi="sans-serif" w:cs="sans-serif"/>
          <w:color w:val="000000"/>
          <w:sz w:val="20"/>
          <w:szCs w:val="20"/>
        </w:rPr>
        <w:t>lease periods expiring between fiscal years 2021 and 2035.</w:t>
      </w:r>
    </w:p>
    <w:p w14:paraId="0D8DED62" w14:textId="77777777" w:rsidR="004C2197" w:rsidRDefault="00863B83">
      <w:pPr>
        <w:spacing w:before="180" w:after="360"/>
        <w:jc w:val="both"/>
      </w:pPr>
      <w:r>
        <w:rPr>
          <w:rFonts w:ascii="sans-serif" w:eastAsia="sans-serif" w:hAnsi="sans-serif" w:cs="sans-serif"/>
          <w:color w:val="000000"/>
          <w:sz w:val="20"/>
          <w:szCs w:val="20"/>
        </w:rPr>
        <w:t>Future minimum lease payments under our non-cancelable operating leases as of July 26, 2020, are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646"/>
        <w:gridCol w:w="38"/>
        <w:gridCol w:w="138"/>
        <w:gridCol w:w="1429"/>
        <w:gridCol w:w="41"/>
      </w:tblGrid>
      <w:tr w:rsidR="004C2197" w14:paraId="0D8DED69" w14:textId="77777777">
        <w:trPr>
          <w:jc w:val="center"/>
        </w:trPr>
        <w:tc>
          <w:tcPr>
            <w:tcW w:w="50" w:type="pct"/>
            <w:shd w:val="clear" w:color="auto" w:fill="auto"/>
          </w:tcPr>
          <w:p w14:paraId="0D8DED63" w14:textId="77777777" w:rsidR="004C2197" w:rsidRDefault="004C2197">
            <w:pPr>
              <w:rPr>
                <w:rFonts w:ascii="宋体"/>
              </w:rPr>
            </w:pPr>
          </w:p>
        </w:tc>
        <w:tc>
          <w:tcPr>
            <w:tcW w:w="4009" w:type="pct"/>
            <w:shd w:val="clear" w:color="auto" w:fill="auto"/>
          </w:tcPr>
          <w:p w14:paraId="0D8DED64" w14:textId="77777777" w:rsidR="004C2197" w:rsidRDefault="004C2197">
            <w:pPr>
              <w:rPr>
                <w:rFonts w:ascii="宋体"/>
              </w:rPr>
            </w:pPr>
          </w:p>
        </w:tc>
        <w:tc>
          <w:tcPr>
            <w:tcW w:w="5" w:type="pct"/>
            <w:shd w:val="clear" w:color="auto" w:fill="auto"/>
          </w:tcPr>
          <w:p w14:paraId="0D8DED65" w14:textId="77777777" w:rsidR="004C2197" w:rsidRDefault="004C2197">
            <w:pPr>
              <w:rPr>
                <w:rFonts w:ascii="宋体"/>
              </w:rPr>
            </w:pPr>
          </w:p>
        </w:tc>
        <w:tc>
          <w:tcPr>
            <w:tcW w:w="50" w:type="pct"/>
            <w:shd w:val="clear" w:color="auto" w:fill="auto"/>
          </w:tcPr>
          <w:p w14:paraId="0D8DED66" w14:textId="77777777" w:rsidR="004C2197" w:rsidRDefault="004C2197">
            <w:pPr>
              <w:rPr>
                <w:rFonts w:ascii="宋体"/>
              </w:rPr>
            </w:pPr>
          </w:p>
        </w:tc>
        <w:tc>
          <w:tcPr>
            <w:tcW w:w="880" w:type="pct"/>
            <w:shd w:val="clear" w:color="auto" w:fill="auto"/>
          </w:tcPr>
          <w:p w14:paraId="0D8DED67" w14:textId="77777777" w:rsidR="004C2197" w:rsidRDefault="004C2197">
            <w:pPr>
              <w:rPr>
                <w:rFonts w:ascii="宋体"/>
              </w:rPr>
            </w:pPr>
          </w:p>
        </w:tc>
        <w:tc>
          <w:tcPr>
            <w:tcW w:w="5" w:type="pct"/>
            <w:shd w:val="clear" w:color="auto" w:fill="auto"/>
          </w:tcPr>
          <w:p w14:paraId="0D8DED68" w14:textId="77777777" w:rsidR="004C2197" w:rsidRDefault="004C2197">
            <w:pPr>
              <w:rPr>
                <w:rFonts w:ascii="宋体"/>
              </w:rPr>
            </w:pPr>
          </w:p>
        </w:tc>
      </w:tr>
      <w:tr w:rsidR="004C2197" w14:paraId="0D8DED6C" w14:textId="77777777">
        <w:trPr>
          <w:jc w:val="center"/>
        </w:trPr>
        <w:tc>
          <w:tcPr>
            <w:tcW w:w="0" w:type="auto"/>
            <w:gridSpan w:val="3"/>
            <w:shd w:val="clear" w:color="auto" w:fill="auto"/>
            <w:tcMar>
              <w:left w:w="20" w:type="dxa"/>
              <w:right w:w="20" w:type="dxa"/>
            </w:tcMar>
            <w:vAlign w:val="bottom"/>
          </w:tcPr>
          <w:p w14:paraId="0D8DED6A"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ED6B" w14:textId="77777777" w:rsidR="004C2197" w:rsidRDefault="00863B83">
            <w:pPr>
              <w:jc w:val="center"/>
              <w:textAlignment w:val="bottom"/>
            </w:pPr>
            <w:r>
              <w:rPr>
                <w:rFonts w:ascii="sans-serif" w:eastAsia="sans-serif" w:hAnsi="sans-serif" w:cs="sans-serif"/>
                <w:b/>
                <w:bCs/>
                <w:color w:val="000000"/>
                <w:sz w:val="20"/>
                <w:szCs w:val="20"/>
              </w:rPr>
              <w:t>Operating Lease Obligations</w:t>
            </w:r>
          </w:p>
        </w:tc>
      </w:tr>
      <w:tr w:rsidR="004C2197" w14:paraId="0D8DED6F" w14:textId="77777777">
        <w:trPr>
          <w:jc w:val="center"/>
        </w:trPr>
        <w:tc>
          <w:tcPr>
            <w:tcW w:w="0" w:type="auto"/>
            <w:gridSpan w:val="3"/>
            <w:shd w:val="clear" w:color="auto" w:fill="auto"/>
            <w:tcMar>
              <w:top w:w="40" w:type="dxa"/>
              <w:left w:w="20" w:type="dxa"/>
              <w:bottom w:w="40" w:type="dxa"/>
              <w:right w:w="20" w:type="dxa"/>
            </w:tcMar>
            <w:vAlign w:val="bottom"/>
          </w:tcPr>
          <w:p w14:paraId="0D8DED6D"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D6E" w14:textId="77777777" w:rsidR="004C2197" w:rsidRDefault="00863B83">
            <w:pPr>
              <w:jc w:val="center"/>
              <w:textAlignment w:val="bottom"/>
            </w:pPr>
            <w:r>
              <w:rPr>
                <w:rFonts w:ascii="sans-serif" w:eastAsia="sans-serif" w:hAnsi="sans-serif" w:cs="sans-serif"/>
                <w:i/>
                <w:iCs/>
                <w:color w:val="000000"/>
                <w:sz w:val="20"/>
                <w:szCs w:val="20"/>
              </w:rPr>
              <w:t>(In millions)</w:t>
            </w:r>
          </w:p>
        </w:tc>
      </w:tr>
      <w:tr w:rsidR="004C2197" w14:paraId="0D8DED72" w14:textId="77777777">
        <w:trPr>
          <w:jc w:val="center"/>
        </w:trPr>
        <w:tc>
          <w:tcPr>
            <w:tcW w:w="0" w:type="auto"/>
            <w:gridSpan w:val="3"/>
            <w:shd w:val="clear" w:color="auto" w:fill="E2EFD9"/>
            <w:tcMar>
              <w:top w:w="40" w:type="dxa"/>
              <w:left w:w="20" w:type="dxa"/>
              <w:bottom w:w="40" w:type="dxa"/>
              <w:right w:w="20" w:type="dxa"/>
            </w:tcMar>
            <w:vAlign w:val="bottom"/>
          </w:tcPr>
          <w:p w14:paraId="0D8DED70" w14:textId="77777777" w:rsidR="004C2197" w:rsidRDefault="00863B83">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0D8DED71" w14:textId="77777777" w:rsidR="004C2197" w:rsidRDefault="00863B83">
            <w:pPr>
              <w:textAlignment w:val="bottom"/>
            </w:pPr>
            <w:r>
              <w:rPr>
                <w:rFonts w:ascii="sans-serif" w:eastAsia="sans-serif" w:hAnsi="sans-serif" w:cs="sans-serif"/>
                <w:color w:val="000000"/>
                <w:sz w:val="20"/>
                <w:szCs w:val="20"/>
              </w:rPr>
              <w:t> </w:t>
            </w:r>
          </w:p>
        </w:tc>
      </w:tr>
      <w:tr w:rsidR="004C2197" w14:paraId="0D8DED77" w14:textId="77777777">
        <w:trPr>
          <w:jc w:val="center"/>
        </w:trPr>
        <w:tc>
          <w:tcPr>
            <w:tcW w:w="0" w:type="auto"/>
            <w:gridSpan w:val="3"/>
            <w:shd w:val="clear" w:color="auto" w:fill="FFFFFF"/>
            <w:tcMar>
              <w:top w:w="40" w:type="dxa"/>
              <w:left w:w="20" w:type="dxa"/>
              <w:bottom w:w="40" w:type="dxa"/>
              <w:right w:w="20" w:type="dxa"/>
            </w:tcMar>
            <w:vAlign w:val="bottom"/>
          </w:tcPr>
          <w:p w14:paraId="0D8DED73" w14:textId="77777777" w:rsidR="004C2197" w:rsidRDefault="00863B83">
            <w:pPr>
              <w:textAlignment w:val="bottom"/>
            </w:pPr>
            <w:r>
              <w:rPr>
                <w:rFonts w:ascii="sans-serif" w:eastAsia="sans-serif" w:hAnsi="sans-serif" w:cs="sans-serif"/>
                <w:color w:val="000000"/>
                <w:sz w:val="20"/>
                <w:szCs w:val="20"/>
              </w:rPr>
              <w:t xml:space="preserve">2021 </w:t>
            </w:r>
            <w:r>
              <w:rPr>
                <w:rFonts w:ascii="sans-serif" w:eastAsia="sans-serif" w:hAnsi="sans-serif" w:cs="sans-serif"/>
                <w:color w:val="000000"/>
                <w:sz w:val="20"/>
                <w:szCs w:val="20"/>
              </w:rPr>
              <w:t>(excluding first half of fiscal year 2021)</w:t>
            </w:r>
          </w:p>
        </w:tc>
        <w:tc>
          <w:tcPr>
            <w:tcW w:w="0" w:type="auto"/>
            <w:shd w:val="clear" w:color="auto" w:fill="FFFFFF"/>
            <w:tcMar>
              <w:top w:w="40" w:type="dxa"/>
              <w:left w:w="20" w:type="dxa"/>
              <w:bottom w:w="40" w:type="dxa"/>
            </w:tcMar>
            <w:vAlign w:val="bottom"/>
          </w:tcPr>
          <w:p w14:paraId="0D8DED7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75" w14:textId="77777777" w:rsidR="004C2197" w:rsidRDefault="00863B83">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bottom w:w="40" w:type="dxa"/>
              <w:right w:w="20" w:type="dxa"/>
            </w:tcMar>
            <w:vAlign w:val="bottom"/>
          </w:tcPr>
          <w:p w14:paraId="0D8DED76" w14:textId="77777777" w:rsidR="004C2197" w:rsidRDefault="004C2197">
            <w:pPr>
              <w:jc w:val="right"/>
              <w:rPr>
                <w:rFonts w:ascii="宋体"/>
              </w:rPr>
            </w:pPr>
          </w:p>
        </w:tc>
      </w:tr>
      <w:tr w:rsidR="004C2197" w14:paraId="0D8DED7B" w14:textId="77777777">
        <w:trPr>
          <w:jc w:val="center"/>
        </w:trPr>
        <w:tc>
          <w:tcPr>
            <w:tcW w:w="0" w:type="auto"/>
            <w:gridSpan w:val="3"/>
            <w:shd w:val="clear" w:color="auto" w:fill="E2EFD9"/>
            <w:tcMar>
              <w:top w:w="40" w:type="dxa"/>
              <w:left w:w="20" w:type="dxa"/>
              <w:bottom w:w="40" w:type="dxa"/>
              <w:right w:w="20" w:type="dxa"/>
            </w:tcMar>
            <w:vAlign w:val="bottom"/>
          </w:tcPr>
          <w:p w14:paraId="0D8DED78" w14:textId="77777777" w:rsidR="004C2197" w:rsidRDefault="00863B83">
            <w:pPr>
              <w:textAlignment w:val="bottom"/>
            </w:pPr>
            <w:r>
              <w:rPr>
                <w:rFonts w:ascii="sans-serif" w:eastAsia="sans-serif" w:hAnsi="sans-serif" w:cs="sans-serif"/>
                <w:color w:val="000000"/>
                <w:sz w:val="20"/>
                <w:szCs w:val="20"/>
              </w:rPr>
              <w:t>2022</w:t>
            </w:r>
          </w:p>
        </w:tc>
        <w:tc>
          <w:tcPr>
            <w:tcW w:w="0" w:type="auto"/>
            <w:gridSpan w:val="2"/>
            <w:shd w:val="clear" w:color="auto" w:fill="E2EFD9"/>
            <w:tcMar>
              <w:top w:w="40" w:type="dxa"/>
              <w:left w:w="20" w:type="dxa"/>
              <w:bottom w:w="40" w:type="dxa"/>
              <w:right w:w="0" w:type="dxa"/>
            </w:tcMar>
            <w:vAlign w:val="bottom"/>
          </w:tcPr>
          <w:p w14:paraId="0D8DED79" w14:textId="77777777" w:rsidR="004C2197" w:rsidRDefault="00863B83">
            <w:pPr>
              <w:jc w:val="right"/>
              <w:textAlignment w:val="bottom"/>
            </w:pPr>
            <w:r>
              <w:rPr>
                <w:rFonts w:ascii="sans-serif" w:eastAsia="sans-serif" w:hAnsi="sans-serif" w:cs="sans-serif"/>
                <w:color w:val="000000"/>
                <w:sz w:val="20"/>
                <w:szCs w:val="20"/>
              </w:rPr>
              <w:t>139 </w:t>
            </w:r>
          </w:p>
        </w:tc>
        <w:tc>
          <w:tcPr>
            <w:tcW w:w="0" w:type="auto"/>
            <w:shd w:val="clear" w:color="auto" w:fill="E2EFD9"/>
            <w:tcMar>
              <w:top w:w="40" w:type="dxa"/>
              <w:bottom w:w="40" w:type="dxa"/>
              <w:right w:w="20" w:type="dxa"/>
            </w:tcMar>
            <w:vAlign w:val="bottom"/>
          </w:tcPr>
          <w:p w14:paraId="0D8DED7A" w14:textId="77777777" w:rsidR="004C2197" w:rsidRDefault="004C2197">
            <w:pPr>
              <w:jc w:val="right"/>
              <w:rPr>
                <w:rFonts w:ascii="宋体"/>
              </w:rPr>
            </w:pPr>
          </w:p>
        </w:tc>
      </w:tr>
      <w:tr w:rsidR="004C2197" w14:paraId="0D8DED7F" w14:textId="77777777">
        <w:trPr>
          <w:jc w:val="center"/>
        </w:trPr>
        <w:tc>
          <w:tcPr>
            <w:tcW w:w="0" w:type="auto"/>
            <w:gridSpan w:val="3"/>
            <w:shd w:val="clear" w:color="auto" w:fill="FFFFFF"/>
            <w:tcMar>
              <w:top w:w="40" w:type="dxa"/>
              <w:left w:w="20" w:type="dxa"/>
              <w:bottom w:w="40" w:type="dxa"/>
              <w:right w:w="20" w:type="dxa"/>
            </w:tcMar>
            <w:vAlign w:val="bottom"/>
          </w:tcPr>
          <w:p w14:paraId="0D8DED7C" w14:textId="77777777" w:rsidR="004C2197" w:rsidRDefault="00863B83">
            <w:pPr>
              <w:textAlignment w:val="bottom"/>
            </w:pPr>
            <w:r>
              <w:rPr>
                <w:rFonts w:ascii="sans-serif" w:eastAsia="sans-serif" w:hAnsi="sans-serif" w:cs="sans-serif"/>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D8DED7D" w14:textId="77777777" w:rsidR="004C2197" w:rsidRDefault="00863B83">
            <w:pPr>
              <w:jc w:val="right"/>
              <w:textAlignment w:val="bottom"/>
            </w:pPr>
            <w:r>
              <w:rPr>
                <w:rFonts w:ascii="sans-serif" w:eastAsia="sans-serif" w:hAnsi="sans-serif" w:cs="sans-serif"/>
                <w:color w:val="000000"/>
                <w:sz w:val="20"/>
                <w:szCs w:val="20"/>
              </w:rPr>
              <w:t>119 </w:t>
            </w:r>
          </w:p>
        </w:tc>
        <w:tc>
          <w:tcPr>
            <w:tcW w:w="0" w:type="auto"/>
            <w:shd w:val="clear" w:color="auto" w:fill="FFFFFF"/>
            <w:tcMar>
              <w:top w:w="40" w:type="dxa"/>
              <w:bottom w:w="40" w:type="dxa"/>
              <w:right w:w="20" w:type="dxa"/>
            </w:tcMar>
            <w:vAlign w:val="bottom"/>
          </w:tcPr>
          <w:p w14:paraId="0D8DED7E" w14:textId="77777777" w:rsidR="004C2197" w:rsidRDefault="004C2197">
            <w:pPr>
              <w:jc w:val="right"/>
              <w:rPr>
                <w:rFonts w:ascii="宋体"/>
              </w:rPr>
            </w:pPr>
          </w:p>
        </w:tc>
      </w:tr>
      <w:tr w:rsidR="004C2197" w14:paraId="0D8DED83" w14:textId="77777777">
        <w:trPr>
          <w:jc w:val="center"/>
        </w:trPr>
        <w:tc>
          <w:tcPr>
            <w:tcW w:w="0" w:type="auto"/>
            <w:gridSpan w:val="3"/>
            <w:shd w:val="clear" w:color="auto" w:fill="E2EFD9"/>
            <w:tcMar>
              <w:top w:w="40" w:type="dxa"/>
              <w:left w:w="20" w:type="dxa"/>
              <w:bottom w:w="40" w:type="dxa"/>
              <w:right w:w="20" w:type="dxa"/>
            </w:tcMar>
            <w:vAlign w:val="bottom"/>
          </w:tcPr>
          <w:p w14:paraId="0D8DED80" w14:textId="77777777" w:rsidR="004C2197" w:rsidRDefault="00863B83">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0D8DED81" w14:textId="77777777" w:rsidR="004C2197" w:rsidRDefault="00863B83">
            <w:pPr>
              <w:jc w:val="right"/>
              <w:textAlignment w:val="bottom"/>
            </w:pPr>
            <w:r>
              <w:rPr>
                <w:rFonts w:ascii="sans-serif" w:eastAsia="sans-serif" w:hAnsi="sans-serif" w:cs="sans-serif"/>
                <w:color w:val="000000"/>
                <w:sz w:val="20"/>
                <w:szCs w:val="20"/>
              </w:rPr>
              <w:t>99 </w:t>
            </w:r>
          </w:p>
        </w:tc>
        <w:tc>
          <w:tcPr>
            <w:tcW w:w="0" w:type="auto"/>
            <w:shd w:val="clear" w:color="auto" w:fill="E2EFD9"/>
            <w:tcMar>
              <w:top w:w="40" w:type="dxa"/>
              <w:bottom w:w="40" w:type="dxa"/>
              <w:right w:w="20" w:type="dxa"/>
            </w:tcMar>
            <w:vAlign w:val="bottom"/>
          </w:tcPr>
          <w:p w14:paraId="0D8DED82" w14:textId="77777777" w:rsidR="004C2197" w:rsidRDefault="004C2197">
            <w:pPr>
              <w:jc w:val="right"/>
              <w:rPr>
                <w:rFonts w:ascii="宋体"/>
              </w:rPr>
            </w:pPr>
          </w:p>
        </w:tc>
      </w:tr>
      <w:tr w:rsidR="004C2197" w14:paraId="0D8DED87" w14:textId="77777777">
        <w:trPr>
          <w:jc w:val="center"/>
        </w:trPr>
        <w:tc>
          <w:tcPr>
            <w:tcW w:w="0" w:type="auto"/>
            <w:gridSpan w:val="3"/>
            <w:shd w:val="clear" w:color="auto" w:fill="FFFFFF"/>
            <w:tcMar>
              <w:top w:w="40" w:type="dxa"/>
              <w:left w:w="20" w:type="dxa"/>
              <w:bottom w:w="40" w:type="dxa"/>
              <w:right w:w="20" w:type="dxa"/>
            </w:tcMar>
            <w:vAlign w:val="bottom"/>
          </w:tcPr>
          <w:p w14:paraId="0D8DED84" w14:textId="77777777" w:rsidR="004C2197" w:rsidRDefault="00863B83">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D8DED85" w14:textId="77777777" w:rsidR="004C2197" w:rsidRDefault="00863B83">
            <w:pPr>
              <w:jc w:val="right"/>
              <w:textAlignment w:val="bottom"/>
            </w:pPr>
            <w:r>
              <w:rPr>
                <w:rFonts w:ascii="sans-serif" w:eastAsia="sans-serif" w:hAnsi="sans-serif" w:cs="sans-serif"/>
                <w:color w:val="000000"/>
                <w:sz w:val="20"/>
                <w:szCs w:val="20"/>
              </w:rPr>
              <w:t>80 </w:t>
            </w:r>
          </w:p>
        </w:tc>
        <w:tc>
          <w:tcPr>
            <w:tcW w:w="0" w:type="auto"/>
            <w:shd w:val="clear" w:color="auto" w:fill="FFFFFF"/>
            <w:tcMar>
              <w:top w:w="40" w:type="dxa"/>
              <w:bottom w:w="40" w:type="dxa"/>
              <w:right w:w="20" w:type="dxa"/>
            </w:tcMar>
            <w:vAlign w:val="bottom"/>
          </w:tcPr>
          <w:p w14:paraId="0D8DED86" w14:textId="77777777" w:rsidR="004C2197" w:rsidRDefault="004C2197">
            <w:pPr>
              <w:jc w:val="right"/>
              <w:rPr>
                <w:rFonts w:ascii="宋体"/>
              </w:rPr>
            </w:pPr>
          </w:p>
        </w:tc>
      </w:tr>
      <w:tr w:rsidR="004C2197" w14:paraId="0D8DED8B" w14:textId="77777777">
        <w:trPr>
          <w:jc w:val="center"/>
        </w:trPr>
        <w:tc>
          <w:tcPr>
            <w:tcW w:w="0" w:type="auto"/>
            <w:gridSpan w:val="3"/>
            <w:shd w:val="clear" w:color="auto" w:fill="E2EFD9"/>
            <w:tcMar>
              <w:top w:w="40" w:type="dxa"/>
              <w:left w:w="20" w:type="dxa"/>
              <w:bottom w:w="40" w:type="dxa"/>
              <w:right w:w="20" w:type="dxa"/>
            </w:tcMar>
            <w:vAlign w:val="bottom"/>
          </w:tcPr>
          <w:p w14:paraId="0D8DED88" w14:textId="77777777" w:rsidR="004C2197" w:rsidRDefault="00863B83">
            <w:pPr>
              <w:textAlignment w:val="bottom"/>
            </w:pPr>
            <w:r>
              <w:rPr>
                <w:rFonts w:ascii="sans-serif" w:eastAsia="sans-serif" w:hAnsi="sans-serif" w:cs="sans-serif"/>
                <w:color w:val="000000"/>
                <w:sz w:val="20"/>
                <w:szCs w:val="20"/>
              </w:rPr>
              <w:t>2026 and thereafter</w:t>
            </w:r>
          </w:p>
        </w:tc>
        <w:tc>
          <w:tcPr>
            <w:tcW w:w="0" w:type="auto"/>
            <w:gridSpan w:val="2"/>
            <w:shd w:val="clear" w:color="auto" w:fill="E2EFD9"/>
            <w:tcMar>
              <w:top w:w="40" w:type="dxa"/>
              <w:left w:w="20" w:type="dxa"/>
              <w:bottom w:w="40" w:type="dxa"/>
              <w:right w:w="0" w:type="dxa"/>
            </w:tcMar>
            <w:vAlign w:val="bottom"/>
          </w:tcPr>
          <w:p w14:paraId="0D8DED89" w14:textId="77777777" w:rsidR="004C2197" w:rsidRDefault="00863B83">
            <w:pPr>
              <w:jc w:val="right"/>
              <w:textAlignment w:val="bottom"/>
            </w:pPr>
            <w:r>
              <w:rPr>
                <w:rFonts w:ascii="sans-serif" w:eastAsia="sans-serif" w:hAnsi="sans-serif" w:cs="sans-serif"/>
                <w:color w:val="000000"/>
                <w:sz w:val="20"/>
                <w:szCs w:val="20"/>
              </w:rPr>
              <w:t>344 </w:t>
            </w:r>
          </w:p>
        </w:tc>
        <w:tc>
          <w:tcPr>
            <w:tcW w:w="0" w:type="auto"/>
            <w:shd w:val="clear" w:color="auto" w:fill="E2EFD9"/>
            <w:tcMar>
              <w:top w:w="40" w:type="dxa"/>
              <w:bottom w:w="40" w:type="dxa"/>
              <w:right w:w="20" w:type="dxa"/>
            </w:tcMar>
            <w:vAlign w:val="bottom"/>
          </w:tcPr>
          <w:p w14:paraId="0D8DED8A" w14:textId="77777777" w:rsidR="004C2197" w:rsidRDefault="004C2197">
            <w:pPr>
              <w:jc w:val="right"/>
              <w:rPr>
                <w:rFonts w:ascii="宋体"/>
              </w:rPr>
            </w:pPr>
          </w:p>
        </w:tc>
      </w:tr>
      <w:tr w:rsidR="004C2197" w14:paraId="0D8DED8F" w14:textId="77777777">
        <w:trPr>
          <w:jc w:val="center"/>
        </w:trPr>
        <w:tc>
          <w:tcPr>
            <w:tcW w:w="0" w:type="auto"/>
            <w:gridSpan w:val="3"/>
            <w:shd w:val="clear" w:color="auto" w:fill="FFFFFF"/>
            <w:tcMar>
              <w:top w:w="40" w:type="dxa"/>
              <w:left w:w="225" w:type="dxa"/>
              <w:bottom w:w="40" w:type="dxa"/>
              <w:right w:w="20" w:type="dxa"/>
            </w:tcMar>
            <w:vAlign w:val="bottom"/>
          </w:tcPr>
          <w:p w14:paraId="0D8DED8C" w14:textId="77777777" w:rsidR="004C2197" w:rsidRDefault="00863B83">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D8D" w14:textId="77777777" w:rsidR="004C2197" w:rsidRDefault="00863B83">
            <w:pPr>
              <w:jc w:val="right"/>
              <w:textAlignment w:val="bottom"/>
            </w:pPr>
            <w:r>
              <w:rPr>
                <w:rFonts w:ascii="sans-serif" w:eastAsia="sans-serif" w:hAnsi="sans-serif" w:cs="sans-serif"/>
                <w:color w:val="000000"/>
                <w:sz w:val="20"/>
                <w:szCs w:val="20"/>
              </w:rPr>
              <w:t>855 </w:t>
            </w:r>
          </w:p>
        </w:tc>
        <w:tc>
          <w:tcPr>
            <w:tcW w:w="0" w:type="auto"/>
            <w:tcBorders>
              <w:top w:val="single" w:sz="8" w:space="0" w:color="000000"/>
            </w:tcBorders>
            <w:shd w:val="clear" w:color="auto" w:fill="FFFFFF"/>
            <w:tcMar>
              <w:top w:w="40" w:type="dxa"/>
              <w:bottom w:w="40" w:type="dxa"/>
              <w:right w:w="20" w:type="dxa"/>
            </w:tcMar>
            <w:vAlign w:val="bottom"/>
          </w:tcPr>
          <w:p w14:paraId="0D8DED8E" w14:textId="77777777" w:rsidR="004C2197" w:rsidRDefault="004C2197">
            <w:pPr>
              <w:jc w:val="right"/>
              <w:rPr>
                <w:rFonts w:ascii="宋体"/>
              </w:rPr>
            </w:pPr>
          </w:p>
        </w:tc>
      </w:tr>
      <w:tr w:rsidR="004C2197" w14:paraId="0D8DED93" w14:textId="77777777">
        <w:trPr>
          <w:jc w:val="center"/>
        </w:trPr>
        <w:tc>
          <w:tcPr>
            <w:tcW w:w="0" w:type="auto"/>
            <w:gridSpan w:val="3"/>
            <w:shd w:val="clear" w:color="auto" w:fill="E2EFD9"/>
            <w:tcMar>
              <w:top w:w="40" w:type="dxa"/>
              <w:left w:w="20" w:type="dxa"/>
              <w:bottom w:w="40" w:type="dxa"/>
              <w:right w:w="20" w:type="dxa"/>
            </w:tcMar>
            <w:vAlign w:val="bottom"/>
          </w:tcPr>
          <w:p w14:paraId="0D8DED90" w14:textId="77777777" w:rsidR="004C2197" w:rsidRDefault="00863B83">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0D8DED91" w14:textId="77777777" w:rsidR="004C2197" w:rsidRDefault="00863B83">
            <w:pPr>
              <w:jc w:val="right"/>
              <w:textAlignment w:val="bottom"/>
            </w:pPr>
            <w:r>
              <w:rPr>
                <w:rFonts w:ascii="sans-serif" w:eastAsia="sans-serif" w:hAnsi="sans-serif" w:cs="sans-serif"/>
                <w:color w:val="000000"/>
                <w:sz w:val="20"/>
                <w:szCs w:val="20"/>
              </w:rPr>
              <w:t>120 </w:t>
            </w:r>
          </w:p>
        </w:tc>
        <w:tc>
          <w:tcPr>
            <w:tcW w:w="0" w:type="auto"/>
            <w:shd w:val="clear" w:color="auto" w:fill="E2EFD9"/>
            <w:tcMar>
              <w:top w:w="40" w:type="dxa"/>
              <w:bottom w:w="40" w:type="dxa"/>
              <w:right w:w="20" w:type="dxa"/>
            </w:tcMar>
            <w:vAlign w:val="bottom"/>
          </w:tcPr>
          <w:p w14:paraId="0D8DED92" w14:textId="77777777" w:rsidR="004C2197" w:rsidRDefault="004C2197">
            <w:pPr>
              <w:jc w:val="right"/>
              <w:rPr>
                <w:rFonts w:ascii="宋体"/>
              </w:rPr>
            </w:pPr>
          </w:p>
        </w:tc>
      </w:tr>
      <w:tr w:rsidR="004C2197" w14:paraId="0D8DED97" w14:textId="77777777">
        <w:trPr>
          <w:jc w:val="center"/>
        </w:trPr>
        <w:tc>
          <w:tcPr>
            <w:tcW w:w="0" w:type="auto"/>
            <w:gridSpan w:val="3"/>
            <w:shd w:val="clear" w:color="auto" w:fill="FFFFFF"/>
            <w:tcMar>
              <w:top w:w="40" w:type="dxa"/>
              <w:left w:w="20" w:type="dxa"/>
              <w:bottom w:w="40" w:type="dxa"/>
              <w:right w:w="20" w:type="dxa"/>
            </w:tcMar>
            <w:vAlign w:val="bottom"/>
          </w:tcPr>
          <w:p w14:paraId="0D8DED94" w14:textId="77777777" w:rsidR="004C2197" w:rsidRDefault="00863B83">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ED95" w14:textId="77777777" w:rsidR="004C2197" w:rsidRDefault="00863B83">
            <w:pPr>
              <w:jc w:val="right"/>
              <w:textAlignment w:val="bottom"/>
            </w:pPr>
            <w:r>
              <w:rPr>
                <w:rFonts w:ascii="sans-serif" w:eastAsia="sans-serif" w:hAnsi="sans-serif" w:cs="sans-serif"/>
                <w:color w:val="000000"/>
                <w:sz w:val="20"/>
                <w:szCs w:val="20"/>
              </w:rPr>
              <w:t>735 </w:t>
            </w:r>
          </w:p>
        </w:tc>
        <w:tc>
          <w:tcPr>
            <w:tcW w:w="0" w:type="auto"/>
            <w:tcBorders>
              <w:top w:val="single" w:sz="8" w:space="0" w:color="000000"/>
            </w:tcBorders>
            <w:shd w:val="clear" w:color="auto" w:fill="FFFFFF"/>
            <w:tcMar>
              <w:top w:w="40" w:type="dxa"/>
              <w:bottom w:w="40" w:type="dxa"/>
              <w:right w:w="20" w:type="dxa"/>
            </w:tcMar>
            <w:vAlign w:val="bottom"/>
          </w:tcPr>
          <w:p w14:paraId="0D8DED96" w14:textId="77777777" w:rsidR="004C2197" w:rsidRDefault="004C2197">
            <w:pPr>
              <w:jc w:val="right"/>
              <w:rPr>
                <w:rFonts w:ascii="宋体"/>
              </w:rPr>
            </w:pPr>
          </w:p>
        </w:tc>
      </w:tr>
      <w:tr w:rsidR="004C2197" w14:paraId="0D8DED9B" w14:textId="77777777">
        <w:trPr>
          <w:jc w:val="center"/>
        </w:trPr>
        <w:tc>
          <w:tcPr>
            <w:tcW w:w="0" w:type="auto"/>
            <w:gridSpan w:val="3"/>
            <w:shd w:val="clear" w:color="auto" w:fill="E2EFD9"/>
            <w:tcMar>
              <w:top w:w="40" w:type="dxa"/>
              <w:left w:w="20" w:type="dxa"/>
              <w:bottom w:w="40" w:type="dxa"/>
              <w:right w:w="20" w:type="dxa"/>
            </w:tcMar>
            <w:vAlign w:val="bottom"/>
          </w:tcPr>
          <w:p w14:paraId="0D8DED98" w14:textId="77777777" w:rsidR="004C2197" w:rsidRDefault="00863B83">
            <w:pPr>
              <w:textAlignment w:val="bottom"/>
            </w:pPr>
            <w:r>
              <w:rPr>
                <w:rFonts w:ascii="sans-serif" w:eastAsia="sans-serif" w:hAnsi="sans-serif" w:cs="sans-serif"/>
                <w:color w:val="000000"/>
                <w:sz w:val="20"/>
                <w:szCs w:val="20"/>
              </w:rPr>
              <w:t xml:space="preserve">Less short-term </w:t>
            </w:r>
            <w:r>
              <w:rPr>
                <w:rFonts w:ascii="sans-serif" w:eastAsia="sans-serif" w:hAnsi="sans-serif" w:cs="sans-serif"/>
                <w:color w:val="000000"/>
                <w:sz w:val="20"/>
                <w:szCs w:val="20"/>
              </w:rPr>
              <w:t>operating lease liabilities</w:t>
            </w:r>
          </w:p>
        </w:tc>
        <w:tc>
          <w:tcPr>
            <w:tcW w:w="0" w:type="auto"/>
            <w:gridSpan w:val="2"/>
            <w:shd w:val="clear" w:color="auto" w:fill="E2EFD9"/>
            <w:tcMar>
              <w:top w:w="40" w:type="dxa"/>
              <w:left w:w="20" w:type="dxa"/>
              <w:bottom w:w="40" w:type="dxa"/>
              <w:right w:w="0" w:type="dxa"/>
            </w:tcMar>
            <w:vAlign w:val="bottom"/>
          </w:tcPr>
          <w:p w14:paraId="0D8DED99" w14:textId="77777777" w:rsidR="004C2197" w:rsidRDefault="00863B83">
            <w:pPr>
              <w:jc w:val="right"/>
              <w:textAlignment w:val="bottom"/>
            </w:pPr>
            <w:r>
              <w:rPr>
                <w:rFonts w:ascii="sans-serif" w:eastAsia="sans-serif" w:hAnsi="sans-serif" w:cs="sans-serif"/>
                <w:color w:val="000000"/>
                <w:sz w:val="20"/>
                <w:szCs w:val="20"/>
              </w:rPr>
              <w:t>124 </w:t>
            </w:r>
          </w:p>
        </w:tc>
        <w:tc>
          <w:tcPr>
            <w:tcW w:w="0" w:type="auto"/>
            <w:shd w:val="clear" w:color="auto" w:fill="E2EFD9"/>
            <w:tcMar>
              <w:top w:w="40" w:type="dxa"/>
              <w:bottom w:w="40" w:type="dxa"/>
              <w:right w:w="20" w:type="dxa"/>
            </w:tcMar>
            <w:vAlign w:val="bottom"/>
          </w:tcPr>
          <w:p w14:paraId="0D8DED9A" w14:textId="77777777" w:rsidR="004C2197" w:rsidRDefault="004C2197">
            <w:pPr>
              <w:jc w:val="right"/>
              <w:rPr>
                <w:rFonts w:ascii="宋体"/>
              </w:rPr>
            </w:pPr>
          </w:p>
        </w:tc>
      </w:tr>
      <w:tr w:rsidR="004C2197" w14:paraId="0D8DEDA0" w14:textId="77777777">
        <w:trPr>
          <w:jc w:val="center"/>
        </w:trPr>
        <w:tc>
          <w:tcPr>
            <w:tcW w:w="0" w:type="auto"/>
            <w:gridSpan w:val="3"/>
            <w:shd w:val="clear" w:color="auto" w:fill="FFFFFF"/>
            <w:tcMar>
              <w:top w:w="40" w:type="dxa"/>
              <w:left w:w="225" w:type="dxa"/>
              <w:bottom w:w="40" w:type="dxa"/>
              <w:right w:w="20" w:type="dxa"/>
            </w:tcMar>
            <w:vAlign w:val="bottom"/>
          </w:tcPr>
          <w:p w14:paraId="0D8DED9C" w14:textId="77777777" w:rsidR="004C2197" w:rsidRDefault="00863B83">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D9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D9E" w14:textId="77777777" w:rsidR="004C2197" w:rsidRDefault="00863B83">
            <w:pPr>
              <w:jc w:val="right"/>
              <w:textAlignment w:val="bottom"/>
            </w:pPr>
            <w:r>
              <w:rPr>
                <w:rFonts w:ascii="sans-serif" w:eastAsia="sans-serif" w:hAnsi="sans-serif" w:cs="sans-serif"/>
                <w:color w:val="000000"/>
                <w:sz w:val="20"/>
                <w:szCs w:val="20"/>
              </w:rPr>
              <w:t>611 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D9F" w14:textId="77777777" w:rsidR="004C2197" w:rsidRDefault="004C2197">
            <w:pPr>
              <w:jc w:val="right"/>
              <w:rPr>
                <w:rFonts w:ascii="宋体"/>
              </w:rPr>
            </w:pPr>
          </w:p>
        </w:tc>
      </w:tr>
    </w:tbl>
    <w:p w14:paraId="0D8DEDA1" w14:textId="77777777" w:rsidR="004C2197" w:rsidRDefault="00863B83">
      <w:pPr>
        <w:spacing w:before="360" w:after="180"/>
        <w:jc w:val="both"/>
      </w:pPr>
      <w:r>
        <w:rPr>
          <w:rFonts w:ascii="sans-serif" w:eastAsia="sans-serif" w:hAnsi="sans-serif" w:cs="sans-serif"/>
          <w:color w:val="000000"/>
          <w:sz w:val="20"/>
          <w:szCs w:val="20"/>
        </w:rPr>
        <w:t>Operating lease expense was $35 million and $28 million for the second quarter of fiscal years 2021 and 2020, respectively, and $67 million and $55 million for the first half of fiscal years 2021 and 2020, respectively. Short-term and variable lease expens</w:t>
      </w:r>
      <w:r>
        <w:rPr>
          <w:rFonts w:ascii="sans-serif" w:eastAsia="sans-serif" w:hAnsi="sans-serif" w:cs="sans-serif"/>
          <w:color w:val="000000"/>
          <w:sz w:val="20"/>
          <w:szCs w:val="20"/>
        </w:rPr>
        <w:t xml:space="preserve">es for the second quarter and first half of fiscal years 2021 and 2020 were not significant. </w:t>
      </w:r>
    </w:p>
    <w:p w14:paraId="0D8DEDA2" w14:textId="77777777" w:rsidR="004C2197" w:rsidRDefault="00863B83">
      <w:pPr>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289"/>
        <w:gridCol w:w="36"/>
        <w:gridCol w:w="137"/>
        <w:gridCol w:w="1152"/>
        <w:gridCol w:w="41"/>
        <w:gridCol w:w="36"/>
        <w:gridCol w:w="36"/>
        <w:gridCol w:w="36"/>
        <w:gridCol w:w="137"/>
        <w:gridCol w:w="1142"/>
        <w:gridCol w:w="41"/>
        <w:gridCol w:w="36"/>
        <w:gridCol w:w="36"/>
        <w:gridCol w:w="36"/>
        <w:gridCol w:w="36"/>
        <w:gridCol w:w="36"/>
        <w:gridCol w:w="36"/>
      </w:tblGrid>
      <w:tr w:rsidR="004C2197" w14:paraId="0D8DEDAF" w14:textId="77777777">
        <w:trPr>
          <w:gridAfter w:val="6"/>
        </w:trPr>
        <w:tc>
          <w:tcPr>
            <w:tcW w:w="50" w:type="pct"/>
            <w:shd w:val="clear" w:color="auto" w:fill="auto"/>
          </w:tcPr>
          <w:p w14:paraId="0D8DEDA3" w14:textId="77777777" w:rsidR="004C2197" w:rsidRDefault="004C2197">
            <w:pPr>
              <w:rPr>
                <w:rFonts w:ascii="宋体"/>
              </w:rPr>
            </w:pPr>
          </w:p>
        </w:tc>
        <w:tc>
          <w:tcPr>
            <w:tcW w:w="3292" w:type="pct"/>
            <w:shd w:val="clear" w:color="auto" w:fill="auto"/>
          </w:tcPr>
          <w:p w14:paraId="0D8DEDA4" w14:textId="77777777" w:rsidR="004C2197" w:rsidRDefault="004C2197">
            <w:pPr>
              <w:rPr>
                <w:rFonts w:ascii="宋体"/>
              </w:rPr>
            </w:pPr>
          </w:p>
        </w:tc>
        <w:tc>
          <w:tcPr>
            <w:tcW w:w="5" w:type="pct"/>
            <w:shd w:val="clear" w:color="auto" w:fill="auto"/>
          </w:tcPr>
          <w:p w14:paraId="0D8DEDA5" w14:textId="77777777" w:rsidR="004C2197" w:rsidRDefault="004C2197">
            <w:pPr>
              <w:rPr>
                <w:rFonts w:ascii="宋体"/>
              </w:rPr>
            </w:pPr>
          </w:p>
        </w:tc>
        <w:tc>
          <w:tcPr>
            <w:tcW w:w="50" w:type="pct"/>
            <w:shd w:val="clear" w:color="auto" w:fill="auto"/>
          </w:tcPr>
          <w:p w14:paraId="0D8DEDA6" w14:textId="77777777" w:rsidR="004C2197" w:rsidRDefault="004C2197">
            <w:pPr>
              <w:rPr>
                <w:rFonts w:ascii="宋体"/>
              </w:rPr>
            </w:pPr>
          </w:p>
        </w:tc>
        <w:tc>
          <w:tcPr>
            <w:tcW w:w="741" w:type="pct"/>
            <w:shd w:val="clear" w:color="auto" w:fill="auto"/>
          </w:tcPr>
          <w:p w14:paraId="0D8DEDA7" w14:textId="77777777" w:rsidR="004C2197" w:rsidRDefault="004C2197">
            <w:pPr>
              <w:rPr>
                <w:rFonts w:ascii="宋体"/>
              </w:rPr>
            </w:pPr>
          </w:p>
        </w:tc>
        <w:tc>
          <w:tcPr>
            <w:tcW w:w="5" w:type="pct"/>
            <w:shd w:val="clear" w:color="auto" w:fill="auto"/>
          </w:tcPr>
          <w:p w14:paraId="0D8DEDA8" w14:textId="77777777" w:rsidR="004C2197" w:rsidRDefault="004C2197">
            <w:pPr>
              <w:rPr>
                <w:rFonts w:ascii="宋体"/>
              </w:rPr>
            </w:pPr>
          </w:p>
        </w:tc>
        <w:tc>
          <w:tcPr>
            <w:tcW w:w="5" w:type="pct"/>
            <w:shd w:val="clear" w:color="auto" w:fill="auto"/>
          </w:tcPr>
          <w:p w14:paraId="0D8DEDA9" w14:textId="77777777" w:rsidR="004C2197" w:rsidRDefault="004C2197">
            <w:pPr>
              <w:rPr>
                <w:rFonts w:ascii="宋体"/>
              </w:rPr>
            </w:pPr>
          </w:p>
        </w:tc>
        <w:tc>
          <w:tcPr>
            <w:tcW w:w="48" w:type="pct"/>
            <w:shd w:val="clear" w:color="auto" w:fill="auto"/>
          </w:tcPr>
          <w:p w14:paraId="0D8DEDAA" w14:textId="77777777" w:rsidR="004C2197" w:rsidRDefault="004C2197">
            <w:pPr>
              <w:rPr>
                <w:rFonts w:ascii="宋体"/>
              </w:rPr>
            </w:pPr>
          </w:p>
        </w:tc>
        <w:tc>
          <w:tcPr>
            <w:tcW w:w="5" w:type="pct"/>
            <w:shd w:val="clear" w:color="auto" w:fill="auto"/>
          </w:tcPr>
          <w:p w14:paraId="0D8DEDAB" w14:textId="77777777" w:rsidR="004C2197" w:rsidRDefault="004C2197">
            <w:pPr>
              <w:rPr>
                <w:rFonts w:ascii="宋体"/>
              </w:rPr>
            </w:pPr>
          </w:p>
        </w:tc>
        <w:tc>
          <w:tcPr>
            <w:tcW w:w="50" w:type="pct"/>
            <w:shd w:val="clear" w:color="auto" w:fill="auto"/>
          </w:tcPr>
          <w:p w14:paraId="0D8DEDAC" w14:textId="77777777" w:rsidR="004C2197" w:rsidRDefault="004C2197">
            <w:pPr>
              <w:rPr>
                <w:rFonts w:ascii="宋体"/>
              </w:rPr>
            </w:pPr>
          </w:p>
        </w:tc>
        <w:tc>
          <w:tcPr>
            <w:tcW w:w="741" w:type="pct"/>
            <w:shd w:val="clear" w:color="auto" w:fill="auto"/>
          </w:tcPr>
          <w:p w14:paraId="0D8DEDAD" w14:textId="77777777" w:rsidR="004C2197" w:rsidRDefault="004C2197">
            <w:pPr>
              <w:rPr>
                <w:rFonts w:ascii="宋体"/>
              </w:rPr>
            </w:pPr>
          </w:p>
        </w:tc>
        <w:tc>
          <w:tcPr>
            <w:tcW w:w="5" w:type="pct"/>
            <w:shd w:val="clear" w:color="auto" w:fill="auto"/>
          </w:tcPr>
          <w:p w14:paraId="0D8DEDAE" w14:textId="77777777" w:rsidR="004C2197" w:rsidRDefault="004C2197">
            <w:pPr>
              <w:rPr>
                <w:rFonts w:ascii="宋体"/>
              </w:rPr>
            </w:pPr>
          </w:p>
        </w:tc>
      </w:tr>
      <w:tr w:rsidR="004C2197" w14:paraId="0D8DEDB4" w14:textId="77777777">
        <w:tc>
          <w:tcPr>
            <w:tcW w:w="0" w:type="auto"/>
            <w:gridSpan w:val="3"/>
            <w:shd w:val="clear" w:color="auto" w:fill="auto"/>
            <w:tcMar>
              <w:left w:w="20" w:type="dxa"/>
              <w:right w:w="20" w:type="dxa"/>
            </w:tcMar>
            <w:vAlign w:val="bottom"/>
          </w:tcPr>
          <w:p w14:paraId="0D8DEDB0"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DB1"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EDB2" w14:textId="77777777" w:rsidR="004C2197" w:rsidRDefault="004C2197">
            <w:pPr>
              <w:rPr>
                <w:rFonts w:ascii="宋体"/>
                <w:vanish/>
              </w:rPr>
            </w:pPr>
          </w:p>
        </w:tc>
        <w:tc>
          <w:tcPr>
            <w:tcW w:w="0" w:type="auto"/>
            <w:gridSpan w:val="3"/>
            <w:shd w:val="clear" w:color="auto" w:fill="auto"/>
          </w:tcPr>
          <w:p w14:paraId="0D8DEDB3" w14:textId="77777777" w:rsidR="004C2197" w:rsidRDefault="004C2197">
            <w:pPr>
              <w:rPr>
                <w:rFonts w:ascii="宋体"/>
                <w:vanish/>
              </w:rPr>
            </w:pPr>
          </w:p>
        </w:tc>
      </w:tr>
      <w:tr w:rsidR="004C2197" w14:paraId="0D8DEDBF" w14:textId="77777777">
        <w:tc>
          <w:tcPr>
            <w:tcW w:w="0" w:type="auto"/>
            <w:gridSpan w:val="3"/>
            <w:shd w:val="clear" w:color="auto" w:fill="auto"/>
            <w:tcMar>
              <w:left w:w="20" w:type="dxa"/>
              <w:right w:w="20" w:type="dxa"/>
            </w:tcMar>
            <w:vAlign w:val="bottom"/>
          </w:tcPr>
          <w:p w14:paraId="0D8DEDB5"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DB6"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tcBorders>
              <w:top w:val="single" w:sz="8" w:space="0" w:color="000000"/>
            </w:tcBorders>
            <w:shd w:val="clear" w:color="auto" w:fill="auto"/>
            <w:tcMar>
              <w:left w:w="20" w:type="dxa"/>
              <w:right w:w="20" w:type="dxa"/>
            </w:tcMar>
            <w:vAlign w:val="bottom"/>
          </w:tcPr>
          <w:p w14:paraId="0D8DEDB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DB8" w14:textId="77777777" w:rsidR="004C2197" w:rsidRDefault="00863B83">
            <w:pPr>
              <w:jc w:val="center"/>
              <w:textAlignment w:val="bottom"/>
            </w:pPr>
            <w:r>
              <w:rPr>
                <w:rFonts w:ascii="sans-serif" w:eastAsia="sans-serif" w:hAnsi="sans-serif" w:cs="sans-serif"/>
                <w:b/>
                <w:bCs/>
                <w:color w:val="000000"/>
                <w:sz w:val="20"/>
                <w:szCs w:val="20"/>
              </w:rPr>
              <w:t>July 28, 2019</w:t>
            </w:r>
          </w:p>
        </w:tc>
        <w:tc>
          <w:tcPr>
            <w:tcW w:w="0" w:type="auto"/>
            <w:shd w:val="clear" w:color="auto" w:fill="auto"/>
          </w:tcPr>
          <w:p w14:paraId="0D8DEDB9" w14:textId="77777777" w:rsidR="004C2197" w:rsidRDefault="004C2197">
            <w:pPr>
              <w:rPr>
                <w:rFonts w:ascii="宋体"/>
              </w:rPr>
            </w:pPr>
          </w:p>
        </w:tc>
        <w:tc>
          <w:tcPr>
            <w:tcW w:w="0" w:type="auto"/>
            <w:shd w:val="clear" w:color="auto" w:fill="auto"/>
          </w:tcPr>
          <w:p w14:paraId="0D8DEDBA" w14:textId="77777777" w:rsidR="004C2197" w:rsidRDefault="004C2197">
            <w:pPr>
              <w:rPr>
                <w:rFonts w:ascii="宋体"/>
              </w:rPr>
            </w:pPr>
          </w:p>
        </w:tc>
        <w:tc>
          <w:tcPr>
            <w:tcW w:w="0" w:type="auto"/>
            <w:shd w:val="clear" w:color="auto" w:fill="auto"/>
          </w:tcPr>
          <w:p w14:paraId="0D8DEDBB" w14:textId="77777777" w:rsidR="004C2197" w:rsidRDefault="004C2197">
            <w:pPr>
              <w:rPr>
                <w:rFonts w:ascii="宋体"/>
              </w:rPr>
            </w:pPr>
          </w:p>
        </w:tc>
        <w:tc>
          <w:tcPr>
            <w:tcW w:w="0" w:type="auto"/>
            <w:shd w:val="clear" w:color="auto" w:fill="auto"/>
          </w:tcPr>
          <w:p w14:paraId="0D8DEDBC" w14:textId="77777777" w:rsidR="004C2197" w:rsidRDefault="004C2197">
            <w:pPr>
              <w:rPr>
                <w:rFonts w:ascii="宋体"/>
              </w:rPr>
            </w:pPr>
          </w:p>
        </w:tc>
        <w:tc>
          <w:tcPr>
            <w:tcW w:w="0" w:type="auto"/>
            <w:shd w:val="clear" w:color="auto" w:fill="auto"/>
          </w:tcPr>
          <w:p w14:paraId="0D8DEDBD" w14:textId="77777777" w:rsidR="004C2197" w:rsidRDefault="004C2197">
            <w:pPr>
              <w:rPr>
                <w:rFonts w:ascii="宋体"/>
              </w:rPr>
            </w:pPr>
          </w:p>
        </w:tc>
        <w:tc>
          <w:tcPr>
            <w:tcW w:w="0" w:type="auto"/>
            <w:shd w:val="clear" w:color="auto" w:fill="auto"/>
          </w:tcPr>
          <w:p w14:paraId="0D8DEDBE" w14:textId="77777777" w:rsidR="004C2197" w:rsidRDefault="004C2197">
            <w:pPr>
              <w:rPr>
                <w:rFonts w:ascii="宋体"/>
              </w:rPr>
            </w:pPr>
          </w:p>
        </w:tc>
      </w:tr>
      <w:tr w:rsidR="004C2197" w14:paraId="0D8DEDCA" w14:textId="77777777">
        <w:trPr>
          <w:trHeight w:val="60"/>
        </w:trPr>
        <w:tc>
          <w:tcPr>
            <w:tcW w:w="0" w:type="auto"/>
            <w:gridSpan w:val="3"/>
            <w:shd w:val="clear" w:color="auto" w:fill="auto"/>
            <w:tcMar>
              <w:left w:w="20" w:type="dxa"/>
              <w:right w:w="20" w:type="dxa"/>
            </w:tcMar>
            <w:vAlign w:val="bottom"/>
          </w:tcPr>
          <w:p w14:paraId="0D8DEDC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DC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DC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DC3" w14:textId="77777777" w:rsidR="004C2197" w:rsidRDefault="004C2197">
            <w:pPr>
              <w:rPr>
                <w:rFonts w:ascii="宋体"/>
              </w:rPr>
            </w:pPr>
          </w:p>
        </w:tc>
        <w:tc>
          <w:tcPr>
            <w:tcW w:w="0" w:type="auto"/>
            <w:shd w:val="clear" w:color="auto" w:fill="auto"/>
          </w:tcPr>
          <w:p w14:paraId="0D8DEDC4" w14:textId="77777777" w:rsidR="004C2197" w:rsidRDefault="004C2197">
            <w:pPr>
              <w:rPr>
                <w:rFonts w:ascii="宋体"/>
              </w:rPr>
            </w:pPr>
          </w:p>
        </w:tc>
        <w:tc>
          <w:tcPr>
            <w:tcW w:w="0" w:type="auto"/>
            <w:shd w:val="clear" w:color="auto" w:fill="auto"/>
          </w:tcPr>
          <w:p w14:paraId="0D8DEDC5" w14:textId="77777777" w:rsidR="004C2197" w:rsidRDefault="004C2197">
            <w:pPr>
              <w:rPr>
                <w:rFonts w:ascii="宋体"/>
              </w:rPr>
            </w:pPr>
          </w:p>
        </w:tc>
        <w:tc>
          <w:tcPr>
            <w:tcW w:w="0" w:type="auto"/>
            <w:shd w:val="clear" w:color="auto" w:fill="auto"/>
          </w:tcPr>
          <w:p w14:paraId="0D8DEDC6" w14:textId="77777777" w:rsidR="004C2197" w:rsidRDefault="004C2197">
            <w:pPr>
              <w:rPr>
                <w:rFonts w:ascii="宋体"/>
              </w:rPr>
            </w:pPr>
          </w:p>
        </w:tc>
        <w:tc>
          <w:tcPr>
            <w:tcW w:w="0" w:type="auto"/>
            <w:shd w:val="clear" w:color="auto" w:fill="auto"/>
          </w:tcPr>
          <w:p w14:paraId="0D8DEDC7" w14:textId="77777777" w:rsidR="004C2197" w:rsidRDefault="004C2197">
            <w:pPr>
              <w:rPr>
                <w:rFonts w:ascii="宋体"/>
              </w:rPr>
            </w:pPr>
          </w:p>
        </w:tc>
        <w:tc>
          <w:tcPr>
            <w:tcW w:w="0" w:type="auto"/>
            <w:shd w:val="clear" w:color="auto" w:fill="auto"/>
          </w:tcPr>
          <w:p w14:paraId="0D8DEDC8" w14:textId="77777777" w:rsidR="004C2197" w:rsidRDefault="004C2197">
            <w:pPr>
              <w:rPr>
                <w:rFonts w:ascii="宋体"/>
              </w:rPr>
            </w:pPr>
          </w:p>
        </w:tc>
        <w:tc>
          <w:tcPr>
            <w:tcW w:w="0" w:type="auto"/>
            <w:shd w:val="clear" w:color="auto" w:fill="auto"/>
          </w:tcPr>
          <w:p w14:paraId="0D8DEDC9" w14:textId="77777777" w:rsidR="004C2197" w:rsidRDefault="004C2197">
            <w:pPr>
              <w:rPr>
                <w:rFonts w:ascii="宋体"/>
              </w:rPr>
            </w:pPr>
          </w:p>
        </w:tc>
      </w:tr>
      <w:tr w:rsidR="004C2197" w14:paraId="0D8DEDCF" w14:textId="77777777">
        <w:tc>
          <w:tcPr>
            <w:tcW w:w="0" w:type="auto"/>
            <w:gridSpan w:val="3"/>
            <w:shd w:val="clear" w:color="auto" w:fill="auto"/>
            <w:tcMar>
              <w:top w:w="40" w:type="dxa"/>
              <w:left w:w="20" w:type="dxa"/>
              <w:bottom w:w="40" w:type="dxa"/>
              <w:right w:w="20" w:type="dxa"/>
            </w:tcMar>
            <w:vAlign w:val="bottom"/>
          </w:tcPr>
          <w:p w14:paraId="0D8DEDCB"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DEDCC"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EDCD" w14:textId="77777777" w:rsidR="004C2197" w:rsidRDefault="004C2197">
            <w:pPr>
              <w:rPr>
                <w:rFonts w:ascii="宋体"/>
                <w:vanish/>
              </w:rPr>
            </w:pPr>
          </w:p>
        </w:tc>
        <w:tc>
          <w:tcPr>
            <w:tcW w:w="0" w:type="auto"/>
            <w:gridSpan w:val="3"/>
            <w:shd w:val="clear" w:color="auto" w:fill="auto"/>
          </w:tcPr>
          <w:p w14:paraId="0D8DEDCE" w14:textId="77777777" w:rsidR="004C2197" w:rsidRDefault="004C2197">
            <w:pPr>
              <w:rPr>
                <w:rFonts w:ascii="宋体"/>
                <w:vanish/>
              </w:rPr>
            </w:pPr>
          </w:p>
        </w:tc>
      </w:tr>
      <w:tr w:rsidR="004C2197" w14:paraId="0D8DEDDA" w14:textId="77777777">
        <w:tc>
          <w:tcPr>
            <w:tcW w:w="0" w:type="auto"/>
            <w:gridSpan w:val="3"/>
            <w:shd w:val="clear" w:color="auto" w:fill="E2EFD9"/>
            <w:tcMar>
              <w:top w:w="40" w:type="dxa"/>
              <w:left w:w="20" w:type="dxa"/>
              <w:bottom w:w="40" w:type="dxa"/>
              <w:right w:w="20" w:type="dxa"/>
            </w:tcMar>
            <w:vAlign w:val="bottom"/>
          </w:tcPr>
          <w:p w14:paraId="0D8DEDD0" w14:textId="77777777" w:rsidR="004C2197" w:rsidRDefault="00863B83">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left w:w="20" w:type="dxa"/>
              <w:right w:w="20" w:type="dxa"/>
            </w:tcMar>
            <w:vAlign w:val="bottom"/>
          </w:tcPr>
          <w:p w14:paraId="0D8DEDD1"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EDD2"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EDD3" w14:textId="77777777" w:rsidR="004C2197" w:rsidRDefault="00863B83">
            <w:pPr>
              <w:textAlignment w:val="bottom"/>
            </w:pPr>
            <w:r>
              <w:rPr>
                <w:rFonts w:ascii="sans-serif" w:eastAsia="sans-serif" w:hAnsi="sans-serif" w:cs="sans-serif"/>
                <w:color w:val="000000"/>
                <w:sz w:val="20"/>
                <w:szCs w:val="20"/>
              </w:rPr>
              <w:t> </w:t>
            </w:r>
          </w:p>
        </w:tc>
        <w:tc>
          <w:tcPr>
            <w:tcW w:w="0" w:type="auto"/>
            <w:shd w:val="clear" w:color="auto" w:fill="auto"/>
          </w:tcPr>
          <w:p w14:paraId="0D8DEDD4" w14:textId="77777777" w:rsidR="004C2197" w:rsidRDefault="004C2197">
            <w:pPr>
              <w:rPr>
                <w:rFonts w:ascii="宋体"/>
              </w:rPr>
            </w:pPr>
          </w:p>
        </w:tc>
        <w:tc>
          <w:tcPr>
            <w:tcW w:w="0" w:type="auto"/>
            <w:shd w:val="clear" w:color="auto" w:fill="auto"/>
          </w:tcPr>
          <w:p w14:paraId="0D8DEDD5" w14:textId="77777777" w:rsidR="004C2197" w:rsidRDefault="004C2197">
            <w:pPr>
              <w:rPr>
                <w:rFonts w:ascii="宋体"/>
              </w:rPr>
            </w:pPr>
          </w:p>
        </w:tc>
        <w:tc>
          <w:tcPr>
            <w:tcW w:w="0" w:type="auto"/>
            <w:shd w:val="clear" w:color="auto" w:fill="auto"/>
          </w:tcPr>
          <w:p w14:paraId="0D8DEDD6" w14:textId="77777777" w:rsidR="004C2197" w:rsidRDefault="004C2197">
            <w:pPr>
              <w:rPr>
                <w:rFonts w:ascii="宋体"/>
              </w:rPr>
            </w:pPr>
          </w:p>
        </w:tc>
        <w:tc>
          <w:tcPr>
            <w:tcW w:w="0" w:type="auto"/>
            <w:shd w:val="clear" w:color="auto" w:fill="auto"/>
          </w:tcPr>
          <w:p w14:paraId="0D8DEDD7" w14:textId="77777777" w:rsidR="004C2197" w:rsidRDefault="004C2197">
            <w:pPr>
              <w:rPr>
                <w:rFonts w:ascii="宋体"/>
              </w:rPr>
            </w:pPr>
          </w:p>
        </w:tc>
        <w:tc>
          <w:tcPr>
            <w:tcW w:w="0" w:type="auto"/>
            <w:shd w:val="clear" w:color="auto" w:fill="auto"/>
          </w:tcPr>
          <w:p w14:paraId="0D8DEDD8" w14:textId="77777777" w:rsidR="004C2197" w:rsidRDefault="004C2197">
            <w:pPr>
              <w:rPr>
                <w:rFonts w:ascii="宋体"/>
              </w:rPr>
            </w:pPr>
          </w:p>
        </w:tc>
        <w:tc>
          <w:tcPr>
            <w:tcW w:w="0" w:type="auto"/>
            <w:shd w:val="clear" w:color="auto" w:fill="auto"/>
          </w:tcPr>
          <w:p w14:paraId="0D8DEDD9" w14:textId="77777777" w:rsidR="004C2197" w:rsidRDefault="004C2197">
            <w:pPr>
              <w:rPr>
                <w:rFonts w:ascii="宋体"/>
              </w:rPr>
            </w:pPr>
          </w:p>
        </w:tc>
      </w:tr>
      <w:tr w:rsidR="004C2197" w14:paraId="0D8DEDE9" w14:textId="77777777">
        <w:tc>
          <w:tcPr>
            <w:tcW w:w="0" w:type="auto"/>
            <w:gridSpan w:val="3"/>
            <w:shd w:val="clear" w:color="auto" w:fill="FFFFFF"/>
            <w:tcMar>
              <w:top w:w="40" w:type="dxa"/>
              <w:left w:w="20" w:type="dxa"/>
              <w:bottom w:w="40" w:type="dxa"/>
              <w:right w:w="20" w:type="dxa"/>
            </w:tcMar>
            <w:vAlign w:val="bottom"/>
          </w:tcPr>
          <w:p w14:paraId="0D8DEDDB" w14:textId="77777777" w:rsidR="004C2197" w:rsidRDefault="00863B83">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tcMar>
            <w:vAlign w:val="bottom"/>
          </w:tcPr>
          <w:p w14:paraId="0D8DEDD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DD" w14:textId="77777777" w:rsidR="004C2197" w:rsidRDefault="00863B83">
            <w:pPr>
              <w:jc w:val="right"/>
              <w:textAlignment w:val="bottom"/>
            </w:pPr>
            <w:r>
              <w:rPr>
                <w:rFonts w:ascii="sans-serif" w:eastAsia="sans-serif" w:hAnsi="sans-serif" w:cs="sans-serif"/>
                <w:color w:val="000000"/>
                <w:sz w:val="20"/>
                <w:szCs w:val="20"/>
              </w:rPr>
              <w:t>66 </w:t>
            </w:r>
          </w:p>
        </w:tc>
        <w:tc>
          <w:tcPr>
            <w:tcW w:w="0" w:type="auto"/>
            <w:shd w:val="clear" w:color="auto" w:fill="FFFFFF"/>
            <w:tcMar>
              <w:top w:w="40" w:type="dxa"/>
              <w:bottom w:w="40" w:type="dxa"/>
              <w:right w:w="20" w:type="dxa"/>
            </w:tcMar>
            <w:vAlign w:val="bottom"/>
          </w:tcPr>
          <w:p w14:paraId="0D8DEDD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DDF"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DE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DE1" w14:textId="77777777" w:rsidR="004C2197" w:rsidRDefault="00863B83">
            <w:pPr>
              <w:jc w:val="right"/>
              <w:textAlignment w:val="bottom"/>
            </w:pPr>
            <w:r>
              <w:rPr>
                <w:rFonts w:ascii="sans-serif" w:eastAsia="sans-serif" w:hAnsi="sans-serif" w:cs="sans-serif"/>
                <w:color w:val="000000"/>
                <w:sz w:val="20"/>
                <w:szCs w:val="20"/>
              </w:rPr>
              <w:t>50 </w:t>
            </w:r>
          </w:p>
        </w:tc>
        <w:tc>
          <w:tcPr>
            <w:tcW w:w="0" w:type="auto"/>
            <w:shd w:val="clear" w:color="auto" w:fill="FFFFFF"/>
            <w:tcMar>
              <w:top w:w="40" w:type="dxa"/>
              <w:bottom w:w="40" w:type="dxa"/>
              <w:right w:w="20" w:type="dxa"/>
            </w:tcMar>
            <w:vAlign w:val="bottom"/>
          </w:tcPr>
          <w:p w14:paraId="0D8DEDE2" w14:textId="77777777" w:rsidR="004C2197" w:rsidRDefault="004C2197">
            <w:pPr>
              <w:jc w:val="right"/>
              <w:rPr>
                <w:rFonts w:ascii="宋体"/>
              </w:rPr>
            </w:pPr>
          </w:p>
        </w:tc>
        <w:tc>
          <w:tcPr>
            <w:tcW w:w="0" w:type="auto"/>
            <w:shd w:val="clear" w:color="auto" w:fill="auto"/>
          </w:tcPr>
          <w:p w14:paraId="0D8DEDE3" w14:textId="77777777" w:rsidR="004C2197" w:rsidRDefault="004C2197">
            <w:pPr>
              <w:rPr>
                <w:rFonts w:ascii="宋体"/>
              </w:rPr>
            </w:pPr>
          </w:p>
        </w:tc>
        <w:tc>
          <w:tcPr>
            <w:tcW w:w="0" w:type="auto"/>
            <w:shd w:val="clear" w:color="auto" w:fill="auto"/>
          </w:tcPr>
          <w:p w14:paraId="0D8DEDE4" w14:textId="77777777" w:rsidR="004C2197" w:rsidRDefault="004C2197">
            <w:pPr>
              <w:rPr>
                <w:rFonts w:ascii="宋体"/>
              </w:rPr>
            </w:pPr>
          </w:p>
        </w:tc>
        <w:tc>
          <w:tcPr>
            <w:tcW w:w="0" w:type="auto"/>
            <w:shd w:val="clear" w:color="auto" w:fill="auto"/>
          </w:tcPr>
          <w:p w14:paraId="0D8DEDE5" w14:textId="77777777" w:rsidR="004C2197" w:rsidRDefault="004C2197">
            <w:pPr>
              <w:rPr>
                <w:rFonts w:ascii="宋体"/>
              </w:rPr>
            </w:pPr>
          </w:p>
        </w:tc>
        <w:tc>
          <w:tcPr>
            <w:tcW w:w="0" w:type="auto"/>
            <w:shd w:val="clear" w:color="auto" w:fill="auto"/>
          </w:tcPr>
          <w:p w14:paraId="0D8DEDE6" w14:textId="77777777" w:rsidR="004C2197" w:rsidRDefault="004C2197">
            <w:pPr>
              <w:rPr>
                <w:rFonts w:ascii="宋体"/>
              </w:rPr>
            </w:pPr>
          </w:p>
        </w:tc>
        <w:tc>
          <w:tcPr>
            <w:tcW w:w="0" w:type="auto"/>
            <w:shd w:val="clear" w:color="auto" w:fill="auto"/>
          </w:tcPr>
          <w:p w14:paraId="0D8DEDE7" w14:textId="77777777" w:rsidR="004C2197" w:rsidRDefault="004C2197">
            <w:pPr>
              <w:rPr>
                <w:rFonts w:ascii="宋体"/>
              </w:rPr>
            </w:pPr>
          </w:p>
        </w:tc>
        <w:tc>
          <w:tcPr>
            <w:tcW w:w="0" w:type="auto"/>
            <w:shd w:val="clear" w:color="auto" w:fill="auto"/>
          </w:tcPr>
          <w:p w14:paraId="0D8DEDE8" w14:textId="77777777" w:rsidR="004C2197" w:rsidRDefault="004C2197">
            <w:pPr>
              <w:rPr>
                <w:rFonts w:ascii="宋体"/>
              </w:rPr>
            </w:pPr>
          </w:p>
        </w:tc>
      </w:tr>
      <w:tr w:rsidR="004C2197" w14:paraId="0D8DEDF8" w14:textId="77777777">
        <w:tc>
          <w:tcPr>
            <w:tcW w:w="0" w:type="auto"/>
            <w:gridSpan w:val="3"/>
            <w:shd w:val="clear" w:color="auto" w:fill="E2EFD9"/>
            <w:tcMar>
              <w:top w:w="40" w:type="dxa"/>
              <w:left w:w="20" w:type="dxa"/>
              <w:bottom w:w="40" w:type="dxa"/>
              <w:right w:w="20" w:type="dxa"/>
            </w:tcMar>
            <w:vAlign w:val="bottom"/>
          </w:tcPr>
          <w:p w14:paraId="0D8DEDEA" w14:textId="77777777" w:rsidR="004C2197" w:rsidRDefault="00863B83">
            <w:pPr>
              <w:textAlignment w:val="bottom"/>
            </w:pPr>
            <w:r>
              <w:rPr>
                <w:rFonts w:ascii="sans-serif" w:eastAsia="sans-serif" w:hAnsi="sans-serif" w:cs="sans-serif"/>
                <w:color w:val="000000"/>
                <w:sz w:val="20"/>
                <w:szCs w:val="20"/>
              </w:rPr>
              <w:t>Operating lease assets obtained in exchange for lease obligations (1)</w:t>
            </w:r>
          </w:p>
        </w:tc>
        <w:tc>
          <w:tcPr>
            <w:tcW w:w="0" w:type="auto"/>
            <w:shd w:val="clear" w:color="auto" w:fill="E2EFD9"/>
            <w:tcMar>
              <w:top w:w="40" w:type="dxa"/>
              <w:left w:w="20" w:type="dxa"/>
              <w:bottom w:w="40" w:type="dxa"/>
            </w:tcMar>
            <w:vAlign w:val="bottom"/>
          </w:tcPr>
          <w:p w14:paraId="0D8DEDE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EC" w14:textId="77777777" w:rsidR="004C2197" w:rsidRDefault="00863B83">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bottom w:w="40" w:type="dxa"/>
              <w:right w:w="20" w:type="dxa"/>
            </w:tcMar>
            <w:vAlign w:val="bottom"/>
          </w:tcPr>
          <w:p w14:paraId="0D8DEDE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DE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DE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DF0" w14:textId="77777777" w:rsidR="004C2197" w:rsidRDefault="00863B83">
            <w:pPr>
              <w:jc w:val="right"/>
              <w:textAlignment w:val="bottom"/>
            </w:pPr>
            <w:r>
              <w:rPr>
                <w:rFonts w:ascii="sans-serif" w:eastAsia="sans-serif" w:hAnsi="sans-serif" w:cs="sans-serif"/>
                <w:color w:val="000000"/>
                <w:sz w:val="20"/>
                <w:szCs w:val="20"/>
              </w:rPr>
              <w:t>108 </w:t>
            </w:r>
          </w:p>
        </w:tc>
        <w:tc>
          <w:tcPr>
            <w:tcW w:w="0" w:type="auto"/>
            <w:shd w:val="clear" w:color="auto" w:fill="E2EFD9"/>
            <w:tcMar>
              <w:top w:w="40" w:type="dxa"/>
              <w:bottom w:w="40" w:type="dxa"/>
              <w:right w:w="20" w:type="dxa"/>
            </w:tcMar>
            <w:vAlign w:val="bottom"/>
          </w:tcPr>
          <w:p w14:paraId="0D8DEDF1" w14:textId="77777777" w:rsidR="004C2197" w:rsidRDefault="004C2197">
            <w:pPr>
              <w:jc w:val="right"/>
              <w:rPr>
                <w:rFonts w:ascii="宋体"/>
              </w:rPr>
            </w:pPr>
          </w:p>
        </w:tc>
        <w:tc>
          <w:tcPr>
            <w:tcW w:w="0" w:type="auto"/>
            <w:shd w:val="clear" w:color="auto" w:fill="auto"/>
          </w:tcPr>
          <w:p w14:paraId="0D8DEDF2" w14:textId="77777777" w:rsidR="004C2197" w:rsidRDefault="004C2197">
            <w:pPr>
              <w:rPr>
                <w:rFonts w:ascii="宋体"/>
              </w:rPr>
            </w:pPr>
          </w:p>
        </w:tc>
        <w:tc>
          <w:tcPr>
            <w:tcW w:w="0" w:type="auto"/>
            <w:shd w:val="clear" w:color="auto" w:fill="auto"/>
          </w:tcPr>
          <w:p w14:paraId="0D8DEDF3" w14:textId="77777777" w:rsidR="004C2197" w:rsidRDefault="004C2197">
            <w:pPr>
              <w:rPr>
                <w:rFonts w:ascii="宋体"/>
              </w:rPr>
            </w:pPr>
          </w:p>
        </w:tc>
        <w:tc>
          <w:tcPr>
            <w:tcW w:w="0" w:type="auto"/>
            <w:shd w:val="clear" w:color="auto" w:fill="auto"/>
          </w:tcPr>
          <w:p w14:paraId="0D8DEDF4" w14:textId="77777777" w:rsidR="004C2197" w:rsidRDefault="004C2197">
            <w:pPr>
              <w:rPr>
                <w:rFonts w:ascii="宋体"/>
              </w:rPr>
            </w:pPr>
          </w:p>
        </w:tc>
        <w:tc>
          <w:tcPr>
            <w:tcW w:w="0" w:type="auto"/>
            <w:shd w:val="clear" w:color="auto" w:fill="auto"/>
          </w:tcPr>
          <w:p w14:paraId="0D8DEDF5" w14:textId="77777777" w:rsidR="004C2197" w:rsidRDefault="004C2197">
            <w:pPr>
              <w:rPr>
                <w:rFonts w:ascii="宋体"/>
              </w:rPr>
            </w:pPr>
          </w:p>
        </w:tc>
        <w:tc>
          <w:tcPr>
            <w:tcW w:w="0" w:type="auto"/>
            <w:shd w:val="clear" w:color="auto" w:fill="auto"/>
          </w:tcPr>
          <w:p w14:paraId="0D8DEDF6" w14:textId="77777777" w:rsidR="004C2197" w:rsidRDefault="004C2197">
            <w:pPr>
              <w:rPr>
                <w:rFonts w:ascii="宋体"/>
              </w:rPr>
            </w:pPr>
          </w:p>
        </w:tc>
        <w:tc>
          <w:tcPr>
            <w:tcW w:w="0" w:type="auto"/>
            <w:shd w:val="clear" w:color="auto" w:fill="auto"/>
          </w:tcPr>
          <w:p w14:paraId="0D8DEDF7" w14:textId="77777777" w:rsidR="004C2197" w:rsidRDefault="004C2197">
            <w:pPr>
              <w:rPr>
                <w:rFonts w:ascii="宋体"/>
              </w:rPr>
            </w:pPr>
          </w:p>
        </w:tc>
      </w:tr>
    </w:tbl>
    <w:p w14:paraId="0D8DEDF9" w14:textId="77777777" w:rsidR="004C2197" w:rsidRDefault="00863B83">
      <w:pPr>
        <w:spacing w:after="180"/>
        <w:jc w:val="both"/>
      </w:pPr>
      <w:r>
        <w:rPr>
          <w:rFonts w:ascii="sans-serif" w:eastAsia="sans-serif" w:hAnsi="sans-serif" w:cs="sans-serif"/>
          <w:color w:val="000000"/>
          <w:sz w:val="16"/>
          <w:szCs w:val="16"/>
        </w:rPr>
        <w:t xml:space="preserve">(1) The first half of fiscal year 2021 </w:t>
      </w:r>
      <w:r>
        <w:rPr>
          <w:rFonts w:ascii="sans-serif" w:eastAsia="sans-serif" w:hAnsi="sans-serif" w:cs="sans-serif"/>
          <w:color w:val="000000"/>
          <w:sz w:val="16"/>
          <w:szCs w:val="16"/>
        </w:rPr>
        <w:t>includes $80 million of operating lease assets addition due to a business combination.</w:t>
      </w:r>
    </w:p>
    <w:p w14:paraId="0D8DEDFA" w14:textId="77777777" w:rsidR="004C2197" w:rsidRDefault="00863B83">
      <w:pPr>
        <w:spacing w:after="180"/>
        <w:jc w:val="both"/>
      </w:pPr>
      <w:r>
        <w:rPr>
          <w:rFonts w:ascii="sans-serif" w:eastAsia="sans-serif" w:hAnsi="sans-serif" w:cs="sans-serif"/>
          <w:color w:val="000000"/>
          <w:sz w:val="20"/>
          <w:szCs w:val="20"/>
        </w:rPr>
        <w:t>As of July 26, 2020, our operating leases had a weighted average remaining lease term of 8.0 years and a weighted average discount rate of 3.08%. As of January 26, 2020,</w:t>
      </w:r>
      <w:r>
        <w:rPr>
          <w:rFonts w:ascii="sans-serif" w:eastAsia="sans-serif" w:hAnsi="sans-serif" w:cs="sans-serif"/>
          <w:color w:val="000000"/>
          <w:sz w:val="20"/>
          <w:szCs w:val="20"/>
        </w:rPr>
        <w:t xml:space="preserve"> our operating leases had a weighted average remaining lease term of 8.3 years and a weighted average discount rate of 3.45%.</w:t>
      </w:r>
    </w:p>
    <w:p w14:paraId="0D8DEDFB" w14:textId="77777777" w:rsidR="004C2197" w:rsidRDefault="00863B83">
      <w:pPr>
        <w:spacing w:after="180"/>
        <w:jc w:val="center"/>
      </w:pPr>
      <w:r>
        <w:rPr>
          <w:rFonts w:ascii="sans-serif" w:eastAsia="sans-serif" w:hAnsi="sans-serif" w:cs="sans-serif"/>
          <w:color w:val="000000"/>
          <w:sz w:val="20"/>
          <w:szCs w:val="20"/>
        </w:rPr>
        <w:t>13</w:t>
      </w:r>
    </w:p>
    <w:p w14:paraId="0D8DEDFC" w14:textId="77777777" w:rsidR="004C2197" w:rsidRDefault="00863B83">
      <w:r>
        <w:pict w14:anchorId="0D8E0CB1">
          <v:rect id="_x0000_i1037" style="width:415.3pt;height:1.5pt" o:hralign="center" o:hrstd="t" o:hr="t" fillcolor="#a0a0a0" stroked="f"/>
        </w:pict>
      </w:r>
    </w:p>
    <w:p w14:paraId="0D8DEDFD" w14:textId="77777777" w:rsidR="004C2197" w:rsidRDefault="00863B83">
      <w:pPr>
        <w:jc w:val="center"/>
      </w:pPr>
      <w:r>
        <w:rPr>
          <w:rFonts w:ascii="sans-serif" w:eastAsia="sans-serif" w:hAnsi="sans-serif" w:cs="sans-serif"/>
          <w:b/>
          <w:bCs/>
          <w:color w:val="000000"/>
          <w:sz w:val="20"/>
          <w:szCs w:val="20"/>
        </w:rPr>
        <w:t>NVIDIA CORPORATION AND SUBSIDIARIES</w:t>
      </w:r>
    </w:p>
    <w:p w14:paraId="0D8DEDFE"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EDFF" w14:textId="77777777" w:rsidR="004C2197" w:rsidRDefault="00863B83">
      <w:pPr>
        <w:jc w:val="center"/>
      </w:pPr>
      <w:r>
        <w:rPr>
          <w:rFonts w:ascii="sans-serif" w:eastAsia="sans-serif" w:hAnsi="sans-serif" w:cs="sans-serif"/>
          <w:b/>
          <w:bCs/>
          <w:color w:val="000000"/>
          <w:sz w:val="20"/>
          <w:szCs w:val="20"/>
        </w:rPr>
        <w:t>(Unaudited)</w:t>
      </w:r>
    </w:p>
    <w:p w14:paraId="0D8DEE00" w14:textId="77777777" w:rsidR="004C2197" w:rsidRDefault="004C2197">
      <w:pPr>
        <w:spacing w:after="180"/>
        <w:jc w:val="both"/>
      </w:pPr>
    </w:p>
    <w:p w14:paraId="0D8DEE01" w14:textId="77777777" w:rsidR="004C2197" w:rsidRDefault="004C2197">
      <w:pPr>
        <w:spacing w:after="180"/>
        <w:jc w:val="both"/>
      </w:pPr>
    </w:p>
    <w:p w14:paraId="0D8DEE02" w14:textId="77777777" w:rsidR="004C2197" w:rsidRDefault="004C2197">
      <w:pPr>
        <w:spacing w:after="180"/>
        <w:jc w:val="both"/>
      </w:pPr>
    </w:p>
    <w:p w14:paraId="0D8DEE03" w14:textId="77777777" w:rsidR="004C2197" w:rsidRDefault="00863B83">
      <w:pPr>
        <w:spacing w:before="240" w:after="120"/>
        <w:jc w:val="both"/>
      </w:pPr>
      <w:r>
        <w:rPr>
          <w:rFonts w:ascii="sans-serif" w:eastAsia="sans-serif" w:hAnsi="sans-serif" w:cs="sans-serif"/>
          <w:b/>
          <w:bCs/>
          <w:color w:val="76B900"/>
          <w:sz w:val="22"/>
          <w:szCs w:val="22"/>
        </w:rPr>
        <w:t>Note 4 -</w:t>
      </w:r>
      <w:r>
        <w:rPr>
          <w:rFonts w:ascii="sans-serif" w:eastAsia="sans-serif" w:hAnsi="sans-serif" w:cs="sans-serif"/>
          <w:b/>
          <w:bCs/>
          <w:color w:val="76B900"/>
          <w:sz w:val="22"/>
          <w:szCs w:val="22"/>
        </w:rPr>
        <w:t xml:space="preserve"> Stock-Based Compensation</w:t>
      </w:r>
    </w:p>
    <w:p w14:paraId="0D8DEE04" w14:textId="77777777" w:rsidR="004C2197" w:rsidRDefault="00863B83">
      <w:pPr>
        <w:spacing w:after="180"/>
        <w:jc w:val="both"/>
      </w:pPr>
      <w:r>
        <w:rPr>
          <w:rFonts w:ascii="sans-serif" w:eastAsia="sans-serif" w:hAnsi="sans-serif" w:cs="sans-serif"/>
          <w:color w:val="000000"/>
          <w:sz w:val="20"/>
          <w:szCs w:val="20"/>
        </w:rPr>
        <w:t>Our stock-based compensation expense is associated with restricted stock units, or RSUs, performance stock units that are based on our corporate financial performance targets, or PSUs, performance stock units that are based on mar</w:t>
      </w:r>
      <w:r>
        <w:rPr>
          <w:rFonts w:ascii="sans-serif" w:eastAsia="sans-serif" w:hAnsi="sans-serif" w:cs="sans-serif"/>
          <w:color w:val="000000"/>
          <w:sz w:val="20"/>
          <w:szCs w:val="20"/>
        </w:rPr>
        <w:t>ket conditions, or market-based PSUs, and our employee stock purchase plan, or ESPP.</w:t>
      </w:r>
    </w:p>
    <w:p w14:paraId="0D8DEE05" w14:textId="77777777" w:rsidR="004C2197" w:rsidRDefault="00863B83">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264"/>
        <w:gridCol w:w="38"/>
        <w:gridCol w:w="137"/>
        <w:gridCol w:w="1122"/>
        <w:gridCol w:w="41"/>
        <w:gridCol w:w="36"/>
        <w:gridCol w:w="36"/>
        <w:gridCol w:w="36"/>
        <w:gridCol w:w="137"/>
        <w:gridCol w:w="1063"/>
        <w:gridCol w:w="41"/>
        <w:gridCol w:w="36"/>
        <w:gridCol w:w="36"/>
        <w:gridCol w:w="36"/>
        <w:gridCol w:w="137"/>
        <w:gridCol w:w="1063"/>
        <w:gridCol w:w="41"/>
        <w:gridCol w:w="36"/>
        <w:gridCol w:w="36"/>
        <w:gridCol w:w="36"/>
        <w:gridCol w:w="137"/>
        <w:gridCol w:w="1063"/>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DEE1E" w14:textId="77777777">
        <w:trPr>
          <w:gridAfter w:val="18"/>
        </w:trPr>
        <w:tc>
          <w:tcPr>
            <w:tcW w:w="50" w:type="pct"/>
            <w:shd w:val="clear" w:color="auto" w:fill="auto"/>
          </w:tcPr>
          <w:p w14:paraId="0D8DEE06" w14:textId="77777777" w:rsidR="004C2197" w:rsidRDefault="004C2197">
            <w:pPr>
              <w:rPr>
                <w:rFonts w:ascii="宋体"/>
              </w:rPr>
            </w:pPr>
          </w:p>
        </w:tc>
        <w:tc>
          <w:tcPr>
            <w:tcW w:w="1531" w:type="pct"/>
            <w:shd w:val="clear" w:color="auto" w:fill="auto"/>
          </w:tcPr>
          <w:p w14:paraId="0D8DEE07" w14:textId="77777777" w:rsidR="004C2197" w:rsidRDefault="004C2197">
            <w:pPr>
              <w:rPr>
                <w:rFonts w:ascii="宋体"/>
              </w:rPr>
            </w:pPr>
          </w:p>
        </w:tc>
        <w:tc>
          <w:tcPr>
            <w:tcW w:w="5" w:type="pct"/>
            <w:shd w:val="clear" w:color="auto" w:fill="auto"/>
          </w:tcPr>
          <w:p w14:paraId="0D8DEE08" w14:textId="77777777" w:rsidR="004C2197" w:rsidRDefault="004C2197">
            <w:pPr>
              <w:rPr>
                <w:rFonts w:ascii="宋体"/>
              </w:rPr>
            </w:pPr>
          </w:p>
        </w:tc>
        <w:tc>
          <w:tcPr>
            <w:tcW w:w="50" w:type="pct"/>
            <w:shd w:val="clear" w:color="auto" w:fill="auto"/>
          </w:tcPr>
          <w:p w14:paraId="0D8DEE09" w14:textId="77777777" w:rsidR="004C2197" w:rsidRDefault="004C2197">
            <w:pPr>
              <w:rPr>
                <w:rFonts w:ascii="宋体"/>
              </w:rPr>
            </w:pPr>
          </w:p>
        </w:tc>
        <w:tc>
          <w:tcPr>
            <w:tcW w:w="771" w:type="pct"/>
            <w:shd w:val="clear" w:color="auto" w:fill="auto"/>
          </w:tcPr>
          <w:p w14:paraId="0D8DEE0A" w14:textId="77777777" w:rsidR="004C2197" w:rsidRDefault="004C2197">
            <w:pPr>
              <w:rPr>
                <w:rFonts w:ascii="宋体"/>
              </w:rPr>
            </w:pPr>
          </w:p>
        </w:tc>
        <w:tc>
          <w:tcPr>
            <w:tcW w:w="5" w:type="pct"/>
            <w:shd w:val="clear" w:color="auto" w:fill="auto"/>
          </w:tcPr>
          <w:p w14:paraId="0D8DEE0B" w14:textId="77777777" w:rsidR="004C2197" w:rsidRDefault="004C2197">
            <w:pPr>
              <w:rPr>
                <w:rFonts w:ascii="宋体"/>
              </w:rPr>
            </w:pPr>
          </w:p>
        </w:tc>
        <w:tc>
          <w:tcPr>
            <w:tcW w:w="5" w:type="pct"/>
            <w:shd w:val="clear" w:color="auto" w:fill="auto"/>
          </w:tcPr>
          <w:p w14:paraId="0D8DEE0C" w14:textId="77777777" w:rsidR="004C2197" w:rsidRDefault="004C2197">
            <w:pPr>
              <w:rPr>
                <w:rFonts w:ascii="宋体"/>
              </w:rPr>
            </w:pPr>
          </w:p>
        </w:tc>
        <w:tc>
          <w:tcPr>
            <w:tcW w:w="26" w:type="pct"/>
            <w:shd w:val="clear" w:color="auto" w:fill="auto"/>
          </w:tcPr>
          <w:p w14:paraId="0D8DEE0D" w14:textId="77777777" w:rsidR="004C2197" w:rsidRDefault="004C2197">
            <w:pPr>
              <w:rPr>
                <w:rFonts w:ascii="宋体"/>
              </w:rPr>
            </w:pPr>
          </w:p>
        </w:tc>
        <w:tc>
          <w:tcPr>
            <w:tcW w:w="5" w:type="pct"/>
            <w:shd w:val="clear" w:color="auto" w:fill="auto"/>
          </w:tcPr>
          <w:p w14:paraId="0D8DEE0E" w14:textId="77777777" w:rsidR="004C2197" w:rsidRDefault="004C2197">
            <w:pPr>
              <w:rPr>
                <w:rFonts w:ascii="宋体"/>
              </w:rPr>
            </w:pPr>
          </w:p>
        </w:tc>
        <w:tc>
          <w:tcPr>
            <w:tcW w:w="50" w:type="pct"/>
            <w:shd w:val="clear" w:color="auto" w:fill="auto"/>
          </w:tcPr>
          <w:p w14:paraId="0D8DEE0F" w14:textId="77777777" w:rsidR="004C2197" w:rsidRDefault="004C2197">
            <w:pPr>
              <w:rPr>
                <w:rFonts w:ascii="宋体"/>
              </w:rPr>
            </w:pPr>
          </w:p>
        </w:tc>
        <w:tc>
          <w:tcPr>
            <w:tcW w:w="771" w:type="pct"/>
            <w:shd w:val="clear" w:color="auto" w:fill="auto"/>
          </w:tcPr>
          <w:p w14:paraId="0D8DEE10" w14:textId="77777777" w:rsidR="004C2197" w:rsidRDefault="004C2197">
            <w:pPr>
              <w:rPr>
                <w:rFonts w:ascii="宋体"/>
              </w:rPr>
            </w:pPr>
          </w:p>
        </w:tc>
        <w:tc>
          <w:tcPr>
            <w:tcW w:w="5" w:type="pct"/>
            <w:shd w:val="clear" w:color="auto" w:fill="auto"/>
          </w:tcPr>
          <w:p w14:paraId="0D8DEE11" w14:textId="77777777" w:rsidR="004C2197" w:rsidRDefault="004C2197">
            <w:pPr>
              <w:rPr>
                <w:rFonts w:ascii="宋体"/>
              </w:rPr>
            </w:pPr>
          </w:p>
        </w:tc>
        <w:tc>
          <w:tcPr>
            <w:tcW w:w="5" w:type="pct"/>
            <w:shd w:val="clear" w:color="auto" w:fill="auto"/>
          </w:tcPr>
          <w:p w14:paraId="0D8DEE12" w14:textId="77777777" w:rsidR="004C2197" w:rsidRDefault="004C2197">
            <w:pPr>
              <w:rPr>
                <w:rFonts w:ascii="宋体"/>
              </w:rPr>
            </w:pPr>
          </w:p>
        </w:tc>
        <w:tc>
          <w:tcPr>
            <w:tcW w:w="26" w:type="pct"/>
            <w:shd w:val="clear" w:color="auto" w:fill="auto"/>
          </w:tcPr>
          <w:p w14:paraId="0D8DEE13" w14:textId="77777777" w:rsidR="004C2197" w:rsidRDefault="004C2197">
            <w:pPr>
              <w:rPr>
                <w:rFonts w:ascii="宋体"/>
              </w:rPr>
            </w:pPr>
          </w:p>
        </w:tc>
        <w:tc>
          <w:tcPr>
            <w:tcW w:w="5" w:type="pct"/>
            <w:shd w:val="clear" w:color="auto" w:fill="auto"/>
          </w:tcPr>
          <w:p w14:paraId="0D8DEE14" w14:textId="77777777" w:rsidR="004C2197" w:rsidRDefault="004C2197">
            <w:pPr>
              <w:rPr>
                <w:rFonts w:ascii="宋体"/>
              </w:rPr>
            </w:pPr>
          </w:p>
        </w:tc>
        <w:tc>
          <w:tcPr>
            <w:tcW w:w="50" w:type="pct"/>
            <w:shd w:val="clear" w:color="auto" w:fill="auto"/>
          </w:tcPr>
          <w:p w14:paraId="0D8DEE15" w14:textId="77777777" w:rsidR="004C2197" w:rsidRDefault="004C2197">
            <w:pPr>
              <w:rPr>
                <w:rFonts w:ascii="宋体"/>
              </w:rPr>
            </w:pPr>
          </w:p>
        </w:tc>
        <w:tc>
          <w:tcPr>
            <w:tcW w:w="771" w:type="pct"/>
            <w:shd w:val="clear" w:color="auto" w:fill="auto"/>
          </w:tcPr>
          <w:p w14:paraId="0D8DEE16" w14:textId="77777777" w:rsidR="004C2197" w:rsidRDefault="004C2197">
            <w:pPr>
              <w:rPr>
                <w:rFonts w:ascii="宋体"/>
              </w:rPr>
            </w:pPr>
          </w:p>
        </w:tc>
        <w:tc>
          <w:tcPr>
            <w:tcW w:w="5" w:type="pct"/>
            <w:shd w:val="clear" w:color="auto" w:fill="auto"/>
          </w:tcPr>
          <w:p w14:paraId="0D8DEE17" w14:textId="77777777" w:rsidR="004C2197" w:rsidRDefault="004C2197">
            <w:pPr>
              <w:rPr>
                <w:rFonts w:ascii="宋体"/>
              </w:rPr>
            </w:pPr>
          </w:p>
        </w:tc>
        <w:tc>
          <w:tcPr>
            <w:tcW w:w="5" w:type="pct"/>
            <w:shd w:val="clear" w:color="auto" w:fill="auto"/>
          </w:tcPr>
          <w:p w14:paraId="0D8DEE18" w14:textId="77777777" w:rsidR="004C2197" w:rsidRDefault="004C2197">
            <w:pPr>
              <w:rPr>
                <w:rFonts w:ascii="宋体"/>
              </w:rPr>
            </w:pPr>
          </w:p>
        </w:tc>
        <w:tc>
          <w:tcPr>
            <w:tcW w:w="26" w:type="pct"/>
            <w:shd w:val="clear" w:color="auto" w:fill="auto"/>
          </w:tcPr>
          <w:p w14:paraId="0D8DEE19" w14:textId="77777777" w:rsidR="004C2197" w:rsidRDefault="004C2197">
            <w:pPr>
              <w:rPr>
                <w:rFonts w:ascii="宋体"/>
              </w:rPr>
            </w:pPr>
          </w:p>
        </w:tc>
        <w:tc>
          <w:tcPr>
            <w:tcW w:w="5" w:type="pct"/>
            <w:shd w:val="clear" w:color="auto" w:fill="auto"/>
          </w:tcPr>
          <w:p w14:paraId="0D8DEE1A" w14:textId="77777777" w:rsidR="004C2197" w:rsidRDefault="004C2197">
            <w:pPr>
              <w:rPr>
                <w:rFonts w:ascii="宋体"/>
              </w:rPr>
            </w:pPr>
          </w:p>
        </w:tc>
        <w:tc>
          <w:tcPr>
            <w:tcW w:w="50" w:type="pct"/>
            <w:shd w:val="clear" w:color="auto" w:fill="auto"/>
          </w:tcPr>
          <w:p w14:paraId="0D8DEE1B" w14:textId="77777777" w:rsidR="004C2197" w:rsidRDefault="004C2197">
            <w:pPr>
              <w:rPr>
                <w:rFonts w:ascii="宋体"/>
              </w:rPr>
            </w:pPr>
          </w:p>
        </w:tc>
        <w:tc>
          <w:tcPr>
            <w:tcW w:w="771" w:type="pct"/>
            <w:shd w:val="clear" w:color="auto" w:fill="auto"/>
          </w:tcPr>
          <w:p w14:paraId="0D8DEE1C" w14:textId="77777777" w:rsidR="004C2197" w:rsidRDefault="004C2197">
            <w:pPr>
              <w:rPr>
                <w:rFonts w:ascii="宋体"/>
              </w:rPr>
            </w:pPr>
          </w:p>
        </w:tc>
        <w:tc>
          <w:tcPr>
            <w:tcW w:w="5" w:type="pct"/>
            <w:shd w:val="clear" w:color="auto" w:fill="auto"/>
          </w:tcPr>
          <w:p w14:paraId="0D8DEE1D" w14:textId="77777777" w:rsidR="004C2197" w:rsidRDefault="004C2197">
            <w:pPr>
              <w:rPr>
                <w:rFonts w:ascii="宋体"/>
              </w:rPr>
            </w:pPr>
          </w:p>
        </w:tc>
      </w:tr>
      <w:tr w:rsidR="004C2197" w14:paraId="0D8DEE27" w14:textId="77777777">
        <w:trPr>
          <w:gridAfter w:val="6"/>
        </w:trPr>
        <w:tc>
          <w:tcPr>
            <w:tcW w:w="0" w:type="auto"/>
            <w:gridSpan w:val="3"/>
            <w:shd w:val="clear" w:color="auto" w:fill="auto"/>
            <w:tcMar>
              <w:top w:w="40" w:type="dxa"/>
              <w:left w:w="20" w:type="dxa"/>
              <w:bottom w:w="40" w:type="dxa"/>
              <w:right w:w="20" w:type="dxa"/>
            </w:tcMar>
            <w:vAlign w:val="bottom"/>
          </w:tcPr>
          <w:p w14:paraId="0D8DEE1F"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DEE20"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DEE21" w14:textId="77777777" w:rsidR="004C2197" w:rsidRDefault="004C2197">
            <w:pPr>
              <w:rPr>
                <w:rFonts w:ascii="宋体"/>
                <w:vanish/>
              </w:rPr>
            </w:pPr>
          </w:p>
        </w:tc>
        <w:tc>
          <w:tcPr>
            <w:tcW w:w="0" w:type="auto"/>
            <w:gridSpan w:val="3"/>
            <w:shd w:val="clear" w:color="auto" w:fill="auto"/>
          </w:tcPr>
          <w:p w14:paraId="0D8DEE22"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E23"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E24"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EE25" w14:textId="77777777" w:rsidR="004C2197" w:rsidRDefault="004C2197">
            <w:pPr>
              <w:rPr>
                <w:rFonts w:ascii="宋体"/>
                <w:vanish/>
              </w:rPr>
            </w:pPr>
          </w:p>
        </w:tc>
        <w:tc>
          <w:tcPr>
            <w:tcW w:w="0" w:type="auto"/>
            <w:gridSpan w:val="3"/>
            <w:shd w:val="clear" w:color="auto" w:fill="auto"/>
          </w:tcPr>
          <w:p w14:paraId="0D8DEE26" w14:textId="77777777" w:rsidR="004C2197" w:rsidRDefault="004C2197">
            <w:pPr>
              <w:rPr>
                <w:rFonts w:ascii="宋体"/>
                <w:vanish/>
              </w:rPr>
            </w:pPr>
          </w:p>
        </w:tc>
      </w:tr>
      <w:tr w:rsidR="004C2197" w14:paraId="0D8DEE3C" w14:textId="77777777">
        <w:trPr>
          <w:gridAfter w:val="6"/>
        </w:trPr>
        <w:tc>
          <w:tcPr>
            <w:tcW w:w="0" w:type="auto"/>
            <w:gridSpan w:val="3"/>
            <w:shd w:val="clear" w:color="auto" w:fill="auto"/>
            <w:tcMar>
              <w:top w:w="40" w:type="dxa"/>
              <w:left w:w="20" w:type="dxa"/>
              <w:bottom w:w="40" w:type="dxa"/>
              <w:right w:w="20" w:type="dxa"/>
            </w:tcMar>
            <w:vAlign w:val="bottom"/>
          </w:tcPr>
          <w:p w14:paraId="0D8DEE2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29"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DEE2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2B"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shd w:val="clear" w:color="auto" w:fill="auto"/>
            <w:tcMar>
              <w:left w:w="20" w:type="dxa"/>
              <w:right w:w="20" w:type="dxa"/>
            </w:tcMar>
            <w:vAlign w:val="bottom"/>
          </w:tcPr>
          <w:p w14:paraId="0D8DEE2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2D"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DEE2E"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2F"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shd w:val="clear" w:color="auto" w:fill="auto"/>
          </w:tcPr>
          <w:p w14:paraId="0D8DEE30" w14:textId="77777777" w:rsidR="004C2197" w:rsidRDefault="004C2197">
            <w:pPr>
              <w:rPr>
                <w:rFonts w:ascii="宋体"/>
              </w:rPr>
            </w:pPr>
          </w:p>
        </w:tc>
        <w:tc>
          <w:tcPr>
            <w:tcW w:w="0" w:type="auto"/>
            <w:shd w:val="clear" w:color="auto" w:fill="auto"/>
          </w:tcPr>
          <w:p w14:paraId="0D8DEE31" w14:textId="77777777" w:rsidR="004C2197" w:rsidRDefault="004C2197">
            <w:pPr>
              <w:rPr>
                <w:rFonts w:ascii="宋体"/>
              </w:rPr>
            </w:pPr>
          </w:p>
        </w:tc>
        <w:tc>
          <w:tcPr>
            <w:tcW w:w="0" w:type="auto"/>
            <w:shd w:val="clear" w:color="auto" w:fill="auto"/>
          </w:tcPr>
          <w:p w14:paraId="0D8DEE32" w14:textId="77777777" w:rsidR="004C2197" w:rsidRDefault="004C2197">
            <w:pPr>
              <w:rPr>
                <w:rFonts w:ascii="宋体"/>
              </w:rPr>
            </w:pPr>
          </w:p>
        </w:tc>
        <w:tc>
          <w:tcPr>
            <w:tcW w:w="0" w:type="auto"/>
            <w:shd w:val="clear" w:color="auto" w:fill="auto"/>
          </w:tcPr>
          <w:p w14:paraId="0D8DEE33" w14:textId="77777777" w:rsidR="004C2197" w:rsidRDefault="004C2197">
            <w:pPr>
              <w:rPr>
                <w:rFonts w:ascii="宋体"/>
              </w:rPr>
            </w:pPr>
          </w:p>
        </w:tc>
        <w:tc>
          <w:tcPr>
            <w:tcW w:w="0" w:type="auto"/>
            <w:shd w:val="clear" w:color="auto" w:fill="auto"/>
          </w:tcPr>
          <w:p w14:paraId="0D8DEE34" w14:textId="77777777" w:rsidR="004C2197" w:rsidRDefault="004C2197">
            <w:pPr>
              <w:rPr>
                <w:rFonts w:ascii="宋体"/>
              </w:rPr>
            </w:pPr>
          </w:p>
        </w:tc>
        <w:tc>
          <w:tcPr>
            <w:tcW w:w="0" w:type="auto"/>
            <w:shd w:val="clear" w:color="auto" w:fill="auto"/>
          </w:tcPr>
          <w:p w14:paraId="0D8DEE35" w14:textId="77777777" w:rsidR="004C2197" w:rsidRDefault="004C2197">
            <w:pPr>
              <w:rPr>
                <w:rFonts w:ascii="宋体"/>
              </w:rPr>
            </w:pPr>
          </w:p>
        </w:tc>
        <w:tc>
          <w:tcPr>
            <w:tcW w:w="0" w:type="auto"/>
            <w:shd w:val="clear" w:color="auto" w:fill="auto"/>
          </w:tcPr>
          <w:p w14:paraId="0D8DEE36" w14:textId="77777777" w:rsidR="004C2197" w:rsidRDefault="004C2197">
            <w:pPr>
              <w:rPr>
                <w:rFonts w:ascii="宋体"/>
              </w:rPr>
            </w:pPr>
          </w:p>
        </w:tc>
        <w:tc>
          <w:tcPr>
            <w:tcW w:w="0" w:type="auto"/>
            <w:shd w:val="clear" w:color="auto" w:fill="auto"/>
          </w:tcPr>
          <w:p w14:paraId="0D8DEE37" w14:textId="77777777" w:rsidR="004C2197" w:rsidRDefault="004C2197">
            <w:pPr>
              <w:rPr>
                <w:rFonts w:ascii="宋体"/>
              </w:rPr>
            </w:pPr>
          </w:p>
        </w:tc>
        <w:tc>
          <w:tcPr>
            <w:tcW w:w="0" w:type="auto"/>
            <w:shd w:val="clear" w:color="auto" w:fill="auto"/>
          </w:tcPr>
          <w:p w14:paraId="0D8DEE38" w14:textId="77777777" w:rsidR="004C2197" w:rsidRDefault="004C2197">
            <w:pPr>
              <w:rPr>
                <w:rFonts w:ascii="宋体"/>
              </w:rPr>
            </w:pPr>
          </w:p>
        </w:tc>
        <w:tc>
          <w:tcPr>
            <w:tcW w:w="0" w:type="auto"/>
            <w:shd w:val="clear" w:color="auto" w:fill="auto"/>
          </w:tcPr>
          <w:p w14:paraId="0D8DEE39" w14:textId="77777777" w:rsidR="004C2197" w:rsidRDefault="004C2197">
            <w:pPr>
              <w:rPr>
                <w:rFonts w:ascii="宋体"/>
              </w:rPr>
            </w:pPr>
          </w:p>
        </w:tc>
        <w:tc>
          <w:tcPr>
            <w:tcW w:w="0" w:type="auto"/>
            <w:shd w:val="clear" w:color="auto" w:fill="auto"/>
          </w:tcPr>
          <w:p w14:paraId="0D8DEE3A" w14:textId="77777777" w:rsidR="004C2197" w:rsidRDefault="004C2197">
            <w:pPr>
              <w:rPr>
                <w:rFonts w:ascii="宋体"/>
              </w:rPr>
            </w:pPr>
          </w:p>
        </w:tc>
        <w:tc>
          <w:tcPr>
            <w:tcW w:w="0" w:type="auto"/>
            <w:shd w:val="clear" w:color="auto" w:fill="auto"/>
          </w:tcPr>
          <w:p w14:paraId="0D8DEE3B" w14:textId="77777777" w:rsidR="004C2197" w:rsidRDefault="004C2197">
            <w:pPr>
              <w:rPr>
                <w:rFonts w:ascii="宋体"/>
              </w:rPr>
            </w:pPr>
          </w:p>
        </w:tc>
      </w:tr>
      <w:tr w:rsidR="004C2197" w14:paraId="0D8DEE51" w14:textId="77777777">
        <w:trPr>
          <w:gridAfter w:val="6"/>
          <w:trHeight w:val="60"/>
        </w:trPr>
        <w:tc>
          <w:tcPr>
            <w:tcW w:w="0" w:type="auto"/>
            <w:gridSpan w:val="3"/>
            <w:shd w:val="clear" w:color="auto" w:fill="auto"/>
            <w:tcMar>
              <w:left w:w="20" w:type="dxa"/>
              <w:right w:w="20" w:type="dxa"/>
            </w:tcMar>
            <w:vAlign w:val="bottom"/>
          </w:tcPr>
          <w:p w14:paraId="0D8DEE3D"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E3E"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E3F"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E40"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E41"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E42"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EE43" w14:textId="77777777" w:rsidR="004C2197" w:rsidRDefault="004C2197">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0D8DEE44" w14:textId="77777777" w:rsidR="004C2197" w:rsidRDefault="004C2197">
            <w:pPr>
              <w:rPr>
                <w:rFonts w:ascii="宋体"/>
              </w:rPr>
            </w:pPr>
          </w:p>
        </w:tc>
        <w:tc>
          <w:tcPr>
            <w:tcW w:w="0" w:type="auto"/>
            <w:shd w:val="clear" w:color="auto" w:fill="auto"/>
          </w:tcPr>
          <w:p w14:paraId="0D8DEE45" w14:textId="77777777" w:rsidR="004C2197" w:rsidRDefault="004C2197">
            <w:pPr>
              <w:rPr>
                <w:rFonts w:ascii="宋体"/>
              </w:rPr>
            </w:pPr>
          </w:p>
        </w:tc>
        <w:tc>
          <w:tcPr>
            <w:tcW w:w="0" w:type="auto"/>
            <w:shd w:val="clear" w:color="auto" w:fill="auto"/>
          </w:tcPr>
          <w:p w14:paraId="0D8DEE46" w14:textId="77777777" w:rsidR="004C2197" w:rsidRDefault="004C2197">
            <w:pPr>
              <w:rPr>
                <w:rFonts w:ascii="宋体"/>
              </w:rPr>
            </w:pPr>
          </w:p>
        </w:tc>
        <w:tc>
          <w:tcPr>
            <w:tcW w:w="0" w:type="auto"/>
            <w:shd w:val="clear" w:color="auto" w:fill="auto"/>
          </w:tcPr>
          <w:p w14:paraId="0D8DEE47" w14:textId="77777777" w:rsidR="004C2197" w:rsidRDefault="004C2197">
            <w:pPr>
              <w:rPr>
                <w:rFonts w:ascii="宋体"/>
              </w:rPr>
            </w:pPr>
          </w:p>
        </w:tc>
        <w:tc>
          <w:tcPr>
            <w:tcW w:w="0" w:type="auto"/>
            <w:shd w:val="clear" w:color="auto" w:fill="auto"/>
          </w:tcPr>
          <w:p w14:paraId="0D8DEE48" w14:textId="77777777" w:rsidR="004C2197" w:rsidRDefault="004C2197">
            <w:pPr>
              <w:rPr>
                <w:rFonts w:ascii="宋体"/>
              </w:rPr>
            </w:pPr>
          </w:p>
        </w:tc>
        <w:tc>
          <w:tcPr>
            <w:tcW w:w="0" w:type="auto"/>
            <w:shd w:val="clear" w:color="auto" w:fill="auto"/>
          </w:tcPr>
          <w:p w14:paraId="0D8DEE49" w14:textId="77777777" w:rsidR="004C2197" w:rsidRDefault="004C2197">
            <w:pPr>
              <w:rPr>
                <w:rFonts w:ascii="宋体"/>
              </w:rPr>
            </w:pPr>
          </w:p>
        </w:tc>
        <w:tc>
          <w:tcPr>
            <w:tcW w:w="0" w:type="auto"/>
            <w:shd w:val="clear" w:color="auto" w:fill="auto"/>
          </w:tcPr>
          <w:p w14:paraId="0D8DEE4A" w14:textId="77777777" w:rsidR="004C2197" w:rsidRDefault="004C2197">
            <w:pPr>
              <w:rPr>
                <w:rFonts w:ascii="宋体"/>
              </w:rPr>
            </w:pPr>
          </w:p>
        </w:tc>
        <w:tc>
          <w:tcPr>
            <w:tcW w:w="0" w:type="auto"/>
            <w:shd w:val="clear" w:color="auto" w:fill="auto"/>
          </w:tcPr>
          <w:p w14:paraId="0D8DEE4B" w14:textId="77777777" w:rsidR="004C2197" w:rsidRDefault="004C2197">
            <w:pPr>
              <w:rPr>
                <w:rFonts w:ascii="宋体"/>
              </w:rPr>
            </w:pPr>
          </w:p>
        </w:tc>
        <w:tc>
          <w:tcPr>
            <w:tcW w:w="0" w:type="auto"/>
            <w:shd w:val="clear" w:color="auto" w:fill="auto"/>
          </w:tcPr>
          <w:p w14:paraId="0D8DEE4C" w14:textId="77777777" w:rsidR="004C2197" w:rsidRDefault="004C2197">
            <w:pPr>
              <w:rPr>
                <w:rFonts w:ascii="宋体"/>
              </w:rPr>
            </w:pPr>
          </w:p>
        </w:tc>
        <w:tc>
          <w:tcPr>
            <w:tcW w:w="0" w:type="auto"/>
            <w:shd w:val="clear" w:color="auto" w:fill="auto"/>
          </w:tcPr>
          <w:p w14:paraId="0D8DEE4D" w14:textId="77777777" w:rsidR="004C2197" w:rsidRDefault="004C2197">
            <w:pPr>
              <w:rPr>
                <w:rFonts w:ascii="宋体"/>
              </w:rPr>
            </w:pPr>
          </w:p>
        </w:tc>
        <w:tc>
          <w:tcPr>
            <w:tcW w:w="0" w:type="auto"/>
            <w:shd w:val="clear" w:color="auto" w:fill="auto"/>
          </w:tcPr>
          <w:p w14:paraId="0D8DEE4E" w14:textId="77777777" w:rsidR="004C2197" w:rsidRDefault="004C2197">
            <w:pPr>
              <w:rPr>
                <w:rFonts w:ascii="宋体"/>
              </w:rPr>
            </w:pPr>
          </w:p>
        </w:tc>
        <w:tc>
          <w:tcPr>
            <w:tcW w:w="0" w:type="auto"/>
            <w:shd w:val="clear" w:color="auto" w:fill="auto"/>
          </w:tcPr>
          <w:p w14:paraId="0D8DEE4F" w14:textId="77777777" w:rsidR="004C2197" w:rsidRDefault="004C2197">
            <w:pPr>
              <w:rPr>
                <w:rFonts w:ascii="宋体"/>
              </w:rPr>
            </w:pPr>
          </w:p>
        </w:tc>
        <w:tc>
          <w:tcPr>
            <w:tcW w:w="0" w:type="auto"/>
            <w:shd w:val="clear" w:color="auto" w:fill="auto"/>
          </w:tcPr>
          <w:p w14:paraId="0D8DEE50" w14:textId="77777777" w:rsidR="004C2197" w:rsidRDefault="004C2197">
            <w:pPr>
              <w:rPr>
                <w:rFonts w:ascii="宋体"/>
              </w:rPr>
            </w:pPr>
          </w:p>
        </w:tc>
      </w:tr>
      <w:tr w:rsidR="004C2197" w14:paraId="0D8DEE5A" w14:textId="77777777">
        <w:tc>
          <w:tcPr>
            <w:tcW w:w="0" w:type="auto"/>
            <w:gridSpan w:val="3"/>
            <w:shd w:val="clear" w:color="auto" w:fill="auto"/>
            <w:tcMar>
              <w:left w:w="20" w:type="dxa"/>
              <w:right w:w="20" w:type="dxa"/>
            </w:tcMar>
            <w:vAlign w:val="bottom"/>
          </w:tcPr>
          <w:p w14:paraId="0D8DEE52" w14:textId="77777777" w:rsidR="004C2197" w:rsidRDefault="004C2197">
            <w:pPr>
              <w:rPr>
                <w:rFonts w:ascii="宋体"/>
              </w:rPr>
            </w:pPr>
          </w:p>
        </w:tc>
        <w:tc>
          <w:tcPr>
            <w:tcW w:w="0" w:type="auto"/>
            <w:gridSpan w:val="21"/>
            <w:shd w:val="clear" w:color="auto" w:fill="FFFFFF"/>
            <w:tcMar>
              <w:top w:w="40" w:type="dxa"/>
              <w:left w:w="20" w:type="dxa"/>
              <w:bottom w:w="40" w:type="dxa"/>
              <w:right w:w="20" w:type="dxa"/>
            </w:tcMar>
            <w:vAlign w:val="bottom"/>
          </w:tcPr>
          <w:p w14:paraId="0D8DEE53"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EE54" w14:textId="77777777" w:rsidR="004C2197" w:rsidRDefault="004C2197">
            <w:pPr>
              <w:rPr>
                <w:rFonts w:ascii="宋体"/>
                <w:vanish/>
              </w:rPr>
            </w:pPr>
          </w:p>
        </w:tc>
        <w:tc>
          <w:tcPr>
            <w:tcW w:w="0" w:type="auto"/>
            <w:gridSpan w:val="3"/>
            <w:shd w:val="clear" w:color="auto" w:fill="auto"/>
          </w:tcPr>
          <w:p w14:paraId="0D8DEE55" w14:textId="77777777" w:rsidR="004C2197" w:rsidRDefault="004C2197">
            <w:pPr>
              <w:rPr>
                <w:rFonts w:ascii="宋体"/>
                <w:vanish/>
              </w:rPr>
            </w:pPr>
          </w:p>
        </w:tc>
        <w:tc>
          <w:tcPr>
            <w:tcW w:w="0" w:type="auto"/>
            <w:gridSpan w:val="3"/>
            <w:shd w:val="clear" w:color="auto" w:fill="auto"/>
          </w:tcPr>
          <w:p w14:paraId="0D8DEE56" w14:textId="77777777" w:rsidR="004C2197" w:rsidRDefault="004C2197">
            <w:pPr>
              <w:rPr>
                <w:rFonts w:ascii="宋体"/>
                <w:vanish/>
              </w:rPr>
            </w:pPr>
          </w:p>
        </w:tc>
        <w:tc>
          <w:tcPr>
            <w:tcW w:w="0" w:type="auto"/>
            <w:gridSpan w:val="3"/>
            <w:shd w:val="clear" w:color="auto" w:fill="auto"/>
          </w:tcPr>
          <w:p w14:paraId="0D8DEE57" w14:textId="77777777" w:rsidR="004C2197" w:rsidRDefault="004C2197">
            <w:pPr>
              <w:rPr>
                <w:rFonts w:ascii="宋体"/>
                <w:vanish/>
              </w:rPr>
            </w:pPr>
          </w:p>
        </w:tc>
        <w:tc>
          <w:tcPr>
            <w:tcW w:w="0" w:type="auto"/>
            <w:gridSpan w:val="3"/>
            <w:shd w:val="clear" w:color="auto" w:fill="auto"/>
          </w:tcPr>
          <w:p w14:paraId="0D8DEE58" w14:textId="77777777" w:rsidR="004C2197" w:rsidRDefault="004C2197">
            <w:pPr>
              <w:rPr>
                <w:rFonts w:ascii="宋体"/>
                <w:vanish/>
              </w:rPr>
            </w:pPr>
          </w:p>
        </w:tc>
        <w:tc>
          <w:tcPr>
            <w:tcW w:w="0" w:type="auto"/>
            <w:gridSpan w:val="3"/>
            <w:shd w:val="clear" w:color="auto" w:fill="auto"/>
          </w:tcPr>
          <w:p w14:paraId="0D8DEE59" w14:textId="77777777" w:rsidR="004C2197" w:rsidRDefault="004C2197">
            <w:pPr>
              <w:rPr>
                <w:rFonts w:ascii="宋体"/>
                <w:vanish/>
              </w:rPr>
            </w:pPr>
          </w:p>
        </w:tc>
      </w:tr>
      <w:tr w:rsidR="004C2197" w14:paraId="0D8DEE7D" w14:textId="77777777">
        <w:tc>
          <w:tcPr>
            <w:tcW w:w="0" w:type="auto"/>
            <w:gridSpan w:val="3"/>
            <w:shd w:val="clear" w:color="auto" w:fill="E2EFD9"/>
            <w:tcMar>
              <w:top w:w="40" w:type="dxa"/>
              <w:left w:w="20" w:type="dxa"/>
              <w:bottom w:w="40" w:type="dxa"/>
              <w:right w:w="20" w:type="dxa"/>
            </w:tcMar>
            <w:vAlign w:val="bottom"/>
          </w:tcPr>
          <w:p w14:paraId="0D8DEE5B" w14:textId="77777777" w:rsidR="004C2197" w:rsidRDefault="00863B83">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tcMar>
            <w:vAlign w:val="bottom"/>
          </w:tcPr>
          <w:p w14:paraId="0D8DEE5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E5D" w14:textId="77777777" w:rsidR="004C2197" w:rsidRDefault="00863B83">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bottom w:w="40" w:type="dxa"/>
              <w:right w:w="20" w:type="dxa"/>
            </w:tcMar>
            <w:vAlign w:val="bottom"/>
          </w:tcPr>
          <w:p w14:paraId="0D8DEE5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5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E6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E61" w14:textId="77777777" w:rsidR="004C2197" w:rsidRDefault="00863B83">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bottom w:w="40" w:type="dxa"/>
              <w:right w:w="20" w:type="dxa"/>
            </w:tcMar>
            <w:vAlign w:val="bottom"/>
          </w:tcPr>
          <w:p w14:paraId="0D8DEE6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63"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E6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E65" w14:textId="77777777" w:rsidR="004C2197" w:rsidRDefault="00863B83">
            <w:pPr>
              <w:jc w:val="right"/>
              <w:textAlignment w:val="bottom"/>
            </w:pPr>
            <w:r>
              <w:rPr>
                <w:rFonts w:ascii="sans-serif" w:eastAsia="sans-serif" w:hAnsi="sans-serif" w:cs="sans-serif"/>
                <w:color w:val="000000"/>
                <w:sz w:val="20"/>
                <w:szCs w:val="20"/>
              </w:rPr>
              <w:t>35 </w:t>
            </w:r>
          </w:p>
        </w:tc>
        <w:tc>
          <w:tcPr>
            <w:tcW w:w="0" w:type="auto"/>
            <w:shd w:val="clear" w:color="auto" w:fill="E2EFD9"/>
            <w:tcMar>
              <w:top w:w="40" w:type="dxa"/>
              <w:bottom w:w="40" w:type="dxa"/>
              <w:right w:w="20" w:type="dxa"/>
            </w:tcMar>
            <w:vAlign w:val="bottom"/>
          </w:tcPr>
          <w:p w14:paraId="0D8DEE6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67"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E6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E69" w14:textId="77777777" w:rsidR="004C2197" w:rsidRDefault="00863B83">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bottom w:w="40" w:type="dxa"/>
              <w:right w:w="20" w:type="dxa"/>
            </w:tcMar>
            <w:vAlign w:val="bottom"/>
          </w:tcPr>
          <w:p w14:paraId="0D8DEE6A" w14:textId="77777777" w:rsidR="004C2197" w:rsidRDefault="004C2197">
            <w:pPr>
              <w:jc w:val="right"/>
              <w:rPr>
                <w:rFonts w:ascii="宋体"/>
              </w:rPr>
            </w:pPr>
          </w:p>
        </w:tc>
        <w:tc>
          <w:tcPr>
            <w:tcW w:w="0" w:type="auto"/>
            <w:shd w:val="clear" w:color="auto" w:fill="auto"/>
          </w:tcPr>
          <w:p w14:paraId="0D8DEE6B" w14:textId="77777777" w:rsidR="004C2197" w:rsidRDefault="004C2197">
            <w:pPr>
              <w:rPr>
                <w:rFonts w:ascii="宋体"/>
              </w:rPr>
            </w:pPr>
          </w:p>
        </w:tc>
        <w:tc>
          <w:tcPr>
            <w:tcW w:w="0" w:type="auto"/>
            <w:shd w:val="clear" w:color="auto" w:fill="auto"/>
          </w:tcPr>
          <w:p w14:paraId="0D8DEE6C" w14:textId="77777777" w:rsidR="004C2197" w:rsidRDefault="004C2197">
            <w:pPr>
              <w:rPr>
                <w:rFonts w:ascii="宋体"/>
              </w:rPr>
            </w:pPr>
          </w:p>
        </w:tc>
        <w:tc>
          <w:tcPr>
            <w:tcW w:w="0" w:type="auto"/>
            <w:shd w:val="clear" w:color="auto" w:fill="auto"/>
          </w:tcPr>
          <w:p w14:paraId="0D8DEE6D" w14:textId="77777777" w:rsidR="004C2197" w:rsidRDefault="004C2197">
            <w:pPr>
              <w:rPr>
                <w:rFonts w:ascii="宋体"/>
              </w:rPr>
            </w:pPr>
          </w:p>
        </w:tc>
        <w:tc>
          <w:tcPr>
            <w:tcW w:w="0" w:type="auto"/>
            <w:shd w:val="clear" w:color="auto" w:fill="auto"/>
          </w:tcPr>
          <w:p w14:paraId="0D8DEE6E" w14:textId="77777777" w:rsidR="004C2197" w:rsidRDefault="004C2197">
            <w:pPr>
              <w:rPr>
                <w:rFonts w:ascii="宋体"/>
              </w:rPr>
            </w:pPr>
          </w:p>
        </w:tc>
        <w:tc>
          <w:tcPr>
            <w:tcW w:w="0" w:type="auto"/>
            <w:shd w:val="clear" w:color="auto" w:fill="auto"/>
          </w:tcPr>
          <w:p w14:paraId="0D8DEE6F" w14:textId="77777777" w:rsidR="004C2197" w:rsidRDefault="004C2197">
            <w:pPr>
              <w:rPr>
                <w:rFonts w:ascii="宋体"/>
              </w:rPr>
            </w:pPr>
          </w:p>
        </w:tc>
        <w:tc>
          <w:tcPr>
            <w:tcW w:w="0" w:type="auto"/>
            <w:shd w:val="clear" w:color="auto" w:fill="auto"/>
          </w:tcPr>
          <w:p w14:paraId="0D8DEE70" w14:textId="77777777" w:rsidR="004C2197" w:rsidRDefault="004C2197">
            <w:pPr>
              <w:rPr>
                <w:rFonts w:ascii="宋体"/>
              </w:rPr>
            </w:pPr>
          </w:p>
        </w:tc>
        <w:tc>
          <w:tcPr>
            <w:tcW w:w="0" w:type="auto"/>
            <w:shd w:val="clear" w:color="auto" w:fill="auto"/>
          </w:tcPr>
          <w:p w14:paraId="0D8DEE71" w14:textId="77777777" w:rsidR="004C2197" w:rsidRDefault="004C2197">
            <w:pPr>
              <w:rPr>
                <w:rFonts w:ascii="宋体"/>
              </w:rPr>
            </w:pPr>
          </w:p>
        </w:tc>
        <w:tc>
          <w:tcPr>
            <w:tcW w:w="0" w:type="auto"/>
            <w:shd w:val="clear" w:color="auto" w:fill="auto"/>
          </w:tcPr>
          <w:p w14:paraId="0D8DEE72" w14:textId="77777777" w:rsidR="004C2197" w:rsidRDefault="004C2197">
            <w:pPr>
              <w:rPr>
                <w:rFonts w:ascii="宋体"/>
              </w:rPr>
            </w:pPr>
          </w:p>
        </w:tc>
        <w:tc>
          <w:tcPr>
            <w:tcW w:w="0" w:type="auto"/>
            <w:shd w:val="clear" w:color="auto" w:fill="auto"/>
          </w:tcPr>
          <w:p w14:paraId="0D8DEE73" w14:textId="77777777" w:rsidR="004C2197" w:rsidRDefault="004C2197">
            <w:pPr>
              <w:rPr>
                <w:rFonts w:ascii="宋体"/>
              </w:rPr>
            </w:pPr>
          </w:p>
        </w:tc>
        <w:tc>
          <w:tcPr>
            <w:tcW w:w="0" w:type="auto"/>
            <w:shd w:val="clear" w:color="auto" w:fill="auto"/>
          </w:tcPr>
          <w:p w14:paraId="0D8DEE74" w14:textId="77777777" w:rsidR="004C2197" w:rsidRDefault="004C2197">
            <w:pPr>
              <w:rPr>
                <w:rFonts w:ascii="宋体"/>
              </w:rPr>
            </w:pPr>
          </w:p>
        </w:tc>
        <w:tc>
          <w:tcPr>
            <w:tcW w:w="0" w:type="auto"/>
            <w:shd w:val="clear" w:color="auto" w:fill="auto"/>
          </w:tcPr>
          <w:p w14:paraId="0D8DEE75" w14:textId="77777777" w:rsidR="004C2197" w:rsidRDefault="004C2197">
            <w:pPr>
              <w:rPr>
                <w:rFonts w:ascii="宋体"/>
              </w:rPr>
            </w:pPr>
          </w:p>
        </w:tc>
        <w:tc>
          <w:tcPr>
            <w:tcW w:w="0" w:type="auto"/>
            <w:shd w:val="clear" w:color="auto" w:fill="auto"/>
          </w:tcPr>
          <w:p w14:paraId="0D8DEE76" w14:textId="77777777" w:rsidR="004C2197" w:rsidRDefault="004C2197">
            <w:pPr>
              <w:rPr>
                <w:rFonts w:ascii="宋体"/>
              </w:rPr>
            </w:pPr>
          </w:p>
        </w:tc>
        <w:tc>
          <w:tcPr>
            <w:tcW w:w="0" w:type="auto"/>
            <w:shd w:val="clear" w:color="auto" w:fill="auto"/>
          </w:tcPr>
          <w:p w14:paraId="0D8DEE77" w14:textId="77777777" w:rsidR="004C2197" w:rsidRDefault="004C2197">
            <w:pPr>
              <w:rPr>
                <w:rFonts w:ascii="宋体"/>
              </w:rPr>
            </w:pPr>
          </w:p>
        </w:tc>
        <w:tc>
          <w:tcPr>
            <w:tcW w:w="0" w:type="auto"/>
            <w:shd w:val="clear" w:color="auto" w:fill="auto"/>
          </w:tcPr>
          <w:p w14:paraId="0D8DEE78" w14:textId="77777777" w:rsidR="004C2197" w:rsidRDefault="004C2197">
            <w:pPr>
              <w:rPr>
                <w:rFonts w:ascii="宋体"/>
              </w:rPr>
            </w:pPr>
          </w:p>
        </w:tc>
        <w:tc>
          <w:tcPr>
            <w:tcW w:w="0" w:type="auto"/>
            <w:shd w:val="clear" w:color="auto" w:fill="auto"/>
          </w:tcPr>
          <w:p w14:paraId="0D8DEE79" w14:textId="77777777" w:rsidR="004C2197" w:rsidRDefault="004C2197">
            <w:pPr>
              <w:rPr>
                <w:rFonts w:ascii="宋体"/>
              </w:rPr>
            </w:pPr>
          </w:p>
        </w:tc>
        <w:tc>
          <w:tcPr>
            <w:tcW w:w="0" w:type="auto"/>
            <w:shd w:val="clear" w:color="auto" w:fill="auto"/>
          </w:tcPr>
          <w:p w14:paraId="0D8DEE7A" w14:textId="77777777" w:rsidR="004C2197" w:rsidRDefault="004C2197">
            <w:pPr>
              <w:rPr>
                <w:rFonts w:ascii="宋体"/>
              </w:rPr>
            </w:pPr>
          </w:p>
        </w:tc>
        <w:tc>
          <w:tcPr>
            <w:tcW w:w="0" w:type="auto"/>
            <w:shd w:val="clear" w:color="auto" w:fill="auto"/>
          </w:tcPr>
          <w:p w14:paraId="0D8DEE7B" w14:textId="77777777" w:rsidR="004C2197" w:rsidRDefault="004C2197">
            <w:pPr>
              <w:rPr>
                <w:rFonts w:ascii="宋体"/>
              </w:rPr>
            </w:pPr>
          </w:p>
        </w:tc>
        <w:tc>
          <w:tcPr>
            <w:tcW w:w="0" w:type="auto"/>
            <w:shd w:val="clear" w:color="auto" w:fill="auto"/>
          </w:tcPr>
          <w:p w14:paraId="0D8DEE7C" w14:textId="77777777" w:rsidR="004C2197" w:rsidRDefault="004C2197">
            <w:pPr>
              <w:rPr>
                <w:rFonts w:ascii="宋体"/>
              </w:rPr>
            </w:pPr>
          </w:p>
        </w:tc>
      </w:tr>
      <w:tr w:rsidR="004C2197" w14:paraId="0D8DEE9C" w14:textId="77777777">
        <w:tc>
          <w:tcPr>
            <w:tcW w:w="0" w:type="auto"/>
            <w:gridSpan w:val="3"/>
            <w:shd w:val="clear" w:color="auto" w:fill="FFFFFF"/>
            <w:tcMar>
              <w:top w:w="40" w:type="dxa"/>
              <w:left w:w="20" w:type="dxa"/>
              <w:bottom w:w="40" w:type="dxa"/>
              <w:right w:w="20" w:type="dxa"/>
            </w:tcMar>
            <w:vAlign w:val="bottom"/>
          </w:tcPr>
          <w:p w14:paraId="0D8DEE7E" w14:textId="77777777" w:rsidR="004C2197" w:rsidRDefault="00863B83">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8DEE7F" w14:textId="77777777" w:rsidR="004C2197" w:rsidRDefault="00863B83">
            <w:pPr>
              <w:jc w:val="right"/>
              <w:textAlignment w:val="bottom"/>
            </w:pPr>
            <w:r>
              <w:rPr>
                <w:rFonts w:ascii="sans-serif" w:eastAsia="sans-serif" w:hAnsi="sans-serif" w:cs="sans-serif"/>
                <w:color w:val="000000"/>
                <w:sz w:val="20"/>
                <w:szCs w:val="20"/>
              </w:rPr>
              <w:t>228 </w:t>
            </w:r>
          </w:p>
        </w:tc>
        <w:tc>
          <w:tcPr>
            <w:tcW w:w="0" w:type="auto"/>
            <w:shd w:val="clear" w:color="auto" w:fill="FFFFFF"/>
            <w:tcMar>
              <w:top w:w="40" w:type="dxa"/>
              <w:bottom w:w="40" w:type="dxa"/>
              <w:right w:w="20" w:type="dxa"/>
            </w:tcMar>
            <w:vAlign w:val="bottom"/>
          </w:tcPr>
          <w:p w14:paraId="0D8DEE8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8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E82" w14:textId="77777777" w:rsidR="004C2197" w:rsidRDefault="00863B83">
            <w:pPr>
              <w:jc w:val="right"/>
              <w:textAlignment w:val="bottom"/>
            </w:pPr>
            <w:r>
              <w:rPr>
                <w:rFonts w:ascii="sans-serif" w:eastAsia="sans-serif" w:hAnsi="sans-serif" w:cs="sans-serif"/>
                <w:color w:val="000000"/>
                <w:sz w:val="20"/>
                <w:szCs w:val="20"/>
              </w:rPr>
              <w:t>145 </w:t>
            </w:r>
          </w:p>
        </w:tc>
        <w:tc>
          <w:tcPr>
            <w:tcW w:w="0" w:type="auto"/>
            <w:shd w:val="clear" w:color="auto" w:fill="FFFFFF"/>
            <w:tcMar>
              <w:top w:w="40" w:type="dxa"/>
              <w:bottom w:w="40" w:type="dxa"/>
              <w:right w:w="20" w:type="dxa"/>
            </w:tcMar>
            <w:vAlign w:val="bottom"/>
          </w:tcPr>
          <w:p w14:paraId="0D8DEE8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8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E85" w14:textId="77777777" w:rsidR="004C2197" w:rsidRDefault="00863B83">
            <w:pPr>
              <w:jc w:val="right"/>
              <w:textAlignment w:val="bottom"/>
            </w:pPr>
            <w:r>
              <w:rPr>
                <w:rFonts w:ascii="sans-serif" w:eastAsia="sans-serif" w:hAnsi="sans-serif" w:cs="sans-serif"/>
                <w:color w:val="000000"/>
                <w:sz w:val="20"/>
                <w:szCs w:val="20"/>
              </w:rPr>
              <w:t>362 </w:t>
            </w:r>
          </w:p>
        </w:tc>
        <w:tc>
          <w:tcPr>
            <w:tcW w:w="0" w:type="auto"/>
            <w:shd w:val="clear" w:color="auto" w:fill="FFFFFF"/>
            <w:tcMar>
              <w:top w:w="40" w:type="dxa"/>
              <w:bottom w:w="40" w:type="dxa"/>
              <w:right w:w="20" w:type="dxa"/>
            </w:tcMar>
            <w:vAlign w:val="bottom"/>
          </w:tcPr>
          <w:p w14:paraId="0D8DEE8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8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EE88" w14:textId="77777777" w:rsidR="004C2197" w:rsidRDefault="00863B83">
            <w:pPr>
              <w:jc w:val="right"/>
              <w:textAlignment w:val="bottom"/>
            </w:pPr>
            <w:r>
              <w:rPr>
                <w:rFonts w:ascii="sans-serif" w:eastAsia="sans-serif" w:hAnsi="sans-serif" w:cs="sans-serif"/>
                <w:color w:val="000000"/>
                <w:sz w:val="20"/>
                <w:szCs w:val="20"/>
              </w:rPr>
              <w:t>259 </w:t>
            </w:r>
          </w:p>
        </w:tc>
        <w:tc>
          <w:tcPr>
            <w:tcW w:w="0" w:type="auto"/>
            <w:shd w:val="clear" w:color="auto" w:fill="FFFFFF"/>
            <w:tcMar>
              <w:top w:w="40" w:type="dxa"/>
              <w:bottom w:w="40" w:type="dxa"/>
              <w:right w:w="20" w:type="dxa"/>
            </w:tcMar>
            <w:vAlign w:val="bottom"/>
          </w:tcPr>
          <w:p w14:paraId="0D8DEE89" w14:textId="77777777" w:rsidR="004C2197" w:rsidRDefault="004C2197">
            <w:pPr>
              <w:jc w:val="right"/>
              <w:rPr>
                <w:rFonts w:ascii="宋体"/>
              </w:rPr>
            </w:pPr>
          </w:p>
        </w:tc>
        <w:tc>
          <w:tcPr>
            <w:tcW w:w="0" w:type="auto"/>
            <w:shd w:val="clear" w:color="auto" w:fill="auto"/>
          </w:tcPr>
          <w:p w14:paraId="0D8DEE8A" w14:textId="77777777" w:rsidR="004C2197" w:rsidRDefault="004C2197">
            <w:pPr>
              <w:rPr>
                <w:rFonts w:ascii="宋体"/>
              </w:rPr>
            </w:pPr>
          </w:p>
        </w:tc>
        <w:tc>
          <w:tcPr>
            <w:tcW w:w="0" w:type="auto"/>
            <w:shd w:val="clear" w:color="auto" w:fill="auto"/>
          </w:tcPr>
          <w:p w14:paraId="0D8DEE8B" w14:textId="77777777" w:rsidR="004C2197" w:rsidRDefault="004C2197">
            <w:pPr>
              <w:rPr>
                <w:rFonts w:ascii="宋体"/>
              </w:rPr>
            </w:pPr>
          </w:p>
        </w:tc>
        <w:tc>
          <w:tcPr>
            <w:tcW w:w="0" w:type="auto"/>
            <w:shd w:val="clear" w:color="auto" w:fill="auto"/>
          </w:tcPr>
          <w:p w14:paraId="0D8DEE8C" w14:textId="77777777" w:rsidR="004C2197" w:rsidRDefault="004C2197">
            <w:pPr>
              <w:rPr>
                <w:rFonts w:ascii="宋体"/>
              </w:rPr>
            </w:pPr>
          </w:p>
        </w:tc>
        <w:tc>
          <w:tcPr>
            <w:tcW w:w="0" w:type="auto"/>
            <w:shd w:val="clear" w:color="auto" w:fill="auto"/>
          </w:tcPr>
          <w:p w14:paraId="0D8DEE8D" w14:textId="77777777" w:rsidR="004C2197" w:rsidRDefault="004C2197">
            <w:pPr>
              <w:rPr>
                <w:rFonts w:ascii="宋体"/>
              </w:rPr>
            </w:pPr>
          </w:p>
        </w:tc>
        <w:tc>
          <w:tcPr>
            <w:tcW w:w="0" w:type="auto"/>
            <w:shd w:val="clear" w:color="auto" w:fill="auto"/>
          </w:tcPr>
          <w:p w14:paraId="0D8DEE8E" w14:textId="77777777" w:rsidR="004C2197" w:rsidRDefault="004C2197">
            <w:pPr>
              <w:rPr>
                <w:rFonts w:ascii="宋体"/>
              </w:rPr>
            </w:pPr>
          </w:p>
        </w:tc>
        <w:tc>
          <w:tcPr>
            <w:tcW w:w="0" w:type="auto"/>
            <w:shd w:val="clear" w:color="auto" w:fill="auto"/>
          </w:tcPr>
          <w:p w14:paraId="0D8DEE8F" w14:textId="77777777" w:rsidR="004C2197" w:rsidRDefault="004C2197">
            <w:pPr>
              <w:rPr>
                <w:rFonts w:ascii="宋体"/>
              </w:rPr>
            </w:pPr>
          </w:p>
        </w:tc>
        <w:tc>
          <w:tcPr>
            <w:tcW w:w="0" w:type="auto"/>
            <w:shd w:val="clear" w:color="auto" w:fill="auto"/>
          </w:tcPr>
          <w:p w14:paraId="0D8DEE90" w14:textId="77777777" w:rsidR="004C2197" w:rsidRDefault="004C2197">
            <w:pPr>
              <w:rPr>
                <w:rFonts w:ascii="宋体"/>
              </w:rPr>
            </w:pPr>
          </w:p>
        </w:tc>
        <w:tc>
          <w:tcPr>
            <w:tcW w:w="0" w:type="auto"/>
            <w:shd w:val="clear" w:color="auto" w:fill="auto"/>
          </w:tcPr>
          <w:p w14:paraId="0D8DEE91" w14:textId="77777777" w:rsidR="004C2197" w:rsidRDefault="004C2197">
            <w:pPr>
              <w:rPr>
                <w:rFonts w:ascii="宋体"/>
              </w:rPr>
            </w:pPr>
          </w:p>
        </w:tc>
        <w:tc>
          <w:tcPr>
            <w:tcW w:w="0" w:type="auto"/>
            <w:shd w:val="clear" w:color="auto" w:fill="auto"/>
          </w:tcPr>
          <w:p w14:paraId="0D8DEE92" w14:textId="77777777" w:rsidR="004C2197" w:rsidRDefault="004C2197">
            <w:pPr>
              <w:rPr>
                <w:rFonts w:ascii="宋体"/>
              </w:rPr>
            </w:pPr>
          </w:p>
        </w:tc>
        <w:tc>
          <w:tcPr>
            <w:tcW w:w="0" w:type="auto"/>
            <w:shd w:val="clear" w:color="auto" w:fill="auto"/>
          </w:tcPr>
          <w:p w14:paraId="0D8DEE93" w14:textId="77777777" w:rsidR="004C2197" w:rsidRDefault="004C2197">
            <w:pPr>
              <w:rPr>
                <w:rFonts w:ascii="宋体"/>
              </w:rPr>
            </w:pPr>
          </w:p>
        </w:tc>
        <w:tc>
          <w:tcPr>
            <w:tcW w:w="0" w:type="auto"/>
            <w:shd w:val="clear" w:color="auto" w:fill="auto"/>
          </w:tcPr>
          <w:p w14:paraId="0D8DEE94" w14:textId="77777777" w:rsidR="004C2197" w:rsidRDefault="004C2197">
            <w:pPr>
              <w:rPr>
                <w:rFonts w:ascii="宋体"/>
              </w:rPr>
            </w:pPr>
          </w:p>
        </w:tc>
        <w:tc>
          <w:tcPr>
            <w:tcW w:w="0" w:type="auto"/>
            <w:shd w:val="clear" w:color="auto" w:fill="auto"/>
          </w:tcPr>
          <w:p w14:paraId="0D8DEE95" w14:textId="77777777" w:rsidR="004C2197" w:rsidRDefault="004C2197">
            <w:pPr>
              <w:rPr>
                <w:rFonts w:ascii="宋体"/>
              </w:rPr>
            </w:pPr>
          </w:p>
        </w:tc>
        <w:tc>
          <w:tcPr>
            <w:tcW w:w="0" w:type="auto"/>
            <w:shd w:val="clear" w:color="auto" w:fill="auto"/>
          </w:tcPr>
          <w:p w14:paraId="0D8DEE96" w14:textId="77777777" w:rsidR="004C2197" w:rsidRDefault="004C2197">
            <w:pPr>
              <w:rPr>
                <w:rFonts w:ascii="宋体"/>
              </w:rPr>
            </w:pPr>
          </w:p>
        </w:tc>
        <w:tc>
          <w:tcPr>
            <w:tcW w:w="0" w:type="auto"/>
            <w:shd w:val="clear" w:color="auto" w:fill="auto"/>
          </w:tcPr>
          <w:p w14:paraId="0D8DEE97" w14:textId="77777777" w:rsidR="004C2197" w:rsidRDefault="004C2197">
            <w:pPr>
              <w:rPr>
                <w:rFonts w:ascii="宋体"/>
              </w:rPr>
            </w:pPr>
          </w:p>
        </w:tc>
        <w:tc>
          <w:tcPr>
            <w:tcW w:w="0" w:type="auto"/>
            <w:shd w:val="clear" w:color="auto" w:fill="auto"/>
          </w:tcPr>
          <w:p w14:paraId="0D8DEE98" w14:textId="77777777" w:rsidR="004C2197" w:rsidRDefault="004C2197">
            <w:pPr>
              <w:rPr>
                <w:rFonts w:ascii="宋体"/>
              </w:rPr>
            </w:pPr>
          </w:p>
        </w:tc>
        <w:tc>
          <w:tcPr>
            <w:tcW w:w="0" w:type="auto"/>
            <w:shd w:val="clear" w:color="auto" w:fill="auto"/>
          </w:tcPr>
          <w:p w14:paraId="0D8DEE99" w14:textId="77777777" w:rsidR="004C2197" w:rsidRDefault="004C2197">
            <w:pPr>
              <w:rPr>
                <w:rFonts w:ascii="宋体"/>
              </w:rPr>
            </w:pPr>
          </w:p>
        </w:tc>
        <w:tc>
          <w:tcPr>
            <w:tcW w:w="0" w:type="auto"/>
            <w:shd w:val="clear" w:color="auto" w:fill="auto"/>
          </w:tcPr>
          <w:p w14:paraId="0D8DEE9A" w14:textId="77777777" w:rsidR="004C2197" w:rsidRDefault="004C2197">
            <w:pPr>
              <w:rPr>
                <w:rFonts w:ascii="宋体"/>
              </w:rPr>
            </w:pPr>
          </w:p>
        </w:tc>
        <w:tc>
          <w:tcPr>
            <w:tcW w:w="0" w:type="auto"/>
            <w:shd w:val="clear" w:color="auto" w:fill="auto"/>
          </w:tcPr>
          <w:p w14:paraId="0D8DEE9B" w14:textId="77777777" w:rsidR="004C2197" w:rsidRDefault="004C2197">
            <w:pPr>
              <w:rPr>
                <w:rFonts w:ascii="宋体"/>
              </w:rPr>
            </w:pPr>
          </w:p>
        </w:tc>
      </w:tr>
      <w:tr w:rsidR="004C2197" w14:paraId="0D8DEEBB" w14:textId="77777777">
        <w:tc>
          <w:tcPr>
            <w:tcW w:w="0" w:type="auto"/>
            <w:gridSpan w:val="3"/>
            <w:shd w:val="clear" w:color="auto" w:fill="E2EFD9"/>
            <w:tcMar>
              <w:top w:w="40" w:type="dxa"/>
              <w:left w:w="20" w:type="dxa"/>
              <w:bottom w:w="40" w:type="dxa"/>
              <w:right w:w="20" w:type="dxa"/>
            </w:tcMar>
            <w:vAlign w:val="bottom"/>
          </w:tcPr>
          <w:p w14:paraId="0D8DEE9D" w14:textId="77777777" w:rsidR="004C2197" w:rsidRDefault="00863B83">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0D8DEE9E" w14:textId="77777777" w:rsidR="004C2197" w:rsidRDefault="00863B83">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bottom w:w="40" w:type="dxa"/>
              <w:right w:w="20" w:type="dxa"/>
            </w:tcMar>
            <w:vAlign w:val="bottom"/>
          </w:tcPr>
          <w:p w14:paraId="0D8DEE9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A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EA1" w14:textId="77777777" w:rsidR="004C2197" w:rsidRDefault="00863B83">
            <w:pPr>
              <w:jc w:val="right"/>
              <w:textAlignment w:val="bottom"/>
            </w:pPr>
            <w:r>
              <w:rPr>
                <w:rFonts w:ascii="sans-serif" w:eastAsia="sans-serif" w:hAnsi="sans-serif" w:cs="sans-serif"/>
                <w:color w:val="000000"/>
                <w:sz w:val="20"/>
                <w:szCs w:val="20"/>
              </w:rPr>
              <w:t>71 </w:t>
            </w:r>
          </w:p>
        </w:tc>
        <w:tc>
          <w:tcPr>
            <w:tcW w:w="0" w:type="auto"/>
            <w:shd w:val="clear" w:color="auto" w:fill="E2EFD9"/>
            <w:tcMar>
              <w:top w:w="40" w:type="dxa"/>
              <w:bottom w:w="40" w:type="dxa"/>
              <w:right w:w="20" w:type="dxa"/>
            </w:tcMar>
            <w:vAlign w:val="bottom"/>
          </w:tcPr>
          <w:p w14:paraId="0D8DEEA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A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EA4" w14:textId="77777777" w:rsidR="004C2197" w:rsidRDefault="00863B83">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bottom w:w="40" w:type="dxa"/>
              <w:right w:w="20" w:type="dxa"/>
            </w:tcMar>
            <w:vAlign w:val="bottom"/>
          </w:tcPr>
          <w:p w14:paraId="0D8DEEA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EA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EEA7" w14:textId="77777777" w:rsidR="004C2197" w:rsidRDefault="00863B83">
            <w:pPr>
              <w:jc w:val="right"/>
              <w:textAlignment w:val="bottom"/>
            </w:pPr>
            <w:r>
              <w:rPr>
                <w:rFonts w:ascii="sans-serif" w:eastAsia="sans-serif" w:hAnsi="sans-serif" w:cs="sans-serif"/>
                <w:color w:val="000000"/>
                <w:sz w:val="20"/>
                <w:szCs w:val="20"/>
              </w:rPr>
              <w:t>130 </w:t>
            </w:r>
          </w:p>
        </w:tc>
        <w:tc>
          <w:tcPr>
            <w:tcW w:w="0" w:type="auto"/>
            <w:shd w:val="clear" w:color="auto" w:fill="E2EFD9"/>
            <w:tcMar>
              <w:top w:w="40" w:type="dxa"/>
              <w:bottom w:w="40" w:type="dxa"/>
              <w:right w:w="20" w:type="dxa"/>
            </w:tcMar>
            <w:vAlign w:val="bottom"/>
          </w:tcPr>
          <w:p w14:paraId="0D8DEEA8" w14:textId="77777777" w:rsidR="004C2197" w:rsidRDefault="004C2197">
            <w:pPr>
              <w:jc w:val="right"/>
              <w:rPr>
                <w:rFonts w:ascii="宋体"/>
              </w:rPr>
            </w:pPr>
          </w:p>
        </w:tc>
        <w:tc>
          <w:tcPr>
            <w:tcW w:w="0" w:type="auto"/>
            <w:shd w:val="clear" w:color="auto" w:fill="auto"/>
          </w:tcPr>
          <w:p w14:paraId="0D8DEEA9" w14:textId="77777777" w:rsidR="004C2197" w:rsidRDefault="004C2197">
            <w:pPr>
              <w:rPr>
                <w:rFonts w:ascii="宋体"/>
              </w:rPr>
            </w:pPr>
          </w:p>
        </w:tc>
        <w:tc>
          <w:tcPr>
            <w:tcW w:w="0" w:type="auto"/>
            <w:shd w:val="clear" w:color="auto" w:fill="auto"/>
          </w:tcPr>
          <w:p w14:paraId="0D8DEEAA" w14:textId="77777777" w:rsidR="004C2197" w:rsidRDefault="004C2197">
            <w:pPr>
              <w:rPr>
                <w:rFonts w:ascii="宋体"/>
              </w:rPr>
            </w:pPr>
          </w:p>
        </w:tc>
        <w:tc>
          <w:tcPr>
            <w:tcW w:w="0" w:type="auto"/>
            <w:shd w:val="clear" w:color="auto" w:fill="auto"/>
          </w:tcPr>
          <w:p w14:paraId="0D8DEEAB" w14:textId="77777777" w:rsidR="004C2197" w:rsidRDefault="004C2197">
            <w:pPr>
              <w:rPr>
                <w:rFonts w:ascii="宋体"/>
              </w:rPr>
            </w:pPr>
          </w:p>
        </w:tc>
        <w:tc>
          <w:tcPr>
            <w:tcW w:w="0" w:type="auto"/>
            <w:shd w:val="clear" w:color="auto" w:fill="auto"/>
          </w:tcPr>
          <w:p w14:paraId="0D8DEEAC" w14:textId="77777777" w:rsidR="004C2197" w:rsidRDefault="004C2197">
            <w:pPr>
              <w:rPr>
                <w:rFonts w:ascii="宋体"/>
              </w:rPr>
            </w:pPr>
          </w:p>
        </w:tc>
        <w:tc>
          <w:tcPr>
            <w:tcW w:w="0" w:type="auto"/>
            <w:shd w:val="clear" w:color="auto" w:fill="auto"/>
          </w:tcPr>
          <w:p w14:paraId="0D8DEEAD" w14:textId="77777777" w:rsidR="004C2197" w:rsidRDefault="004C2197">
            <w:pPr>
              <w:rPr>
                <w:rFonts w:ascii="宋体"/>
              </w:rPr>
            </w:pPr>
          </w:p>
        </w:tc>
        <w:tc>
          <w:tcPr>
            <w:tcW w:w="0" w:type="auto"/>
            <w:shd w:val="clear" w:color="auto" w:fill="auto"/>
          </w:tcPr>
          <w:p w14:paraId="0D8DEEAE" w14:textId="77777777" w:rsidR="004C2197" w:rsidRDefault="004C2197">
            <w:pPr>
              <w:rPr>
                <w:rFonts w:ascii="宋体"/>
              </w:rPr>
            </w:pPr>
          </w:p>
        </w:tc>
        <w:tc>
          <w:tcPr>
            <w:tcW w:w="0" w:type="auto"/>
            <w:shd w:val="clear" w:color="auto" w:fill="auto"/>
          </w:tcPr>
          <w:p w14:paraId="0D8DEEAF" w14:textId="77777777" w:rsidR="004C2197" w:rsidRDefault="004C2197">
            <w:pPr>
              <w:rPr>
                <w:rFonts w:ascii="宋体"/>
              </w:rPr>
            </w:pPr>
          </w:p>
        </w:tc>
        <w:tc>
          <w:tcPr>
            <w:tcW w:w="0" w:type="auto"/>
            <w:shd w:val="clear" w:color="auto" w:fill="auto"/>
          </w:tcPr>
          <w:p w14:paraId="0D8DEEB0" w14:textId="77777777" w:rsidR="004C2197" w:rsidRDefault="004C2197">
            <w:pPr>
              <w:rPr>
                <w:rFonts w:ascii="宋体"/>
              </w:rPr>
            </w:pPr>
          </w:p>
        </w:tc>
        <w:tc>
          <w:tcPr>
            <w:tcW w:w="0" w:type="auto"/>
            <w:shd w:val="clear" w:color="auto" w:fill="auto"/>
          </w:tcPr>
          <w:p w14:paraId="0D8DEEB1" w14:textId="77777777" w:rsidR="004C2197" w:rsidRDefault="004C2197">
            <w:pPr>
              <w:rPr>
                <w:rFonts w:ascii="宋体"/>
              </w:rPr>
            </w:pPr>
          </w:p>
        </w:tc>
        <w:tc>
          <w:tcPr>
            <w:tcW w:w="0" w:type="auto"/>
            <w:shd w:val="clear" w:color="auto" w:fill="auto"/>
          </w:tcPr>
          <w:p w14:paraId="0D8DEEB2" w14:textId="77777777" w:rsidR="004C2197" w:rsidRDefault="004C2197">
            <w:pPr>
              <w:rPr>
                <w:rFonts w:ascii="宋体"/>
              </w:rPr>
            </w:pPr>
          </w:p>
        </w:tc>
        <w:tc>
          <w:tcPr>
            <w:tcW w:w="0" w:type="auto"/>
            <w:shd w:val="clear" w:color="auto" w:fill="auto"/>
          </w:tcPr>
          <w:p w14:paraId="0D8DEEB3" w14:textId="77777777" w:rsidR="004C2197" w:rsidRDefault="004C2197">
            <w:pPr>
              <w:rPr>
                <w:rFonts w:ascii="宋体"/>
              </w:rPr>
            </w:pPr>
          </w:p>
        </w:tc>
        <w:tc>
          <w:tcPr>
            <w:tcW w:w="0" w:type="auto"/>
            <w:shd w:val="clear" w:color="auto" w:fill="auto"/>
          </w:tcPr>
          <w:p w14:paraId="0D8DEEB4" w14:textId="77777777" w:rsidR="004C2197" w:rsidRDefault="004C2197">
            <w:pPr>
              <w:rPr>
                <w:rFonts w:ascii="宋体"/>
              </w:rPr>
            </w:pPr>
          </w:p>
        </w:tc>
        <w:tc>
          <w:tcPr>
            <w:tcW w:w="0" w:type="auto"/>
            <w:shd w:val="clear" w:color="auto" w:fill="auto"/>
          </w:tcPr>
          <w:p w14:paraId="0D8DEEB5" w14:textId="77777777" w:rsidR="004C2197" w:rsidRDefault="004C2197">
            <w:pPr>
              <w:rPr>
                <w:rFonts w:ascii="宋体"/>
              </w:rPr>
            </w:pPr>
          </w:p>
        </w:tc>
        <w:tc>
          <w:tcPr>
            <w:tcW w:w="0" w:type="auto"/>
            <w:shd w:val="clear" w:color="auto" w:fill="auto"/>
          </w:tcPr>
          <w:p w14:paraId="0D8DEEB6" w14:textId="77777777" w:rsidR="004C2197" w:rsidRDefault="004C2197">
            <w:pPr>
              <w:rPr>
                <w:rFonts w:ascii="宋体"/>
              </w:rPr>
            </w:pPr>
          </w:p>
        </w:tc>
        <w:tc>
          <w:tcPr>
            <w:tcW w:w="0" w:type="auto"/>
            <w:shd w:val="clear" w:color="auto" w:fill="auto"/>
          </w:tcPr>
          <w:p w14:paraId="0D8DEEB7" w14:textId="77777777" w:rsidR="004C2197" w:rsidRDefault="004C2197">
            <w:pPr>
              <w:rPr>
                <w:rFonts w:ascii="宋体"/>
              </w:rPr>
            </w:pPr>
          </w:p>
        </w:tc>
        <w:tc>
          <w:tcPr>
            <w:tcW w:w="0" w:type="auto"/>
            <w:shd w:val="clear" w:color="auto" w:fill="auto"/>
          </w:tcPr>
          <w:p w14:paraId="0D8DEEB8" w14:textId="77777777" w:rsidR="004C2197" w:rsidRDefault="004C2197">
            <w:pPr>
              <w:rPr>
                <w:rFonts w:ascii="宋体"/>
              </w:rPr>
            </w:pPr>
          </w:p>
        </w:tc>
        <w:tc>
          <w:tcPr>
            <w:tcW w:w="0" w:type="auto"/>
            <w:shd w:val="clear" w:color="auto" w:fill="auto"/>
          </w:tcPr>
          <w:p w14:paraId="0D8DEEB9" w14:textId="77777777" w:rsidR="004C2197" w:rsidRDefault="004C2197">
            <w:pPr>
              <w:rPr>
                <w:rFonts w:ascii="宋体"/>
              </w:rPr>
            </w:pPr>
          </w:p>
        </w:tc>
        <w:tc>
          <w:tcPr>
            <w:tcW w:w="0" w:type="auto"/>
            <w:shd w:val="clear" w:color="auto" w:fill="auto"/>
          </w:tcPr>
          <w:p w14:paraId="0D8DEEBA" w14:textId="77777777" w:rsidR="004C2197" w:rsidRDefault="004C2197">
            <w:pPr>
              <w:rPr>
                <w:rFonts w:ascii="宋体"/>
              </w:rPr>
            </w:pPr>
          </w:p>
        </w:tc>
      </w:tr>
      <w:tr w:rsidR="004C2197" w14:paraId="0D8DEEDE" w14:textId="77777777">
        <w:tc>
          <w:tcPr>
            <w:tcW w:w="0" w:type="auto"/>
            <w:gridSpan w:val="3"/>
            <w:shd w:val="clear" w:color="auto" w:fill="FFFFFF"/>
            <w:tcMar>
              <w:top w:w="40" w:type="dxa"/>
              <w:left w:w="20" w:type="dxa"/>
              <w:bottom w:w="40" w:type="dxa"/>
              <w:right w:w="20" w:type="dxa"/>
            </w:tcMar>
            <w:vAlign w:val="bottom"/>
          </w:tcPr>
          <w:p w14:paraId="0D8DEEBC"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EB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EBE" w14:textId="77777777" w:rsidR="004C2197" w:rsidRDefault="00863B83">
            <w:pPr>
              <w:jc w:val="right"/>
              <w:textAlignment w:val="bottom"/>
            </w:pPr>
            <w:r>
              <w:rPr>
                <w:rFonts w:ascii="sans-serif" w:eastAsia="sans-serif" w:hAnsi="sans-serif" w:cs="sans-serif"/>
                <w:color w:val="000000"/>
                <w:sz w:val="20"/>
                <w:szCs w:val="20"/>
              </w:rPr>
              <w:t>374 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EB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C0"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EC1"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EC2" w14:textId="77777777" w:rsidR="004C2197" w:rsidRDefault="00863B83">
            <w:pPr>
              <w:jc w:val="right"/>
              <w:textAlignment w:val="bottom"/>
            </w:pPr>
            <w:r>
              <w:rPr>
                <w:rFonts w:ascii="sans-serif" w:eastAsia="sans-serif" w:hAnsi="sans-serif" w:cs="sans-serif"/>
                <w:color w:val="000000"/>
                <w:sz w:val="20"/>
                <w:szCs w:val="20"/>
              </w:rPr>
              <w:t>224 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EC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C4"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EC5"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EC6" w14:textId="77777777" w:rsidR="004C2197" w:rsidRDefault="00863B83">
            <w:pPr>
              <w:jc w:val="right"/>
              <w:textAlignment w:val="bottom"/>
            </w:pPr>
            <w:r>
              <w:rPr>
                <w:rFonts w:ascii="sans-serif" w:eastAsia="sans-serif" w:hAnsi="sans-serif" w:cs="sans-serif"/>
                <w:color w:val="000000"/>
                <w:sz w:val="20"/>
                <w:szCs w:val="20"/>
              </w:rPr>
              <w:t>598 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EC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EC8"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EEC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EECA" w14:textId="77777777" w:rsidR="004C2197" w:rsidRDefault="00863B83">
            <w:pPr>
              <w:jc w:val="right"/>
              <w:textAlignment w:val="bottom"/>
            </w:pPr>
            <w:r>
              <w:rPr>
                <w:rFonts w:ascii="sans-serif" w:eastAsia="sans-serif" w:hAnsi="sans-serif" w:cs="sans-serif"/>
                <w:color w:val="000000"/>
                <w:sz w:val="20"/>
                <w:szCs w:val="20"/>
              </w:rPr>
              <w:t>401 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ECB" w14:textId="77777777" w:rsidR="004C2197" w:rsidRDefault="004C2197">
            <w:pPr>
              <w:jc w:val="right"/>
              <w:rPr>
                <w:rFonts w:ascii="宋体"/>
              </w:rPr>
            </w:pPr>
          </w:p>
        </w:tc>
        <w:tc>
          <w:tcPr>
            <w:tcW w:w="0" w:type="auto"/>
            <w:shd w:val="clear" w:color="auto" w:fill="auto"/>
          </w:tcPr>
          <w:p w14:paraId="0D8DEECC" w14:textId="77777777" w:rsidR="004C2197" w:rsidRDefault="004C2197">
            <w:pPr>
              <w:rPr>
                <w:rFonts w:ascii="宋体"/>
              </w:rPr>
            </w:pPr>
          </w:p>
        </w:tc>
        <w:tc>
          <w:tcPr>
            <w:tcW w:w="0" w:type="auto"/>
            <w:shd w:val="clear" w:color="auto" w:fill="auto"/>
          </w:tcPr>
          <w:p w14:paraId="0D8DEECD" w14:textId="77777777" w:rsidR="004C2197" w:rsidRDefault="004C2197">
            <w:pPr>
              <w:rPr>
                <w:rFonts w:ascii="宋体"/>
              </w:rPr>
            </w:pPr>
          </w:p>
        </w:tc>
        <w:tc>
          <w:tcPr>
            <w:tcW w:w="0" w:type="auto"/>
            <w:shd w:val="clear" w:color="auto" w:fill="auto"/>
          </w:tcPr>
          <w:p w14:paraId="0D8DEECE" w14:textId="77777777" w:rsidR="004C2197" w:rsidRDefault="004C2197">
            <w:pPr>
              <w:rPr>
                <w:rFonts w:ascii="宋体"/>
              </w:rPr>
            </w:pPr>
          </w:p>
        </w:tc>
        <w:tc>
          <w:tcPr>
            <w:tcW w:w="0" w:type="auto"/>
            <w:shd w:val="clear" w:color="auto" w:fill="auto"/>
          </w:tcPr>
          <w:p w14:paraId="0D8DEECF" w14:textId="77777777" w:rsidR="004C2197" w:rsidRDefault="004C2197">
            <w:pPr>
              <w:rPr>
                <w:rFonts w:ascii="宋体"/>
              </w:rPr>
            </w:pPr>
          </w:p>
        </w:tc>
        <w:tc>
          <w:tcPr>
            <w:tcW w:w="0" w:type="auto"/>
            <w:shd w:val="clear" w:color="auto" w:fill="auto"/>
          </w:tcPr>
          <w:p w14:paraId="0D8DEED0" w14:textId="77777777" w:rsidR="004C2197" w:rsidRDefault="004C2197">
            <w:pPr>
              <w:rPr>
                <w:rFonts w:ascii="宋体"/>
              </w:rPr>
            </w:pPr>
          </w:p>
        </w:tc>
        <w:tc>
          <w:tcPr>
            <w:tcW w:w="0" w:type="auto"/>
            <w:shd w:val="clear" w:color="auto" w:fill="auto"/>
          </w:tcPr>
          <w:p w14:paraId="0D8DEED1" w14:textId="77777777" w:rsidR="004C2197" w:rsidRDefault="004C2197">
            <w:pPr>
              <w:rPr>
                <w:rFonts w:ascii="宋体"/>
              </w:rPr>
            </w:pPr>
          </w:p>
        </w:tc>
        <w:tc>
          <w:tcPr>
            <w:tcW w:w="0" w:type="auto"/>
            <w:shd w:val="clear" w:color="auto" w:fill="auto"/>
          </w:tcPr>
          <w:p w14:paraId="0D8DEED2" w14:textId="77777777" w:rsidR="004C2197" w:rsidRDefault="004C2197">
            <w:pPr>
              <w:rPr>
                <w:rFonts w:ascii="宋体"/>
              </w:rPr>
            </w:pPr>
          </w:p>
        </w:tc>
        <w:tc>
          <w:tcPr>
            <w:tcW w:w="0" w:type="auto"/>
            <w:shd w:val="clear" w:color="auto" w:fill="auto"/>
          </w:tcPr>
          <w:p w14:paraId="0D8DEED3" w14:textId="77777777" w:rsidR="004C2197" w:rsidRDefault="004C2197">
            <w:pPr>
              <w:rPr>
                <w:rFonts w:ascii="宋体"/>
              </w:rPr>
            </w:pPr>
          </w:p>
        </w:tc>
        <w:tc>
          <w:tcPr>
            <w:tcW w:w="0" w:type="auto"/>
            <w:shd w:val="clear" w:color="auto" w:fill="auto"/>
          </w:tcPr>
          <w:p w14:paraId="0D8DEED4" w14:textId="77777777" w:rsidR="004C2197" w:rsidRDefault="004C2197">
            <w:pPr>
              <w:rPr>
                <w:rFonts w:ascii="宋体"/>
              </w:rPr>
            </w:pPr>
          </w:p>
        </w:tc>
        <w:tc>
          <w:tcPr>
            <w:tcW w:w="0" w:type="auto"/>
            <w:shd w:val="clear" w:color="auto" w:fill="auto"/>
          </w:tcPr>
          <w:p w14:paraId="0D8DEED5" w14:textId="77777777" w:rsidR="004C2197" w:rsidRDefault="004C2197">
            <w:pPr>
              <w:rPr>
                <w:rFonts w:ascii="宋体"/>
              </w:rPr>
            </w:pPr>
          </w:p>
        </w:tc>
        <w:tc>
          <w:tcPr>
            <w:tcW w:w="0" w:type="auto"/>
            <w:shd w:val="clear" w:color="auto" w:fill="auto"/>
          </w:tcPr>
          <w:p w14:paraId="0D8DEED6" w14:textId="77777777" w:rsidR="004C2197" w:rsidRDefault="004C2197">
            <w:pPr>
              <w:rPr>
                <w:rFonts w:ascii="宋体"/>
              </w:rPr>
            </w:pPr>
          </w:p>
        </w:tc>
        <w:tc>
          <w:tcPr>
            <w:tcW w:w="0" w:type="auto"/>
            <w:shd w:val="clear" w:color="auto" w:fill="auto"/>
          </w:tcPr>
          <w:p w14:paraId="0D8DEED7" w14:textId="77777777" w:rsidR="004C2197" w:rsidRDefault="004C2197">
            <w:pPr>
              <w:rPr>
                <w:rFonts w:ascii="宋体"/>
              </w:rPr>
            </w:pPr>
          </w:p>
        </w:tc>
        <w:tc>
          <w:tcPr>
            <w:tcW w:w="0" w:type="auto"/>
            <w:shd w:val="clear" w:color="auto" w:fill="auto"/>
          </w:tcPr>
          <w:p w14:paraId="0D8DEED8" w14:textId="77777777" w:rsidR="004C2197" w:rsidRDefault="004C2197">
            <w:pPr>
              <w:rPr>
                <w:rFonts w:ascii="宋体"/>
              </w:rPr>
            </w:pPr>
          </w:p>
        </w:tc>
        <w:tc>
          <w:tcPr>
            <w:tcW w:w="0" w:type="auto"/>
            <w:shd w:val="clear" w:color="auto" w:fill="auto"/>
          </w:tcPr>
          <w:p w14:paraId="0D8DEED9" w14:textId="77777777" w:rsidR="004C2197" w:rsidRDefault="004C2197">
            <w:pPr>
              <w:rPr>
                <w:rFonts w:ascii="宋体"/>
              </w:rPr>
            </w:pPr>
          </w:p>
        </w:tc>
        <w:tc>
          <w:tcPr>
            <w:tcW w:w="0" w:type="auto"/>
            <w:shd w:val="clear" w:color="auto" w:fill="auto"/>
          </w:tcPr>
          <w:p w14:paraId="0D8DEEDA" w14:textId="77777777" w:rsidR="004C2197" w:rsidRDefault="004C2197">
            <w:pPr>
              <w:rPr>
                <w:rFonts w:ascii="宋体"/>
              </w:rPr>
            </w:pPr>
          </w:p>
        </w:tc>
        <w:tc>
          <w:tcPr>
            <w:tcW w:w="0" w:type="auto"/>
            <w:shd w:val="clear" w:color="auto" w:fill="auto"/>
          </w:tcPr>
          <w:p w14:paraId="0D8DEEDB" w14:textId="77777777" w:rsidR="004C2197" w:rsidRDefault="004C2197">
            <w:pPr>
              <w:rPr>
                <w:rFonts w:ascii="宋体"/>
              </w:rPr>
            </w:pPr>
          </w:p>
        </w:tc>
        <w:tc>
          <w:tcPr>
            <w:tcW w:w="0" w:type="auto"/>
            <w:shd w:val="clear" w:color="auto" w:fill="auto"/>
          </w:tcPr>
          <w:p w14:paraId="0D8DEEDC" w14:textId="77777777" w:rsidR="004C2197" w:rsidRDefault="004C2197">
            <w:pPr>
              <w:rPr>
                <w:rFonts w:ascii="宋体"/>
              </w:rPr>
            </w:pPr>
          </w:p>
        </w:tc>
        <w:tc>
          <w:tcPr>
            <w:tcW w:w="0" w:type="auto"/>
            <w:shd w:val="clear" w:color="auto" w:fill="auto"/>
          </w:tcPr>
          <w:p w14:paraId="0D8DEEDD" w14:textId="77777777" w:rsidR="004C2197" w:rsidRDefault="004C2197">
            <w:pPr>
              <w:rPr>
                <w:rFonts w:ascii="宋体"/>
              </w:rPr>
            </w:pPr>
          </w:p>
        </w:tc>
      </w:tr>
    </w:tbl>
    <w:p w14:paraId="0D8DEEDF" w14:textId="77777777" w:rsidR="004C2197" w:rsidRDefault="00863B83">
      <w:pPr>
        <w:spacing w:before="240" w:after="60"/>
        <w:jc w:val="both"/>
      </w:pPr>
      <w:r>
        <w:rPr>
          <w:rFonts w:ascii="sans-serif" w:eastAsia="sans-serif" w:hAnsi="sans-serif" w:cs="sans-serif"/>
          <w:b/>
          <w:bCs/>
          <w:color w:val="76B900"/>
          <w:sz w:val="20"/>
          <w:szCs w:val="20"/>
        </w:rPr>
        <w:t>Equity Award Activity</w:t>
      </w:r>
    </w:p>
    <w:p w14:paraId="0D8DEEE0" w14:textId="77777777" w:rsidR="004C2197" w:rsidRDefault="00863B83">
      <w:pPr>
        <w:spacing w:after="360"/>
        <w:jc w:val="both"/>
      </w:pPr>
      <w:r>
        <w:rPr>
          <w:rFonts w:ascii="sans-serif" w:eastAsia="sans-serif" w:hAnsi="sans-serif" w:cs="sans-serif"/>
          <w:color w:val="000000"/>
          <w:sz w:val="20"/>
          <w:szCs w:val="20"/>
        </w:rPr>
        <w:t xml:space="preserve">The following is a summary of equity </w:t>
      </w:r>
      <w:r>
        <w:rPr>
          <w:rFonts w:ascii="sans-serif" w:eastAsia="sans-serif" w:hAnsi="sans-serif" w:cs="sans-serif"/>
          <w:color w:val="000000"/>
          <w:sz w:val="20"/>
          <w:szCs w:val="20"/>
        </w:rPr>
        <w:t>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44"/>
        <w:gridCol w:w="4225"/>
        <w:gridCol w:w="38"/>
        <w:gridCol w:w="44"/>
        <w:gridCol w:w="1650"/>
        <w:gridCol w:w="43"/>
        <w:gridCol w:w="37"/>
        <w:gridCol w:w="37"/>
        <w:gridCol w:w="36"/>
        <w:gridCol w:w="138"/>
        <w:gridCol w:w="1642"/>
        <w:gridCol w:w="42"/>
        <w:gridCol w:w="36"/>
        <w:gridCol w:w="36"/>
        <w:gridCol w:w="36"/>
        <w:gridCol w:w="36"/>
        <w:gridCol w:w="36"/>
        <w:gridCol w:w="36"/>
        <w:gridCol w:w="36"/>
        <w:gridCol w:w="36"/>
        <w:gridCol w:w="36"/>
        <w:gridCol w:w="36"/>
      </w:tblGrid>
      <w:tr w:rsidR="004C2197" w14:paraId="0D8DEEF1" w14:textId="77777777">
        <w:trPr>
          <w:gridAfter w:val="6"/>
        </w:trPr>
        <w:tc>
          <w:tcPr>
            <w:tcW w:w="50" w:type="pct"/>
            <w:shd w:val="clear" w:color="auto" w:fill="auto"/>
          </w:tcPr>
          <w:p w14:paraId="0D8DEEE1" w14:textId="77777777" w:rsidR="004C2197" w:rsidRDefault="004C2197">
            <w:pPr>
              <w:rPr>
                <w:rFonts w:ascii="宋体"/>
              </w:rPr>
            </w:pPr>
          </w:p>
        </w:tc>
        <w:tc>
          <w:tcPr>
            <w:tcW w:w="2671" w:type="pct"/>
            <w:shd w:val="clear" w:color="auto" w:fill="auto"/>
          </w:tcPr>
          <w:p w14:paraId="0D8DEEE2" w14:textId="77777777" w:rsidR="004C2197" w:rsidRDefault="004C2197">
            <w:pPr>
              <w:rPr>
                <w:rFonts w:ascii="宋体"/>
              </w:rPr>
            </w:pPr>
          </w:p>
        </w:tc>
        <w:tc>
          <w:tcPr>
            <w:tcW w:w="5" w:type="pct"/>
            <w:shd w:val="clear" w:color="auto" w:fill="auto"/>
          </w:tcPr>
          <w:p w14:paraId="0D8DEEE3" w14:textId="77777777" w:rsidR="004C2197" w:rsidRDefault="004C2197">
            <w:pPr>
              <w:rPr>
                <w:rFonts w:ascii="宋体"/>
              </w:rPr>
            </w:pPr>
          </w:p>
        </w:tc>
        <w:tc>
          <w:tcPr>
            <w:tcW w:w="50" w:type="pct"/>
            <w:shd w:val="clear" w:color="auto" w:fill="auto"/>
          </w:tcPr>
          <w:p w14:paraId="0D8DEEE4" w14:textId="77777777" w:rsidR="004C2197" w:rsidRDefault="004C2197">
            <w:pPr>
              <w:rPr>
                <w:rFonts w:ascii="宋体"/>
              </w:rPr>
            </w:pPr>
          </w:p>
        </w:tc>
        <w:tc>
          <w:tcPr>
            <w:tcW w:w="1056" w:type="pct"/>
            <w:shd w:val="clear" w:color="auto" w:fill="auto"/>
          </w:tcPr>
          <w:p w14:paraId="0D8DEEE5" w14:textId="77777777" w:rsidR="004C2197" w:rsidRDefault="004C2197">
            <w:pPr>
              <w:rPr>
                <w:rFonts w:ascii="宋体"/>
              </w:rPr>
            </w:pPr>
          </w:p>
        </w:tc>
        <w:tc>
          <w:tcPr>
            <w:tcW w:w="5" w:type="pct"/>
            <w:shd w:val="clear" w:color="auto" w:fill="auto"/>
          </w:tcPr>
          <w:p w14:paraId="0D8DEEE6" w14:textId="77777777" w:rsidR="004C2197" w:rsidRDefault="004C2197">
            <w:pPr>
              <w:rPr>
                <w:rFonts w:ascii="宋体"/>
              </w:rPr>
            </w:pPr>
          </w:p>
        </w:tc>
        <w:tc>
          <w:tcPr>
            <w:tcW w:w="5" w:type="pct"/>
            <w:shd w:val="clear" w:color="auto" w:fill="auto"/>
          </w:tcPr>
          <w:p w14:paraId="0D8DEEE7" w14:textId="77777777" w:rsidR="004C2197" w:rsidRDefault="004C2197">
            <w:pPr>
              <w:rPr>
                <w:rFonts w:ascii="宋体"/>
              </w:rPr>
            </w:pPr>
          </w:p>
        </w:tc>
        <w:tc>
          <w:tcPr>
            <w:tcW w:w="41" w:type="pct"/>
            <w:shd w:val="clear" w:color="auto" w:fill="auto"/>
          </w:tcPr>
          <w:p w14:paraId="0D8DEEE8" w14:textId="77777777" w:rsidR="004C2197" w:rsidRDefault="004C2197">
            <w:pPr>
              <w:rPr>
                <w:rFonts w:ascii="宋体"/>
              </w:rPr>
            </w:pPr>
          </w:p>
        </w:tc>
        <w:tc>
          <w:tcPr>
            <w:tcW w:w="5" w:type="pct"/>
            <w:shd w:val="clear" w:color="auto" w:fill="auto"/>
          </w:tcPr>
          <w:p w14:paraId="0D8DEEE9" w14:textId="77777777" w:rsidR="004C2197" w:rsidRDefault="004C2197">
            <w:pPr>
              <w:rPr>
                <w:rFonts w:ascii="宋体"/>
              </w:rPr>
            </w:pPr>
          </w:p>
        </w:tc>
        <w:tc>
          <w:tcPr>
            <w:tcW w:w="50" w:type="pct"/>
            <w:shd w:val="clear" w:color="auto" w:fill="auto"/>
          </w:tcPr>
          <w:p w14:paraId="0D8DEEEA" w14:textId="77777777" w:rsidR="004C2197" w:rsidRDefault="004C2197">
            <w:pPr>
              <w:rPr>
                <w:rFonts w:ascii="宋体"/>
              </w:rPr>
            </w:pPr>
          </w:p>
        </w:tc>
        <w:tc>
          <w:tcPr>
            <w:tcW w:w="1056" w:type="pct"/>
            <w:shd w:val="clear" w:color="auto" w:fill="auto"/>
          </w:tcPr>
          <w:p w14:paraId="0D8DEEEB" w14:textId="77777777" w:rsidR="004C2197" w:rsidRDefault="004C2197">
            <w:pPr>
              <w:rPr>
                <w:rFonts w:ascii="宋体"/>
              </w:rPr>
            </w:pPr>
          </w:p>
        </w:tc>
        <w:tc>
          <w:tcPr>
            <w:tcW w:w="5" w:type="pct"/>
            <w:shd w:val="clear" w:color="auto" w:fill="auto"/>
          </w:tcPr>
          <w:p w14:paraId="0D8DEEEC" w14:textId="77777777" w:rsidR="004C2197" w:rsidRDefault="004C2197">
            <w:pPr>
              <w:rPr>
                <w:rFonts w:ascii="宋体"/>
              </w:rPr>
            </w:pPr>
          </w:p>
        </w:tc>
        <w:tc>
          <w:tcPr>
            <w:tcW w:w="0" w:type="auto"/>
            <w:shd w:val="clear" w:color="auto" w:fill="auto"/>
          </w:tcPr>
          <w:p w14:paraId="0D8DEEED" w14:textId="77777777" w:rsidR="004C2197" w:rsidRDefault="004C2197">
            <w:pPr>
              <w:rPr>
                <w:rFonts w:ascii="宋体"/>
                <w:vanish/>
              </w:rPr>
            </w:pPr>
          </w:p>
        </w:tc>
        <w:tc>
          <w:tcPr>
            <w:tcW w:w="0" w:type="auto"/>
            <w:shd w:val="clear" w:color="auto" w:fill="auto"/>
          </w:tcPr>
          <w:p w14:paraId="0D8DEEEE" w14:textId="77777777" w:rsidR="004C2197" w:rsidRDefault="004C2197">
            <w:pPr>
              <w:rPr>
                <w:rFonts w:ascii="宋体"/>
                <w:vanish/>
              </w:rPr>
            </w:pPr>
          </w:p>
        </w:tc>
        <w:tc>
          <w:tcPr>
            <w:tcW w:w="0" w:type="auto"/>
            <w:shd w:val="clear" w:color="auto" w:fill="auto"/>
          </w:tcPr>
          <w:p w14:paraId="0D8DEEEF" w14:textId="77777777" w:rsidR="004C2197" w:rsidRDefault="004C2197">
            <w:pPr>
              <w:rPr>
                <w:rFonts w:ascii="宋体"/>
                <w:vanish/>
              </w:rPr>
            </w:pPr>
          </w:p>
        </w:tc>
        <w:tc>
          <w:tcPr>
            <w:tcW w:w="0" w:type="auto"/>
            <w:shd w:val="clear" w:color="auto" w:fill="auto"/>
          </w:tcPr>
          <w:p w14:paraId="0D8DEEF0" w14:textId="77777777" w:rsidR="004C2197" w:rsidRDefault="004C2197">
            <w:pPr>
              <w:rPr>
                <w:rFonts w:ascii="宋体"/>
                <w:vanish/>
              </w:rPr>
            </w:pPr>
          </w:p>
        </w:tc>
      </w:tr>
      <w:tr w:rsidR="004C2197" w14:paraId="0D8DEEFA" w14:textId="77777777">
        <w:tc>
          <w:tcPr>
            <w:tcW w:w="0" w:type="auto"/>
            <w:gridSpan w:val="3"/>
            <w:shd w:val="clear" w:color="auto" w:fill="auto"/>
            <w:tcMar>
              <w:left w:w="20" w:type="dxa"/>
              <w:right w:w="20" w:type="dxa"/>
            </w:tcMar>
            <w:vAlign w:val="bottom"/>
          </w:tcPr>
          <w:p w14:paraId="0D8DEEF2"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EF3" w14:textId="77777777" w:rsidR="004C2197" w:rsidRDefault="00863B83">
            <w:pPr>
              <w:jc w:val="center"/>
              <w:textAlignment w:val="bottom"/>
            </w:pPr>
            <w:r>
              <w:rPr>
                <w:rFonts w:ascii="sans-serif" w:eastAsia="sans-serif" w:hAnsi="sans-serif" w:cs="sans-serif"/>
                <w:b/>
                <w:bCs/>
                <w:color w:val="000000"/>
                <w:sz w:val="20"/>
                <w:szCs w:val="20"/>
              </w:rPr>
              <w:t>RSUs, PSUs, and Market-based PSUs Outstanding</w:t>
            </w:r>
          </w:p>
        </w:tc>
        <w:tc>
          <w:tcPr>
            <w:tcW w:w="0" w:type="auto"/>
            <w:shd w:val="clear" w:color="auto" w:fill="auto"/>
          </w:tcPr>
          <w:p w14:paraId="0D8DEEF4" w14:textId="77777777" w:rsidR="004C2197" w:rsidRDefault="004C2197">
            <w:pPr>
              <w:rPr>
                <w:rFonts w:ascii="宋体"/>
                <w:vanish/>
              </w:rPr>
            </w:pPr>
          </w:p>
        </w:tc>
        <w:tc>
          <w:tcPr>
            <w:tcW w:w="0" w:type="auto"/>
            <w:shd w:val="clear" w:color="auto" w:fill="auto"/>
          </w:tcPr>
          <w:p w14:paraId="0D8DEEF5" w14:textId="77777777" w:rsidR="004C2197" w:rsidRDefault="004C2197">
            <w:pPr>
              <w:rPr>
                <w:rFonts w:ascii="宋体"/>
                <w:vanish/>
              </w:rPr>
            </w:pPr>
          </w:p>
        </w:tc>
        <w:tc>
          <w:tcPr>
            <w:tcW w:w="0" w:type="auto"/>
            <w:shd w:val="clear" w:color="auto" w:fill="auto"/>
          </w:tcPr>
          <w:p w14:paraId="0D8DEEF6" w14:textId="77777777" w:rsidR="004C2197" w:rsidRDefault="004C2197">
            <w:pPr>
              <w:rPr>
                <w:rFonts w:ascii="宋体"/>
                <w:vanish/>
              </w:rPr>
            </w:pPr>
          </w:p>
        </w:tc>
        <w:tc>
          <w:tcPr>
            <w:tcW w:w="0" w:type="auto"/>
            <w:shd w:val="clear" w:color="auto" w:fill="auto"/>
          </w:tcPr>
          <w:p w14:paraId="0D8DEEF7" w14:textId="77777777" w:rsidR="004C2197" w:rsidRDefault="004C2197">
            <w:pPr>
              <w:rPr>
                <w:rFonts w:ascii="宋体"/>
                <w:vanish/>
              </w:rPr>
            </w:pPr>
          </w:p>
        </w:tc>
        <w:tc>
          <w:tcPr>
            <w:tcW w:w="0" w:type="auto"/>
            <w:gridSpan w:val="3"/>
            <w:shd w:val="clear" w:color="auto" w:fill="auto"/>
          </w:tcPr>
          <w:p w14:paraId="0D8DEEF8" w14:textId="77777777" w:rsidR="004C2197" w:rsidRDefault="004C2197">
            <w:pPr>
              <w:rPr>
                <w:rFonts w:ascii="宋体"/>
                <w:vanish/>
              </w:rPr>
            </w:pPr>
          </w:p>
        </w:tc>
        <w:tc>
          <w:tcPr>
            <w:tcW w:w="0" w:type="auto"/>
            <w:gridSpan w:val="3"/>
            <w:shd w:val="clear" w:color="auto" w:fill="auto"/>
          </w:tcPr>
          <w:p w14:paraId="0D8DEEF9" w14:textId="77777777" w:rsidR="004C2197" w:rsidRDefault="004C2197">
            <w:pPr>
              <w:rPr>
                <w:rFonts w:ascii="宋体"/>
                <w:vanish/>
              </w:rPr>
            </w:pPr>
          </w:p>
        </w:tc>
      </w:tr>
      <w:tr w:rsidR="004C2197" w14:paraId="0D8DEF09" w14:textId="77777777">
        <w:tc>
          <w:tcPr>
            <w:tcW w:w="0" w:type="auto"/>
            <w:gridSpan w:val="3"/>
            <w:shd w:val="clear" w:color="auto" w:fill="auto"/>
            <w:tcMar>
              <w:top w:w="40" w:type="dxa"/>
              <w:left w:w="20" w:type="dxa"/>
              <w:bottom w:w="40" w:type="dxa"/>
              <w:right w:w="20" w:type="dxa"/>
            </w:tcMar>
            <w:vAlign w:val="bottom"/>
          </w:tcPr>
          <w:p w14:paraId="0D8DEEFB"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FC" w14:textId="77777777" w:rsidR="004C2197" w:rsidRDefault="00863B83">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left w:w="20" w:type="dxa"/>
              <w:right w:w="20" w:type="dxa"/>
            </w:tcMar>
            <w:vAlign w:val="bottom"/>
          </w:tcPr>
          <w:p w14:paraId="0D8DEEF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EFE" w14:textId="77777777" w:rsidR="004C2197" w:rsidRDefault="00863B83">
            <w:pPr>
              <w:jc w:val="center"/>
              <w:textAlignment w:val="bottom"/>
            </w:pPr>
            <w:r>
              <w:rPr>
                <w:rFonts w:ascii="sans-serif" w:eastAsia="sans-serif" w:hAnsi="sans-serif" w:cs="sans-serif"/>
                <w:b/>
                <w:bCs/>
                <w:color w:val="000000"/>
                <w:sz w:val="20"/>
                <w:szCs w:val="20"/>
              </w:rPr>
              <w:t>Weighted Average Grant-Date Fair Value Per Share</w:t>
            </w:r>
          </w:p>
        </w:tc>
        <w:tc>
          <w:tcPr>
            <w:tcW w:w="0" w:type="auto"/>
            <w:shd w:val="clear" w:color="auto" w:fill="auto"/>
          </w:tcPr>
          <w:p w14:paraId="0D8DEEFF" w14:textId="77777777" w:rsidR="004C2197" w:rsidRDefault="004C2197">
            <w:pPr>
              <w:rPr>
                <w:rFonts w:ascii="宋体"/>
                <w:vanish/>
              </w:rPr>
            </w:pPr>
          </w:p>
        </w:tc>
        <w:tc>
          <w:tcPr>
            <w:tcW w:w="0" w:type="auto"/>
            <w:shd w:val="clear" w:color="auto" w:fill="auto"/>
          </w:tcPr>
          <w:p w14:paraId="0D8DEF00" w14:textId="77777777" w:rsidR="004C2197" w:rsidRDefault="004C2197">
            <w:pPr>
              <w:rPr>
                <w:rFonts w:ascii="宋体"/>
                <w:vanish/>
              </w:rPr>
            </w:pPr>
          </w:p>
        </w:tc>
        <w:tc>
          <w:tcPr>
            <w:tcW w:w="0" w:type="auto"/>
            <w:shd w:val="clear" w:color="auto" w:fill="auto"/>
          </w:tcPr>
          <w:p w14:paraId="0D8DEF01" w14:textId="77777777" w:rsidR="004C2197" w:rsidRDefault="004C2197">
            <w:pPr>
              <w:rPr>
                <w:rFonts w:ascii="宋体"/>
                <w:vanish/>
              </w:rPr>
            </w:pPr>
          </w:p>
        </w:tc>
        <w:tc>
          <w:tcPr>
            <w:tcW w:w="0" w:type="auto"/>
            <w:shd w:val="clear" w:color="auto" w:fill="auto"/>
          </w:tcPr>
          <w:p w14:paraId="0D8DEF02" w14:textId="77777777" w:rsidR="004C2197" w:rsidRDefault="004C2197">
            <w:pPr>
              <w:rPr>
                <w:rFonts w:ascii="宋体"/>
                <w:vanish/>
              </w:rPr>
            </w:pPr>
          </w:p>
        </w:tc>
        <w:tc>
          <w:tcPr>
            <w:tcW w:w="0" w:type="auto"/>
            <w:shd w:val="clear" w:color="auto" w:fill="auto"/>
          </w:tcPr>
          <w:p w14:paraId="0D8DEF03" w14:textId="77777777" w:rsidR="004C2197" w:rsidRDefault="004C2197">
            <w:pPr>
              <w:rPr>
                <w:rFonts w:ascii="宋体"/>
              </w:rPr>
            </w:pPr>
          </w:p>
        </w:tc>
        <w:tc>
          <w:tcPr>
            <w:tcW w:w="0" w:type="auto"/>
            <w:shd w:val="clear" w:color="auto" w:fill="auto"/>
          </w:tcPr>
          <w:p w14:paraId="0D8DEF04" w14:textId="77777777" w:rsidR="004C2197" w:rsidRDefault="004C2197">
            <w:pPr>
              <w:rPr>
                <w:rFonts w:ascii="宋体"/>
              </w:rPr>
            </w:pPr>
          </w:p>
        </w:tc>
        <w:tc>
          <w:tcPr>
            <w:tcW w:w="0" w:type="auto"/>
            <w:shd w:val="clear" w:color="auto" w:fill="auto"/>
          </w:tcPr>
          <w:p w14:paraId="0D8DEF05" w14:textId="77777777" w:rsidR="004C2197" w:rsidRDefault="004C2197">
            <w:pPr>
              <w:rPr>
                <w:rFonts w:ascii="宋体"/>
              </w:rPr>
            </w:pPr>
          </w:p>
        </w:tc>
        <w:tc>
          <w:tcPr>
            <w:tcW w:w="0" w:type="auto"/>
            <w:shd w:val="clear" w:color="auto" w:fill="auto"/>
          </w:tcPr>
          <w:p w14:paraId="0D8DEF06" w14:textId="77777777" w:rsidR="004C2197" w:rsidRDefault="004C2197">
            <w:pPr>
              <w:rPr>
                <w:rFonts w:ascii="宋体"/>
              </w:rPr>
            </w:pPr>
          </w:p>
        </w:tc>
        <w:tc>
          <w:tcPr>
            <w:tcW w:w="0" w:type="auto"/>
            <w:shd w:val="clear" w:color="auto" w:fill="auto"/>
          </w:tcPr>
          <w:p w14:paraId="0D8DEF07" w14:textId="77777777" w:rsidR="004C2197" w:rsidRDefault="004C2197">
            <w:pPr>
              <w:rPr>
                <w:rFonts w:ascii="宋体"/>
              </w:rPr>
            </w:pPr>
          </w:p>
        </w:tc>
        <w:tc>
          <w:tcPr>
            <w:tcW w:w="0" w:type="auto"/>
            <w:shd w:val="clear" w:color="auto" w:fill="auto"/>
          </w:tcPr>
          <w:p w14:paraId="0D8DEF08" w14:textId="77777777" w:rsidR="004C2197" w:rsidRDefault="004C2197">
            <w:pPr>
              <w:rPr>
                <w:rFonts w:ascii="宋体"/>
              </w:rPr>
            </w:pPr>
          </w:p>
        </w:tc>
      </w:tr>
      <w:tr w:rsidR="004C2197" w14:paraId="0D8DEF18" w14:textId="77777777">
        <w:trPr>
          <w:trHeight w:val="60"/>
        </w:trPr>
        <w:tc>
          <w:tcPr>
            <w:tcW w:w="0" w:type="auto"/>
            <w:gridSpan w:val="3"/>
            <w:shd w:val="clear" w:color="auto" w:fill="auto"/>
            <w:tcMar>
              <w:left w:w="20" w:type="dxa"/>
              <w:right w:w="20" w:type="dxa"/>
            </w:tcMar>
            <w:vAlign w:val="bottom"/>
          </w:tcPr>
          <w:p w14:paraId="0D8DEF0A"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0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F0C"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0D" w14:textId="77777777" w:rsidR="004C2197" w:rsidRDefault="004C2197">
            <w:pPr>
              <w:rPr>
                <w:rFonts w:ascii="宋体"/>
              </w:rPr>
            </w:pPr>
          </w:p>
        </w:tc>
        <w:tc>
          <w:tcPr>
            <w:tcW w:w="0" w:type="auto"/>
            <w:shd w:val="clear" w:color="auto" w:fill="auto"/>
          </w:tcPr>
          <w:p w14:paraId="0D8DEF0E" w14:textId="77777777" w:rsidR="004C2197" w:rsidRDefault="004C2197">
            <w:pPr>
              <w:rPr>
                <w:rFonts w:ascii="宋体"/>
                <w:vanish/>
              </w:rPr>
            </w:pPr>
          </w:p>
        </w:tc>
        <w:tc>
          <w:tcPr>
            <w:tcW w:w="0" w:type="auto"/>
            <w:shd w:val="clear" w:color="auto" w:fill="auto"/>
          </w:tcPr>
          <w:p w14:paraId="0D8DEF0F" w14:textId="77777777" w:rsidR="004C2197" w:rsidRDefault="004C2197">
            <w:pPr>
              <w:rPr>
                <w:rFonts w:ascii="宋体"/>
                <w:vanish/>
              </w:rPr>
            </w:pPr>
          </w:p>
        </w:tc>
        <w:tc>
          <w:tcPr>
            <w:tcW w:w="0" w:type="auto"/>
            <w:shd w:val="clear" w:color="auto" w:fill="auto"/>
          </w:tcPr>
          <w:p w14:paraId="0D8DEF10" w14:textId="77777777" w:rsidR="004C2197" w:rsidRDefault="004C2197">
            <w:pPr>
              <w:rPr>
                <w:rFonts w:ascii="宋体"/>
                <w:vanish/>
              </w:rPr>
            </w:pPr>
          </w:p>
        </w:tc>
        <w:tc>
          <w:tcPr>
            <w:tcW w:w="0" w:type="auto"/>
            <w:shd w:val="clear" w:color="auto" w:fill="auto"/>
          </w:tcPr>
          <w:p w14:paraId="0D8DEF11" w14:textId="77777777" w:rsidR="004C2197" w:rsidRDefault="004C2197">
            <w:pPr>
              <w:rPr>
                <w:rFonts w:ascii="宋体"/>
                <w:vanish/>
              </w:rPr>
            </w:pPr>
          </w:p>
        </w:tc>
        <w:tc>
          <w:tcPr>
            <w:tcW w:w="0" w:type="auto"/>
            <w:shd w:val="clear" w:color="auto" w:fill="auto"/>
          </w:tcPr>
          <w:p w14:paraId="0D8DEF12" w14:textId="77777777" w:rsidR="004C2197" w:rsidRDefault="004C2197">
            <w:pPr>
              <w:rPr>
                <w:rFonts w:ascii="宋体"/>
              </w:rPr>
            </w:pPr>
          </w:p>
        </w:tc>
        <w:tc>
          <w:tcPr>
            <w:tcW w:w="0" w:type="auto"/>
            <w:shd w:val="clear" w:color="auto" w:fill="auto"/>
          </w:tcPr>
          <w:p w14:paraId="0D8DEF13" w14:textId="77777777" w:rsidR="004C2197" w:rsidRDefault="004C2197">
            <w:pPr>
              <w:rPr>
                <w:rFonts w:ascii="宋体"/>
              </w:rPr>
            </w:pPr>
          </w:p>
        </w:tc>
        <w:tc>
          <w:tcPr>
            <w:tcW w:w="0" w:type="auto"/>
            <w:shd w:val="clear" w:color="auto" w:fill="auto"/>
          </w:tcPr>
          <w:p w14:paraId="0D8DEF14" w14:textId="77777777" w:rsidR="004C2197" w:rsidRDefault="004C2197">
            <w:pPr>
              <w:rPr>
                <w:rFonts w:ascii="宋体"/>
              </w:rPr>
            </w:pPr>
          </w:p>
        </w:tc>
        <w:tc>
          <w:tcPr>
            <w:tcW w:w="0" w:type="auto"/>
            <w:shd w:val="clear" w:color="auto" w:fill="auto"/>
          </w:tcPr>
          <w:p w14:paraId="0D8DEF15" w14:textId="77777777" w:rsidR="004C2197" w:rsidRDefault="004C2197">
            <w:pPr>
              <w:rPr>
                <w:rFonts w:ascii="宋体"/>
              </w:rPr>
            </w:pPr>
          </w:p>
        </w:tc>
        <w:tc>
          <w:tcPr>
            <w:tcW w:w="0" w:type="auto"/>
            <w:shd w:val="clear" w:color="auto" w:fill="auto"/>
          </w:tcPr>
          <w:p w14:paraId="0D8DEF16" w14:textId="77777777" w:rsidR="004C2197" w:rsidRDefault="004C2197">
            <w:pPr>
              <w:rPr>
                <w:rFonts w:ascii="宋体"/>
              </w:rPr>
            </w:pPr>
          </w:p>
        </w:tc>
        <w:tc>
          <w:tcPr>
            <w:tcW w:w="0" w:type="auto"/>
            <w:shd w:val="clear" w:color="auto" w:fill="auto"/>
          </w:tcPr>
          <w:p w14:paraId="0D8DEF17" w14:textId="77777777" w:rsidR="004C2197" w:rsidRDefault="004C2197">
            <w:pPr>
              <w:rPr>
                <w:rFonts w:ascii="宋体"/>
              </w:rPr>
            </w:pPr>
          </w:p>
        </w:tc>
      </w:tr>
      <w:tr w:rsidR="004C2197" w14:paraId="0D8DEF21" w14:textId="77777777">
        <w:tc>
          <w:tcPr>
            <w:tcW w:w="0" w:type="auto"/>
            <w:gridSpan w:val="3"/>
            <w:shd w:val="clear" w:color="auto" w:fill="auto"/>
            <w:tcMar>
              <w:left w:w="20" w:type="dxa"/>
              <w:right w:w="20" w:type="dxa"/>
            </w:tcMar>
            <w:vAlign w:val="bottom"/>
          </w:tcPr>
          <w:p w14:paraId="0D8DEF19"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F1A" w14:textId="77777777" w:rsidR="004C2197" w:rsidRDefault="00863B83">
            <w:pPr>
              <w:jc w:val="center"/>
              <w:textAlignment w:val="bottom"/>
            </w:pPr>
            <w:r>
              <w:rPr>
                <w:rFonts w:ascii="sans-serif" w:eastAsia="sans-serif" w:hAnsi="sans-serif" w:cs="sans-serif"/>
                <w:i/>
                <w:iCs/>
                <w:color w:val="000000"/>
                <w:sz w:val="20"/>
                <w:szCs w:val="20"/>
              </w:rPr>
              <w:t xml:space="preserve">(In millions, except per share </w:t>
            </w:r>
            <w:r>
              <w:rPr>
                <w:rFonts w:ascii="sans-serif" w:eastAsia="sans-serif" w:hAnsi="sans-serif" w:cs="sans-serif"/>
                <w:i/>
                <w:iCs/>
                <w:color w:val="000000"/>
                <w:sz w:val="20"/>
                <w:szCs w:val="20"/>
              </w:rPr>
              <w:t>data)</w:t>
            </w:r>
          </w:p>
        </w:tc>
        <w:tc>
          <w:tcPr>
            <w:tcW w:w="0" w:type="auto"/>
            <w:shd w:val="clear" w:color="auto" w:fill="auto"/>
          </w:tcPr>
          <w:p w14:paraId="0D8DEF1B" w14:textId="77777777" w:rsidR="004C2197" w:rsidRDefault="004C2197">
            <w:pPr>
              <w:rPr>
                <w:rFonts w:ascii="宋体"/>
                <w:vanish/>
              </w:rPr>
            </w:pPr>
          </w:p>
        </w:tc>
        <w:tc>
          <w:tcPr>
            <w:tcW w:w="0" w:type="auto"/>
            <w:shd w:val="clear" w:color="auto" w:fill="auto"/>
          </w:tcPr>
          <w:p w14:paraId="0D8DEF1C" w14:textId="77777777" w:rsidR="004C2197" w:rsidRDefault="004C2197">
            <w:pPr>
              <w:rPr>
                <w:rFonts w:ascii="宋体"/>
                <w:vanish/>
              </w:rPr>
            </w:pPr>
          </w:p>
        </w:tc>
        <w:tc>
          <w:tcPr>
            <w:tcW w:w="0" w:type="auto"/>
            <w:shd w:val="clear" w:color="auto" w:fill="auto"/>
          </w:tcPr>
          <w:p w14:paraId="0D8DEF1D" w14:textId="77777777" w:rsidR="004C2197" w:rsidRDefault="004C2197">
            <w:pPr>
              <w:rPr>
                <w:rFonts w:ascii="宋体"/>
                <w:vanish/>
              </w:rPr>
            </w:pPr>
          </w:p>
        </w:tc>
        <w:tc>
          <w:tcPr>
            <w:tcW w:w="0" w:type="auto"/>
            <w:shd w:val="clear" w:color="auto" w:fill="auto"/>
          </w:tcPr>
          <w:p w14:paraId="0D8DEF1E" w14:textId="77777777" w:rsidR="004C2197" w:rsidRDefault="004C2197">
            <w:pPr>
              <w:rPr>
                <w:rFonts w:ascii="宋体"/>
                <w:vanish/>
              </w:rPr>
            </w:pPr>
          </w:p>
        </w:tc>
        <w:tc>
          <w:tcPr>
            <w:tcW w:w="0" w:type="auto"/>
            <w:gridSpan w:val="3"/>
            <w:shd w:val="clear" w:color="auto" w:fill="auto"/>
          </w:tcPr>
          <w:p w14:paraId="0D8DEF1F" w14:textId="77777777" w:rsidR="004C2197" w:rsidRDefault="004C2197">
            <w:pPr>
              <w:rPr>
                <w:rFonts w:ascii="宋体"/>
                <w:vanish/>
              </w:rPr>
            </w:pPr>
          </w:p>
        </w:tc>
        <w:tc>
          <w:tcPr>
            <w:tcW w:w="0" w:type="auto"/>
            <w:gridSpan w:val="3"/>
            <w:shd w:val="clear" w:color="auto" w:fill="auto"/>
          </w:tcPr>
          <w:p w14:paraId="0D8DEF20" w14:textId="77777777" w:rsidR="004C2197" w:rsidRDefault="004C2197">
            <w:pPr>
              <w:rPr>
                <w:rFonts w:ascii="宋体"/>
                <w:vanish/>
              </w:rPr>
            </w:pPr>
          </w:p>
        </w:tc>
      </w:tr>
      <w:tr w:rsidR="004C2197" w14:paraId="0D8DEF33" w14:textId="77777777">
        <w:tc>
          <w:tcPr>
            <w:tcW w:w="0" w:type="auto"/>
            <w:gridSpan w:val="3"/>
            <w:shd w:val="clear" w:color="auto" w:fill="E2EFD9"/>
            <w:tcMar>
              <w:top w:w="40" w:type="dxa"/>
              <w:left w:w="20" w:type="dxa"/>
              <w:bottom w:w="40" w:type="dxa"/>
              <w:right w:w="20" w:type="dxa"/>
            </w:tcMar>
            <w:vAlign w:val="bottom"/>
          </w:tcPr>
          <w:p w14:paraId="0D8DEF22" w14:textId="77777777" w:rsidR="004C2197" w:rsidRDefault="00863B83">
            <w:pPr>
              <w:textAlignment w:val="bottom"/>
            </w:pPr>
            <w:r>
              <w:rPr>
                <w:rFonts w:ascii="sans-serif" w:eastAsia="sans-serif" w:hAnsi="sans-serif" w:cs="sans-serif"/>
                <w:color w:val="000000"/>
                <w:sz w:val="20"/>
                <w:szCs w:val="20"/>
              </w:rPr>
              <w:t>Balances, January 26, 2020</w:t>
            </w:r>
          </w:p>
        </w:tc>
        <w:tc>
          <w:tcPr>
            <w:tcW w:w="0" w:type="auto"/>
            <w:gridSpan w:val="2"/>
            <w:shd w:val="clear" w:color="auto" w:fill="E2EFD9"/>
            <w:tcMar>
              <w:top w:w="40" w:type="dxa"/>
              <w:left w:w="20" w:type="dxa"/>
              <w:bottom w:w="40" w:type="dxa"/>
              <w:right w:w="0" w:type="dxa"/>
            </w:tcMar>
            <w:vAlign w:val="bottom"/>
          </w:tcPr>
          <w:p w14:paraId="0D8DEF23" w14:textId="77777777" w:rsidR="004C2197" w:rsidRDefault="00863B83">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bottom w:w="40" w:type="dxa"/>
              <w:right w:w="20" w:type="dxa"/>
            </w:tcMar>
            <w:vAlign w:val="bottom"/>
          </w:tcPr>
          <w:p w14:paraId="0D8DEF2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F25"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F2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F27" w14:textId="77777777" w:rsidR="004C2197" w:rsidRDefault="00863B83">
            <w:pPr>
              <w:jc w:val="right"/>
              <w:textAlignment w:val="bottom"/>
            </w:pPr>
            <w:r>
              <w:rPr>
                <w:rFonts w:ascii="sans-serif" w:eastAsia="sans-serif" w:hAnsi="sans-serif" w:cs="sans-serif"/>
                <w:color w:val="000000"/>
                <w:sz w:val="20"/>
                <w:szCs w:val="20"/>
              </w:rPr>
              <w:t>176.72 </w:t>
            </w:r>
          </w:p>
        </w:tc>
        <w:tc>
          <w:tcPr>
            <w:tcW w:w="0" w:type="auto"/>
            <w:shd w:val="clear" w:color="auto" w:fill="E2EFD9"/>
            <w:tcMar>
              <w:top w:w="40" w:type="dxa"/>
              <w:bottom w:w="40" w:type="dxa"/>
              <w:right w:w="20" w:type="dxa"/>
            </w:tcMar>
            <w:vAlign w:val="bottom"/>
          </w:tcPr>
          <w:p w14:paraId="0D8DEF28" w14:textId="77777777" w:rsidR="004C2197" w:rsidRDefault="004C2197">
            <w:pPr>
              <w:jc w:val="right"/>
              <w:rPr>
                <w:rFonts w:ascii="宋体"/>
              </w:rPr>
            </w:pPr>
          </w:p>
        </w:tc>
        <w:tc>
          <w:tcPr>
            <w:tcW w:w="0" w:type="auto"/>
            <w:shd w:val="clear" w:color="auto" w:fill="auto"/>
          </w:tcPr>
          <w:p w14:paraId="0D8DEF29" w14:textId="77777777" w:rsidR="004C2197" w:rsidRDefault="004C2197">
            <w:pPr>
              <w:rPr>
                <w:rFonts w:ascii="宋体"/>
                <w:vanish/>
              </w:rPr>
            </w:pPr>
          </w:p>
        </w:tc>
        <w:tc>
          <w:tcPr>
            <w:tcW w:w="0" w:type="auto"/>
            <w:shd w:val="clear" w:color="auto" w:fill="auto"/>
          </w:tcPr>
          <w:p w14:paraId="0D8DEF2A" w14:textId="77777777" w:rsidR="004C2197" w:rsidRDefault="004C2197">
            <w:pPr>
              <w:rPr>
                <w:rFonts w:ascii="宋体"/>
                <w:vanish/>
              </w:rPr>
            </w:pPr>
          </w:p>
        </w:tc>
        <w:tc>
          <w:tcPr>
            <w:tcW w:w="0" w:type="auto"/>
            <w:shd w:val="clear" w:color="auto" w:fill="auto"/>
          </w:tcPr>
          <w:p w14:paraId="0D8DEF2B" w14:textId="77777777" w:rsidR="004C2197" w:rsidRDefault="004C2197">
            <w:pPr>
              <w:rPr>
                <w:rFonts w:ascii="宋体"/>
                <w:vanish/>
              </w:rPr>
            </w:pPr>
          </w:p>
        </w:tc>
        <w:tc>
          <w:tcPr>
            <w:tcW w:w="0" w:type="auto"/>
            <w:shd w:val="clear" w:color="auto" w:fill="auto"/>
          </w:tcPr>
          <w:p w14:paraId="0D8DEF2C" w14:textId="77777777" w:rsidR="004C2197" w:rsidRDefault="004C2197">
            <w:pPr>
              <w:rPr>
                <w:rFonts w:ascii="宋体"/>
                <w:vanish/>
              </w:rPr>
            </w:pPr>
          </w:p>
        </w:tc>
        <w:tc>
          <w:tcPr>
            <w:tcW w:w="0" w:type="auto"/>
            <w:shd w:val="clear" w:color="auto" w:fill="auto"/>
          </w:tcPr>
          <w:p w14:paraId="0D8DEF2D" w14:textId="77777777" w:rsidR="004C2197" w:rsidRDefault="004C2197">
            <w:pPr>
              <w:rPr>
                <w:rFonts w:ascii="宋体"/>
              </w:rPr>
            </w:pPr>
          </w:p>
        </w:tc>
        <w:tc>
          <w:tcPr>
            <w:tcW w:w="0" w:type="auto"/>
            <w:shd w:val="clear" w:color="auto" w:fill="auto"/>
          </w:tcPr>
          <w:p w14:paraId="0D8DEF2E" w14:textId="77777777" w:rsidR="004C2197" w:rsidRDefault="004C2197">
            <w:pPr>
              <w:rPr>
                <w:rFonts w:ascii="宋体"/>
              </w:rPr>
            </w:pPr>
          </w:p>
        </w:tc>
        <w:tc>
          <w:tcPr>
            <w:tcW w:w="0" w:type="auto"/>
            <w:shd w:val="clear" w:color="auto" w:fill="auto"/>
          </w:tcPr>
          <w:p w14:paraId="0D8DEF2F" w14:textId="77777777" w:rsidR="004C2197" w:rsidRDefault="004C2197">
            <w:pPr>
              <w:rPr>
                <w:rFonts w:ascii="宋体"/>
              </w:rPr>
            </w:pPr>
          </w:p>
        </w:tc>
        <w:tc>
          <w:tcPr>
            <w:tcW w:w="0" w:type="auto"/>
            <w:shd w:val="clear" w:color="auto" w:fill="auto"/>
          </w:tcPr>
          <w:p w14:paraId="0D8DEF30" w14:textId="77777777" w:rsidR="004C2197" w:rsidRDefault="004C2197">
            <w:pPr>
              <w:rPr>
                <w:rFonts w:ascii="宋体"/>
              </w:rPr>
            </w:pPr>
          </w:p>
        </w:tc>
        <w:tc>
          <w:tcPr>
            <w:tcW w:w="0" w:type="auto"/>
            <w:shd w:val="clear" w:color="auto" w:fill="auto"/>
          </w:tcPr>
          <w:p w14:paraId="0D8DEF31" w14:textId="77777777" w:rsidR="004C2197" w:rsidRDefault="004C2197">
            <w:pPr>
              <w:rPr>
                <w:rFonts w:ascii="宋体"/>
              </w:rPr>
            </w:pPr>
          </w:p>
        </w:tc>
        <w:tc>
          <w:tcPr>
            <w:tcW w:w="0" w:type="auto"/>
            <w:shd w:val="clear" w:color="auto" w:fill="auto"/>
          </w:tcPr>
          <w:p w14:paraId="0D8DEF32" w14:textId="77777777" w:rsidR="004C2197" w:rsidRDefault="004C2197">
            <w:pPr>
              <w:rPr>
                <w:rFonts w:ascii="宋体"/>
              </w:rPr>
            </w:pPr>
          </w:p>
        </w:tc>
      </w:tr>
      <w:tr w:rsidR="004C2197" w14:paraId="0D8DEF45" w14:textId="77777777">
        <w:tc>
          <w:tcPr>
            <w:tcW w:w="0" w:type="auto"/>
            <w:gridSpan w:val="3"/>
            <w:shd w:val="clear" w:color="auto" w:fill="FFFFFF"/>
            <w:tcMar>
              <w:top w:w="40" w:type="dxa"/>
              <w:left w:w="360" w:type="dxa"/>
              <w:bottom w:w="40" w:type="dxa"/>
              <w:right w:w="20" w:type="dxa"/>
            </w:tcMar>
            <w:vAlign w:val="bottom"/>
          </w:tcPr>
          <w:p w14:paraId="0D8DEF34" w14:textId="77777777" w:rsidR="004C2197" w:rsidRDefault="00863B83">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D8DEF35" w14:textId="77777777" w:rsidR="004C2197" w:rsidRDefault="00863B83">
            <w:pPr>
              <w:jc w:val="right"/>
              <w:textAlignment w:val="bottom"/>
            </w:pPr>
            <w:r>
              <w:rPr>
                <w:rFonts w:ascii="sans-serif" w:eastAsia="sans-serif" w:hAnsi="sans-serif" w:cs="sans-serif"/>
                <w:color w:val="000000"/>
                <w:sz w:val="20"/>
                <w:szCs w:val="20"/>
              </w:rPr>
              <w:t>8 </w:t>
            </w:r>
          </w:p>
        </w:tc>
        <w:tc>
          <w:tcPr>
            <w:tcW w:w="0" w:type="auto"/>
            <w:shd w:val="clear" w:color="auto" w:fill="FFFFFF"/>
            <w:tcMar>
              <w:top w:w="40" w:type="dxa"/>
              <w:bottom w:w="40" w:type="dxa"/>
              <w:right w:w="20" w:type="dxa"/>
            </w:tcMar>
            <w:vAlign w:val="bottom"/>
          </w:tcPr>
          <w:p w14:paraId="0D8DEF3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F37"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F3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F39" w14:textId="77777777" w:rsidR="004C2197" w:rsidRDefault="00863B83">
            <w:pPr>
              <w:jc w:val="right"/>
              <w:textAlignment w:val="bottom"/>
            </w:pPr>
            <w:r>
              <w:rPr>
                <w:rFonts w:ascii="sans-serif" w:eastAsia="sans-serif" w:hAnsi="sans-serif" w:cs="sans-serif"/>
                <w:color w:val="000000"/>
                <w:sz w:val="20"/>
                <w:szCs w:val="20"/>
              </w:rPr>
              <w:t>291.89 </w:t>
            </w:r>
          </w:p>
        </w:tc>
        <w:tc>
          <w:tcPr>
            <w:tcW w:w="0" w:type="auto"/>
            <w:shd w:val="clear" w:color="auto" w:fill="FFFFFF"/>
            <w:tcMar>
              <w:top w:w="40" w:type="dxa"/>
              <w:bottom w:w="40" w:type="dxa"/>
              <w:right w:w="20" w:type="dxa"/>
            </w:tcMar>
            <w:vAlign w:val="bottom"/>
          </w:tcPr>
          <w:p w14:paraId="0D8DEF3A" w14:textId="77777777" w:rsidR="004C2197" w:rsidRDefault="004C2197">
            <w:pPr>
              <w:jc w:val="right"/>
              <w:rPr>
                <w:rFonts w:ascii="宋体"/>
              </w:rPr>
            </w:pPr>
          </w:p>
        </w:tc>
        <w:tc>
          <w:tcPr>
            <w:tcW w:w="0" w:type="auto"/>
            <w:shd w:val="clear" w:color="auto" w:fill="auto"/>
          </w:tcPr>
          <w:p w14:paraId="0D8DEF3B" w14:textId="77777777" w:rsidR="004C2197" w:rsidRDefault="004C2197">
            <w:pPr>
              <w:rPr>
                <w:rFonts w:ascii="宋体"/>
                <w:vanish/>
              </w:rPr>
            </w:pPr>
          </w:p>
        </w:tc>
        <w:tc>
          <w:tcPr>
            <w:tcW w:w="0" w:type="auto"/>
            <w:shd w:val="clear" w:color="auto" w:fill="auto"/>
          </w:tcPr>
          <w:p w14:paraId="0D8DEF3C" w14:textId="77777777" w:rsidR="004C2197" w:rsidRDefault="004C2197">
            <w:pPr>
              <w:rPr>
                <w:rFonts w:ascii="宋体"/>
                <w:vanish/>
              </w:rPr>
            </w:pPr>
          </w:p>
        </w:tc>
        <w:tc>
          <w:tcPr>
            <w:tcW w:w="0" w:type="auto"/>
            <w:shd w:val="clear" w:color="auto" w:fill="auto"/>
          </w:tcPr>
          <w:p w14:paraId="0D8DEF3D" w14:textId="77777777" w:rsidR="004C2197" w:rsidRDefault="004C2197">
            <w:pPr>
              <w:rPr>
                <w:rFonts w:ascii="宋体"/>
                <w:vanish/>
              </w:rPr>
            </w:pPr>
          </w:p>
        </w:tc>
        <w:tc>
          <w:tcPr>
            <w:tcW w:w="0" w:type="auto"/>
            <w:shd w:val="clear" w:color="auto" w:fill="auto"/>
          </w:tcPr>
          <w:p w14:paraId="0D8DEF3E" w14:textId="77777777" w:rsidR="004C2197" w:rsidRDefault="004C2197">
            <w:pPr>
              <w:rPr>
                <w:rFonts w:ascii="宋体"/>
                <w:vanish/>
              </w:rPr>
            </w:pPr>
          </w:p>
        </w:tc>
        <w:tc>
          <w:tcPr>
            <w:tcW w:w="0" w:type="auto"/>
            <w:shd w:val="clear" w:color="auto" w:fill="auto"/>
          </w:tcPr>
          <w:p w14:paraId="0D8DEF3F" w14:textId="77777777" w:rsidR="004C2197" w:rsidRDefault="004C2197">
            <w:pPr>
              <w:rPr>
                <w:rFonts w:ascii="宋体"/>
              </w:rPr>
            </w:pPr>
          </w:p>
        </w:tc>
        <w:tc>
          <w:tcPr>
            <w:tcW w:w="0" w:type="auto"/>
            <w:shd w:val="clear" w:color="auto" w:fill="auto"/>
          </w:tcPr>
          <w:p w14:paraId="0D8DEF40" w14:textId="77777777" w:rsidR="004C2197" w:rsidRDefault="004C2197">
            <w:pPr>
              <w:rPr>
                <w:rFonts w:ascii="宋体"/>
              </w:rPr>
            </w:pPr>
          </w:p>
        </w:tc>
        <w:tc>
          <w:tcPr>
            <w:tcW w:w="0" w:type="auto"/>
            <w:shd w:val="clear" w:color="auto" w:fill="auto"/>
          </w:tcPr>
          <w:p w14:paraId="0D8DEF41" w14:textId="77777777" w:rsidR="004C2197" w:rsidRDefault="004C2197">
            <w:pPr>
              <w:rPr>
                <w:rFonts w:ascii="宋体"/>
              </w:rPr>
            </w:pPr>
          </w:p>
        </w:tc>
        <w:tc>
          <w:tcPr>
            <w:tcW w:w="0" w:type="auto"/>
            <w:shd w:val="clear" w:color="auto" w:fill="auto"/>
          </w:tcPr>
          <w:p w14:paraId="0D8DEF42" w14:textId="77777777" w:rsidR="004C2197" w:rsidRDefault="004C2197">
            <w:pPr>
              <w:rPr>
                <w:rFonts w:ascii="宋体"/>
              </w:rPr>
            </w:pPr>
          </w:p>
        </w:tc>
        <w:tc>
          <w:tcPr>
            <w:tcW w:w="0" w:type="auto"/>
            <w:shd w:val="clear" w:color="auto" w:fill="auto"/>
          </w:tcPr>
          <w:p w14:paraId="0D8DEF43" w14:textId="77777777" w:rsidR="004C2197" w:rsidRDefault="004C2197">
            <w:pPr>
              <w:rPr>
                <w:rFonts w:ascii="宋体"/>
              </w:rPr>
            </w:pPr>
          </w:p>
        </w:tc>
        <w:tc>
          <w:tcPr>
            <w:tcW w:w="0" w:type="auto"/>
            <w:shd w:val="clear" w:color="auto" w:fill="auto"/>
          </w:tcPr>
          <w:p w14:paraId="0D8DEF44" w14:textId="77777777" w:rsidR="004C2197" w:rsidRDefault="004C2197">
            <w:pPr>
              <w:rPr>
                <w:rFonts w:ascii="宋体"/>
              </w:rPr>
            </w:pPr>
          </w:p>
        </w:tc>
      </w:tr>
      <w:tr w:rsidR="004C2197" w14:paraId="0D8DEF54" w14:textId="77777777">
        <w:trPr>
          <w:hidden/>
        </w:trPr>
        <w:tc>
          <w:tcPr>
            <w:tcW w:w="0" w:type="auto"/>
            <w:gridSpan w:val="3"/>
            <w:shd w:val="clear" w:color="auto" w:fill="auto"/>
          </w:tcPr>
          <w:p w14:paraId="0D8DEF46" w14:textId="77777777" w:rsidR="004C2197" w:rsidRDefault="004C2197">
            <w:pPr>
              <w:rPr>
                <w:rFonts w:ascii="宋体"/>
                <w:vanish/>
              </w:rPr>
            </w:pPr>
          </w:p>
        </w:tc>
        <w:tc>
          <w:tcPr>
            <w:tcW w:w="0" w:type="auto"/>
            <w:gridSpan w:val="3"/>
            <w:shd w:val="clear" w:color="auto" w:fill="auto"/>
          </w:tcPr>
          <w:p w14:paraId="0D8DEF47" w14:textId="77777777" w:rsidR="004C2197" w:rsidRDefault="004C2197">
            <w:pPr>
              <w:rPr>
                <w:rFonts w:ascii="宋体"/>
                <w:vanish/>
              </w:rPr>
            </w:pPr>
          </w:p>
        </w:tc>
        <w:tc>
          <w:tcPr>
            <w:tcW w:w="0" w:type="auto"/>
            <w:gridSpan w:val="3"/>
            <w:shd w:val="clear" w:color="auto" w:fill="auto"/>
          </w:tcPr>
          <w:p w14:paraId="0D8DEF48" w14:textId="77777777" w:rsidR="004C2197" w:rsidRDefault="004C2197">
            <w:pPr>
              <w:rPr>
                <w:rFonts w:ascii="宋体"/>
                <w:vanish/>
              </w:rPr>
            </w:pPr>
          </w:p>
        </w:tc>
        <w:tc>
          <w:tcPr>
            <w:tcW w:w="0" w:type="auto"/>
            <w:gridSpan w:val="3"/>
            <w:shd w:val="clear" w:color="auto" w:fill="auto"/>
          </w:tcPr>
          <w:p w14:paraId="0D8DEF49" w14:textId="77777777" w:rsidR="004C2197" w:rsidRDefault="004C2197">
            <w:pPr>
              <w:rPr>
                <w:rFonts w:ascii="宋体"/>
                <w:vanish/>
              </w:rPr>
            </w:pPr>
          </w:p>
        </w:tc>
        <w:tc>
          <w:tcPr>
            <w:tcW w:w="0" w:type="auto"/>
            <w:shd w:val="clear" w:color="auto" w:fill="auto"/>
          </w:tcPr>
          <w:p w14:paraId="0D8DEF4A" w14:textId="77777777" w:rsidR="004C2197" w:rsidRDefault="004C2197">
            <w:pPr>
              <w:rPr>
                <w:rFonts w:ascii="宋体"/>
                <w:vanish/>
              </w:rPr>
            </w:pPr>
          </w:p>
        </w:tc>
        <w:tc>
          <w:tcPr>
            <w:tcW w:w="0" w:type="auto"/>
            <w:shd w:val="clear" w:color="auto" w:fill="auto"/>
          </w:tcPr>
          <w:p w14:paraId="0D8DEF4B" w14:textId="77777777" w:rsidR="004C2197" w:rsidRDefault="004C2197">
            <w:pPr>
              <w:rPr>
                <w:rFonts w:ascii="宋体"/>
                <w:vanish/>
              </w:rPr>
            </w:pPr>
          </w:p>
        </w:tc>
        <w:tc>
          <w:tcPr>
            <w:tcW w:w="0" w:type="auto"/>
            <w:shd w:val="clear" w:color="auto" w:fill="auto"/>
          </w:tcPr>
          <w:p w14:paraId="0D8DEF4C" w14:textId="77777777" w:rsidR="004C2197" w:rsidRDefault="004C2197">
            <w:pPr>
              <w:rPr>
                <w:rFonts w:ascii="宋体"/>
                <w:vanish/>
              </w:rPr>
            </w:pPr>
          </w:p>
        </w:tc>
        <w:tc>
          <w:tcPr>
            <w:tcW w:w="0" w:type="auto"/>
            <w:shd w:val="clear" w:color="auto" w:fill="auto"/>
          </w:tcPr>
          <w:p w14:paraId="0D8DEF4D" w14:textId="77777777" w:rsidR="004C2197" w:rsidRDefault="004C2197">
            <w:pPr>
              <w:rPr>
                <w:rFonts w:ascii="宋体"/>
                <w:vanish/>
              </w:rPr>
            </w:pPr>
          </w:p>
        </w:tc>
        <w:tc>
          <w:tcPr>
            <w:tcW w:w="0" w:type="auto"/>
            <w:shd w:val="clear" w:color="auto" w:fill="auto"/>
          </w:tcPr>
          <w:p w14:paraId="0D8DEF4E" w14:textId="77777777" w:rsidR="004C2197" w:rsidRDefault="004C2197">
            <w:pPr>
              <w:rPr>
                <w:rFonts w:ascii="宋体"/>
              </w:rPr>
            </w:pPr>
          </w:p>
        </w:tc>
        <w:tc>
          <w:tcPr>
            <w:tcW w:w="0" w:type="auto"/>
            <w:shd w:val="clear" w:color="auto" w:fill="auto"/>
          </w:tcPr>
          <w:p w14:paraId="0D8DEF4F" w14:textId="77777777" w:rsidR="004C2197" w:rsidRDefault="004C2197">
            <w:pPr>
              <w:rPr>
                <w:rFonts w:ascii="宋体"/>
              </w:rPr>
            </w:pPr>
          </w:p>
        </w:tc>
        <w:tc>
          <w:tcPr>
            <w:tcW w:w="0" w:type="auto"/>
            <w:shd w:val="clear" w:color="auto" w:fill="auto"/>
          </w:tcPr>
          <w:p w14:paraId="0D8DEF50" w14:textId="77777777" w:rsidR="004C2197" w:rsidRDefault="004C2197">
            <w:pPr>
              <w:rPr>
                <w:rFonts w:ascii="宋体"/>
              </w:rPr>
            </w:pPr>
          </w:p>
        </w:tc>
        <w:tc>
          <w:tcPr>
            <w:tcW w:w="0" w:type="auto"/>
            <w:shd w:val="clear" w:color="auto" w:fill="auto"/>
          </w:tcPr>
          <w:p w14:paraId="0D8DEF51" w14:textId="77777777" w:rsidR="004C2197" w:rsidRDefault="004C2197">
            <w:pPr>
              <w:rPr>
                <w:rFonts w:ascii="宋体"/>
              </w:rPr>
            </w:pPr>
          </w:p>
        </w:tc>
        <w:tc>
          <w:tcPr>
            <w:tcW w:w="0" w:type="auto"/>
            <w:shd w:val="clear" w:color="auto" w:fill="auto"/>
          </w:tcPr>
          <w:p w14:paraId="0D8DEF52" w14:textId="77777777" w:rsidR="004C2197" w:rsidRDefault="004C2197">
            <w:pPr>
              <w:rPr>
                <w:rFonts w:ascii="宋体"/>
              </w:rPr>
            </w:pPr>
          </w:p>
        </w:tc>
        <w:tc>
          <w:tcPr>
            <w:tcW w:w="0" w:type="auto"/>
            <w:shd w:val="clear" w:color="auto" w:fill="auto"/>
          </w:tcPr>
          <w:p w14:paraId="0D8DEF53" w14:textId="77777777" w:rsidR="004C2197" w:rsidRDefault="004C2197">
            <w:pPr>
              <w:rPr>
                <w:rFonts w:ascii="宋体"/>
              </w:rPr>
            </w:pPr>
          </w:p>
        </w:tc>
      </w:tr>
      <w:tr w:rsidR="004C2197" w14:paraId="0D8DEF66" w14:textId="77777777">
        <w:tc>
          <w:tcPr>
            <w:tcW w:w="0" w:type="auto"/>
            <w:gridSpan w:val="3"/>
            <w:shd w:val="clear" w:color="auto" w:fill="E2EFD9"/>
            <w:tcMar>
              <w:top w:w="40" w:type="dxa"/>
              <w:left w:w="360" w:type="dxa"/>
              <w:bottom w:w="40" w:type="dxa"/>
              <w:right w:w="20" w:type="dxa"/>
            </w:tcMar>
            <w:vAlign w:val="bottom"/>
          </w:tcPr>
          <w:p w14:paraId="0D8DEF55" w14:textId="77777777" w:rsidR="004C2197" w:rsidRDefault="00863B83">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0D8DEF56" w14:textId="77777777" w:rsidR="004C2197" w:rsidRDefault="00863B83">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bottom w:w="40" w:type="dxa"/>
              <w:right w:w="20" w:type="dxa"/>
            </w:tcMar>
            <w:vAlign w:val="bottom"/>
          </w:tcPr>
          <w:p w14:paraId="0D8DEF5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EF58"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EF5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EF5A" w14:textId="77777777" w:rsidR="004C2197" w:rsidRDefault="00863B83">
            <w:pPr>
              <w:jc w:val="right"/>
              <w:textAlignment w:val="bottom"/>
            </w:pPr>
            <w:r>
              <w:rPr>
                <w:rFonts w:ascii="sans-serif" w:eastAsia="sans-serif" w:hAnsi="sans-serif" w:cs="sans-serif"/>
                <w:color w:val="000000"/>
                <w:sz w:val="20"/>
                <w:szCs w:val="20"/>
              </w:rPr>
              <w:t>149.90 </w:t>
            </w:r>
          </w:p>
        </w:tc>
        <w:tc>
          <w:tcPr>
            <w:tcW w:w="0" w:type="auto"/>
            <w:shd w:val="clear" w:color="auto" w:fill="E2EFD9"/>
            <w:tcMar>
              <w:top w:w="40" w:type="dxa"/>
              <w:bottom w:w="40" w:type="dxa"/>
              <w:right w:w="20" w:type="dxa"/>
            </w:tcMar>
            <w:vAlign w:val="bottom"/>
          </w:tcPr>
          <w:p w14:paraId="0D8DEF5B" w14:textId="77777777" w:rsidR="004C2197" w:rsidRDefault="004C2197">
            <w:pPr>
              <w:jc w:val="right"/>
              <w:rPr>
                <w:rFonts w:ascii="宋体"/>
              </w:rPr>
            </w:pPr>
          </w:p>
        </w:tc>
        <w:tc>
          <w:tcPr>
            <w:tcW w:w="0" w:type="auto"/>
            <w:shd w:val="clear" w:color="auto" w:fill="auto"/>
          </w:tcPr>
          <w:p w14:paraId="0D8DEF5C" w14:textId="77777777" w:rsidR="004C2197" w:rsidRDefault="004C2197">
            <w:pPr>
              <w:rPr>
                <w:rFonts w:ascii="宋体"/>
                <w:vanish/>
              </w:rPr>
            </w:pPr>
          </w:p>
        </w:tc>
        <w:tc>
          <w:tcPr>
            <w:tcW w:w="0" w:type="auto"/>
            <w:shd w:val="clear" w:color="auto" w:fill="auto"/>
          </w:tcPr>
          <w:p w14:paraId="0D8DEF5D" w14:textId="77777777" w:rsidR="004C2197" w:rsidRDefault="004C2197">
            <w:pPr>
              <w:rPr>
                <w:rFonts w:ascii="宋体"/>
                <w:vanish/>
              </w:rPr>
            </w:pPr>
          </w:p>
        </w:tc>
        <w:tc>
          <w:tcPr>
            <w:tcW w:w="0" w:type="auto"/>
            <w:shd w:val="clear" w:color="auto" w:fill="auto"/>
          </w:tcPr>
          <w:p w14:paraId="0D8DEF5E" w14:textId="77777777" w:rsidR="004C2197" w:rsidRDefault="004C2197">
            <w:pPr>
              <w:rPr>
                <w:rFonts w:ascii="宋体"/>
                <w:vanish/>
              </w:rPr>
            </w:pPr>
          </w:p>
        </w:tc>
        <w:tc>
          <w:tcPr>
            <w:tcW w:w="0" w:type="auto"/>
            <w:shd w:val="clear" w:color="auto" w:fill="auto"/>
          </w:tcPr>
          <w:p w14:paraId="0D8DEF5F" w14:textId="77777777" w:rsidR="004C2197" w:rsidRDefault="004C2197">
            <w:pPr>
              <w:rPr>
                <w:rFonts w:ascii="宋体"/>
                <w:vanish/>
              </w:rPr>
            </w:pPr>
          </w:p>
        </w:tc>
        <w:tc>
          <w:tcPr>
            <w:tcW w:w="0" w:type="auto"/>
            <w:shd w:val="clear" w:color="auto" w:fill="auto"/>
          </w:tcPr>
          <w:p w14:paraId="0D8DEF60" w14:textId="77777777" w:rsidR="004C2197" w:rsidRDefault="004C2197">
            <w:pPr>
              <w:rPr>
                <w:rFonts w:ascii="宋体"/>
              </w:rPr>
            </w:pPr>
          </w:p>
        </w:tc>
        <w:tc>
          <w:tcPr>
            <w:tcW w:w="0" w:type="auto"/>
            <w:shd w:val="clear" w:color="auto" w:fill="auto"/>
          </w:tcPr>
          <w:p w14:paraId="0D8DEF61" w14:textId="77777777" w:rsidR="004C2197" w:rsidRDefault="004C2197">
            <w:pPr>
              <w:rPr>
                <w:rFonts w:ascii="宋体"/>
              </w:rPr>
            </w:pPr>
          </w:p>
        </w:tc>
        <w:tc>
          <w:tcPr>
            <w:tcW w:w="0" w:type="auto"/>
            <w:shd w:val="clear" w:color="auto" w:fill="auto"/>
          </w:tcPr>
          <w:p w14:paraId="0D8DEF62" w14:textId="77777777" w:rsidR="004C2197" w:rsidRDefault="004C2197">
            <w:pPr>
              <w:rPr>
                <w:rFonts w:ascii="宋体"/>
              </w:rPr>
            </w:pPr>
          </w:p>
        </w:tc>
        <w:tc>
          <w:tcPr>
            <w:tcW w:w="0" w:type="auto"/>
            <w:shd w:val="clear" w:color="auto" w:fill="auto"/>
          </w:tcPr>
          <w:p w14:paraId="0D8DEF63" w14:textId="77777777" w:rsidR="004C2197" w:rsidRDefault="004C2197">
            <w:pPr>
              <w:rPr>
                <w:rFonts w:ascii="宋体"/>
              </w:rPr>
            </w:pPr>
          </w:p>
        </w:tc>
        <w:tc>
          <w:tcPr>
            <w:tcW w:w="0" w:type="auto"/>
            <w:shd w:val="clear" w:color="auto" w:fill="auto"/>
          </w:tcPr>
          <w:p w14:paraId="0D8DEF64" w14:textId="77777777" w:rsidR="004C2197" w:rsidRDefault="004C2197">
            <w:pPr>
              <w:rPr>
                <w:rFonts w:ascii="宋体"/>
              </w:rPr>
            </w:pPr>
          </w:p>
        </w:tc>
        <w:tc>
          <w:tcPr>
            <w:tcW w:w="0" w:type="auto"/>
            <w:shd w:val="clear" w:color="auto" w:fill="auto"/>
          </w:tcPr>
          <w:p w14:paraId="0D8DEF65" w14:textId="77777777" w:rsidR="004C2197" w:rsidRDefault="004C2197">
            <w:pPr>
              <w:rPr>
                <w:rFonts w:ascii="宋体"/>
              </w:rPr>
            </w:pPr>
          </w:p>
        </w:tc>
      </w:tr>
      <w:tr w:rsidR="004C2197" w14:paraId="0D8DEF75" w14:textId="77777777">
        <w:trPr>
          <w:hidden/>
        </w:trPr>
        <w:tc>
          <w:tcPr>
            <w:tcW w:w="0" w:type="auto"/>
            <w:gridSpan w:val="3"/>
            <w:shd w:val="clear" w:color="auto" w:fill="auto"/>
          </w:tcPr>
          <w:p w14:paraId="0D8DEF67" w14:textId="77777777" w:rsidR="004C2197" w:rsidRDefault="004C2197">
            <w:pPr>
              <w:rPr>
                <w:rFonts w:ascii="宋体"/>
                <w:vanish/>
              </w:rPr>
            </w:pPr>
          </w:p>
        </w:tc>
        <w:tc>
          <w:tcPr>
            <w:tcW w:w="0" w:type="auto"/>
            <w:gridSpan w:val="3"/>
            <w:shd w:val="clear" w:color="auto" w:fill="auto"/>
          </w:tcPr>
          <w:p w14:paraId="0D8DEF68" w14:textId="77777777" w:rsidR="004C2197" w:rsidRDefault="004C2197">
            <w:pPr>
              <w:rPr>
                <w:rFonts w:ascii="宋体"/>
                <w:vanish/>
              </w:rPr>
            </w:pPr>
          </w:p>
        </w:tc>
        <w:tc>
          <w:tcPr>
            <w:tcW w:w="0" w:type="auto"/>
            <w:gridSpan w:val="3"/>
            <w:shd w:val="clear" w:color="auto" w:fill="auto"/>
          </w:tcPr>
          <w:p w14:paraId="0D8DEF69" w14:textId="77777777" w:rsidR="004C2197" w:rsidRDefault="004C2197">
            <w:pPr>
              <w:rPr>
                <w:rFonts w:ascii="宋体"/>
                <w:vanish/>
              </w:rPr>
            </w:pPr>
          </w:p>
        </w:tc>
        <w:tc>
          <w:tcPr>
            <w:tcW w:w="0" w:type="auto"/>
            <w:gridSpan w:val="3"/>
            <w:shd w:val="clear" w:color="auto" w:fill="auto"/>
          </w:tcPr>
          <w:p w14:paraId="0D8DEF6A" w14:textId="77777777" w:rsidR="004C2197" w:rsidRDefault="004C2197">
            <w:pPr>
              <w:rPr>
                <w:rFonts w:ascii="宋体"/>
                <w:vanish/>
              </w:rPr>
            </w:pPr>
          </w:p>
        </w:tc>
        <w:tc>
          <w:tcPr>
            <w:tcW w:w="0" w:type="auto"/>
            <w:shd w:val="clear" w:color="auto" w:fill="auto"/>
          </w:tcPr>
          <w:p w14:paraId="0D8DEF6B" w14:textId="77777777" w:rsidR="004C2197" w:rsidRDefault="004C2197">
            <w:pPr>
              <w:rPr>
                <w:rFonts w:ascii="宋体"/>
                <w:vanish/>
              </w:rPr>
            </w:pPr>
          </w:p>
        </w:tc>
        <w:tc>
          <w:tcPr>
            <w:tcW w:w="0" w:type="auto"/>
            <w:shd w:val="clear" w:color="auto" w:fill="auto"/>
          </w:tcPr>
          <w:p w14:paraId="0D8DEF6C" w14:textId="77777777" w:rsidR="004C2197" w:rsidRDefault="004C2197">
            <w:pPr>
              <w:rPr>
                <w:rFonts w:ascii="宋体"/>
                <w:vanish/>
              </w:rPr>
            </w:pPr>
          </w:p>
        </w:tc>
        <w:tc>
          <w:tcPr>
            <w:tcW w:w="0" w:type="auto"/>
            <w:shd w:val="clear" w:color="auto" w:fill="auto"/>
          </w:tcPr>
          <w:p w14:paraId="0D8DEF6D" w14:textId="77777777" w:rsidR="004C2197" w:rsidRDefault="004C2197">
            <w:pPr>
              <w:rPr>
                <w:rFonts w:ascii="宋体"/>
                <w:vanish/>
              </w:rPr>
            </w:pPr>
          </w:p>
        </w:tc>
        <w:tc>
          <w:tcPr>
            <w:tcW w:w="0" w:type="auto"/>
            <w:shd w:val="clear" w:color="auto" w:fill="auto"/>
          </w:tcPr>
          <w:p w14:paraId="0D8DEF6E" w14:textId="77777777" w:rsidR="004C2197" w:rsidRDefault="004C2197">
            <w:pPr>
              <w:rPr>
                <w:rFonts w:ascii="宋体"/>
                <w:vanish/>
              </w:rPr>
            </w:pPr>
          </w:p>
        </w:tc>
        <w:tc>
          <w:tcPr>
            <w:tcW w:w="0" w:type="auto"/>
            <w:shd w:val="clear" w:color="auto" w:fill="auto"/>
          </w:tcPr>
          <w:p w14:paraId="0D8DEF6F" w14:textId="77777777" w:rsidR="004C2197" w:rsidRDefault="004C2197">
            <w:pPr>
              <w:rPr>
                <w:rFonts w:ascii="宋体"/>
              </w:rPr>
            </w:pPr>
          </w:p>
        </w:tc>
        <w:tc>
          <w:tcPr>
            <w:tcW w:w="0" w:type="auto"/>
            <w:shd w:val="clear" w:color="auto" w:fill="auto"/>
          </w:tcPr>
          <w:p w14:paraId="0D8DEF70" w14:textId="77777777" w:rsidR="004C2197" w:rsidRDefault="004C2197">
            <w:pPr>
              <w:rPr>
                <w:rFonts w:ascii="宋体"/>
              </w:rPr>
            </w:pPr>
          </w:p>
        </w:tc>
        <w:tc>
          <w:tcPr>
            <w:tcW w:w="0" w:type="auto"/>
            <w:shd w:val="clear" w:color="auto" w:fill="auto"/>
          </w:tcPr>
          <w:p w14:paraId="0D8DEF71" w14:textId="77777777" w:rsidR="004C2197" w:rsidRDefault="004C2197">
            <w:pPr>
              <w:rPr>
                <w:rFonts w:ascii="宋体"/>
              </w:rPr>
            </w:pPr>
          </w:p>
        </w:tc>
        <w:tc>
          <w:tcPr>
            <w:tcW w:w="0" w:type="auto"/>
            <w:shd w:val="clear" w:color="auto" w:fill="auto"/>
          </w:tcPr>
          <w:p w14:paraId="0D8DEF72" w14:textId="77777777" w:rsidR="004C2197" w:rsidRDefault="004C2197">
            <w:pPr>
              <w:rPr>
                <w:rFonts w:ascii="宋体"/>
              </w:rPr>
            </w:pPr>
          </w:p>
        </w:tc>
        <w:tc>
          <w:tcPr>
            <w:tcW w:w="0" w:type="auto"/>
            <w:shd w:val="clear" w:color="auto" w:fill="auto"/>
          </w:tcPr>
          <w:p w14:paraId="0D8DEF73" w14:textId="77777777" w:rsidR="004C2197" w:rsidRDefault="004C2197">
            <w:pPr>
              <w:rPr>
                <w:rFonts w:ascii="宋体"/>
              </w:rPr>
            </w:pPr>
          </w:p>
        </w:tc>
        <w:tc>
          <w:tcPr>
            <w:tcW w:w="0" w:type="auto"/>
            <w:shd w:val="clear" w:color="auto" w:fill="auto"/>
          </w:tcPr>
          <w:p w14:paraId="0D8DEF74" w14:textId="77777777" w:rsidR="004C2197" w:rsidRDefault="004C2197">
            <w:pPr>
              <w:rPr>
                <w:rFonts w:ascii="宋体"/>
              </w:rPr>
            </w:pPr>
          </w:p>
        </w:tc>
      </w:tr>
      <w:tr w:rsidR="004C2197" w14:paraId="0D8DEF87" w14:textId="77777777">
        <w:tc>
          <w:tcPr>
            <w:tcW w:w="0" w:type="auto"/>
            <w:gridSpan w:val="3"/>
            <w:shd w:val="clear" w:color="auto" w:fill="FFFFFF"/>
            <w:tcMar>
              <w:top w:w="40" w:type="dxa"/>
              <w:left w:w="20" w:type="dxa"/>
              <w:bottom w:w="40" w:type="dxa"/>
              <w:right w:w="20" w:type="dxa"/>
            </w:tcMar>
            <w:vAlign w:val="bottom"/>
          </w:tcPr>
          <w:p w14:paraId="0D8DEF76" w14:textId="77777777" w:rsidR="004C2197" w:rsidRDefault="00863B83">
            <w:pPr>
              <w:textAlignment w:val="bottom"/>
            </w:pPr>
            <w:r>
              <w:rPr>
                <w:rFonts w:ascii="sans-serif" w:eastAsia="sans-serif" w:hAnsi="sans-serif" w:cs="sans-serif"/>
                <w:color w:val="000000"/>
                <w:sz w:val="20"/>
                <w:szCs w:val="20"/>
              </w:rPr>
              <w:t>Balances, July 26,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DEF77" w14:textId="77777777" w:rsidR="004C2197" w:rsidRDefault="00863B83">
            <w:pPr>
              <w:jc w:val="right"/>
              <w:textAlignment w:val="bottom"/>
            </w:pPr>
            <w:r>
              <w:rPr>
                <w:rFonts w:ascii="sans-serif" w:eastAsia="sans-serif" w:hAnsi="sans-serif" w:cs="sans-serif"/>
                <w:color w:val="000000"/>
                <w:sz w:val="20"/>
                <w:szCs w:val="20"/>
              </w:rPr>
              <w:t>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EF7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EF79"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EF7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EF7B" w14:textId="77777777" w:rsidR="004C2197" w:rsidRDefault="00863B83">
            <w:pPr>
              <w:jc w:val="right"/>
              <w:textAlignment w:val="bottom"/>
            </w:pPr>
            <w:r>
              <w:rPr>
                <w:rFonts w:ascii="sans-serif" w:eastAsia="sans-serif" w:hAnsi="sans-serif" w:cs="sans-serif"/>
                <w:color w:val="000000"/>
                <w:sz w:val="20"/>
                <w:szCs w:val="20"/>
              </w:rPr>
              <w:t>239.22 </w:t>
            </w:r>
          </w:p>
        </w:tc>
        <w:tc>
          <w:tcPr>
            <w:tcW w:w="0" w:type="auto"/>
            <w:shd w:val="clear" w:color="auto" w:fill="FFFFFF"/>
            <w:tcMar>
              <w:top w:w="40" w:type="dxa"/>
              <w:bottom w:w="40" w:type="dxa"/>
              <w:right w:w="20" w:type="dxa"/>
            </w:tcMar>
            <w:vAlign w:val="bottom"/>
          </w:tcPr>
          <w:p w14:paraId="0D8DEF7C" w14:textId="77777777" w:rsidR="004C2197" w:rsidRDefault="004C2197">
            <w:pPr>
              <w:jc w:val="right"/>
              <w:rPr>
                <w:rFonts w:ascii="宋体"/>
              </w:rPr>
            </w:pPr>
          </w:p>
        </w:tc>
        <w:tc>
          <w:tcPr>
            <w:tcW w:w="0" w:type="auto"/>
            <w:shd w:val="clear" w:color="auto" w:fill="auto"/>
          </w:tcPr>
          <w:p w14:paraId="0D8DEF7D" w14:textId="77777777" w:rsidR="004C2197" w:rsidRDefault="004C2197">
            <w:pPr>
              <w:rPr>
                <w:rFonts w:ascii="宋体"/>
                <w:vanish/>
              </w:rPr>
            </w:pPr>
          </w:p>
        </w:tc>
        <w:tc>
          <w:tcPr>
            <w:tcW w:w="0" w:type="auto"/>
            <w:shd w:val="clear" w:color="auto" w:fill="auto"/>
          </w:tcPr>
          <w:p w14:paraId="0D8DEF7E" w14:textId="77777777" w:rsidR="004C2197" w:rsidRDefault="004C2197">
            <w:pPr>
              <w:rPr>
                <w:rFonts w:ascii="宋体"/>
                <w:vanish/>
              </w:rPr>
            </w:pPr>
          </w:p>
        </w:tc>
        <w:tc>
          <w:tcPr>
            <w:tcW w:w="0" w:type="auto"/>
            <w:shd w:val="clear" w:color="auto" w:fill="auto"/>
          </w:tcPr>
          <w:p w14:paraId="0D8DEF7F" w14:textId="77777777" w:rsidR="004C2197" w:rsidRDefault="004C2197">
            <w:pPr>
              <w:rPr>
                <w:rFonts w:ascii="宋体"/>
                <w:vanish/>
              </w:rPr>
            </w:pPr>
          </w:p>
        </w:tc>
        <w:tc>
          <w:tcPr>
            <w:tcW w:w="0" w:type="auto"/>
            <w:shd w:val="clear" w:color="auto" w:fill="auto"/>
          </w:tcPr>
          <w:p w14:paraId="0D8DEF80" w14:textId="77777777" w:rsidR="004C2197" w:rsidRDefault="004C2197">
            <w:pPr>
              <w:rPr>
                <w:rFonts w:ascii="宋体"/>
                <w:vanish/>
              </w:rPr>
            </w:pPr>
          </w:p>
        </w:tc>
        <w:tc>
          <w:tcPr>
            <w:tcW w:w="0" w:type="auto"/>
            <w:shd w:val="clear" w:color="auto" w:fill="auto"/>
          </w:tcPr>
          <w:p w14:paraId="0D8DEF81" w14:textId="77777777" w:rsidR="004C2197" w:rsidRDefault="004C2197">
            <w:pPr>
              <w:rPr>
                <w:rFonts w:ascii="宋体"/>
              </w:rPr>
            </w:pPr>
          </w:p>
        </w:tc>
        <w:tc>
          <w:tcPr>
            <w:tcW w:w="0" w:type="auto"/>
            <w:shd w:val="clear" w:color="auto" w:fill="auto"/>
          </w:tcPr>
          <w:p w14:paraId="0D8DEF82" w14:textId="77777777" w:rsidR="004C2197" w:rsidRDefault="004C2197">
            <w:pPr>
              <w:rPr>
                <w:rFonts w:ascii="宋体"/>
              </w:rPr>
            </w:pPr>
          </w:p>
        </w:tc>
        <w:tc>
          <w:tcPr>
            <w:tcW w:w="0" w:type="auto"/>
            <w:shd w:val="clear" w:color="auto" w:fill="auto"/>
          </w:tcPr>
          <w:p w14:paraId="0D8DEF83" w14:textId="77777777" w:rsidR="004C2197" w:rsidRDefault="004C2197">
            <w:pPr>
              <w:rPr>
                <w:rFonts w:ascii="宋体"/>
              </w:rPr>
            </w:pPr>
          </w:p>
        </w:tc>
        <w:tc>
          <w:tcPr>
            <w:tcW w:w="0" w:type="auto"/>
            <w:shd w:val="clear" w:color="auto" w:fill="auto"/>
          </w:tcPr>
          <w:p w14:paraId="0D8DEF84" w14:textId="77777777" w:rsidR="004C2197" w:rsidRDefault="004C2197">
            <w:pPr>
              <w:rPr>
                <w:rFonts w:ascii="宋体"/>
              </w:rPr>
            </w:pPr>
          </w:p>
        </w:tc>
        <w:tc>
          <w:tcPr>
            <w:tcW w:w="0" w:type="auto"/>
            <w:shd w:val="clear" w:color="auto" w:fill="auto"/>
          </w:tcPr>
          <w:p w14:paraId="0D8DEF85" w14:textId="77777777" w:rsidR="004C2197" w:rsidRDefault="004C2197">
            <w:pPr>
              <w:rPr>
                <w:rFonts w:ascii="宋体"/>
              </w:rPr>
            </w:pPr>
          </w:p>
        </w:tc>
        <w:tc>
          <w:tcPr>
            <w:tcW w:w="0" w:type="auto"/>
            <w:shd w:val="clear" w:color="auto" w:fill="auto"/>
          </w:tcPr>
          <w:p w14:paraId="0D8DEF86" w14:textId="77777777" w:rsidR="004C2197" w:rsidRDefault="004C2197">
            <w:pPr>
              <w:rPr>
                <w:rFonts w:ascii="宋体"/>
              </w:rPr>
            </w:pPr>
          </w:p>
        </w:tc>
      </w:tr>
    </w:tbl>
    <w:p w14:paraId="0D8DEF88" w14:textId="77777777" w:rsidR="004C2197" w:rsidRDefault="004C2197">
      <w:pPr>
        <w:ind w:hanging="360"/>
        <w:jc w:val="both"/>
      </w:pPr>
    </w:p>
    <w:p w14:paraId="0D8DEF89" w14:textId="77777777" w:rsidR="004C2197" w:rsidRDefault="00863B83">
      <w:pPr>
        <w:spacing w:after="180"/>
        <w:jc w:val="both"/>
      </w:pPr>
      <w:r>
        <w:rPr>
          <w:rFonts w:ascii="sans-serif" w:eastAsia="sans-serif" w:hAnsi="sans-serif" w:cs="sans-serif"/>
          <w:color w:val="000000"/>
          <w:sz w:val="20"/>
          <w:szCs w:val="20"/>
        </w:rPr>
        <w:t xml:space="preserve">As of </w:t>
      </w:r>
      <w:r>
        <w:rPr>
          <w:rFonts w:ascii="sans-serif" w:eastAsia="sans-serif" w:hAnsi="sans-serif" w:cs="sans-serif"/>
          <w:color w:val="000000"/>
          <w:sz w:val="20"/>
          <w:szCs w:val="20"/>
        </w:rPr>
        <w:t>July 26, 2020, there was $3.60 billion of aggregate unearned stock-based compensation expense, net of forfeitures. This amount is expected to be recognized over a weighted average period of 2.8 years for RSUs, PSUs, and market-based PSUs, and 0.9 years for</w:t>
      </w:r>
      <w:r>
        <w:rPr>
          <w:rFonts w:ascii="sans-serif" w:eastAsia="sans-serif" w:hAnsi="sans-serif" w:cs="sans-serif"/>
          <w:color w:val="000000"/>
          <w:sz w:val="20"/>
          <w:szCs w:val="20"/>
        </w:rPr>
        <w:t xml:space="preserve"> ESPP.</w:t>
      </w:r>
    </w:p>
    <w:p w14:paraId="0D8DEF8A" w14:textId="77777777" w:rsidR="004C2197" w:rsidRDefault="004C2197">
      <w:pPr>
        <w:spacing w:after="180"/>
        <w:jc w:val="both"/>
      </w:pPr>
    </w:p>
    <w:p w14:paraId="0D8DEF8B" w14:textId="77777777" w:rsidR="004C2197" w:rsidRDefault="004C2197">
      <w:pPr>
        <w:spacing w:before="240" w:after="120"/>
        <w:jc w:val="both"/>
      </w:pPr>
    </w:p>
    <w:p w14:paraId="0D8DEF8C" w14:textId="77777777" w:rsidR="004C2197" w:rsidRDefault="00863B83">
      <w:pPr>
        <w:spacing w:after="180"/>
        <w:jc w:val="center"/>
      </w:pPr>
      <w:r>
        <w:rPr>
          <w:rFonts w:ascii="sans-serif" w:eastAsia="sans-serif" w:hAnsi="sans-serif" w:cs="sans-serif"/>
          <w:color w:val="000000"/>
          <w:sz w:val="20"/>
          <w:szCs w:val="20"/>
        </w:rPr>
        <w:t>14</w:t>
      </w:r>
    </w:p>
    <w:p w14:paraId="0D8DEF8D" w14:textId="77777777" w:rsidR="004C2197" w:rsidRDefault="00863B83">
      <w:r>
        <w:pict w14:anchorId="0D8E0CB2">
          <v:rect id="_x0000_i1038" style="width:415.3pt;height:1.5pt" o:hralign="center" o:hrstd="t" o:hr="t" fillcolor="#a0a0a0" stroked="f"/>
        </w:pict>
      </w:r>
    </w:p>
    <w:p w14:paraId="0D8DEF8E" w14:textId="77777777" w:rsidR="004C2197" w:rsidRDefault="00863B83">
      <w:pPr>
        <w:jc w:val="center"/>
      </w:pPr>
      <w:r>
        <w:rPr>
          <w:rFonts w:ascii="sans-serif" w:eastAsia="sans-serif" w:hAnsi="sans-serif" w:cs="sans-serif"/>
          <w:b/>
          <w:bCs/>
          <w:color w:val="000000"/>
          <w:sz w:val="20"/>
          <w:szCs w:val="20"/>
        </w:rPr>
        <w:t>NVIDIA CORPORATION AND SUBSIDIARIES</w:t>
      </w:r>
    </w:p>
    <w:p w14:paraId="0D8DEF8F"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EF90" w14:textId="77777777" w:rsidR="004C2197" w:rsidRDefault="00863B83">
      <w:pPr>
        <w:jc w:val="center"/>
      </w:pPr>
      <w:r>
        <w:rPr>
          <w:rFonts w:ascii="sans-serif" w:eastAsia="sans-serif" w:hAnsi="sans-serif" w:cs="sans-serif"/>
          <w:b/>
          <w:bCs/>
          <w:color w:val="000000"/>
          <w:sz w:val="20"/>
          <w:szCs w:val="20"/>
        </w:rPr>
        <w:t>(Unaudited)</w:t>
      </w:r>
    </w:p>
    <w:p w14:paraId="0D8DEF91" w14:textId="77777777" w:rsidR="004C2197" w:rsidRDefault="004C2197">
      <w:pPr>
        <w:spacing w:after="180"/>
        <w:jc w:val="both"/>
      </w:pPr>
    </w:p>
    <w:p w14:paraId="0D8DEF92" w14:textId="77777777" w:rsidR="004C2197" w:rsidRDefault="004C2197">
      <w:pPr>
        <w:spacing w:after="180"/>
        <w:jc w:val="both"/>
      </w:pPr>
    </w:p>
    <w:p w14:paraId="0D8DEF93" w14:textId="77777777" w:rsidR="004C2197" w:rsidRDefault="00863B83">
      <w:pPr>
        <w:spacing w:before="240" w:after="120"/>
        <w:jc w:val="both"/>
      </w:pPr>
      <w:r>
        <w:rPr>
          <w:rFonts w:ascii="sans-serif" w:eastAsia="sans-serif" w:hAnsi="sans-serif" w:cs="sans-serif"/>
          <w:b/>
          <w:bCs/>
          <w:color w:val="76B900"/>
          <w:sz w:val="22"/>
          <w:szCs w:val="22"/>
        </w:rPr>
        <w:t>Note 5 – Net Income Per Share</w:t>
      </w:r>
    </w:p>
    <w:p w14:paraId="0D8DEF94" w14:textId="77777777" w:rsidR="004C2197" w:rsidRDefault="00863B83">
      <w:pPr>
        <w:spacing w:after="180"/>
        <w:jc w:val="both"/>
      </w:pPr>
      <w:r>
        <w:rPr>
          <w:rFonts w:ascii="sans-serif" w:eastAsia="sans-serif" w:hAnsi="sans-serif" w:cs="sans-serif"/>
          <w:color w:val="000000"/>
          <w:sz w:val="20"/>
          <w:szCs w:val="20"/>
        </w:rPr>
        <w:t>The following is a reconciliation of the denominator of the basic and diluted net income per shar</w:t>
      </w:r>
      <w:r>
        <w:rPr>
          <w:rFonts w:ascii="sans-serif" w:eastAsia="sans-serif" w:hAnsi="sans-serif" w:cs="sans-serif"/>
          <w:color w:val="000000"/>
          <w:sz w:val="20"/>
          <w:szCs w:val="20"/>
        </w:rPr>
        <w:t>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895"/>
        <w:gridCol w:w="36"/>
        <w:gridCol w:w="137"/>
        <w:gridCol w:w="1055"/>
        <w:gridCol w:w="41"/>
        <w:gridCol w:w="36"/>
        <w:gridCol w:w="36"/>
        <w:gridCol w:w="36"/>
        <w:gridCol w:w="137"/>
        <w:gridCol w:w="995"/>
        <w:gridCol w:w="41"/>
        <w:gridCol w:w="36"/>
        <w:gridCol w:w="36"/>
        <w:gridCol w:w="36"/>
        <w:gridCol w:w="137"/>
        <w:gridCol w:w="816"/>
        <w:gridCol w:w="41"/>
        <w:gridCol w:w="36"/>
        <w:gridCol w:w="36"/>
        <w:gridCol w:w="36"/>
        <w:gridCol w:w="137"/>
        <w:gridCol w:w="81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DEFAD" w14:textId="77777777">
        <w:trPr>
          <w:gridAfter w:val="18"/>
        </w:trPr>
        <w:tc>
          <w:tcPr>
            <w:tcW w:w="50" w:type="pct"/>
            <w:shd w:val="clear" w:color="auto" w:fill="auto"/>
          </w:tcPr>
          <w:p w14:paraId="0D8DEF95" w14:textId="77777777" w:rsidR="004C2197" w:rsidRDefault="004C2197">
            <w:pPr>
              <w:rPr>
                <w:rFonts w:ascii="宋体"/>
              </w:rPr>
            </w:pPr>
          </w:p>
        </w:tc>
        <w:tc>
          <w:tcPr>
            <w:tcW w:w="1940" w:type="pct"/>
            <w:shd w:val="clear" w:color="auto" w:fill="auto"/>
          </w:tcPr>
          <w:p w14:paraId="0D8DEF96" w14:textId="77777777" w:rsidR="004C2197" w:rsidRDefault="004C2197">
            <w:pPr>
              <w:rPr>
                <w:rFonts w:ascii="宋体"/>
              </w:rPr>
            </w:pPr>
          </w:p>
        </w:tc>
        <w:tc>
          <w:tcPr>
            <w:tcW w:w="5" w:type="pct"/>
            <w:shd w:val="clear" w:color="auto" w:fill="auto"/>
          </w:tcPr>
          <w:p w14:paraId="0D8DEF97" w14:textId="77777777" w:rsidR="004C2197" w:rsidRDefault="004C2197">
            <w:pPr>
              <w:rPr>
                <w:rFonts w:ascii="宋体"/>
              </w:rPr>
            </w:pPr>
          </w:p>
        </w:tc>
        <w:tc>
          <w:tcPr>
            <w:tcW w:w="50" w:type="pct"/>
            <w:shd w:val="clear" w:color="auto" w:fill="auto"/>
          </w:tcPr>
          <w:p w14:paraId="0D8DEF98" w14:textId="77777777" w:rsidR="004C2197" w:rsidRDefault="004C2197">
            <w:pPr>
              <w:rPr>
                <w:rFonts w:ascii="宋体"/>
              </w:rPr>
            </w:pPr>
          </w:p>
        </w:tc>
        <w:tc>
          <w:tcPr>
            <w:tcW w:w="727" w:type="pct"/>
            <w:shd w:val="clear" w:color="auto" w:fill="auto"/>
          </w:tcPr>
          <w:p w14:paraId="0D8DEF99" w14:textId="77777777" w:rsidR="004C2197" w:rsidRDefault="004C2197">
            <w:pPr>
              <w:rPr>
                <w:rFonts w:ascii="宋体"/>
              </w:rPr>
            </w:pPr>
          </w:p>
        </w:tc>
        <w:tc>
          <w:tcPr>
            <w:tcW w:w="5" w:type="pct"/>
            <w:shd w:val="clear" w:color="auto" w:fill="auto"/>
          </w:tcPr>
          <w:p w14:paraId="0D8DEF9A" w14:textId="77777777" w:rsidR="004C2197" w:rsidRDefault="004C2197">
            <w:pPr>
              <w:rPr>
                <w:rFonts w:ascii="宋体"/>
              </w:rPr>
            </w:pPr>
          </w:p>
        </w:tc>
        <w:tc>
          <w:tcPr>
            <w:tcW w:w="5" w:type="pct"/>
            <w:shd w:val="clear" w:color="auto" w:fill="auto"/>
          </w:tcPr>
          <w:p w14:paraId="0D8DEF9B" w14:textId="77777777" w:rsidR="004C2197" w:rsidRDefault="004C2197">
            <w:pPr>
              <w:rPr>
                <w:rFonts w:ascii="宋体"/>
              </w:rPr>
            </w:pPr>
          </w:p>
        </w:tc>
        <w:tc>
          <w:tcPr>
            <w:tcW w:w="26" w:type="pct"/>
            <w:shd w:val="clear" w:color="auto" w:fill="auto"/>
          </w:tcPr>
          <w:p w14:paraId="0D8DEF9C" w14:textId="77777777" w:rsidR="004C2197" w:rsidRDefault="004C2197">
            <w:pPr>
              <w:rPr>
                <w:rFonts w:ascii="宋体"/>
              </w:rPr>
            </w:pPr>
          </w:p>
        </w:tc>
        <w:tc>
          <w:tcPr>
            <w:tcW w:w="5" w:type="pct"/>
            <w:shd w:val="clear" w:color="auto" w:fill="auto"/>
          </w:tcPr>
          <w:p w14:paraId="0D8DEF9D" w14:textId="77777777" w:rsidR="004C2197" w:rsidRDefault="004C2197">
            <w:pPr>
              <w:rPr>
                <w:rFonts w:ascii="宋体"/>
              </w:rPr>
            </w:pPr>
          </w:p>
        </w:tc>
        <w:tc>
          <w:tcPr>
            <w:tcW w:w="50" w:type="pct"/>
            <w:shd w:val="clear" w:color="auto" w:fill="auto"/>
          </w:tcPr>
          <w:p w14:paraId="0D8DEF9E" w14:textId="77777777" w:rsidR="004C2197" w:rsidRDefault="004C2197">
            <w:pPr>
              <w:rPr>
                <w:rFonts w:ascii="宋体"/>
              </w:rPr>
            </w:pPr>
          </w:p>
        </w:tc>
        <w:tc>
          <w:tcPr>
            <w:tcW w:w="727" w:type="pct"/>
            <w:shd w:val="clear" w:color="auto" w:fill="auto"/>
          </w:tcPr>
          <w:p w14:paraId="0D8DEF9F" w14:textId="77777777" w:rsidR="004C2197" w:rsidRDefault="004C2197">
            <w:pPr>
              <w:rPr>
                <w:rFonts w:ascii="宋体"/>
              </w:rPr>
            </w:pPr>
          </w:p>
        </w:tc>
        <w:tc>
          <w:tcPr>
            <w:tcW w:w="5" w:type="pct"/>
            <w:shd w:val="clear" w:color="auto" w:fill="auto"/>
          </w:tcPr>
          <w:p w14:paraId="0D8DEFA0" w14:textId="77777777" w:rsidR="004C2197" w:rsidRDefault="004C2197">
            <w:pPr>
              <w:rPr>
                <w:rFonts w:ascii="宋体"/>
              </w:rPr>
            </w:pPr>
          </w:p>
        </w:tc>
        <w:tc>
          <w:tcPr>
            <w:tcW w:w="5" w:type="pct"/>
            <w:shd w:val="clear" w:color="auto" w:fill="auto"/>
          </w:tcPr>
          <w:p w14:paraId="0D8DEFA1" w14:textId="77777777" w:rsidR="004C2197" w:rsidRDefault="004C2197">
            <w:pPr>
              <w:rPr>
                <w:rFonts w:ascii="宋体"/>
              </w:rPr>
            </w:pPr>
          </w:p>
        </w:tc>
        <w:tc>
          <w:tcPr>
            <w:tcW w:w="26" w:type="pct"/>
            <w:shd w:val="clear" w:color="auto" w:fill="auto"/>
          </w:tcPr>
          <w:p w14:paraId="0D8DEFA2" w14:textId="77777777" w:rsidR="004C2197" w:rsidRDefault="004C2197">
            <w:pPr>
              <w:rPr>
                <w:rFonts w:ascii="宋体"/>
              </w:rPr>
            </w:pPr>
          </w:p>
        </w:tc>
        <w:tc>
          <w:tcPr>
            <w:tcW w:w="5" w:type="pct"/>
            <w:shd w:val="clear" w:color="auto" w:fill="auto"/>
          </w:tcPr>
          <w:p w14:paraId="0D8DEFA3" w14:textId="77777777" w:rsidR="004C2197" w:rsidRDefault="004C2197">
            <w:pPr>
              <w:rPr>
                <w:rFonts w:ascii="宋体"/>
              </w:rPr>
            </w:pPr>
          </w:p>
        </w:tc>
        <w:tc>
          <w:tcPr>
            <w:tcW w:w="50" w:type="pct"/>
            <w:shd w:val="clear" w:color="auto" w:fill="auto"/>
          </w:tcPr>
          <w:p w14:paraId="0D8DEFA4" w14:textId="77777777" w:rsidR="004C2197" w:rsidRDefault="004C2197">
            <w:pPr>
              <w:rPr>
                <w:rFonts w:ascii="宋体"/>
              </w:rPr>
            </w:pPr>
          </w:p>
        </w:tc>
        <w:tc>
          <w:tcPr>
            <w:tcW w:w="610" w:type="pct"/>
            <w:shd w:val="clear" w:color="auto" w:fill="auto"/>
          </w:tcPr>
          <w:p w14:paraId="0D8DEFA5" w14:textId="77777777" w:rsidR="004C2197" w:rsidRDefault="004C2197">
            <w:pPr>
              <w:rPr>
                <w:rFonts w:ascii="宋体"/>
              </w:rPr>
            </w:pPr>
          </w:p>
        </w:tc>
        <w:tc>
          <w:tcPr>
            <w:tcW w:w="5" w:type="pct"/>
            <w:shd w:val="clear" w:color="auto" w:fill="auto"/>
          </w:tcPr>
          <w:p w14:paraId="0D8DEFA6" w14:textId="77777777" w:rsidR="004C2197" w:rsidRDefault="004C2197">
            <w:pPr>
              <w:rPr>
                <w:rFonts w:ascii="宋体"/>
              </w:rPr>
            </w:pPr>
          </w:p>
        </w:tc>
        <w:tc>
          <w:tcPr>
            <w:tcW w:w="5" w:type="pct"/>
            <w:shd w:val="clear" w:color="auto" w:fill="auto"/>
          </w:tcPr>
          <w:p w14:paraId="0D8DEFA7" w14:textId="77777777" w:rsidR="004C2197" w:rsidRDefault="004C2197">
            <w:pPr>
              <w:rPr>
                <w:rFonts w:ascii="宋体"/>
              </w:rPr>
            </w:pPr>
          </w:p>
        </w:tc>
        <w:tc>
          <w:tcPr>
            <w:tcW w:w="26" w:type="pct"/>
            <w:shd w:val="clear" w:color="auto" w:fill="auto"/>
          </w:tcPr>
          <w:p w14:paraId="0D8DEFA8" w14:textId="77777777" w:rsidR="004C2197" w:rsidRDefault="004C2197">
            <w:pPr>
              <w:rPr>
                <w:rFonts w:ascii="宋体"/>
              </w:rPr>
            </w:pPr>
          </w:p>
        </w:tc>
        <w:tc>
          <w:tcPr>
            <w:tcW w:w="5" w:type="pct"/>
            <w:shd w:val="clear" w:color="auto" w:fill="auto"/>
          </w:tcPr>
          <w:p w14:paraId="0D8DEFA9" w14:textId="77777777" w:rsidR="004C2197" w:rsidRDefault="004C2197">
            <w:pPr>
              <w:rPr>
                <w:rFonts w:ascii="宋体"/>
              </w:rPr>
            </w:pPr>
          </w:p>
        </w:tc>
        <w:tc>
          <w:tcPr>
            <w:tcW w:w="50" w:type="pct"/>
            <w:shd w:val="clear" w:color="auto" w:fill="auto"/>
          </w:tcPr>
          <w:p w14:paraId="0D8DEFAA" w14:textId="77777777" w:rsidR="004C2197" w:rsidRDefault="004C2197">
            <w:pPr>
              <w:rPr>
                <w:rFonts w:ascii="宋体"/>
              </w:rPr>
            </w:pPr>
          </w:p>
        </w:tc>
        <w:tc>
          <w:tcPr>
            <w:tcW w:w="610" w:type="pct"/>
            <w:shd w:val="clear" w:color="auto" w:fill="auto"/>
          </w:tcPr>
          <w:p w14:paraId="0D8DEFAB" w14:textId="77777777" w:rsidR="004C2197" w:rsidRDefault="004C2197">
            <w:pPr>
              <w:rPr>
                <w:rFonts w:ascii="宋体"/>
              </w:rPr>
            </w:pPr>
          </w:p>
        </w:tc>
        <w:tc>
          <w:tcPr>
            <w:tcW w:w="5" w:type="pct"/>
            <w:shd w:val="clear" w:color="auto" w:fill="auto"/>
          </w:tcPr>
          <w:p w14:paraId="0D8DEFAC" w14:textId="77777777" w:rsidR="004C2197" w:rsidRDefault="004C2197">
            <w:pPr>
              <w:rPr>
                <w:rFonts w:ascii="宋体"/>
              </w:rPr>
            </w:pPr>
          </w:p>
        </w:tc>
      </w:tr>
      <w:tr w:rsidR="004C2197" w14:paraId="0D8DEFB6" w14:textId="77777777">
        <w:trPr>
          <w:gridAfter w:val="6"/>
        </w:trPr>
        <w:tc>
          <w:tcPr>
            <w:tcW w:w="0" w:type="auto"/>
            <w:gridSpan w:val="3"/>
            <w:shd w:val="clear" w:color="auto" w:fill="auto"/>
            <w:tcMar>
              <w:top w:w="40" w:type="dxa"/>
              <w:left w:w="20" w:type="dxa"/>
              <w:bottom w:w="40" w:type="dxa"/>
              <w:right w:w="20" w:type="dxa"/>
            </w:tcMar>
            <w:vAlign w:val="bottom"/>
          </w:tcPr>
          <w:p w14:paraId="0D8DEFAE"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DEFAF"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DEFB0" w14:textId="77777777" w:rsidR="004C2197" w:rsidRDefault="004C2197">
            <w:pPr>
              <w:rPr>
                <w:rFonts w:ascii="宋体"/>
                <w:vanish/>
              </w:rPr>
            </w:pPr>
          </w:p>
        </w:tc>
        <w:tc>
          <w:tcPr>
            <w:tcW w:w="0" w:type="auto"/>
            <w:gridSpan w:val="3"/>
            <w:shd w:val="clear" w:color="auto" w:fill="auto"/>
          </w:tcPr>
          <w:p w14:paraId="0D8DEFB1"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EFB2"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EFB3"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DEFB4" w14:textId="77777777" w:rsidR="004C2197" w:rsidRDefault="004C2197">
            <w:pPr>
              <w:rPr>
                <w:rFonts w:ascii="宋体"/>
                <w:vanish/>
              </w:rPr>
            </w:pPr>
          </w:p>
        </w:tc>
        <w:tc>
          <w:tcPr>
            <w:tcW w:w="0" w:type="auto"/>
            <w:gridSpan w:val="3"/>
            <w:shd w:val="clear" w:color="auto" w:fill="auto"/>
          </w:tcPr>
          <w:p w14:paraId="0D8DEFB5" w14:textId="77777777" w:rsidR="004C2197" w:rsidRDefault="004C2197">
            <w:pPr>
              <w:rPr>
                <w:rFonts w:ascii="宋体"/>
                <w:vanish/>
              </w:rPr>
            </w:pPr>
          </w:p>
        </w:tc>
      </w:tr>
      <w:tr w:rsidR="004C2197" w14:paraId="0D8DEFCB" w14:textId="77777777">
        <w:trPr>
          <w:gridAfter w:val="6"/>
        </w:trPr>
        <w:tc>
          <w:tcPr>
            <w:tcW w:w="0" w:type="auto"/>
            <w:gridSpan w:val="3"/>
            <w:shd w:val="clear" w:color="auto" w:fill="auto"/>
            <w:tcMar>
              <w:left w:w="20" w:type="dxa"/>
              <w:right w:w="20" w:type="dxa"/>
            </w:tcMar>
            <w:vAlign w:val="bottom"/>
          </w:tcPr>
          <w:p w14:paraId="0D8DEFB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FB8"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EFB9"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FBA"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gridSpan w:val="3"/>
            <w:shd w:val="clear" w:color="auto" w:fill="auto"/>
            <w:tcMar>
              <w:left w:w="20" w:type="dxa"/>
              <w:right w:w="20" w:type="dxa"/>
            </w:tcMar>
            <w:vAlign w:val="bottom"/>
          </w:tcPr>
          <w:p w14:paraId="0D8DEFBB"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FBC"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DEFB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EFBE"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shd w:val="clear" w:color="auto" w:fill="auto"/>
          </w:tcPr>
          <w:p w14:paraId="0D8DEFBF" w14:textId="77777777" w:rsidR="004C2197" w:rsidRDefault="004C2197">
            <w:pPr>
              <w:rPr>
                <w:rFonts w:ascii="宋体"/>
              </w:rPr>
            </w:pPr>
          </w:p>
        </w:tc>
        <w:tc>
          <w:tcPr>
            <w:tcW w:w="0" w:type="auto"/>
            <w:shd w:val="clear" w:color="auto" w:fill="auto"/>
          </w:tcPr>
          <w:p w14:paraId="0D8DEFC0" w14:textId="77777777" w:rsidR="004C2197" w:rsidRDefault="004C2197">
            <w:pPr>
              <w:rPr>
                <w:rFonts w:ascii="宋体"/>
              </w:rPr>
            </w:pPr>
          </w:p>
        </w:tc>
        <w:tc>
          <w:tcPr>
            <w:tcW w:w="0" w:type="auto"/>
            <w:shd w:val="clear" w:color="auto" w:fill="auto"/>
          </w:tcPr>
          <w:p w14:paraId="0D8DEFC1" w14:textId="77777777" w:rsidR="004C2197" w:rsidRDefault="004C2197">
            <w:pPr>
              <w:rPr>
                <w:rFonts w:ascii="宋体"/>
              </w:rPr>
            </w:pPr>
          </w:p>
        </w:tc>
        <w:tc>
          <w:tcPr>
            <w:tcW w:w="0" w:type="auto"/>
            <w:shd w:val="clear" w:color="auto" w:fill="auto"/>
          </w:tcPr>
          <w:p w14:paraId="0D8DEFC2" w14:textId="77777777" w:rsidR="004C2197" w:rsidRDefault="004C2197">
            <w:pPr>
              <w:rPr>
                <w:rFonts w:ascii="宋体"/>
              </w:rPr>
            </w:pPr>
          </w:p>
        </w:tc>
        <w:tc>
          <w:tcPr>
            <w:tcW w:w="0" w:type="auto"/>
            <w:shd w:val="clear" w:color="auto" w:fill="auto"/>
          </w:tcPr>
          <w:p w14:paraId="0D8DEFC3" w14:textId="77777777" w:rsidR="004C2197" w:rsidRDefault="004C2197">
            <w:pPr>
              <w:rPr>
                <w:rFonts w:ascii="宋体"/>
              </w:rPr>
            </w:pPr>
          </w:p>
        </w:tc>
        <w:tc>
          <w:tcPr>
            <w:tcW w:w="0" w:type="auto"/>
            <w:shd w:val="clear" w:color="auto" w:fill="auto"/>
          </w:tcPr>
          <w:p w14:paraId="0D8DEFC4" w14:textId="77777777" w:rsidR="004C2197" w:rsidRDefault="004C2197">
            <w:pPr>
              <w:rPr>
                <w:rFonts w:ascii="宋体"/>
              </w:rPr>
            </w:pPr>
          </w:p>
        </w:tc>
        <w:tc>
          <w:tcPr>
            <w:tcW w:w="0" w:type="auto"/>
            <w:shd w:val="clear" w:color="auto" w:fill="auto"/>
          </w:tcPr>
          <w:p w14:paraId="0D8DEFC5" w14:textId="77777777" w:rsidR="004C2197" w:rsidRDefault="004C2197">
            <w:pPr>
              <w:rPr>
                <w:rFonts w:ascii="宋体"/>
              </w:rPr>
            </w:pPr>
          </w:p>
        </w:tc>
        <w:tc>
          <w:tcPr>
            <w:tcW w:w="0" w:type="auto"/>
            <w:shd w:val="clear" w:color="auto" w:fill="auto"/>
          </w:tcPr>
          <w:p w14:paraId="0D8DEFC6" w14:textId="77777777" w:rsidR="004C2197" w:rsidRDefault="004C2197">
            <w:pPr>
              <w:rPr>
                <w:rFonts w:ascii="宋体"/>
              </w:rPr>
            </w:pPr>
          </w:p>
        </w:tc>
        <w:tc>
          <w:tcPr>
            <w:tcW w:w="0" w:type="auto"/>
            <w:shd w:val="clear" w:color="auto" w:fill="auto"/>
          </w:tcPr>
          <w:p w14:paraId="0D8DEFC7" w14:textId="77777777" w:rsidR="004C2197" w:rsidRDefault="004C2197">
            <w:pPr>
              <w:rPr>
                <w:rFonts w:ascii="宋体"/>
              </w:rPr>
            </w:pPr>
          </w:p>
        </w:tc>
        <w:tc>
          <w:tcPr>
            <w:tcW w:w="0" w:type="auto"/>
            <w:shd w:val="clear" w:color="auto" w:fill="auto"/>
          </w:tcPr>
          <w:p w14:paraId="0D8DEFC8" w14:textId="77777777" w:rsidR="004C2197" w:rsidRDefault="004C2197">
            <w:pPr>
              <w:rPr>
                <w:rFonts w:ascii="宋体"/>
              </w:rPr>
            </w:pPr>
          </w:p>
        </w:tc>
        <w:tc>
          <w:tcPr>
            <w:tcW w:w="0" w:type="auto"/>
            <w:shd w:val="clear" w:color="auto" w:fill="auto"/>
          </w:tcPr>
          <w:p w14:paraId="0D8DEFC9" w14:textId="77777777" w:rsidR="004C2197" w:rsidRDefault="004C2197">
            <w:pPr>
              <w:rPr>
                <w:rFonts w:ascii="宋体"/>
              </w:rPr>
            </w:pPr>
          </w:p>
        </w:tc>
        <w:tc>
          <w:tcPr>
            <w:tcW w:w="0" w:type="auto"/>
            <w:shd w:val="clear" w:color="auto" w:fill="auto"/>
          </w:tcPr>
          <w:p w14:paraId="0D8DEFCA" w14:textId="77777777" w:rsidR="004C2197" w:rsidRDefault="004C2197">
            <w:pPr>
              <w:rPr>
                <w:rFonts w:ascii="宋体"/>
              </w:rPr>
            </w:pPr>
          </w:p>
        </w:tc>
      </w:tr>
      <w:tr w:rsidR="004C2197" w14:paraId="0D8DEFE0" w14:textId="77777777">
        <w:trPr>
          <w:gridAfter w:val="6"/>
        </w:trPr>
        <w:tc>
          <w:tcPr>
            <w:tcW w:w="0" w:type="auto"/>
            <w:gridSpan w:val="3"/>
            <w:shd w:val="clear" w:color="auto" w:fill="auto"/>
            <w:tcMar>
              <w:left w:w="20" w:type="dxa"/>
              <w:right w:w="20" w:type="dxa"/>
            </w:tcMar>
            <w:vAlign w:val="bottom"/>
          </w:tcPr>
          <w:p w14:paraId="0D8DEFCC"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FCD"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EFC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FCF"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left w:w="20" w:type="dxa"/>
              <w:right w:w="20" w:type="dxa"/>
            </w:tcMar>
            <w:vAlign w:val="bottom"/>
          </w:tcPr>
          <w:p w14:paraId="0D8DEFD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FD1"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EFD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EFD3"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shd w:val="clear" w:color="auto" w:fill="auto"/>
          </w:tcPr>
          <w:p w14:paraId="0D8DEFD4" w14:textId="77777777" w:rsidR="004C2197" w:rsidRDefault="004C2197">
            <w:pPr>
              <w:rPr>
                <w:rFonts w:ascii="宋体"/>
              </w:rPr>
            </w:pPr>
          </w:p>
        </w:tc>
        <w:tc>
          <w:tcPr>
            <w:tcW w:w="0" w:type="auto"/>
            <w:shd w:val="clear" w:color="auto" w:fill="auto"/>
          </w:tcPr>
          <w:p w14:paraId="0D8DEFD5" w14:textId="77777777" w:rsidR="004C2197" w:rsidRDefault="004C2197">
            <w:pPr>
              <w:rPr>
                <w:rFonts w:ascii="宋体"/>
              </w:rPr>
            </w:pPr>
          </w:p>
        </w:tc>
        <w:tc>
          <w:tcPr>
            <w:tcW w:w="0" w:type="auto"/>
            <w:shd w:val="clear" w:color="auto" w:fill="auto"/>
          </w:tcPr>
          <w:p w14:paraId="0D8DEFD6" w14:textId="77777777" w:rsidR="004C2197" w:rsidRDefault="004C2197">
            <w:pPr>
              <w:rPr>
                <w:rFonts w:ascii="宋体"/>
              </w:rPr>
            </w:pPr>
          </w:p>
        </w:tc>
        <w:tc>
          <w:tcPr>
            <w:tcW w:w="0" w:type="auto"/>
            <w:shd w:val="clear" w:color="auto" w:fill="auto"/>
          </w:tcPr>
          <w:p w14:paraId="0D8DEFD7" w14:textId="77777777" w:rsidR="004C2197" w:rsidRDefault="004C2197">
            <w:pPr>
              <w:rPr>
                <w:rFonts w:ascii="宋体"/>
              </w:rPr>
            </w:pPr>
          </w:p>
        </w:tc>
        <w:tc>
          <w:tcPr>
            <w:tcW w:w="0" w:type="auto"/>
            <w:shd w:val="clear" w:color="auto" w:fill="auto"/>
          </w:tcPr>
          <w:p w14:paraId="0D8DEFD8" w14:textId="77777777" w:rsidR="004C2197" w:rsidRDefault="004C2197">
            <w:pPr>
              <w:rPr>
                <w:rFonts w:ascii="宋体"/>
              </w:rPr>
            </w:pPr>
          </w:p>
        </w:tc>
        <w:tc>
          <w:tcPr>
            <w:tcW w:w="0" w:type="auto"/>
            <w:shd w:val="clear" w:color="auto" w:fill="auto"/>
          </w:tcPr>
          <w:p w14:paraId="0D8DEFD9" w14:textId="77777777" w:rsidR="004C2197" w:rsidRDefault="004C2197">
            <w:pPr>
              <w:rPr>
                <w:rFonts w:ascii="宋体"/>
              </w:rPr>
            </w:pPr>
          </w:p>
        </w:tc>
        <w:tc>
          <w:tcPr>
            <w:tcW w:w="0" w:type="auto"/>
            <w:shd w:val="clear" w:color="auto" w:fill="auto"/>
          </w:tcPr>
          <w:p w14:paraId="0D8DEFDA" w14:textId="77777777" w:rsidR="004C2197" w:rsidRDefault="004C2197">
            <w:pPr>
              <w:rPr>
                <w:rFonts w:ascii="宋体"/>
              </w:rPr>
            </w:pPr>
          </w:p>
        </w:tc>
        <w:tc>
          <w:tcPr>
            <w:tcW w:w="0" w:type="auto"/>
            <w:shd w:val="clear" w:color="auto" w:fill="auto"/>
          </w:tcPr>
          <w:p w14:paraId="0D8DEFDB" w14:textId="77777777" w:rsidR="004C2197" w:rsidRDefault="004C2197">
            <w:pPr>
              <w:rPr>
                <w:rFonts w:ascii="宋体"/>
              </w:rPr>
            </w:pPr>
          </w:p>
        </w:tc>
        <w:tc>
          <w:tcPr>
            <w:tcW w:w="0" w:type="auto"/>
            <w:shd w:val="clear" w:color="auto" w:fill="auto"/>
          </w:tcPr>
          <w:p w14:paraId="0D8DEFDC" w14:textId="77777777" w:rsidR="004C2197" w:rsidRDefault="004C2197">
            <w:pPr>
              <w:rPr>
                <w:rFonts w:ascii="宋体"/>
              </w:rPr>
            </w:pPr>
          </w:p>
        </w:tc>
        <w:tc>
          <w:tcPr>
            <w:tcW w:w="0" w:type="auto"/>
            <w:shd w:val="clear" w:color="auto" w:fill="auto"/>
          </w:tcPr>
          <w:p w14:paraId="0D8DEFDD" w14:textId="77777777" w:rsidR="004C2197" w:rsidRDefault="004C2197">
            <w:pPr>
              <w:rPr>
                <w:rFonts w:ascii="宋体"/>
              </w:rPr>
            </w:pPr>
          </w:p>
        </w:tc>
        <w:tc>
          <w:tcPr>
            <w:tcW w:w="0" w:type="auto"/>
            <w:shd w:val="clear" w:color="auto" w:fill="auto"/>
          </w:tcPr>
          <w:p w14:paraId="0D8DEFDE" w14:textId="77777777" w:rsidR="004C2197" w:rsidRDefault="004C2197">
            <w:pPr>
              <w:rPr>
                <w:rFonts w:ascii="宋体"/>
              </w:rPr>
            </w:pPr>
          </w:p>
        </w:tc>
        <w:tc>
          <w:tcPr>
            <w:tcW w:w="0" w:type="auto"/>
            <w:shd w:val="clear" w:color="auto" w:fill="auto"/>
          </w:tcPr>
          <w:p w14:paraId="0D8DEFDF" w14:textId="77777777" w:rsidR="004C2197" w:rsidRDefault="004C2197">
            <w:pPr>
              <w:rPr>
                <w:rFonts w:ascii="宋体"/>
              </w:rPr>
            </w:pPr>
          </w:p>
        </w:tc>
      </w:tr>
      <w:tr w:rsidR="004C2197" w14:paraId="0D8DEFF5" w14:textId="77777777">
        <w:trPr>
          <w:gridAfter w:val="6"/>
          <w:trHeight w:val="60"/>
        </w:trPr>
        <w:tc>
          <w:tcPr>
            <w:tcW w:w="0" w:type="auto"/>
            <w:gridSpan w:val="3"/>
            <w:shd w:val="clear" w:color="auto" w:fill="auto"/>
            <w:tcMar>
              <w:left w:w="20" w:type="dxa"/>
              <w:right w:w="20" w:type="dxa"/>
            </w:tcMar>
            <w:vAlign w:val="bottom"/>
          </w:tcPr>
          <w:p w14:paraId="0D8DEFE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E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FE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E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FE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E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EFE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EFE8" w14:textId="77777777" w:rsidR="004C2197" w:rsidRDefault="004C2197">
            <w:pPr>
              <w:rPr>
                <w:rFonts w:ascii="宋体"/>
              </w:rPr>
            </w:pPr>
          </w:p>
        </w:tc>
        <w:tc>
          <w:tcPr>
            <w:tcW w:w="0" w:type="auto"/>
            <w:shd w:val="clear" w:color="auto" w:fill="auto"/>
          </w:tcPr>
          <w:p w14:paraId="0D8DEFE9" w14:textId="77777777" w:rsidR="004C2197" w:rsidRDefault="004C2197">
            <w:pPr>
              <w:rPr>
                <w:rFonts w:ascii="宋体"/>
              </w:rPr>
            </w:pPr>
          </w:p>
        </w:tc>
        <w:tc>
          <w:tcPr>
            <w:tcW w:w="0" w:type="auto"/>
            <w:shd w:val="clear" w:color="auto" w:fill="auto"/>
          </w:tcPr>
          <w:p w14:paraId="0D8DEFEA" w14:textId="77777777" w:rsidR="004C2197" w:rsidRDefault="004C2197">
            <w:pPr>
              <w:rPr>
                <w:rFonts w:ascii="宋体"/>
              </w:rPr>
            </w:pPr>
          </w:p>
        </w:tc>
        <w:tc>
          <w:tcPr>
            <w:tcW w:w="0" w:type="auto"/>
            <w:shd w:val="clear" w:color="auto" w:fill="auto"/>
          </w:tcPr>
          <w:p w14:paraId="0D8DEFEB" w14:textId="77777777" w:rsidR="004C2197" w:rsidRDefault="004C2197">
            <w:pPr>
              <w:rPr>
                <w:rFonts w:ascii="宋体"/>
              </w:rPr>
            </w:pPr>
          </w:p>
        </w:tc>
        <w:tc>
          <w:tcPr>
            <w:tcW w:w="0" w:type="auto"/>
            <w:shd w:val="clear" w:color="auto" w:fill="auto"/>
          </w:tcPr>
          <w:p w14:paraId="0D8DEFEC" w14:textId="77777777" w:rsidR="004C2197" w:rsidRDefault="004C2197">
            <w:pPr>
              <w:rPr>
                <w:rFonts w:ascii="宋体"/>
              </w:rPr>
            </w:pPr>
          </w:p>
        </w:tc>
        <w:tc>
          <w:tcPr>
            <w:tcW w:w="0" w:type="auto"/>
            <w:shd w:val="clear" w:color="auto" w:fill="auto"/>
          </w:tcPr>
          <w:p w14:paraId="0D8DEFED" w14:textId="77777777" w:rsidR="004C2197" w:rsidRDefault="004C2197">
            <w:pPr>
              <w:rPr>
                <w:rFonts w:ascii="宋体"/>
              </w:rPr>
            </w:pPr>
          </w:p>
        </w:tc>
        <w:tc>
          <w:tcPr>
            <w:tcW w:w="0" w:type="auto"/>
            <w:shd w:val="clear" w:color="auto" w:fill="auto"/>
          </w:tcPr>
          <w:p w14:paraId="0D8DEFEE" w14:textId="77777777" w:rsidR="004C2197" w:rsidRDefault="004C2197">
            <w:pPr>
              <w:rPr>
                <w:rFonts w:ascii="宋体"/>
              </w:rPr>
            </w:pPr>
          </w:p>
        </w:tc>
        <w:tc>
          <w:tcPr>
            <w:tcW w:w="0" w:type="auto"/>
            <w:shd w:val="clear" w:color="auto" w:fill="auto"/>
          </w:tcPr>
          <w:p w14:paraId="0D8DEFEF" w14:textId="77777777" w:rsidR="004C2197" w:rsidRDefault="004C2197">
            <w:pPr>
              <w:rPr>
                <w:rFonts w:ascii="宋体"/>
              </w:rPr>
            </w:pPr>
          </w:p>
        </w:tc>
        <w:tc>
          <w:tcPr>
            <w:tcW w:w="0" w:type="auto"/>
            <w:shd w:val="clear" w:color="auto" w:fill="auto"/>
          </w:tcPr>
          <w:p w14:paraId="0D8DEFF0" w14:textId="77777777" w:rsidR="004C2197" w:rsidRDefault="004C2197">
            <w:pPr>
              <w:rPr>
                <w:rFonts w:ascii="宋体"/>
              </w:rPr>
            </w:pPr>
          </w:p>
        </w:tc>
        <w:tc>
          <w:tcPr>
            <w:tcW w:w="0" w:type="auto"/>
            <w:shd w:val="clear" w:color="auto" w:fill="auto"/>
          </w:tcPr>
          <w:p w14:paraId="0D8DEFF1" w14:textId="77777777" w:rsidR="004C2197" w:rsidRDefault="004C2197">
            <w:pPr>
              <w:rPr>
                <w:rFonts w:ascii="宋体"/>
              </w:rPr>
            </w:pPr>
          </w:p>
        </w:tc>
        <w:tc>
          <w:tcPr>
            <w:tcW w:w="0" w:type="auto"/>
            <w:shd w:val="clear" w:color="auto" w:fill="auto"/>
          </w:tcPr>
          <w:p w14:paraId="0D8DEFF2" w14:textId="77777777" w:rsidR="004C2197" w:rsidRDefault="004C2197">
            <w:pPr>
              <w:rPr>
                <w:rFonts w:ascii="宋体"/>
              </w:rPr>
            </w:pPr>
          </w:p>
        </w:tc>
        <w:tc>
          <w:tcPr>
            <w:tcW w:w="0" w:type="auto"/>
            <w:shd w:val="clear" w:color="auto" w:fill="auto"/>
          </w:tcPr>
          <w:p w14:paraId="0D8DEFF3" w14:textId="77777777" w:rsidR="004C2197" w:rsidRDefault="004C2197">
            <w:pPr>
              <w:rPr>
                <w:rFonts w:ascii="宋体"/>
              </w:rPr>
            </w:pPr>
          </w:p>
        </w:tc>
        <w:tc>
          <w:tcPr>
            <w:tcW w:w="0" w:type="auto"/>
            <w:shd w:val="clear" w:color="auto" w:fill="auto"/>
          </w:tcPr>
          <w:p w14:paraId="0D8DEFF4" w14:textId="77777777" w:rsidR="004C2197" w:rsidRDefault="004C2197">
            <w:pPr>
              <w:rPr>
                <w:rFonts w:ascii="宋体"/>
              </w:rPr>
            </w:pPr>
          </w:p>
        </w:tc>
      </w:tr>
      <w:tr w:rsidR="004C2197" w14:paraId="0D8DEFFE" w14:textId="77777777">
        <w:tc>
          <w:tcPr>
            <w:tcW w:w="0" w:type="auto"/>
            <w:gridSpan w:val="3"/>
            <w:shd w:val="clear" w:color="auto" w:fill="auto"/>
            <w:tcMar>
              <w:top w:w="40" w:type="dxa"/>
              <w:left w:w="20" w:type="dxa"/>
              <w:bottom w:w="40" w:type="dxa"/>
              <w:right w:w="20" w:type="dxa"/>
            </w:tcMar>
            <w:vAlign w:val="bottom"/>
          </w:tcPr>
          <w:p w14:paraId="0D8DEFF6" w14:textId="77777777" w:rsidR="004C2197" w:rsidRDefault="00863B83">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D8DEFF7" w14:textId="77777777" w:rsidR="004C2197" w:rsidRDefault="00863B83">
            <w:pPr>
              <w:jc w:val="center"/>
              <w:textAlignment w:val="bottom"/>
            </w:pPr>
            <w:r>
              <w:rPr>
                <w:rFonts w:ascii="sans-serif" w:eastAsia="sans-serif" w:hAnsi="sans-serif" w:cs="sans-serif"/>
                <w:i/>
                <w:iCs/>
                <w:color w:val="000000"/>
                <w:sz w:val="20"/>
                <w:szCs w:val="20"/>
              </w:rPr>
              <w:t>(In millions, except per share data)</w:t>
            </w:r>
          </w:p>
        </w:tc>
        <w:tc>
          <w:tcPr>
            <w:tcW w:w="0" w:type="auto"/>
            <w:gridSpan w:val="3"/>
            <w:shd w:val="clear" w:color="auto" w:fill="auto"/>
          </w:tcPr>
          <w:p w14:paraId="0D8DEFF8" w14:textId="77777777" w:rsidR="004C2197" w:rsidRDefault="004C2197">
            <w:pPr>
              <w:rPr>
                <w:rFonts w:ascii="宋体"/>
                <w:vanish/>
              </w:rPr>
            </w:pPr>
          </w:p>
        </w:tc>
        <w:tc>
          <w:tcPr>
            <w:tcW w:w="0" w:type="auto"/>
            <w:gridSpan w:val="3"/>
            <w:shd w:val="clear" w:color="auto" w:fill="auto"/>
          </w:tcPr>
          <w:p w14:paraId="0D8DEFF9" w14:textId="77777777" w:rsidR="004C2197" w:rsidRDefault="004C2197">
            <w:pPr>
              <w:rPr>
                <w:rFonts w:ascii="宋体"/>
                <w:vanish/>
              </w:rPr>
            </w:pPr>
          </w:p>
        </w:tc>
        <w:tc>
          <w:tcPr>
            <w:tcW w:w="0" w:type="auto"/>
            <w:gridSpan w:val="3"/>
            <w:shd w:val="clear" w:color="auto" w:fill="auto"/>
          </w:tcPr>
          <w:p w14:paraId="0D8DEFFA" w14:textId="77777777" w:rsidR="004C2197" w:rsidRDefault="004C2197">
            <w:pPr>
              <w:rPr>
                <w:rFonts w:ascii="宋体"/>
                <w:vanish/>
              </w:rPr>
            </w:pPr>
          </w:p>
        </w:tc>
        <w:tc>
          <w:tcPr>
            <w:tcW w:w="0" w:type="auto"/>
            <w:gridSpan w:val="3"/>
            <w:shd w:val="clear" w:color="auto" w:fill="auto"/>
          </w:tcPr>
          <w:p w14:paraId="0D8DEFFB" w14:textId="77777777" w:rsidR="004C2197" w:rsidRDefault="004C2197">
            <w:pPr>
              <w:rPr>
                <w:rFonts w:ascii="宋体"/>
                <w:vanish/>
              </w:rPr>
            </w:pPr>
          </w:p>
        </w:tc>
        <w:tc>
          <w:tcPr>
            <w:tcW w:w="0" w:type="auto"/>
            <w:gridSpan w:val="3"/>
            <w:shd w:val="clear" w:color="auto" w:fill="auto"/>
          </w:tcPr>
          <w:p w14:paraId="0D8DEFFC" w14:textId="77777777" w:rsidR="004C2197" w:rsidRDefault="004C2197">
            <w:pPr>
              <w:rPr>
                <w:rFonts w:ascii="宋体"/>
                <w:vanish/>
              </w:rPr>
            </w:pPr>
          </w:p>
        </w:tc>
        <w:tc>
          <w:tcPr>
            <w:tcW w:w="0" w:type="auto"/>
            <w:gridSpan w:val="3"/>
            <w:shd w:val="clear" w:color="auto" w:fill="auto"/>
          </w:tcPr>
          <w:p w14:paraId="0D8DEFFD" w14:textId="77777777" w:rsidR="004C2197" w:rsidRDefault="004C2197">
            <w:pPr>
              <w:rPr>
                <w:rFonts w:ascii="宋体"/>
                <w:vanish/>
              </w:rPr>
            </w:pPr>
          </w:p>
        </w:tc>
      </w:tr>
      <w:tr w:rsidR="004C2197" w14:paraId="0D8DF019" w14:textId="77777777">
        <w:tc>
          <w:tcPr>
            <w:tcW w:w="0" w:type="auto"/>
            <w:gridSpan w:val="3"/>
            <w:shd w:val="clear" w:color="auto" w:fill="E2EFD9"/>
            <w:tcMar>
              <w:top w:w="40" w:type="dxa"/>
              <w:left w:w="20" w:type="dxa"/>
              <w:bottom w:w="40" w:type="dxa"/>
              <w:right w:w="20" w:type="dxa"/>
            </w:tcMar>
            <w:vAlign w:val="bottom"/>
          </w:tcPr>
          <w:p w14:paraId="0D8DEFFF" w14:textId="77777777" w:rsidR="004C2197" w:rsidRDefault="00863B83">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0D8DF000"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001"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002"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003"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04"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05"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06" w14:textId="77777777" w:rsidR="004C2197" w:rsidRDefault="004C2197">
            <w:pPr>
              <w:rPr>
                <w:rFonts w:ascii="宋体"/>
              </w:rPr>
            </w:pPr>
          </w:p>
        </w:tc>
        <w:tc>
          <w:tcPr>
            <w:tcW w:w="0" w:type="auto"/>
            <w:shd w:val="clear" w:color="auto" w:fill="auto"/>
          </w:tcPr>
          <w:p w14:paraId="0D8DF007" w14:textId="77777777" w:rsidR="004C2197" w:rsidRDefault="004C2197">
            <w:pPr>
              <w:rPr>
                <w:rFonts w:ascii="宋体"/>
              </w:rPr>
            </w:pPr>
          </w:p>
        </w:tc>
        <w:tc>
          <w:tcPr>
            <w:tcW w:w="0" w:type="auto"/>
            <w:shd w:val="clear" w:color="auto" w:fill="auto"/>
          </w:tcPr>
          <w:p w14:paraId="0D8DF008" w14:textId="77777777" w:rsidR="004C2197" w:rsidRDefault="004C2197">
            <w:pPr>
              <w:rPr>
                <w:rFonts w:ascii="宋体"/>
              </w:rPr>
            </w:pPr>
          </w:p>
        </w:tc>
        <w:tc>
          <w:tcPr>
            <w:tcW w:w="0" w:type="auto"/>
            <w:shd w:val="clear" w:color="auto" w:fill="auto"/>
          </w:tcPr>
          <w:p w14:paraId="0D8DF009" w14:textId="77777777" w:rsidR="004C2197" w:rsidRDefault="004C2197">
            <w:pPr>
              <w:rPr>
                <w:rFonts w:ascii="宋体"/>
              </w:rPr>
            </w:pPr>
          </w:p>
        </w:tc>
        <w:tc>
          <w:tcPr>
            <w:tcW w:w="0" w:type="auto"/>
            <w:shd w:val="clear" w:color="auto" w:fill="auto"/>
          </w:tcPr>
          <w:p w14:paraId="0D8DF00A" w14:textId="77777777" w:rsidR="004C2197" w:rsidRDefault="004C2197">
            <w:pPr>
              <w:rPr>
                <w:rFonts w:ascii="宋体"/>
              </w:rPr>
            </w:pPr>
          </w:p>
        </w:tc>
        <w:tc>
          <w:tcPr>
            <w:tcW w:w="0" w:type="auto"/>
            <w:shd w:val="clear" w:color="auto" w:fill="auto"/>
          </w:tcPr>
          <w:p w14:paraId="0D8DF00B" w14:textId="77777777" w:rsidR="004C2197" w:rsidRDefault="004C2197">
            <w:pPr>
              <w:rPr>
                <w:rFonts w:ascii="宋体"/>
              </w:rPr>
            </w:pPr>
          </w:p>
        </w:tc>
        <w:tc>
          <w:tcPr>
            <w:tcW w:w="0" w:type="auto"/>
            <w:shd w:val="clear" w:color="auto" w:fill="auto"/>
          </w:tcPr>
          <w:p w14:paraId="0D8DF00C" w14:textId="77777777" w:rsidR="004C2197" w:rsidRDefault="004C2197">
            <w:pPr>
              <w:rPr>
                <w:rFonts w:ascii="宋体"/>
              </w:rPr>
            </w:pPr>
          </w:p>
        </w:tc>
        <w:tc>
          <w:tcPr>
            <w:tcW w:w="0" w:type="auto"/>
            <w:shd w:val="clear" w:color="auto" w:fill="auto"/>
          </w:tcPr>
          <w:p w14:paraId="0D8DF00D" w14:textId="77777777" w:rsidR="004C2197" w:rsidRDefault="004C2197">
            <w:pPr>
              <w:rPr>
                <w:rFonts w:ascii="宋体"/>
              </w:rPr>
            </w:pPr>
          </w:p>
        </w:tc>
        <w:tc>
          <w:tcPr>
            <w:tcW w:w="0" w:type="auto"/>
            <w:shd w:val="clear" w:color="auto" w:fill="auto"/>
          </w:tcPr>
          <w:p w14:paraId="0D8DF00E" w14:textId="77777777" w:rsidR="004C2197" w:rsidRDefault="004C2197">
            <w:pPr>
              <w:rPr>
                <w:rFonts w:ascii="宋体"/>
              </w:rPr>
            </w:pPr>
          </w:p>
        </w:tc>
        <w:tc>
          <w:tcPr>
            <w:tcW w:w="0" w:type="auto"/>
            <w:shd w:val="clear" w:color="auto" w:fill="auto"/>
          </w:tcPr>
          <w:p w14:paraId="0D8DF00F" w14:textId="77777777" w:rsidR="004C2197" w:rsidRDefault="004C2197">
            <w:pPr>
              <w:rPr>
                <w:rFonts w:ascii="宋体"/>
              </w:rPr>
            </w:pPr>
          </w:p>
        </w:tc>
        <w:tc>
          <w:tcPr>
            <w:tcW w:w="0" w:type="auto"/>
            <w:shd w:val="clear" w:color="auto" w:fill="auto"/>
          </w:tcPr>
          <w:p w14:paraId="0D8DF010" w14:textId="77777777" w:rsidR="004C2197" w:rsidRDefault="004C2197">
            <w:pPr>
              <w:rPr>
                <w:rFonts w:ascii="宋体"/>
              </w:rPr>
            </w:pPr>
          </w:p>
        </w:tc>
        <w:tc>
          <w:tcPr>
            <w:tcW w:w="0" w:type="auto"/>
            <w:shd w:val="clear" w:color="auto" w:fill="auto"/>
          </w:tcPr>
          <w:p w14:paraId="0D8DF011" w14:textId="77777777" w:rsidR="004C2197" w:rsidRDefault="004C2197">
            <w:pPr>
              <w:rPr>
                <w:rFonts w:ascii="宋体"/>
              </w:rPr>
            </w:pPr>
          </w:p>
        </w:tc>
        <w:tc>
          <w:tcPr>
            <w:tcW w:w="0" w:type="auto"/>
            <w:shd w:val="clear" w:color="auto" w:fill="auto"/>
          </w:tcPr>
          <w:p w14:paraId="0D8DF012" w14:textId="77777777" w:rsidR="004C2197" w:rsidRDefault="004C2197">
            <w:pPr>
              <w:rPr>
                <w:rFonts w:ascii="宋体"/>
              </w:rPr>
            </w:pPr>
          </w:p>
        </w:tc>
        <w:tc>
          <w:tcPr>
            <w:tcW w:w="0" w:type="auto"/>
            <w:shd w:val="clear" w:color="auto" w:fill="auto"/>
          </w:tcPr>
          <w:p w14:paraId="0D8DF013" w14:textId="77777777" w:rsidR="004C2197" w:rsidRDefault="004C2197">
            <w:pPr>
              <w:rPr>
                <w:rFonts w:ascii="宋体"/>
              </w:rPr>
            </w:pPr>
          </w:p>
        </w:tc>
        <w:tc>
          <w:tcPr>
            <w:tcW w:w="0" w:type="auto"/>
            <w:shd w:val="clear" w:color="auto" w:fill="auto"/>
          </w:tcPr>
          <w:p w14:paraId="0D8DF014" w14:textId="77777777" w:rsidR="004C2197" w:rsidRDefault="004C2197">
            <w:pPr>
              <w:rPr>
                <w:rFonts w:ascii="宋体"/>
              </w:rPr>
            </w:pPr>
          </w:p>
        </w:tc>
        <w:tc>
          <w:tcPr>
            <w:tcW w:w="0" w:type="auto"/>
            <w:shd w:val="clear" w:color="auto" w:fill="auto"/>
          </w:tcPr>
          <w:p w14:paraId="0D8DF015" w14:textId="77777777" w:rsidR="004C2197" w:rsidRDefault="004C2197">
            <w:pPr>
              <w:rPr>
                <w:rFonts w:ascii="宋体"/>
              </w:rPr>
            </w:pPr>
          </w:p>
        </w:tc>
        <w:tc>
          <w:tcPr>
            <w:tcW w:w="0" w:type="auto"/>
            <w:shd w:val="clear" w:color="auto" w:fill="auto"/>
          </w:tcPr>
          <w:p w14:paraId="0D8DF016" w14:textId="77777777" w:rsidR="004C2197" w:rsidRDefault="004C2197">
            <w:pPr>
              <w:rPr>
                <w:rFonts w:ascii="宋体"/>
              </w:rPr>
            </w:pPr>
          </w:p>
        </w:tc>
        <w:tc>
          <w:tcPr>
            <w:tcW w:w="0" w:type="auto"/>
            <w:shd w:val="clear" w:color="auto" w:fill="auto"/>
          </w:tcPr>
          <w:p w14:paraId="0D8DF017" w14:textId="77777777" w:rsidR="004C2197" w:rsidRDefault="004C2197">
            <w:pPr>
              <w:rPr>
                <w:rFonts w:ascii="宋体"/>
              </w:rPr>
            </w:pPr>
          </w:p>
        </w:tc>
        <w:tc>
          <w:tcPr>
            <w:tcW w:w="0" w:type="auto"/>
            <w:shd w:val="clear" w:color="auto" w:fill="auto"/>
          </w:tcPr>
          <w:p w14:paraId="0D8DF018" w14:textId="77777777" w:rsidR="004C2197" w:rsidRDefault="004C2197">
            <w:pPr>
              <w:rPr>
                <w:rFonts w:ascii="宋体"/>
              </w:rPr>
            </w:pPr>
          </w:p>
        </w:tc>
      </w:tr>
      <w:tr w:rsidR="004C2197" w14:paraId="0D8DF03C" w14:textId="77777777">
        <w:tc>
          <w:tcPr>
            <w:tcW w:w="0" w:type="auto"/>
            <w:gridSpan w:val="3"/>
            <w:shd w:val="clear" w:color="auto" w:fill="FFFFFF"/>
            <w:tcMar>
              <w:top w:w="40" w:type="dxa"/>
              <w:left w:w="20" w:type="dxa"/>
              <w:bottom w:w="40" w:type="dxa"/>
              <w:right w:w="20" w:type="dxa"/>
            </w:tcMar>
            <w:vAlign w:val="bottom"/>
          </w:tcPr>
          <w:p w14:paraId="0D8DF01A" w14:textId="77777777" w:rsidR="004C2197" w:rsidRDefault="00863B83">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tcMar>
            <w:vAlign w:val="bottom"/>
          </w:tcPr>
          <w:p w14:paraId="0D8DF01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01C" w14:textId="77777777" w:rsidR="004C2197" w:rsidRDefault="00863B83">
            <w:pPr>
              <w:jc w:val="right"/>
              <w:textAlignment w:val="bottom"/>
            </w:pPr>
            <w:r>
              <w:rPr>
                <w:rFonts w:ascii="sans-serif" w:eastAsia="sans-serif" w:hAnsi="sans-serif" w:cs="sans-serif"/>
                <w:color w:val="000000"/>
                <w:sz w:val="20"/>
                <w:szCs w:val="20"/>
              </w:rPr>
              <w:t>622 </w:t>
            </w:r>
          </w:p>
        </w:tc>
        <w:tc>
          <w:tcPr>
            <w:tcW w:w="0" w:type="auto"/>
            <w:shd w:val="clear" w:color="auto" w:fill="FFFFFF"/>
            <w:tcMar>
              <w:top w:w="40" w:type="dxa"/>
              <w:bottom w:w="40" w:type="dxa"/>
              <w:right w:w="20" w:type="dxa"/>
            </w:tcMar>
            <w:vAlign w:val="bottom"/>
          </w:tcPr>
          <w:p w14:paraId="0D8DF01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1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01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020" w14:textId="77777777" w:rsidR="004C2197" w:rsidRDefault="00863B83">
            <w:pPr>
              <w:jc w:val="right"/>
              <w:textAlignment w:val="bottom"/>
            </w:pPr>
            <w:r>
              <w:rPr>
                <w:rFonts w:ascii="sans-serif" w:eastAsia="sans-serif" w:hAnsi="sans-serif" w:cs="sans-serif"/>
                <w:color w:val="000000"/>
                <w:sz w:val="20"/>
                <w:szCs w:val="20"/>
              </w:rPr>
              <w:t>552 </w:t>
            </w:r>
          </w:p>
        </w:tc>
        <w:tc>
          <w:tcPr>
            <w:tcW w:w="0" w:type="auto"/>
            <w:shd w:val="clear" w:color="auto" w:fill="FFFFFF"/>
            <w:tcMar>
              <w:top w:w="40" w:type="dxa"/>
              <w:bottom w:w="40" w:type="dxa"/>
              <w:right w:w="20" w:type="dxa"/>
            </w:tcMar>
            <w:vAlign w:val="bottom"/>
          </w:tcPr>
          <w:p w14:paraId="0D8DF02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2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02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024" w14:textId="77777777" w:rsidR="004C2197" w:rsidRDefault="00863B83">
            <w:pPr>
              <w:jc w:val="right"/>
              <w:textAlignment w:val="bottom"/>
            </w:pPr>
            <w:r>
              <w:rPr>
                <w:rFonts w:ascii="sans-serif" w:eastAsia="sans-serif" w:hAnsi="sans-serif" w:cs="sans-serif"/>
                <w:color w:val="000000"/>
                <w:sz w:val="20"/>
                <w:szCs w:val="20"/>
              </w:rPr>
              <w:t>1,539 </w:t>
            </w:r>
          </w:p>
        </w:tc>
        <w:tc>
          <w:tcPr>
            <w:tcW w:w="0" w:type="auto"/>
            <w:shd w:val="clear" w:color="auto" w:fill="FFFFFF"/>
            <w:tcMar>
              <w:top w:w="40" w:type="dxa"/>
              <w:bottom w:w="40" w:type="dxa"/>
              <w:right w:w="20" w:type="dxa"/>
            </w:tcMar>
            <w:vAlign w:val="bottom"/>
          </w:tcPr>
          <w:p w14:paraId="0D8DF02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26"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02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028" w14:textId="77777777" w:rsidR="004C2197" w:rsidRDefault="00863B83">
            <w:pPr>
              <w:jc w:val="right"/>
              <w:textAlignment w:val="bottom"/>
            </w:pPr>
            <w:r>
              <w:rPr>
                <w:rFonts w:ascii="sans-serif" w:eastAsia="sans-serif" w:hAnsi="sans-serif" w:cs="sans-serif"/>
                <w:color w:val="000000"/>
                <w:sz w:val="20"/>
                <w:szCs w:val="20"/>
              </w:rPr>
              <w:t>947 </w:t>
            </w:r>
          </w:p>
        </w:tc>
        <w:tc>
          <w:tcPr>
            <w:tcW w:w="0" w:type="auto"/>
            <w:shd w:val="clear" w:color="auto" w:fill="FFFFFF"/>
            <w:tcMar>
              <w:top w:w="40" w:type="dxa"/>
              <w:bottom w:w="40" w:type="dxa"/>
              <w:right w:w="20" w:type="dxa"/>
            </w:tcMar>
            <w:vAlign w:val="bottom"/>
          </w:tcPr>
          <w:p w14:paraId="0D8DF029" w14:textId="77777777" w:rsidR="004C2197" w:rsidRDefault="004C2197">
            <w:pPr>
              <w:jc w:val="right"/>
              <w:rPr>
                <w:rFonts w:ascii="宋体"/>
              </w:rPr>
            </w:pPr>
          </w:p>
        </w:tc>
        <w:tc>
          <w:tcPr>
            <w:tcW w:w="0" w:type="auto"/>
            <w:shd w:val="clear" w:color="auto" w:fill="auto"/>
          </w:tcPr>
          <w:p w14:paraId="0D8DF02A" w14:textId="77777777" w:rsidR="004C2197" w:rsidRDefault="004C2197">
            <w:pPr>
              <w:rPr>
                <w:rFonts w:ascii="宋体"/>
              </w:rPr>
            </w:pPr>
          </w:p>
        </w:tc>
        <w:tc>
          <w:tcPr>
            <w:tcW w:w="0" w:type="auto"/>
            <w:shd w:val="clear" w:color="auto" w:fill="auto"/>
          </w:tcPr>
          <w:p w14:paraId="0D8DF02B" w14:textId="77777777" w:rsidR="004C2197" w:rsidRDefault="004C2197">
            <w:pPr>
              <w:rPr>
                <w:rFonts w:ascii="宋体"/>
              </w:rPr>
            </w:pPr>
          </w:p>
        </w:tc>
        <w:tc>
          <w:tcPr>
            <w:tcW w:w="0" w:type="auto"/>
            <w:shd w:val="clear" w:color="auto" w:fill="auto"/>
          </w:tcPr>
          <w:p w14:paraId="0D8DF02C" w14:textId="77777777" w:rsidR="004C2197" w:rsidRDefault="004C2197">
            <w:pPr>
              <w:rPr>
                <w:rFonts w:ascii="宋体"/>
              </w:rPr>
            </w:pPr>
          </w:p>
        </w:tc>
        <w:tc>
          <w:tcPr>
            <w:tcW w:w="0" w:type="auto"/>
            <w:shd w:val="clear" w:color="auto" w:fill="auto"/>
          </w:tcPr>
          <w:p w14:paraId="0D8DF02D" w14:textId="77777777" w:rsidR="004C2197" w:rsidRDefault="004C2197">
            <w:pPr>
              <w:rPr>
                <w:rFonts w:ascii="宋体"/>
              </w:rPr>
            </w:pPr>
          </w:p>
        </w:tc>
        <w:tc>
          <w:tcPr>
            <w:tcW w:w="0" w:type="auto"/>
            <w:shd w:val="clear" w:color="auto" w:fill="auto"/>
          </w:tcPr>
          <w:p w14:paraId="0D8DF02E" w14:textId="77777777" w:rsidR="004C2197" w:rsidRDefault="004C2197">
            <w:pPr>
              <w:rPr>
                <w:rFonts w:ascii="宋体"/>
              </w:rPr>
            </w:pPr>
          </w:p>
        </w:tc>
        <w:tc>
          <w:tcPr>
            <w:tcW w:w="0" w:type="auto"/>
            <w:shd w:val="clear" w:color="auto" w:fill="auto"/>
          </w:tcPr>
          <w:p w14:paraId="0D8DF02F" w14:textId="77777777" w:rsidR="004C2197" w:rsidRDefault="004C2197">
            <w:pPr>
              <w:rPr>
                <w:rFonts w:ascii="宋体"/>
              </w:rPr>
            </w:pPr>
          </w:p>
        </w:tc>
        <w:tc>
          <w:tcPr>
            <w:tcW w:w="0" w:type="auto"/>
            <w:shd w:val="clear" w:color="auto" w:fill="auto"/>
          </w:tcPr>
          <w:p w14:paraId="0D8DF030" w14:textId="77777777" w:rsidR="004C2197" w:rsidRDefault="004C2197">
            <w:pPr>
              <w:rPr>
                <w:rFonts w:ascii="宋体"/>
              </w:rPr>
            </w:pPr>
          </w:p>
        </w:tc>
        <w:tc>
          <w:tcPr>
            <w:tcW w:w="0" w:type="auto"/>
            <w:shd w:val="clear" w:color="auto" w:fill="auto"/>
          </w:tcPr>
          <w:p w14:paraId="0D8DF031" w14:textId="77777777" w:rsidR="004C2197" w:rsidRDefault="004C2197">
            <w:pPr>
              <w:rPr>
                <w:rFonts w:ascii="宋体"/>
              </w:rPr>
            </w:pPr>
          </w:p>
        </w:tc>
        <w:tc>
          <w:tcPr>
            <w:tcW w:w="0" w:type="auto"/>
            <w:shd w:val="clear" w:color="auto" w:fill="auto"/>
          </w:tcPr>
          <w:p w14:paraId="0D8DF032" w14:textId="77777777" w:rsidR="004C2197" w:rsidRDefault="004C2197">
            <w:pPr>
              <w:rPr>
                <w:rFonts w:ascii="宋体"/>
              </w:rPr>
            </w:pPr>
          </w:p>
        </w:tc>
        <w:tc>
          <w:tcPr>
            <w:tcW w:w="0" w:type="auto"/>
            <w:shd w:val="clear" w:color="auto" w:fill="auto"/>
          </w:tcPr>
          <w:p w14:paraId="0D8DF033" w14:textId="77777777" w:rsidR="004C2197" w:rsidRDefault="004C2197">
            <w:pPr>
              <w:rPr>
                <w:rFonts w:ascii="宋体"/>
              </w:rPr>
            </w:pPr>
          </w:p>
        </w:tc>
        <w:tc>
          <w:tcPr>
            <w:tcW w:w="0" w:type="auto"/>
            <w:shd w:val="clear" w:color="auto" w:fill="auto"/>
          </w:tcPr>
          <w:p w14:paraId="0D8DF034" w14:textId="77777777" w:rsidR="004C2197" w:rsidRDefault="004C2197">
            <w:pPr>
              <w:rPr>
                <w:rFonts w:ascii="宋体"/>
              </w:rPr>
            </w:pPr>
          </w:p>
        </w:tc>
        <w:tc>
          <w:tcPr>
            <w:tcW w:w="0" w:type="auto"/>
            <w:shd w:val="clear" w:color="auto" w:fill="auto"/>
          </w:tcPr>
          <w:p w14:paraId="0D8DF035" w14:textId="77777777" w:rsidR="004C2197" w:rsidRDefault="004C2197">
            <w:pPr>
              <w:rPr>
                <w:rFonts w:ascii="宋体"/>
              </w:rPr>
            </w:pPr>
          </w:p>
        </w:tc>
        <w:tc>
          <w:tcPr>
            <w:tcW w:w="0" w:type="auto"/>
            <w:shd w:val="clear" w:color="auto" w:fill="auto"/>
          </w:tcPr>
          <w:p w14:paraId="0D8DF036" w14:textId="77777777" w:rsidR="004C2197" w:rsidRDefault="004C2197">
            <w:pPr>
              <w:rPr>
                <w:rFonts w:ascii="宋体"/>
              </w:rPr>
            </w:pPr>
          </w:p>
        </w:tc>
        <w:tc>
          <w:tcPr>
            <w:tcW w:w="0" w:type="auto"/>
            <w:shd w:val="clear" w:color="auto" w:fill="auto"/>
          </w:tcPr>
          <w:p w14:paraId="0D8DF037" w14:textId="77777777" w:rsidR="004C2197" w:rsidRDefault="004C2197">
            <w:pPr>
              <w:rPr>
                <w:rFonts w:ascii="宋体"/>
              </w:rPr>
            </w:pPr>
          </w:p>
        </w:tc>
        <w:tc>
          <w:tcPr>
            <w:tcW w:w="0" w:type="auto"/>
            <w:shd w:val="clear" w:color="auto" w:fill="auto"/>
          </w:tcPr>
          <w:p w14:paraId="0D8DF038" w14:textId="77777777" w:rsidR="004C2197" w:rsidRDefault="004C2197">
            <w:pPr>
              <w:rPr>
                <w:rFonts w:ascii="宋体"/>
              </w:rPr>
            </w:pPr>
          </w:p>
        </w:tc>
        <w:tc>
          <w:tcPr>
            <w:tcW w:w="0" w:type="auto"/>
            <w:shd w:val="clear" w:color="auto" w:fill="auto"/>
          </w:tcPr>
          <w:p w14:paraId="0D8DF039" w14:textId="77777777" w:rsidR="004C2197" w:rsidRDefault="004C2197">
            <w:pPr>
              <w:rPr>
                <w:rFonts w:ascii="宋体"/>
              </w:rPr>
            </w:pPr>
          </w:p>
        </w:tc>
        <w:tc>
          <w:tcPr>
            <w:tcW w:w="0" w:type="auto"/>
            <w:shd w:val="clear" w:color="auto" w:fill="auto"/>
          </w:tcPr>
          <w:p w14:paraId="0D8DF03A" w14:textId="77777777" w:rsidR="004C2197" w:rsidRDefault="004C2197">
            <w:pPr>
              <w:rPr>
                <w:rFonts w:ascii="宋体"/>
              </w:rPr>
            </w:pPr>
          </w:p>
        </w:tc>
        <w:tc>
          <w:tcPr>
            <w:tcW w:w="0" w:type="auto"/>
            <w:shd w:val="clear" w:color="auto" w:fill="auto"/>
          </w:tcPr>
          <w:p w14:paraId="0D8DF03B" w14:textId="77777777" w:rsidR="004C2197" w:rsidRDefault="004C2197">
            <w:pPr>
              <w:rPr>
                <w:rFonts w:ascii="宋体"/>
              </w:rPr>
            </w:pPr>
          </w:p>
        </w:tc>
      </w:tr>
      <w:tr w:rsidR="004C2197" w14:paraId="0D8DF057" w14:textId="77777777">
        <w:tc>
          <w:tcPr>
            <w:tcW w:w="0" w:type="auto"/>
            <w:gridSpan w:val="3"/>
            <w:shd w:val="clear" w:color="auto" w:fill="E2EFD9"/>
            <w:tcMar>
              <w:top w:w="40" w:type="dxa"/>
              <w:left w:w="20" w:type="dxa"/>
              <w:bottom w:w="40" w:type="dxa"/>
              <w:right w:w="20" w:type="dxa"/>
            </w:tcMar>
            <w:vAlign w:val="bottom"/>
          </w:tcPr>
          <w:p w14:paraId="0D8DF03D" w14:textId="77777777" w:rsidR="004C2197" w:rsidRDefault="00863B83">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left w:w="20" w:type="dxa"/>
              <w:right w:w="20" w:type="dxa"/>
            </w:tcMar>
            <w:vAlign w:val="bottom"/>
          </w:tcPr>
          <w:p w14:paraId="0D8DF03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3F"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4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41"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42"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43"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44" w14:textId="77777777" w:rsidR="004C2197" w:rsidRDefault="004C2197">
            <w:pPr>
              <w:rPr>
                <w:rFonts w:ascii="宋体"/>
              </w:rPr>
            </w:pPr>
          </w:p>
        </w:tc>
        <w:tc>
          <w:tcPr>
            <w:tcW w:w="0" w:type="auto"/>
            <w:shd w:val="clear" w:color="auto" w:fill="auto"/>
          </w:tcPr>
          <w:p w14:paraId="0D8DF045" w14:textId="77777777" w:rsidR="004C2197" w:rsidRDefault="004C2197">
            <w:pPr>
              <w:rPr>
                <w:rFonts w:ascii="宋体"/>
              </w:rPr>
            </w:pPr>
          </w:p>
        </w:tc>
        <w:tc>
          <w:tcPr>
            <w:tcW w:w="0" w:type="auto"/>
            <w:shd w:val="clear" w:color="auto" w:fill="auto"/>
          </w:tcPr>
          <w:p w14:paraId="0D8DF046" w14:textId="77777777" w:rsidR="004C2197" w:rsidRDefault="004C2197">
            <w:pPr>
              <w:rPr>
                <w:rFonts w:ascii="宋体"/>
              </w:rPr>
            </w:pPr>
          </w:p>
        </w:tc>
        <w:tc>
          <w:tcPr>
            <w:tcW w:w="0" w:type="auto"/>
            <w:shd w:val="clear" w:color="auto" w:fill="auto"/>
          </w:tcPr>
          <w:p w14:paraId="0D8DF047" w14:textId="77777777" w:rsidR="004C2197" w:rsidRDefault="004C2197">
            <w:pPr>
              <w:rPr>
                <w:rFonts w:ascii="宋体"/>
              </w:rPr>
            </w:pPr>
          </w:p>
        </w:tc>
        <w:tc>
          <w:tcPr>
            <w:tcW w:w="0" w:type="auto"/>
            <w:shd w:val="clear" w:color="auto" w:fill="auto"/>
          </w:tcPr>
          <w:p w14:paraId="0D8DF048" w14:textId="77777777" w:rsidR="004C2197" w:rsidRDefault="004C2197">
            <w:pPr>
              <w:rPr>
                <w:rFonts w:ascii="宋体"/>
              </w:rPr>
            </w:pPr>
          </w:p>
        </w:tc>
        <w:tc>
          <w:tcPr>
            <w:tcW w:w="0" w:type="auto"/>
            <w:shd w:val="clear" w:color="auto" w:fill="auto"/>
          </w:tcPr>
          <w:p w14:paraId="0D8DF049" w14:textId="77777777" w:rsidR="004C2197" w:rsidRDefault="004C2197">
            <w:pPr>
              <w:rPr>
                <w:rFonts w:ascii="宋体"/>
              </w:rPr>
            </w:pPr>
          </w:p>
        </w:tc>
        <w:tc>
          <w:tcPr>
            <w:tcW w:w="0" w:type="auto"/>
            <w:shd w:val="clear" w:color="auto" w:fill="auto"/>
          </w:tcPr>
          <w:p w14:paraId="0D8DF04A" w14:textId="77777777" w:rsidR="004C2197" w:rsidRDefault="004C2197">
            <w:pPr>
              <w:rPr>
                <w:rFonts w:ascii="宋体"/>
              </w:rPr>
            </w:pPr>
          </w:p>
        </w:tc>
        <w:tc>
          <w:tcPr>
            <w:tcW w:w="0" w:type="auto"/>
            <w:shd w:val="clear" w:color="auto" w:fill="auto"/>
          </w:tcPr>
          <w:p w14:paraId="0D8DF04B" w14:textId="77777777" w:rsidR="004C2197" w:rsidRDefault="004C2197">
            <w:pPr>
              <w:rPr>
                <w:rFonts w:ascii="宋体"/>
              </w:rPr>
            </w:pPr>
          </w:p>
        </w:tc>
        <w:tc>
          <w:tcPr>
            <w:tcW w:w="0" w:type="auto"/>
            <w:shd w:val="clear" w:color="auto" w:fill="auto"/>
          </w:tcPr>
          <w:p w14:paraId="0D8DF04C" w14:textId="77777777" w:rsidR="004C2197" w:rsidRDefault="004C2197">
            <w:pPr>
              <w:rPr>
                <w:rFonts w:ascii="宋体"/>
              </w:rPr>
            </w:pPr>
          </w:p>
        </w:tc>
        <w:tc>
          <w:tcPr>
            <w:tcW w:w="0" w:type="auto"/>
            <w:shd w:val="clear" w:color="auto" w:fill="auto"/>
          </w:tcPr>
          <w:p w14:paraId="0D8DF04D" w14:textId="77777777" w:rsidR="004C2197" w:rsidRDefault="004C2197">
            <w:pPr>
              <w:rPr>
                <w:rFonts w:ascii="宋体"/>
              </w:rPr>
            </w:pPr>
          </w:p>
        </w:tc>
        <w:tc>
          <w:tcPr>
            <w:tcW w:w="0" w:type="auto"/>
            <w:shd w:val="clear" w:color="auto" w:fill="auto"/>
          </w:tcPr>
          <w:p w14:paraId="0D8DF04E" w14:textId="77777777" w:rsidR="004C2197" w:rsidRDefault="004C2197">
            <w:pPr>
              <w:rPr>
                <w:rFonts w:ascii="宋体"/>
              </w:rPr>
            </w:pPr>
          </w:p>
        </w:tc>
        <w:tc>
          <w:tcPr>
            <w:tcW w:w="0" w:type="auto"/>
            <w:shd w:val="clear" w:color="auto" w:fill="auto"/>
          </w:tcPr>
          <w:p w14:paraId="0D8DF04F" w14:textId="77777777" w:rsidR="004C2197" w:rsidRDefault="004C2197">
            <w:pPr>
              <w:rPr>
                <w:rFonts w:ascii="宋体"/>
              </w:rPr>
            </w:pPr>
          </w:p>
        </w:tc>
        <w:tc>
          <w:tcPr>
            <w:tcW w:w="0" w:type="auto"/>
            <w:shd w:val="clear" w:color="auto" w:fill="auto"/>
          </w:tcPr>
          <w:p w14:paraId="0D8DF050" w14:textId="77777777" w:rsidR="004C2197" w:rsidRDefault="004C2197">
            <w:pPr>
              <w:rPr>
                <w:rFonts w:ascii="宋体"/>
              </w:rPr>
            </w:pPr>
          </w:p>
        </w:tc>
        <w:tc>
          <w:tcPr>
            <w:tcW w:w="0" w:type="auto"/>
            <w:shd w:val="clear" w:color="auto" w:fill="auto"/>
          </w:tcPr>
          <w:p w14:paraId="0D8DF051" w14:textId="77777777" w:rsidR="004C2197" w:rsidRDefault="004C2197">
            <w:pPr>
              <w:rPr>
                <w:rFonts w:ascii="宋体"/>
              </w:rPr>
            </w:pPr>
          </w:p>
        </w:tc>
        <w:tc>
          <w:tcPr>
            <w:tcW w:w="0" w:type="auto"/>
            <w:shd w:val="clear" w:color="auto" w:fill="auto"/>
          </w:tcPr>
          <w:p w14:paraId="0D8DF052" w14:textId="77777777" w:rsidR="004C2197" w:rsidRDefault="004C2197">
            <w:pPr>
              <w:rPr>
                <w:rFonts w:ascii="宋体"/>
              </w:rPr>
            </w:pPr>
          </w:p>
        </w:tc>
        <w:tc>
          <w:tcPr>
            <w:tcW w:w="0" w:type="auto"/>
            <w:shd w:val="clear" w:color="auto" w:fill="auto"/>
          </w:tcPr>
          <w:p w14:paraId="0D8DF053" w14:textId="77777777" w:rsidR="004C2197" w:rsidRDefault="004C2197">
            <w:pPr>
              <w:rPr>
                <w:rFonts w:ascii="宋体"/>
              </w:rPr>
            </w:pPr>
          </w:p>
        </w:tc>
        <w:tc>
          <w:tcPr>
            <w:tcW w:w="0" w:type="auto"/>
            <w:shd w:val="clear" w:color="auto" w:fill="auto"/>
          </w:tcPr>
          <w:p w14:paraId="0D8DF054" w14:textId="77777777" w:rsidR="004C2197" w:rsidRDefault="004C2197">
            <w:pPr>
              <w:rPr>
                <w:rFonts w:ascii="宋体"/>
              </w:rPr>
            </w:pPr>
          </w:p>
        </w:tc>
        <w:tc>
          <w:tcPr>
            <w:tcW w:w="0" w:type="auto"/>
            <w:shd w:val="clear" w:color="auto" w:fill="auto"/>
          </w:tcPr>
          <w:p w14:paraId="0D8DF055" w14:textId="77777777" w:rsidR="004C2197" w:rsidRDefault="004C2197">
            <w:pPr>
              <w:rPr>
                <w:rFonts w:ascii="宋体"/>
              </w:rPr>
            </w:pPr>
          </w:p>
        </w:tc>
        <w:tc>
          <w:tcPr>
            <w:tcW w:w="0" w:type="auto"/>
            <w:shd w:val="clear" w:color="auto" w:fill="auto"/>
          </w:tcPr>
          <w:p w14:paraId="0D8DF056" w14:textId="77777777" w:rsidR="004C2197" w:rsidRDefault="004C2197">
            <w:pPr>
              <w:rPr>
                <w:rFonts w:ascii="宋体"/>
              </w:rPr>
            </w:pPr>
          </w:p>
        </w:tc>
      </w:tr>
      <w:tr w:rsidR="004C2197" w14:paraId="0D8DF076" w14:textId="77777777">
        <w:tc>
          <w:tcPr>
            <w:tcW w:w="0" w:type="auto"/>
            <w:gridSpan w:val="3"/>
            <w:shd w:val="clear" w:color="auto" w:fill="FFFFFF"/>
            <w:tcMar>
              <w:top w:w="40" w:type="dxa"/>
              <w:left w:w="20" w:type="dxa"/>
              <w:bottom w:w="40" w:type="dxa"/>
              <w:right w:w="20" w:type="dxa"/>
            </w:tcMar>
            <w:vAlign w:val="bottom"/>
          </w:tcPr>
          <w:p w14:paraId="0D8DF058" w14:textId="77777777" w:rsidR="004C2197" w:rsidRDefault="00863B83">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0D8DF059"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shd w:val="clear" w:color="auto" w:fill="FFFFFF"/>
            <w:tcMar>
              <w:top w:w="40" w:type="dxa"/>
              <w:bottom w:w="40" w:type="dxa"/>
              <w:right w:w="20" w:type="dxa"/>
            </w:tcMar>
            <w:vAlign w:val="bottom"/>
          </w:tcPr>
          <w:p w14:paraId="0D8DF05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5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05C" w14:textId="77777777" w:rsidR="004C2197" w:rsidRDefault="00863B83">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bottom w:w="40" w:type="dxa"/>
              <w:right w:w="20" w:type="dxa"/>
            </w:tcMar>
            <w:vAlign w:val="bottom"/>
          </w:tcPr>
          <w:p w14:paraId="0D8DF05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5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05F" w14:textId="77777777" w:rsidR="004C2197" w:rsidRDefault="00863B83">
            <w:pPr>
              <w:jc w:val="right"/>
              <w:textAlignment w:val="bottom"/>
            </w:pPr>
            <w:r>
              <w:rPr>
                <w:rFonts w:ascii="sans-serif" w:eastAsia="sans-serif" w:hAnsi="sans-serif" w:cs="sans-serif"/>
                <w:color w:val="000000"/>
                <w:sz w:val="20"/>
                <w:szCs w:val="20"/>
              </w:rPr>
              <w:t>615 </w:t>
            </w:r>
          </w:p>
        </w:tc>
        <w:tc>
          <w:tcPr>
            <w:tcW w:w="0" w:type="auto"/>
            <w:shd w:val="clear" w:color="auto" w:fill="FFFFFF"/>
            <w:tcMar>
              <w:top w:w="40" w:type="dxa"/>
              <w:bottom w:w="40" w:type="dxa"/>
              <w:right w:w="20" w:type="dxa"/>
            </w:tcMar>
            <w:vAlign w:val="bottom"/>
          </w:tcPr>
          <w:p w14:paraId="0D8DF06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6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062" w14:textId="77777777" w:rsidR="004C2197" w:rsidRDefault="00863B83">
            <w:pPr>
              <w:jc w:val="right"/>
              <w:textAlignment w:val="bottom"/>
            </w:pPr>
            <w:r>
              <w:rPr>
                <w:rFonts w:ascii="sans-serif" w:eastAsia="sans-serif" w:hAnsi="sans-serif" w:cs="sans-serif"/>
                <w:color w:val="000000"/>
                <w:sz w:val="20"/>
                <w:szCs w:val="20"/>
              </w:rPr>
              <w:t>608 </w:t>
            </w:r>
          </w:p>
        </w:tc>
        <w:tc>
          <w:tcPr>
            <w:tcW w:w="0" w:type="auto"/>
            <w:shd w:val="clear" w:color="auto" w:fill="FFFFFF"/>
            <w:tcMar>
              <w:top w:w="40" w:type="dxa"/>
              <w:bottom w:w="40" w:type="dxa"/>
              <w:right w:w="20" w:type="dxa"/>
            </w:tcMar>
            <w:vAlign w:val="bottom"/>
          </w:tcPr>
          <w:p w14:paraId="0D8DF063" w14:textId="77777777" w:rsidR="004C2197" w:rsidRDefault="004C2197">
            <w:pPr>
              <w:jc w:val="right"/>
              <w:rPr>
                <w:rFonts w:ascii="宋体"/>
              </w:rPr>
            </w:pPr>
          </w:p>
        </w:tc>
        <w:tc>
          <w:tcPr>
            <w:tcW w:w="0" w:type="auto"/>
            <w:shd w:val="clear" w:color="auto" w:fill="auto"/>
          </w:tcPr>
          <w:p w14:paraId="0D8DF064" w14:textId="77777777" w:rsidR="004C2197" w:rsidRDefault="004C2197">
            <w:pPr>
              <w:rPr>
                <w:rFonts w:ascii="宋体"/>
              </w:rPr>
            </w:pPr>
          </w:p>
        </w:tc>
        <w:tc>
          <w:tcPr>
            <w:tcW w:w="0" w:type="auto"/>
            <w:shd w:val="clear" w:color="auto" w:fill="auto"/>
          </w:tcPr>
          <w:p w14:paraId="0D8DF065" w14:textId="77777777" w:rsidR="004C2197" w:rsidRDefault="004C2197">
            <w:pPr>
              <w:rPr>
                <w:rFonts w:ascii="宋体"/>
              </w:rPr>
            </w:pPr>
          </w:p>
        </w:tc>
        <w:tc>
          <w:tcPr>
            <w:tcW w:w="0" w:type="auto"/>
            <w:shd w:val="clear" w:color="auto" w:fill="auto"/>
          </w:tcPr>
          <w:p w14:paraId="0D8DF066" w14:textId="77777777" w:rsidR="004C2197" w:rsidRDefault="004C2197">
            <w:pPr>
              <w:rPr>
                <w:rFonts w:ascii="宋体"/>
              </w:rPr>
            </w:pPr>
          </w:p>
        </w:tc>
        <w:tc>
          <w:tcPr>
            <w:tcW w:w="0" w:type="auto"/>
            <w:shd w:val="clear" w:color="auto" w:fill="auto"/>
          </w:tcPr>
          <w:p w14:paraId="0D8DF067" w14:textId="77777777" w:rsidR="004C2197" w:rsidRDefault="004C2197">
            <w:pPr>
              <w:rPr>
                <w:rFonts w:ascii="宋体"/>
              </w:rPr>
            </w:pPr>
          </w:p>
        </w:tc>
        <w:tc>
          <w:tcPr>
            <w:tcW w:w="0" w:type="auto"/>
            <w:shd w:val="clear" w:color="auto" w:fill="auto"/>
          </w:tcPr>
          <w:p w14:paraId="0D8DF068" w14:textId="77777777" w:rsidR="004C2197" w:rsidRDefault="004C2197">
            <w:pPr>
              <w:rPr>
                <w:rFonts w:ascii="宋体"/>
              </w:rPr>
            </w:pPr>
          </w:p>
        </w:tc>
        <w:tc>
          <w:tcPr>
            <w:tcW w:w="0" w:type="auto"/>
            <w:shd w:val="clear" w:color="auto" w:fill="auto"/>
          </w:tcPr>
          <w:p w14:paraId="0D8DF069" w14:textId="77777777" w:rsidR="004C2197" w:rsidRDefault="004C2197">
            <w:pPr>
              <w:rPr>
                <w:rFonts w:ascii="宋体"/>
              </w:rPr>
            </w:pPr>
          </w:p>
        </w:tc>
        <w:tc>
          <w:tcPr>
            <w:tcW w:w="0" w:type="auto"/>
            <w:shd w:val="clear" w:color="auto" w:fill="auto"/>
          </w:tcPr>
          <w:p w14:paraId="0D8DF06A" w14:textId="77777777" w:rsidR="004C2197" w:rsidRDefault="004C2197">
            <w:pPr>
              <w:rPr>
                <w:rFonts w:ascii="宋体"/>
              </w:rPr>
            </w:pPr>
          </w:p>
        </w:tc>
        <w:tc>
          <w:tcPr>
            <w:tcW w:w="0" w:type="auto"/>
            <w:shd w:val="clear" w:color="auto" w:fill="auto"/>
          </w:tcPr>
          <w:p w14:paraId="0D8DF06B" w14:textId="77777777" w:rsidR="004C2197" w:rsidRDefault="004C2197">
            <w:pPr>
              <w:rPr>
                <w:rFonts w:ascii="宋体"/>
              </w:rPr>
            </w:pPr>
          </w:p>
        </w:tc>
        <w:tc>
          <w:tcPr>
            <w:tcW w:w="0" w:type="auto"/>
            <w:shd w:val="clear" w:color="auto" w:fill="auto"/>
          </w:tcPr>
          <w:p w14:paraId="0D8DF06C" w14:textId="77777777" w:rsidR="004C2197" w:rsidRDefault="004C2197">
            <w:pPr>
              <w:rPr>
                <w:rFonts w:ascii="宋体"/>
              </w:rPr>
            </w:pPr>
          </w:p>
        </w:tc>
        <w:tc>
          <w:tcPr>
            <w:tcW w:w="0" w:type="auto"/>
            <w:shd w:val="clear" w:color="auto" w:fill="auto"/>
          </w:tcPr>
          <w:p w14:paraId="0D8DF06D" w14:textId="77777777" w:rsidR="004C2197" w:rsidRDefault="004C2197">
            <w:pPr>
              <w:rPr>
                <w:rFonts w:ascii="宋体"/>
              </w:rPr>
            </w:pPr>
          </w:p>
        </w:tc>
        <w:tc>
          <w:tcPr>
            <w:tcW w:w="0" w:type="auto"/>
            <w:shd w:val="clear" w:color="auto" w:fill="auto"/>
          </w:tcPr>
          <w:p w14:paraId="0D8DF06E" w14:textId="77777777" w:rsidR="004C2197" w:rsidRDefault="004C2197">
            <w:pPr>
              <w:rPr>
                <w:rFonts w:ascii="宋体"/>
              </w:rPr>
            </w:pPr>
          </w:p>
        </w:tc>
        <w:tc>
          <w:tcPr>
            <w:tcW w:w="0" w:type="auto"/>
            <w:shd w:val="clear" w:color="auto" w:fill="auto"/>
          </w:tcPr>
          <w:p w14:paraId="0D8DF06F" w14:textId="77777777" w:rsidR="004C2197" w:rsidRDefault="004C2197">
            <w:pPr>
              <w:rPr>
                <w:rFonts w:ascii="宋体"/>
              </w:rPr>
            </w:pPr>
          </w:p>
        </w:tc>
        <w:tc>
          <w:tcPr>
            <w:tcW w:w="0" w:type="auto"/>
            <w:shd w:val="clear" w:color="auto" w:fill="auto"/>
          </w:tcPr>
          <w:p w14:paraId="0D8DF070" w14:textId="77777777" w:rsidR="004C2197" w:rsidRDefault="004C2197">
            <w:pPr>
              <w:rPr>
                <w:rFonts w:ascii="宋体"/>
              </w:rPr>
            </w:pPr>
          </w:p>
        </w:tc>
        <w:tc>
          <w:tcPr>
            <w:tcW w:w="0" w:type="auto"/>
            <w:shd w:val="clear" w:color="auto" w:fill="auto"/>
          </w:tcPr>
          <w:p w14:paraId="0D8DF071" w14:textId="77777777" w:rsidR="004C2197" w:rsidRDefault="004C2197">
            <w:pPr>
              <w:rPr>
                <w:rFonts w:ascii="宋体"/>
              </w:rPr>
            </w:pPr>
          </w:p>
        </w:tc>
        <w:tc>
          <w:tcPr>
            <w:tcW w:w="0" w:type="auto"/>
            <w:shd w:val="clear" w:color="auto" w:fill="auto"/>
          </w:tcPr>
          <w:p w14:paraId="0D8DF072" w14:textId="77777777" w:rsidR="004C2197" w:rsidRDefault="004C2197">
            <w:pPr>
              <w:rPr>
                <w:rFonts w:ascii="宋体"/>
              </w:rPr>
            </w:pPr>
          </w:p>
        </w:tc>
        <w:tc>
          <w:tcPr>
            <w:tcW w:w="0" w:type="auto"/>
            <w:shd w:val="clear" w:color="auto" w:fill="auto"/>
          </w:tcPr>
          <w:p w14:paraId="0D8DF073" w14:textId="77777777" w:rsidR="004C2197" w:rsidRDefault="004C2197">
            <w:pPr>
              <w:rPr>
                <w:rFonts w:ascii="宋体"/>
              </w:rPr>
            </w:pPr>
          </w:p>
        </w:tc>
        <w:tc>
          <w:tcPr>
            <w:tcW w:w="0" w:type="auto"/>
            <w:shd w:val="clear" w:color="auto" w:fill="auto"/>
          </w:tcPr>
          <w:p w14:paraId="0D8DF074" w14:textId="77777777" w:rsidR="004C2197" w:rsidRDefault="004C2197">
            <w:pPr>
              <w:rPr>
                <w:rFonts w:ascii="宋体"/>
              </w:rPr>
            </w:pPr>
          </w:p>
        </w:tc>
        <w:tc>
          <w:tcPr>
            <w:tcW w:w="0" w:type="auto"/>
            <w:shd w:val="clear" w:color="auto" w:fill="auto"/>
          </w:tcPr>
          <w:p w14:paraId="0D8DF075" w14:textId="77777777" w:rsidR="004C2197" w:rsidRDefault="004C2197">
            <w:pPr>
              <w:rPr>
                <w:rFonts w:ascii="宋体"/>
              </w:rPr>
            </w:pPr>
          </w:p>
        </w:tc>
      </w:tr>
      <w:tr w:rsidR="004C2197" w14:paraId="0D8DF095" w14:textId="77777777">
        <w:tc>
          <w:tcPr>
            <w:tcW w:w="0" w:type="auto"/>
            <w:gridSpan w:val="3"/>
            <w:shd w:val="clear" w:color="auto" w:fill="E2EFD9"/>
            <w:tcMar>
              <w:top w:w="40" w:type="dxa"/>
              <w:left w:w="20" w:type="dxa"/>
              <w:bottom w:w="40" w:type="dxa"/>
              <w:right w:w="20" w:type="dxa"/>
            </w:tcMar>
            <w:vAlign w:val="bottom"/>
          </w:tcPr>
          <w:p w14:paraId="0D8DF077" w14:textId="77777777" w:rsidR="004C2197" w:rsidRDefault="00863B83">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0D8DF078" w14:textId="77777777" w:rsidR="004C2197" w:rsidRDefault="00863B83">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bottom w:w="40" w:type="dxa"/>
              <w:right w:w="20" w:type="dxa"/>
            </w:tcMar>
            <w:vAlign w:val="bottom"/>
          </w:tcPr>
          <w:p w14:paraId="0D8DF07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07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07B" w14:textId="77777777" w:rsidR="004C2197" w:rsidRDefault="00863B83">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bottom w:w="40" w:type="dxa"/>
              <w:right w:w="20" w:type="dxa"/>
            </w:tcMar>
            <w:vAlign w:val="bottom"/>
          </w:tcPr>
          <w:p w14:paraId="0D8DF07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07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07E" w14:textId="77777777" w:rsidR="004C2197" w:rsidRDefault="00863B83">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bottom w:w="40" w:type="dxa"/>
              <w:right w:w="20" w:type="dxa"/>
            </w:tcMar>
            <w:vAlign w:val="bottom"/>
          </w:tcPr>
          <w:p w14:paraId="0D8DF07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08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081" w14:textId="77777777" w:rsidR="004C2197" w:rsidRDefault="00863B83">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bottom w:w="40" w:type="dxa"/>
              <w:right w:w="20" w:type="dxa"/>
            </w:tcMar>
            <w:vAlign w:val="bottom"/>
          </w:tcPr>
          <w:p w14:paraId="0D8DF082" w14:textId="77777777" w:rsidR="004C2197" w:rsidRDefault="004C2197">
            <w:pPr>
              <w:jc w:val="right"/>
              <w:rPr>
                <w:rFonts w:ascii="宋体"/>
              </w:rPr>
            </w:pPr>
          </w:p>
        </w:tc>
        <w:tc>
          <w:tcPr>
            <w:tcW w:w="0" w:type="auto"/>
            <w:shd w:val="clear" w:color="auto" w:fill="auto"/>
          </w:tcPr>
          <w:p w14:paraId="0D8DF083" w14:textId="77777777" w:rsidR="004C2197" w:rsidRDefault="004C2197">
            <w:pPr>
              <w:rPr>
                <w:rFonts w:ascii="宋体"/>
              </w:rPr>
            </w:pPr>
          </w:p>
        </w:tc>
        <w:tc>
          <w:tcPr>
            <w:tcW w:w="0" w:type="auto"/>
            <w:shd w:val="clear" w:color="auto" w:fill="auto"/>
          </w:tcPr>
          <w:p w14:paraId="0D8DF084" w14:textId="77777777" w:rsidR="004C2197" w:rsidRDefault="004C2197">
            <w:pPr>
              <w:rPr>
                <w:rFonts w:ascii="宋体"/>
              </w:rPr>
            </w:pPr>
          </w:p>
        </w:tc>
        <w:tc>
          <w:tcPr>
            <w:tcW w:w="0" w:type="auto"/>
            <w:shd w:val="clear" w:color="auto" w:fill="auto"/>
          </w:tcPr>
          <w:p w14:paraId="0D8DF085" w14:textId="77777777" w:rsidR="004C2197" w:rsidRDefault="004C2197">
            <w:pPr>
              <w:rPr>
                <w:rFonts w:ascii="宋体"/>
              </w:rPr>
            </w:pPr>
          </w:p>
        </w:tc>
        <w:tc>
          <w:tcPr>
            <w:tcW w:w="0" w:type="auto"/>
            <w:shd w:val="clear" w:color="auto" w:fill="auto"/>
          </w:tcPr>
          <w:p w14:paraId="0D8DF086" w14:textId="77777777" w:rsidR="004C2197" w:rsidRDefault="004C2197">
            <w:pPr>
              <w:rPr>
                <w:rFonts w:ascii="宋体"/>
              </w:rPr>
            </w:pPr>
          </w:p>
        </w:tc>
        <w:tc>
          <w:tcPr>
            <w:tcW w:w="0" w:type="auto"/>
            <w:shd w:val="clear" w:color="auto" w:fill="auto"/>
          </w:tcPr>
          <w:p w14:paraId="0D8DF087" w14:textId="77777777" w:rsidR="004C2197" w:rsidRDefault="004C2197">
            <w:pPr>
              <w:rPr>
                <w:rFonts w:ascii="宋体"/>
              </w:rPr>
            </w:pPr>
          </w:p>
        </w:tc>
        <w:tc>
          <w:tcPr>
            <w:tcW w:w="0" w:type="auto"/>
            <w:shd w:val="clear" w:color="auto" w:fill="auto"/>
          </w:tcPr>
          <w:p w14:paraId="0D8DF088" w14:textId="77777777" w:rsidR="004C2197" w:rsidRDefault="004C2197">
            <w:pPr>
              <w:rPr>
                <w:rFonts w:ascii="宋体"/>
              </w:rPr>
            </w:pPr>
          </w:p>
        </w:tc>
        <w:tc>
          <w:tcPr>
            <w:tcW w:w="0" w:type="auto"/>
            <w:shd w:val="clear" w:color="auto" w:fill="auto"/>
          </w:tcPr>
          <w:p w14:paraId="0D8DF089" w14:textId="77777777" w:rsidR="004C2197" w:rsidRDefault="004C2197">
            <w:pPr>
              <w:rPr>
                <w:rFonts w:ascii="宋体"/>
              </w:rPr>
            </w:pPr>
          </w:p>
        </w:tc>
        <w:tc>
          <w:tcPr>
            <w:tcW w:w="0" w:type="auto"/>
            <w:shd w:val="clear" w:color="auto" w:fill="auto"/>
          </w:tcPr>
          <w:p w14:paraId="0D8DF08A" w14:textId="77777777" w:rsidR="004C2197" w:rsidRDefault="004C2197">
            <w:pPr>
              <w:rPr>
                <w:rFonts w:ascii="宋体"/>
              </w:rPr>
            </w:pPr>
          </w:p>
        </w:tc>
        <w:tc>
          <w:tcPr>
            <w:tcW w:w="0" w:type="auto"/>
            <w:shd w:val="clear" w:color="auto" w:fill="auto"/>
          </w:tcPr>
          <w:p w14:paraId="0D8DF08B" w14:textId="77777777" w:rsidR="004C2197" w:rsidRDefault="004C2197">
            <w:pPr>
              <w:rPr>
                <w:rFonts w:ascii="宋体"/>
              </w:rPr>
            </w:pPr>
          </w:p>
        </w:tc>
        <w:tc>
          <w:tcPr>
            <w:tcW w:w="0" w:type="auto"/>
            <w:shd w:val="clear" w:color="auto" w:fill="auto"/>
          </w:tcPr>
          <w:p w14:paraId="0D8DF08C" w14:textId="77777777" w:rsidR="004C2197" w:rsidRDefault="004C2197">
            <w:pPr>
              <w:rPr>
                <w:rFonts w:ascii="宋体"/>
              </w:rPr>
            </w:pPr>
          </w:p>
        </w:tc>
        <w:tc>
          <w:tcPr>
            <w:tcW w:w="0" w:type="auto"/>
            <w:shd w:val="clear" w:color="auto" w:fill="auto"/>
          </w:tcPr>
          <w:p w14:paraId="0D8DF08D" w14:textId="77777777" w:rsidR="004C2197" w:rsidRDefault="004C2197">
            <w:pPr>
              <w:rPr>
                <w:rFonts w:ascii="宋体"/>
              </w:rPr>
            </w:pPr>
          </w:p>
        </w:tc>
        <w:tc>
          <w:tcPr>
            <w:tcW w:w="0" w:type="auto"/>
            <w:shd w:val="clear" w:color="auto" w:fill="auto"/>
          </w:tcPr>
          <w:p w14:paraId="0D8DF08E" w14:textId="77777777" w:rsidR="004C2197" w:rsidRDefault="004C2197">
            <w:pPr>
              <w:rPr>
                <w:rFonts w:ascii="宋体"/>
              </w:rPr>
            </w:pPr>
          </w:p>
        </w:tc>
        <w:tc>
          <w:tcPr>
            <w:tcW w:w="0" w:type="auto"/>
            <w:shd w:val="clear" w:color="auto" w:fill="auto"/>
          </w:tcPr>
          <w:p w14:paraId="0D8DF08F" w14:textId="77777777" w:rsidR="004C2197" w:rsidRDefault="004C2197">
            <w:pPr>
              <w:rPr>
                <w:rFonts w:ascii="宋体"/>
              </w:rPr>
            </w:pPr>
          </w:p>
        </w:tc>
        <w:tc>
          <w:tcPr>
            <w:tcW w:w="0" w:type="auto"/>
            <w:shd w:val="clear" w:color="auto" w:fill="auto"/>
          </w:tcPr>
          <w:p w14:paraId="0D8DF090" w14:textId="77777777" w:rsidR="004C2197" w:rsidRDefault="004C2197">
            <w:pPr>
              <w:rPr>
                <w:rFonts w:ascii="宋体"/>
              </w:rPr>
            </w:pPr>
          </w:p>
        </w:tc>
        <w:tc>
          <w:tcPr>
            <w:tcW w:w="0" w:type="auto"/>
            <w:shd w:val="clear" w:color="auto" w:fill="auto"/>
          </w:tcPr>
          <w:p w14:paraId="0D8DF091" w14:textId="77777777" w:rsidR="004C2197" w:rsidRDefault="004C2197">
            <w:pPr>
              <w:rPr>
                <w:rFonts w:ascii="宋体"/>
              </w:rPr>
            </w:pPr>
          </w:p>
        </w:tc>
        <w:tc>
          <w:tcPr>
            <w:tcW w:w="0" w:type="auto"/>
            <w:shd w:val="clear" w:color="auto" w:fill="auto"/>
          </w:tcPr>
          <w:p w14:paraId="0D8DF092" w14:textId="77777777" w:rsidR="004C2197" w:rsidRDefault="004C2197">
            <w:pPr>
              <w:rPr>
                <w:rFonts w:ascii="宋体"/>
              </w:rPr>
            </w:pPr>
          </w:p>
        </w:tc>
        <w:tc>
          <w:tcPr>
            <w:tcW w:w="0" w:type="auto"/>
            <w:shd w:val="clear" w:color="auto" w:fill="auto"/>
          </w:tcPr>
          <w:p w14:paraId="0D8DF093" w14:textId="77777777" w:rsidR="004C2197" w:rsidRDefault="004C2197">
            <w:pPr>
              <w:rPr>
                <w:rFonts w:ascii="宋体"/>
              </w:rPr>
            </w:pPr>
          </w:p>
        </w:tc>
        <w:tc>
          <w:tcPr>
            <w:tcW w:w="0" w:type="auto"/>
            <w:shd w:val="clear" w:color="auto" w:fill="auto"/>
          </w:tcPr>
          <w:p w14:paraId="0D8DF094" w14:textId="77777777" w:rsidR="004C2197" w:rsidRDefault="004C2197">
            <w:pPr>
              <w:rPr>
                <w:rFonts w:ascii="宋体"/>
              </w:rPr>
            </w:pPr>
          </w:p>
        </w:tc>
      </w:tr>
      <w:tr w:rsidR="004C2197" w14:paraId="0D8DF0B0" w14:textId="77777777">
        <w:trPr>
          <w:hidden/>
        </w:trPr>
        <w:tc>
          <w:tcPr>
            <w:tcW w:w="0" w:type="auto"/>
            <w:gridSpan w:val="3"/>
            <w:shd w:val="clear" w:color="auto" w:fill="auto"/>
          </w:tcPr>
          <w:p w14:paraId="0D8DF096" w14:textId="77777777" w:rsidR="004C2197" w:rsidRDefault="004C2197">
            <w:pPr>
              <w:rPr>
                <w:rFonts w:ascii="宋体"/>
                <w:vanish/>
              </w:rPr>
            </w:pPr>
          </w:p>
        </w:tc>
        <w:tc>
          <w:tcPr>
            <w:tcW w:w="0" w:type="auto"/>
            <w:gridSpan w:val="3"/>
            <w:shd w:val="clear" w:color="auto" w:fill="auto"/>
          </w:tcPr>
          <w:p w14:paraId="0D8DF097" w14:textId="77777777" w:rsidR="004C2197" w:rsidRDefault="004C2197">
            <w:pPr>
              <w:rPr>
                <w:rFonts w:ascii="宋体"/>
                <w:vanish/>
              </w:rPr>
            </w:pPr>
          </w:p>
        </w:tc>
        <w:tc>
          <w:tcPr>
            <w:tcW w:w="0" w:type="auto"/>
            <w:gridSpan w:val="3"/>
            <w:shd w:val="clear" w:color="auto" w:fill="auto"/>
          </w:tcPr>
          <w:p w14:paraId="0D8DF098" w14:textId="77777777" w:rsidR="004C2197" w:rsidRDefault="004C2197">
            <w:pPr>
              <w:rPr>
                <w:rFonts w:ascii="宋体"/>
                <w:vanish/>
              </w:rPr>
            </w:pPr>
          </w:p>
        </w:tc>
        <w:tc>
          <w:tcPr>
            <w:tcW w:w="0" w:type="auto"/>
            <w:gridSpan w:val="3"/>
            <w:shd w:val="clear" w:color="auto" w:fill="auto"/>
          </w:tcPr>
          <w:p w14:paraId="0D8DF099" w14:textId="77777777" w:rsidR="004C2197" w:rsidRDefault="004C2197">
            <w:pPr>
              <w:rPr>
                <w:rFonts w:ascii="宋体"/>
                <w:vanish/>
              </w:rPr>
            </w:pPr>
          </w:p>
        </w:tc>
        <w:tc>
          <w:tcPr>
            <w:tcW w:w="0" w:type="auto"/>
            <w:gridSpan w:val="3"/>
            <w:shd w:val="clear" w:color="auto" w:fill="auto"/>
          </w:tcPr>
          <w:p w14:paraId="0D8DF09A" w14:textId="77777777" w:rsidR="004C2197" w:rsidRDefault="004C2197">
            <w:pPr>
              <w:rPr>
                <w:rFonts w:ascii="宋体"/>
                <w:vanish/>
              </w:rPr>
            </w:pPr>
          </w:p>
        </w:tc>
        <w:tc>
          <w:tcPr>
            <w:tcW w:w="0" w:type="auto"/>
            <w:gridSpan w:val="3"/>
            <w:shd w:val="clear" w:color="auto" w:fill="auto"/>
          </w:tcPr>
          <w:p w14:paraId="0D8DF09B" w14:textId="77777777" w:rsidR="004C2197" w:rsidRDefault="004C2197">
            <w:pPr>
              <w:rPr>
                <w:rFonts w:ascii="宋体"/>
                <w:vanish/>
              </w:rPr>
            </w:pPr>
          </w:p>
        </w:tc>
        <w:tc>
          <w:tcPr>
            <w:tcW w:w="0" w:type="auto"/>
            <w:gridSpan w:val="3"/>
            <w:shd w:val="clear" w:color="auto" w:fill="auto"/>
          </w:tcPr>
          <w:p w14:paraId="0D8DF09C" w14:textId="77777777" w:rsidR="004C2197" w:rsidRDefault="004C2197">
            <w:pPr>
              <w:rPr>
                <w:rFonts w:ascii="宋体"/>
                <w:vanish/>
              </w:rPr>
            </w:pPr>
          </w:p>
        </w:tc>
        <w:tc>
          <w:tcPr>
            <w:tcW w:w="0" w:type="auto"/>
            <w:gridSpan w:val="3"/>
            <w:shd w:val="clear" w:color="auto" w:fill="auto"/>
          </w:tcPr>
          <w:p w14:paraId="0D8DF09D" w14:textId="77777777" w:rsidR="004C2197" w:rsidRDefault="004C2197">
            <w:pPr>
              <w:rPr>
                <w:rFonts w:ascii="宋体"/>
                <w:vanish/>
              </w:rPr>
            </w:pPr>
          </w:p>
        </w:tc>
        <w:tc>
          <w:tcPr>
            <w:tcW w:w="0" w:type="auto"/>
            <w:shd w:val="clear" w:color="auto" w:fill="auto"/>
          </w:tcPr>
          <w:p w14:paraId="0D8DF09E" w14:textId="77777777" w:rsidR="004C2197" w:rsidRDefault="004C2197">
            <w:pPr>
              <w:rPr>
                <w:rFonts w:ascii="宋体"/>
              </w:rPr>
            </w:pPr>
          </w:p>
        </w:tc>
        <w:tc>
          <w:tcPr>
            <w:tcW w:w="0" w:type="auto"/>
            <w:shd w:val="clear" w:color="auto" w:fill="auto"/>
          </w:tcPr>
          <w:p w14:paraId="0D8DF09F" w14:textId="77777777" w:rsidR="004C2197" w:rsidRDefault="004C2197">
            <w:pPr>
              <w:rPr>
                <w:rFonts w:ascii="宋体"/>
              </w:rPr>
            </w:pPr>
          </w:p>
        </w:tc>
        <w:tc>
          <w:tcPr>
            <w:tcW w:w="0" w:type="auto"/>
            <w:shd w:val="clear" w:color="auto" w:fill="auto"/>
          </w:tcPr>
          <w:p w14:paraId="0D8DF0A0" w14:textId="77777777" w:rsidR="004C2197" w:rsidRDefault="004C2197">
            <w:pPr>
              <w:rPr>
                <w:rFonts w:ascii="宋体"/>
              </w:rPr>
            </w:pPr>
          </w:p>
        </w:tc>
        <w:tc>
          <w:tcPr>
            <w:tcW w:w="0" w:type="auto"/>
            <w:shd w:val="clear" w:color="auto" w:fill="auto"/>
          </w:tcPr>
          <w:p w14:paraId="0D8DF0A1" w14:textId="77777777" w:rsidR="004C2197" w:rsidRDefault="004C2197">
            <w:pPr>
              <w:rPr>
                <w:rFonts w:ascii="宋体"/>
              </w:rPr>
            </w:pPr>
          </w:p>
        </w:tc>
        <w:tc>
          <w:tcPr>
            <w:tcW w:w="0" w:type="auto"/>
            <w:shd w:val="clear" w:color="auto" w:fill="auto"/>
          </w:tcPr>
          <w:p w14:paraId="0D8DF0A2" w14:textId="77777777" w:rsidR="004C2197" w:rsidRDefault="004C2197">
            <w:pPr>
              <w:rPr>
                <w:rFonts w:ascii="宋体"/>
              </w:rPr>
            </w:pPr>
          </w:p>
        </w:tc>
        <w:tc>
          <w:tcPr>
            <w:tcW w:w="0" w:type="auto"/>
            <w:shd w:val="clear" w:color="auto" w:fill="auto"/>
          </w:tcPr>
          <w:p w14:paraId="0D8DF0A3" w14:textId="77777777" w:rsidR="004C2197" w:rsidRDefault="004C2197">
            <w:pPr>
              <w:rPr>
                <w:rFonts w:ascii="宋体"/>
              </w:rPr>
            </w:pPr>
          </w:p>
        </w:tc>
        <w:tc>
          <w:tcPr>
            <w:tcW w:w="0" w:type="auto"/>
            <w:shd w:val="clear" w:color="auto" w:fill="auto"/>
          </w:tcPr>
          <w:p w14:paraId="0D8DF0A4" w14:textId="77777777" w:rsidR="004C2197" w:rsidRDefault="004C2197">
            <w:pPr>
              <w:rPr>
                <w:rFonts w:ascii="宋体"/>
              </w:rPr>
            </w:pPr>
          </w:p>
        </w:tc>
        <w:tc>
          <w:tcPr>
            <w:tcW w:w="0" w:type="auto"/>
            <w:shd w:val="clear" w:color="auto" w:fill="auto"/>
          </w:tcPr>
          <w:p w14:paraId="0D8DF0A5" w14:textId="77777777" w:rsidR="004C2197" w:rsidRDefault="004C2197">
            <w:pPr>
              <w:rPr>
                <w:rFonts w:ascii="宋体"/>
              </w:rPr>
            </w:pPr>
          </w:p>
        </w:tc>
        <w:tc>
          <w:tcPr>
            <w:tcW w:w="0" w:type="auto"/>
            <w:shd w:val="clear" w:color="auto" w:fill="auto"/>
          </w:tcPr>
          <w:p w14:paraId="0D8DF0A6" w14:textId="77777777" w:rsidR="004C2197" w:rsidRDefault="004C2197">
            <w:pPr>
              <w:rPr>
                <w:rFonts w:ascii="宋体"/>
              </w:rPr>
            </w:pPr>
          </w:p>
        </w:tc>
        <w:tc>
          <w:tcPr>
            <w:tcW w:w="0" w:type="auto"/>
            <w:shd w:val="clear" w:color="auto" w:fill="auto"/>
          </w:tcPr>
          <w:p w14:paraId="0D8DF0A7" w14:textId="77777777" w:rsidR="004C2197" w:rsidRDefault="004C2197">
            <w:pPr>
              <w:rPr>
                <w:rFonts w:ascii="宋体"/>
              </w:rPr>
            </w:pPr>
          </w:p>
        </w:tc>
        <w:tc>
          <w:tcPr>
            <w:tcW w:w="0" w:type="auto"/>
            <w:shd w:val="clear" w:color="auto" w:fill="auto"/>
          </w:tcPr>
          <w:p w14:paraId="0D8DF0A8" w14:textId="77777777" w:rsidR="004C2197" w:rsidRDefault="004C2197">
            <w:pPr>
              <w:rPr>
                <w:rFonts w:ascii="宋体"/>
              </w:rPr>
            </w:pPr>
          </w:p>
        </w:tc>
        <w:tc>
          <w:tcPr>
            <w:tcW w:w="0" w:type="auto"/>
            <w:shd w:val="clear" w:color="auto" w:fill="auto"/>
          </w:tcPr>
          <w:p w14:paraId="0D8DF0A9" w14:textId="77777777" w:rsidR="004C2197" w:rsidRDefault="004C2197">
            <w:pPr>
              <w:rPr>
                <w:rFonts w:ascii="宋体"/>
              </w:rPr>
            </w:pPr>
          </w:p>
        </w:tc>
        <w:tc>
          <w:tcPr>
            <w:tcW w:w="0" w:type="auto"/>
            <w:shd w:val="clear" w:color="auto" w:fill="auto"/>
          </w:tcPr>
          <w:p w14:paraId="0D8DF0AA" w14:textId="77777777" w:rsidR="004C2197" w:rsidRDefault="004C2197">
            <w:pPr>
              <w:rPr>
                <w:rFonts w:ascii="宋体"/>
              </w:rPr>
            </w:pPr>
          </w:p>
        </w:tc>
        <w:tc>
          <w:tcPr>
            <w:tcW w:w="0" w:type="auto"/>
            <w:shd w:val="clear" w:color="auto" w:fill="auto"/>
          </w:tcPr>
          <w:p w14:paraId="0D8DF0AB" w14:textId="77777777" w:rsidR="004C2197" w:rsidRDefault="004C2197">
            <w:pPr>
              <w:rPr>
                <w:rFonts w:ascii="宋体"/>
              </w:rPr>
            </w:pPr>
          </w:p>
        </w:tc>
        <w:tc>
          <w:tcPr>
            <w:tcW w:w="0" w:type="auto"/>
            <w:shd w:val="clear" w:color="auto" w:fill="auto"/>
          </w:tcPr>
          <w:p w14:paraId="0D8DF0AC" w14:textId="77777777" w:rsidR="004C2197" w:rsidRDefault="004C2197">
            <w:pPr>
              <w:rPr>
                <w:rFonts w:ascii="宋体"/>
              </w:rPr>
            </w:pPr>
          </w:p>
        </w:tc>
        <w:tc>
          <w:tcPr>
            <w:tcW w:w="0" w:type="auto"/>
            <w:shd w:val="clear" w:color="auto" w:fill="auto"/>
          </w:tcPr>
          <w:p w14:paraId="0D8DF0AD" w14:textId="77777777" w:rsidR="004C2197" w:rsidRDefault="004C2197">
            <w:pPr>
              <w:rPr>
                <w:rFonts w:ascii="宋体"/>
              </w:rPr>
            </w:pPr>
          </w:p>
        </w:tc>
        <w:tc>
          <w:tcPr>
            <w:tcW w:w="0" w:type="auto"/>
            <w:shd w:val="clear" w:color="auto" w:fill="auto"/>
          </w:tcPr>
          <w:p w14:paraId="0D8DF0AE" w14:textId="77777777" w:rsidR="004C2197" w:rsidRDefault="004C2197">
            <w:pPr>
              <w:rPr>
                <w:rFonts w:ascii="宋体"/>
              </w:rPr>
            </w:pPr>
          </w:p>
        </w:tc>
        <w:tc>
          <w:tcPr>
            <w:tcW w:w="0" w:type="auto"/>
            <w:shd w:val="clear" w:color="auto" w:fill="auto"/>
          </w:tcPr>
          <w:p w14:paraId="0D8DF0AF" w14:textId="77777777" w:rsidR="004C2197" w:rsidRDefault="004C2197">
            <w:pPr>
              <w:rPr>
                <w:rFonts w:ascii="宋体"/>
              </w:rPr>
            </w:pPr>
          </w:p>
        </w:tc>
      </w:tr>
      <w:tr w:rsidR="004C2197" w14:paraId="0D8DF0CB" w14:textId="77777777">
        <w:trPr>
          <w:hidden/>
        </w:trPr>
        <w:tc>
          <w:tcPr>
            <w:tcW w:w="0" w:type="auto"/>
            <w:gridSpan w:val="3"/>
            <w:shd w:val="clear" w:color="auto" w:fill="auto"/>
          </w:tcPr>
          <w:p w14:paraId="0D8DF0B1" w14:textId="77777777" w:rsidR="004C2197" w:rsidRDefault="004C2197">
            <w:pPr>
              <w:rPr>
                <w:rFonts w:ascii="宋体"/>
                <w:vanish/>
              </w:rPr>
            </w:pPr>
          </w:p>
        </w:tc>
        <w:tc>
          <w:tcPr>
            <w:tcW w:w="0" w:type="auto"/>
            <w:gridSpan w:val="3"/>
            <w:shd w:val="clear" w:color="auto" w:fill="auto"/>
          </w:tcPr>
          <w:p w14:paraId="0D8DF0B2" w14:textId="77777777" w:rsidR="004C2197" w:rsidRDefault="004C2197">
            <w:pPr>
              <w:rPr>
                <w:rFonts w:ascii="宋体"/>
                <w:vanish/>
              </w:rPr>
            </w:pPr>
          </w:p>
        </w:tc>
        <w:tc>
          <w:tcPr>
            <w:tcW w:w="0" w:type="auto"/>
            <w:gridSpan w:val="3"/>
            <w:shd w:val="clear" w:color="auto" w:fill="auto"/>
          </w:tcPr>
          <w:p w14:paraId="0D8DF0B3" w14:textId="77777777" w:rsidR="004C2197" w:rsidRDefault="004C2197">
            <w:pPr>
              <w:rPr>
                <w:rFonts w:ascii="宋体"/>
                <w:vanish/>
              </w:rPr>
            </w:pPr>
          </w:p>
        </w:tc>
        <w:tc>
          <w:tcPr>
            <w:tcW w:w="0" w:type="auto"/>
            <w:gridSpan w:val="3"/>
            <w:shd w:val="clear" w:color="auto" w:fill="auto"/>
          </w:tcPr>
          <w:p w14:paraId="0D8DF0B4" w14:textId="77777777" w:rsidR="004C2197" w:rsidRDefault="004C2197">
            <w:pPr>
              <w:rPr>
                <w:rFonts w:ascii="宋体"/>
                <w:vanish/>
              </w:rPr>
            </w:pPr>
          </w:p>
        </w:tc>
        <w:tc>
          <w:tcPr>
            <w:tcW w:w="0" w:type="auto"/>
            <w:gridSpan w:val="3"/>
            <w:shd w:val="clear" w:color="auto" w:fill="auto"/>
          </w:tcPr>
          <w:p w14:paraId="0D8DF0B5" w14:textId="77777777" w:rsidR="004C2197" w:rsidRDefault="004C2197">
            <w:pPr>
              <w:rPr>
                <w:rFonts w:ascii="宋体"/>
                <w:vanish/>
              </w:rPr>
            </w:pPr>
          </w:p>
        </w:tc>
        <w:tc>
          <w:tcPr>
            <w:tcW w:w="0" w:type="auto"/>
            <w:gridSpan w:val="3"/>
            <w:shd w:val="clear" w:color="auto" w:fill="auto"/>
          </w:tcPr>
          <w:p w14:paraId="0D8DF0B6" w14:textId="77777777" w:rsidR="004C2197" w:rsidRDefault="004C2197">
            <w:pPr>
              <w:rPr>
                <w:rFonts w:ascii="宋体"/>
                <w:vanish/>
              </w:rPr>
            </w:pPr>
          </w:p>
        </w:tc>
        <w:tc>
          <w:tcPr>
            <w:tcW w:w="0" w:type="auto"/>
            <w:gridSpan w:val="3"/>
            <w:shd w:val="clear" w:color="auto" w:fill="auto"/>
          </w:tcPr>
          <w:p w14:paraId="0D8DF0B7" w14:textId="77777777" w:rsidR="004C2197" w:rsidRDefault="004C2197">
            <w:pPr>
              <w:rPr>
                <w:rFonts w:ascii="宋体"/>
                <w:vanish/>
              </w:rPr>
            </w:pPr>
          </w:p>
        </w:tc>
        <w:tc>
          <w:tcPr>
            <w:tcW w:w="0" w:type="auto"/>
            <w:gridSpan w:val="3"/>
            <w:shd w:val="clear" w:color="auto" w:fill="auto"/>
          </w:tcPr>
          <w:p w14:paraId="0D8DF0B8" w14:textId="77777777" w:rsidR="004C2197" w:rsidRDefault="004C2197">
            <w:pPr>
              <w:rPr>
                <w:rFonts w:ascii="宋体"/>
                <w:vanish/>
              </w:rPr>
            </w:pPr>
          </w:p>
        </w:tc>
        <w:tc>
          <w:tcPr>
            <w:tcW w:w="0" w:type="auto"/>
            <w:shd w:val="clear" w:color="auto" w:fill="auto"/>
          </w:tcPr>
          <w:p w14:paraId="0D8DF0B9" w14:textId="77777777" w:rsidR="004C2197" w:rsidRDefault="004C2197">
            <w:pPr>
              <w:rPr>
                <w:rFonts w:ascii="宋体"/>
              </w:rPr>
            </w:pPr>
          </w:p>
        </w:tc>
        <w:tc>
          <w:tcPr>
            <w:tcW w:w="0" w:type="auto"/>
            <w:shd w:val="clear" w:color="auto" w:fill="auto"/>
          </w:tcPr>
          <w:p w14:paraId="0D8DF0BA" w14:textId="77777777" w:rsidR="004C2197" w:rsidRDefault="004C2197">
            <w:pPr>
              <w:rPr>
                <w:rFonts w:ascii="宋体"/>
              </w:rPr>
            </w:pPr>
          </w:p>
        </w:tc>
        <w:tc>
          <w:tcPr>
            <w:tcW w:w="0" w:type="auto"/>
            <w:shd w:val="clear" w:color="auto" w:fill="auto"/>
          </w:tcPr>
          <w:p w14:paraId="0D8DF0BB" w14:textId="77777777" w:rsidR="004C2197" w:rsidRDefault="004C2197">
            <w:pPr>
              <w:rPr>
                <w:rFonts w:ascii="宋体"/>
              </w:rPr>
            </w:pPr>
          </w:p>
        </w:tc>
        <w:tc>
          <w:tcPr>
            <w:tcW w:w="0" w:type="auto"/>
            <w:shd w:val="clear" w:color="auto" w:fill="auto"/>
          </w:tcPr>
          <w:p w14:paraId="0D8DF0BC" w14:textId="77777777" w:rsidR="004C2197" w:rsidRDefault="004C2197">
            <w:pPr>
              <w:rPr>
                <w:rFonts w:ascii="宋体"/>
              </w:rPr>
            </w:pPr>
          </w:p>
        </w:tc>
        <w:tc>
          <w:tcPr>
            <w:tcW w:w="0" w:type="auto"/>
            <w:shd w:val="clear" w:color="auto" w:fill="auto"/>
          </w:tcPr>
          <w:p w14:paraId="0D8DF0BD" w14:textId="77777777" w:rsidR="004C2197" w:rsidRDefault="004C2197">
            <w:pPr>
              <w:rPr>
                <w:rFonts w:ascii="宋体"/>
              </w:rPr>
            </w:pPr>
          </w:p>
        </w:tc>
        <w:tc>
          <w:tcPr>
            <w:tcW w:w="0" w:type="auto"/>
            <w:shd w:val="clear" w:color="auto" w:fill="auto"/>
          </w:tcPr>
          <w:p w14:paraId="0D8DF0BE" w14:textId="77777777" w:rsidR="004C2197" w:rsidRDefault="004C2197">
            <w:pPr>
              <w:rPr>
                <w:rFonts w:ascii="宋体"/>
              </w:rPr>
            </w:pPr>
          </w:p>
        </w:tc>
        <w:tc>
          <w:tcPr>
            <w:tcW w:w="0" w:type="auto"/>
            <w:shd w:val="clear" w:color="auto" w:fill="auto"/>
          </w:tcPr>
          <w:p w14:paraId="0D8DF0BF" w14:textId="77777777" w:rsidR="004C2197" w:rsidRDefault="004C2197">
            <w:pPr>
              <w:rPr>
                <w:rFonts w:ascii="宋体"/>
              </w:rPr>
            </w:pPr>
          </w:p>
        </w:tc>
        <w:tc>
          <w:tcPr>
            <w:tcW w:w="0" w:type="auto"/>
            <w:shd w:val="clear" w:color="auto" w:fill="auto"/>
          </w:tcPr>
          <w:p w14:paraId="0D8DF0C0" w14:textId="77777777" w:rsidR="004C2197" w:rsidRDefault="004C2197">
            <w:pPr>
              <w:rPr>
                <w:rFonts w:ascii="宋体"/>
              </w:rPr>
            </w:pPr>
          </w:p>
        </w:tc>
        <w:tc>
          <w:tcPr>
            <w:tcW w:w="0" w:type="auto"/>
            <w:shd w:val="clear" w:color="auto" w:fill="auto"/>
          </w:tcPr>
          <w:p w14:paraId="0D8DF0C1" w14:textId="77777777" w:rsidR="004C2197" w:rsidRDefault="004C2197">
            <w:pPr>
              <w:rPr>
                <w:rFonts w:ascii="宋体"/>
              </w:rPr>
            </w:pPr>
          </w:p>
        </w:tc>
        <w:tc>
          <w:tcPr>
            <w:tcW w:w="0" w:type="auto"/>
            <w:shd w:val="clear" w:color="auto" w:fill="auto"/>
          </w:tcPr>
          <w:p w14:paraId="0D8DF0C2" w14:textId="77777777" w:rsidR="004C2197" w:rsidRDefault="004C2197">
            <w:pPr>
              <w:rPr>
                <w:rFonts w:ascii="宋体"/>
              </w:rPr>
            </w:pPr>
          </w:p>
        </w:tc>
        <w:tc>
          <w:tcPr>
            <w:tcW w:w="0" w:type="auto"/>
            <w:shd w:val="clear" w:color="auto" w:fill="auto"/>
          </w:tcPr>
          <w:p w14:paraId="0D8DF0C3" w14:textId="77777777" w:rsidR="004C2197" w:rsidRDefault="004C2197">
            <w:pPr>
              <w:rPr>
                <w:rFonts w:ascii="宋体"/>
              </w:rPr>
            </w:pPr>
          </w:p>
        </w:tc>
        <w:tc>
          <w:tcPr>
            <w:tcW w:w="0" w:type="auto"/>
            <w:shd w:val="clear" w:color="auto" w:fill="auto"/>
          </w:tcPr>
          <w:p w14:paraId="0D8DF0C4" w14:textId="77777777" w:rsidR="004C2197" w:rsidRDefault="004C2197">
            <w:pPr>
              <w:rPr>
                <w:rFonts w:ascii="宋体"/>
              </w:rPr>
            </w:pPr>
          </w:p>
        </w:tc>
        <w:tc>
          <w:tcPr>
            <w:tcW w:w="0" w:type="auto"/>
            <w:shd w:val="clear" w:color="auto" w:fill="auto"/>
          </w:tcPr>
          <w:p w14:paraId="0D8DF0C5" w14:textId="77777777" w:rsidR="004C2197" w:rsidRDefault="004C2197">
            <w:pPr>
              <w:rPr>
                <w:rFonts w:ascii="宋体"/>
              </w:rPr>
            </w:pPr>
          </w:p>
        </w:tc>
        <w:tc>
          <w:tcPr>
            <w:tcW w:w="0" w:type="auto"/>
            <w:shd w:val="clear" w:color="auto" w:fill="auto"/>
          </w:tcPr>
          <w:p w14:paraId="0D8DF0C6" w14:textId="77777777" w:rsidR="004C2197" w:rsidRDefault="004C2197">
            <w:pPr>
              <w:rPr>
                <w:rFonts w:ascii="宋体"/>
              </w:rPr>
            </w:pPr>
          </w:p>
        </w:tc>
        <w:tc>
          <w:tcPr>
            <w:tcW w:w="0" w:type="auto"/>
            <w:shd w:val="clear" w:color="auto" w:fill="auto"/>
          </w:tcPr>
          <w:p w14:paraId="0D8DF0C7" w14:textId="77777777" w:rsidR="004C2197" w:rsidRDefault="004C2197">
            <w:pPr>
              <w:rPr>
                <w:rFonts w:ascii="宋体"/>
              </w:rPr>
            </w:pPr>
          </w:p>
        </w:tc>
        <w:tc>
          <w:tcPr>
            <w:tcW w:w="0" w:type="auto"/>
            <w:shd w:val="clear" w:color="auto" w:fill="auto"/>
          </w:tcPr>
          <w:p w14:paraId="0D8DF0C8" w14:textId="77777777" w:rsidR="004C2197" w:rsidRDefault="004C2197">
            <w:pPr>
              <w:rPr>
                <w:rFonts w:ascii="宋体"/>
              </w:rPr>
            </w:pPr>
          </w:p>
        </w:tc>
        <w:tc>
          <w:tcPr>
            <w:tcW w:w="0" w:type="auto"/>
            <w:shd w:val="clear" w:color="auto" w:fill="auto"/>
          </w:tcPr>
          <w:p w14:paraId="0D8DF0C9" w14:textId="77777777" w:rsidR="004C2197" w:rsidRDefault="004C2197">
            <w:pPr>
              <w:rPr>
                <w:rFonts w:ascii="宋体"/>
              </w:rPr>
            </w:pPr>
          </w:p>
        </w:tc>
        <w:tc>
          <w:tcPr>
            <w:tcW w:w="0" w:type="auto"/>
            <w:shd w:val="clear" w:color="auto" w:fill="auto"/>
          </w:tcPr>
          <w:p w14:paraId="0D8DF0CA" w14:textId="77777777" w:rsidR="004C2197" w:rsidRDefault="004C2197">
            <w:pPr>
              <w:rPr>
                <w:rFonts w:ascii="宋体"/>
              </w:rPr>
            </w:pPr>
          </w:p>
        </w:tc>
      </w:tr>
      <w:tr w:rsidR="004C2197" w14:paraId="0D8DF0EA" w14:textId="77777777">
        <w:tc>
          <w:tcPr>
            <w:tcW w:w="0" w:type="auto"/>
            <w:gridSpan w:val="3"/>
            <w:shd w:val="clear" w:color="auto" w:fill="FFFFFF"/>
            <w:tcMar>
              <w:top w:w="40" w:type="dxa"/>
              <w:left w:w="20" w:type="dxa"/>
              <w:bottom w:w="40" w:type="dxa"/>
              <w:right w:w="20" w:type="dxa"/>
            </w:tcMar>
            <w:vAlign w:val="bottom"/>
          </w:tcPr>
          <w:p w14:paraId="0D8DF0CC" w14:textId="77777777" w:rsidR="004C2197" w:rsidRDefault="00863B83">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F0CD" w14:textId="77777777" w:rsidR="004C2197" w:rsidRDefault="00863B83">
            <w:pPr>
              <w:jc w:val="right"/>
              <w:textAlignment w:val="bottom"/>
            </w:pPr>
            <w:r>
              <w:rPr>
                <w:rFonts w:ascii="sans-serif" w:eastAsia="sans-serif" w:hAnsi="sans-serif" w:cs="sans-serif"/>
                <w:color w:val="000000"/>
                <w:sz w:val="20"/>
                <w:szCs w:val="20"/>
              </w:rPr>
              <w:t>626 </w:t>
            </w:r>
          </w:p>
        </w:tc>
        <w:tc>
          <w:tcPr>
            <w:tcW w:w="0" w:type="auto"/>
            <w:tcBorders>
              <w:top w:val="single" w:sz="8" w:space="0" w:color="000000"/>
            </w:tcBorders>
            <w:shd w:val="clear" w:color="auto" w:fill="FFFFFF"/>
            <w:tcMar>
              <w:top w:w="40" w:type="dxa"/>
              <w:bottom w:w="40" w:type="dxa"/>
              <w:right w:w="20" w:type="dxa"/>
            </w:tcMar>
            <w:vAlign w:val="bottom"/>
          </w:tcPr>
          <w:p w14:paraId="0D8DF0C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CF"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F0D0"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tcBorders>
            <w:shd w:val="clear" w:color="auto" w:fill="FFFFFF"/>
            <w:tcMar>
              <w:top w:w="40" w:type="dxa"/>
              <w:bottom w:w="40" w:type="dxa"/>
              <w:right w:w="20" w:type="dxa"/>
            </w:tcMar>
            <w:vAlign w:val="bottom"/>
          </w:tcPr>
          <w:p w14:paraId="0D8DF0D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D2"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F0D3" w14:textId="77777777" w:rsidR="004C2197" w:rsidRDefault="00863B83">
            <w:pPr>
              <w:jc w:val="right"/>
              <w:textAlignment w:val="bottom"/>
            </w:pPr>
            <w:r>
              <w:rPr>
                <w:rFonts w:ascii="sans-serif" w:eastAsia="sans-serif" w:hAnsi="sans-serif" w:cs="sans-serif"/>
                <w:color w:val="000000"/>
                <w:sz w:val="20"/>
                <w:szCs w:val="20"/>
              </w:rPr>
              <w:t>624 </w:t>
            </w:r>
          </w:p>
        </w:tc>
        <w:tc>
          <w:tcPr>
            <w:tcW w:w="0" w:type="auto"/>
            <w:tcBorders>
              <w:top w:val="single" w:sz="8" w:space="0" w:color="000000"/>
            </w:tcBorders>
            <w:shd w:val="clear" w:color="auto" w:fill="FFFFFF"/>
            <w:tcMar>
              <w:top w:w="40" w:type="dxa"/>
              <w:bottom w:w="40" w:type="dxa"/>
              <w:right w:w="20" w:type="dxa"/>
            </w:tcMar>
            <w:vAlign w:val="bottom"/>
          </w:tcPr>
          <w:p w14:paraId="0D8DF0D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0D5"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DF0D6"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tcBorders>
            <w:shd w:val="clear" w:color="auto" w:fill="FFFFFF"/>
            <w:tcMar>
              <w:top w:w="40" w:type="dxa"/>
              <w:bottom w:w="40" w:type="dxa"/>
              <w:right w:w="20" w:type="dxa"/>
            </w:tcMar>
            <w:vAlign w:val="bottom"/>
          </w:tcPr>
          <w:p w14:paraId="0D8DF0D7" w14:textId="77777777" w:rsidR="004C2197" w:rsidRDefault="004C2197">
            <w:pPr>
              <w:jc w:val="right"/>
              <w:rPr>
                <w:rFonts w:ascii="宋体"/>
              </w:rPr>
            </w:pPr>
          </w:p>
        </w:tc>
        <w:tc>
          <w:tcPr>
            <w:tcW w:w="0" w:type="auto"/>
            <w:shd w:val="clear" w:color="auto" w:fill="auto"/>
          </w:tcPr>
          <w:p w14:paraId="0D8DF0D8" w14:textId="77777777" w:rsidR="004C2197" w:rsidRDefault="004C2197">
            <w:pPr>
              <w:rPr>
                <w:rFonts w:ascii="宋体"/>
              </w:rPr>
            </w:pPr>
          </w:p>
        </w:tc>
        <w:tc>
          <w:tcPr>
            <w:tcW w:w="0" w:type="auto"/>
            <w:shd w:val="clear" w:color="auto" w:fill="auto"/>
          </w:tcPr>
          <w:p w14:paraId="0D8DF0D9" w14:textId="77777777" w:rsidR="004C2197" w:rsidRDefault="004C2197">
            <w:pPr>
              <w:rPr>
                <w:rFonts w:ascii="宋体"/>
              </w:rPr>
            </w:pPr>
          </w:p>
        </w:tc>
        <w:tc>
          <w:tcPr>
            <w:tcW w:w="0" w:type="auto"/>
            <w:shd w:val="clear" w:color="auto" w:fill="auto"/>
          </w:tcPr>
          <w:p w14:paraId="0D8DF0DA" w14:textId="77777777" w:rsidR="004C2197" w:rsidRDefault="004C2197">
            <w:pPr>
              <w:rPr>
                <w:rFonts w:ascii="宋体"/>
              </w:rPr>
            </w:pPr>
          </w:p>
        </w:tc>
        <w:tc>
          <w:tcPr>
            <w:tcW w:w="0" w:type="auto"/>
            <w:shd w:val="clear" w:color="auto" w:fill="auto"/>
          </w:tcPr>
          <w:p w14:paraId="0D8DF0DB" w14:textId="77777777" w:rsidR="004C2197" w:rsidRDefault="004C2197">
            <w:pPr>
              <w:rPr>
                <w:rFonts w:ascii="宋体"/>
              </w:rPr>
            </w:pPr>
          </w:p>
        </w:tc>
        <w:tc>
          <w:tcPr>
            <w:tcW w:w="0" w:type="auto"/>
            <w:shd w:val="clear" w:color="auto" w:fill="auto"/>
          </w:tcPr>
          <w:p w14:paraId="0D8DF0DC" w14:textId="77777777" w:rsidR="004C2197" w:rsidRDefault="004C2197">
            <w:pPr>
              <w:rPr>
                <w:rFonts w:ascii="宋体"/>
              </w:rPr>
            </w:pPr>
          </w:p>
        </w:tc>
        <w:tc>
          <w:tcPr>
            <w:tcW w:w="0" w:type="auto"/>
            <w:shd w:val="clear" w:color="auto" w:fill="auto"/>
          </w:tcPr>
          <w:p w14:paraId="0D8DF0DD" w14:textId="77777777" w:rsidR="004C2197" w:rsidRDefault="004C2197">
            <w:pPr>
              <w:rPr>
                <w:rFonts w:ascii="宋体"/>
              </w:rPr>
            </w:pPr>
          </w:p>
        </w:tc>
        <w:tc>
          <w:tcPr>
            <w:tcW w:w="0" w:type="auto"/>
            <w:shd w:val="clear" w:color="auto" w:fill="auto"/>
          </w:tcPr>
          <w:p w14:paraId="0D8DF0DE" w14:textId="77777777" w:rsidR="004C2197" w:rsidRDefault="004C2197">
            <w:pPr>
              <w:rPr>
                <w:rFonts w:ascii="宋体"/>
              </w:rPr>
            </w:pPr>
          </w:p>
        </w:tc>
        <w:tc>
          <w:tcPr>
            <w:tcW w:w="0" w:type="auto"/>
            <w:shd w:val="clear" w:color="auto" w:fill="auto"/>
          </w:tcPr>
          <w:p w14:paraId="0D8DF0DF" w14:textId="77777777" w:rsidR="004C2197" w:rsidRDefault="004C2197">
            <w:pPr>
              <w:rPr>
                <w:rFonts w:ascii="宋体"/>
              </w:rPr>
            </w:pPr>
          </w:p>
        </w:tc>
        <w:tc>
          <w:tcPr>
            <w:tcW w:w="0" w:type="auto"/>
            <w:shd w:val="clear" w:color="auto" w:fill="auto"/>
          </w:tcPr>
          <w:p w14:paraId="0D8DF0E0" w14:textId="77777777" w:rsidR="004C2197" w:rsidRDefault="004C2197">
            <w:pPr>
              <w:rPr>
                <w:rFonts w:ascii="宋体"/>
              </w:rPr>
            </w:pPr>
          </w:p>
        </w:tc>
        <w:tc>
          <w:tcPr>
            <w:tcW w:w="0" w:type="auto"/>
            <w:shd w:val="clear" w:color="auto" w:fill="auto"/>
          </w:tcPr>
          <w:p w14:paraId="0D8DF0E1" w14:textId="77777777" w:rsidR="004C2197" w:rsidRDefault="004C2197">
            <w:pPr>
              <w:rPr>
                <w:rFonts w:ascii="宋体"/>
              </w:rPr>
            </w:pPr>
          </w:p>
        </w:tc>
        <w:tc>
          <w:tcPr>
            <w:tcW w:w="0" w:type="auto"/>
            <w:shd w:val="clear" w:color="auto" w:fill="auto"/>
          </w:tcPr>
          <w:p w14:paraId="0D8DF0E2" w14:textId="77777777" w:rsidR="004C2197" w:rsidRDefault="004C2197">
            <w:pPr>
              <w:rPr>
                <w:rFonts w:ascii="宋体"/>
              </w:rPr>
            </w:pPr>
          </w:p>
        </w:tc>
        <w:tc>
          <w:tcPr>
            <w:tcW w:w="0" w:type="auto"/>
            <w:shd w:val="clear" w:color="auto" w:fill="auto"/>
          </w:tcPr>
          <w:p w14:paraId="0D8DF0E3" w14:textId="77777777" w:rsidR="004C2197" w:rsidRDefault="004C2197">
            <w:pPr>
              <w:rPr>
                <w:rFonts w:ascii="宋体"/>
              </w:rPr>
            </w:pPr>
          </w:p>
        </w:tc>
        <w:tc>
          <w:tcPr>
            <w:tcW w:w="0" w:type="auto"/>
            <w:shd w:val="clear" w:color="auto" w:fill="auto"/>
          </w:tcPr>
          <w:p w14:paraId="0D8DF0E4" w14:textId="77777777" w:rsidR="004C2197" w:rsidRDefault="004C2197">
            <w:pPr>
              <w:rPr>
                <w:rFonts w:ascii="宋体"/>
              </w:rPr>
            </w:pPr>
          </w:p>
        </w:tc>
        <w:tc>
          <w:tcPr>
            <w:tcW w:w="0" w:type="auto"/>
            <w:shd w:val="clear" w:color="auto" w:fill="auto"/>
          </w:tcPr>
          <w:p w14:paraId="0D8DF0E5" w14:textId="77777777" w:rsidR="004C2197" w:rsidRDefault="004C2197">
            <w:pPr>
              <w:rPr>
                <w:rFonts w:ascii="宋体"/>
              </w:rPr>
            </w:pPr>
          </w:p>
        </w:tc>
        <w:tc>
          <w:tcPr>
            <w:tcW w:w="0" w:type="auto"/>
            <w:shd w:val="clear" w:color="auto" w:fill="auto"/>
          </w:tcPr>
          <w:p w14:paraId="0D8DF0E6" w14:textId="77777777" w:rsidR="004C2197" w:rsidRDefault="004C2197">
            <w:pPr>
              <w:rPr>
                <w:rFonts w:ascii="宋体"/>
              </w:rPr>
            </w:pPr>
          </w:p>
        </w:tc>
        <w:tc>
          <w:tcPr>
            <w:tcW w:w="0" w:type="auto"/>
            <w:shd w:val="clear" w:color="auto" w:fill="auto"/>
          </w:tcPr>
          <w:p w14:paraId="0D8DF0E7" w14:textId="77777777" w:rsidR="004C2197" w:rsidRDefault="004C2197">
            <w:pPr>
              <w:rPr>
                <w:rFonts w:ascii="宋体"/>
              </w:rPr>
            </w:pPr>
          </w:p>
        </w:tc>
        <w:tc>
          <w:tcPr>
            <w:tcW w:w="0" w:type="auto"/>
            <w:shd w:val="clear" w:color="auto" w:fill="auto"/>
          </w:tcPr>
          <w:p w14:paraId="0D8DF0E8" w14:textId="77777777" w:rsidR="004C2197" w:rsidRDefault="004C2197">
            <w:pPr>
              <w:rPr>
                <w:rFonts w:ascii="宋体"/>
              </w:rPr>
            </w:pPr>
          </w:p>
        </w:tc>
        <w:tc>
          <w:tcPr>
            <w:tcW w:w="0" w:type="auto"/>
            <w:shd w:val="clear" w:color="auto" w:fill="auto"/>
          </w:tcPr>
          <w:p w14:paraId="0D8DF0E9" w14:textId="77777777" w:rsidR="004C2197" w:rsidRDefault="004C2197">
            <w:pPr>
              <w:rPr>
                <w:rFonts w:ascii="宋体"/>
              </w:rPr>
            </w:pPr>
          </w:p>
        </w:tc>
      </w:tr>
      <w:tr w:rsidR="004C2197" w14:paraId="0D8DF105" w14:textId="77777777">
        <w:tc>
          <w:tcPr>
            <w:tcW w:w="0" w:type="auto"/>
            <w:gridSpan w:val="3"/>
            <w:shd w:val="clear" w:color="auto" w:fill="E2EFD9"/>
            <w:tcMar>
              <w:top w:w="40" w:type="dxa"/>
              <w:left w:w="20" w:type="dxa"/>
              <w:bottom w:w="40" w:type="dxa"/>
              <w:right w:w="20" w:type="dxa"/>
            </w:tcMar>
            <w:vAlign w:val="bottom"/>
          </w:tcPr>
          <w:p w14:paraId="0D8DF0EB" w14:textId="77777777" w:rsidR="004C2197" w:rsidRDefault="00863B83">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left w:w="20" w:type="dxa"/>
              <w:right w:w="20" w:type="dxa"/>
            </w:tcMar>
            <w:vAlign w:val="bottom"/>
          </w:tcPr>
          <w:p w14:paraId="0D8DF0E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ED"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E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EF"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F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0F1" w14:textId="77777777" w:rsidR="004C2197" w:rsidRDefault="004C2197">
            <w:pPr>
              <w:rPr>
                <w:rFonts w:ascii="宋体"/>
              </w:rPr>
            </w:pPr>
          </w:p>
        </w:tc>
        <w:tc>
          <w:tcPr>
            <w:tcW w:w="0" w:type="auto"/>
            <w:gridSpan w:val="3"/>
            <w:tcBorders>
              <w:top w:val="double" w:sz="6" w:space="0" w:color="000000"/>
            </w:tcBorders>
            <w:shd w:val="clear" w:color="auto" w:fill="E2EFD9"/>
            <w:tcMar>
              <w:left w:w="20" w:type="dxa"/>
              <w:right w:w="20" w:type="dxa"/>
            </w:tcMar>
            <w:vAlign w:val="bottom"/>
          </w:tcPr>
          <w:p w14:paraId="0D8DF0F2" w14:textId="77777777" w:rsidR="004C2197" w:rsidRDefault="004C2197">
            <w:pPr>
              <w:rPr>
                <w:rFonts w:ascii="宋体"/>
              </w:rPr>
            </w:pPr>
          </w:p>
        </w:tc>
        <w:tc>
          <w:tcPr>
            <w:tcW w:w="0" w:type="auto"/>
            <w:shd w:val="clear" w:color="auto" w:fill="auto"/>
          </w:tcPr>
          <w:p w14:paraId="0D8DF0F3" w14:textId="77777777" w:rsidR="004C2197" w:rsidRDefault="004C2197">
            <w:pPr>
              <w:rPr>
                <w:rFonts w:ascii="宋体"/>
              </w:rPr>
            </w:pPr>
          </w:p>
        </w:tc>
        <w:tc>
          <w:tcPr>
            <w:tcW w:w="0" w:type="auto"/>
            <w:shd w:val="clear" w:color="auto" w:fill="auto"/>
          </w:tcPr>
          <w:p w14:paraId="0D8DF0F4" w14:textId="77777777" w:rsidR="004C2197" w:rsidRDefault="004C2197">
            <w:pPr>
              <w:rPr>
                <w:rFonts w:ascii="宋体"/>
              </w:rPr>
            </w:pPr>
          </w:p>
        </w:tc>
        <w:tc>
          <w:tcPr>
            <w:tcW w:w="0" w:type="auto"/>
            <w:shd w:val="clear" w:color="auto" w:fill="auto"/>
          </w:tcPr>
          <w:p w14:paraId="0D8DF0F5" w14:textId="77777777" w:rsidR="004C2197" w:rsidRDefault="004C2197">
            <w:pPr>
              <w:rPr>
                <w:rFonts w:ascii="宋体"/>
              </w:rPr>
            </w:pPr>
          </w:p>
        </w:tc>
        <w:tc>
          <w:tcPr>
            <w:tcW w:w="0" w:type="auto"/>
            <w:shd w:val="clear" w:color="auto" w:fill="auto"/>
          </w:tcPr>
          <w:p w14:paraId="0D8DF0F6" w14:textId="77777777" w:rsidR="004C2197" w:rsidRDefault="004C2197">
            <w:pPr>
              <w:rPr>
                <w:rFonts w:ascii="宋体"/>
              </w:rPr>
            </w:pPr>
          </w:p>
        </w:tc>
        <w:tc>
          <w:tcPr>
            <w:tcW w:w="0" w:type="auto"/>
            <w:shd w:val="clear" w:color="auto" w:fill="auto"/>
          </w:tcPr>
          <w:p w14:paraId="0D8DF0F7" w14:textId="77777777" w:rsidR="004C2197" w:rsidRDefault="004C2197">
            <w:pPr>
              <w:rPr>
                <w:rFonts w:ascii="宋体"/>
              </w:rPr>
            </w:pPr>
          </w:p>
        </w:tc>
        <w:tc>
          <w:tcPr>
            <w:tcW w:w="0" w:type="auto"/>
            <w:shd w:val="clear" w:color="auto" w:fill="auto"/>
          </w:tcPr>
          <w:p w14:paraId="0D8DF0F8" w14:textId="77777777" w:rsidR="004C2197" w:rsidRDefault="004C2197">
            <w:pPr>
              <w:rPr>
                <w:rFonts w:ascii="宋体"/>
              </w:rPr>
            </w:pPr>
          </w:p>
        </w:tc>
        <w:tc>
          <w:tcPr>
            <w:tcW w:w="0" w:type="auto"/>
            <w:shd w:val="clear" w:color="auto" w:fill="auto"/>
          </w:tcPr>
          <w:p w14:paraId="0D8DF0F9" w14:textId="77777777" w:rsidR="004C2197" w:rsidRDefault="004C2197">
            <w:pPr>
              <w:rPr>
                <w:rFonts w:ascii="宋体"/>
              </w:rPr>
            </w:pPr>
          </w:p>
        </w:tc>
        <w:tc>
          <w:tcPr>
            <w:tcW w:w="0" w:type="auto"/>
            <w:shd w:val="clear" w:color="auto" w:fill="auto"/>
          </w:tcPr>
          <w:p w14:paraId="0D8DF0FA" w14:textId="77777777" w:rsidR="004C2197" w:rsidRDefault="004C2197">
            <w:pPr>
              <w:rPr>
                <w:rFonts w:ascii="宋体"/>
              </w:rPr>
            </w:pPr>
          </w:p>
        </w:tc>
        <w:tc>
          <w:tcPr>
            <w:tcW w:w="0" w:type="auto"/>
            <w:shd w:val="clear" w:color="auto" w:fill="auto"/>
          </w:tcPr>
          <w:p w14:paraId="0D8DF0FB" w14:textId="77777777" w:rsidR="004C2197" w:rsidRDefault="004C2197">
            <w:pPr>
              <w:rPr>
                <w:rFonts w:ascii="宋体"/>
              </w:rPr>
            </w:pPr>
          </w:p>
        </w:tc>
        <w:tc>
          <w:tcPr>
            <w:tcW w:w="0" w:type="auto"/>
            <w:shd w:val="clear" w:color="auto" w:fill="auto"/>
          </w:tcPr>
          <w:p w14:paraId="0D8DF0FC" w14:textId="77777777" w:rsidR="004C2197" w:rsidRDefault="004C2197">
            <w:pPr>
              <w:rPr>
                <w:rFonts w:ascii="宋体"/>
              </w:rPr>
            </w:pPr>
          </w:p>
        </w:tc>
        <w:tc>
          <w:tcPr>
            <w:tcW w:w="0" w:type="auto"/>
            <w:shd w:val="clear" w:color="auto" w:fill="auto"/>
          </w:tcPr>
          <w:p w14:paraId="0D8DF0FD" w14:textId="77777777" w:rsidR="004C2197" w:rsidRDefault="004C2197">
            <w:pPr>
              <w:rPr>
                <w:rFonts w:ascii="宋体"/>
              </w:rPr>
            </w:pPr>
          </w:p>
        </w:tc>
        <w:tc>
          <w:tcPr>
            <w:tcW w:w="0" w:type="auto"/>
            <w:shd w:val="clear" w:color="auto" w:fill="auto"/>
          </w:tcPr>
          <w:p w14:paraId="0D8DF0FE" w14:textId="77777777" w:rsidR="004C2197" w:rsidRDefault="004C2197">
            <w:pPr>
              <w:rPr>
                <w:rFonts w:ascii="宋体"/>
              </w:rPr>
            </w:pPr>
          </w:p>
        </w:tc>
        <w:tc>
          <w:tcPr>
            <w:tcW w:w="0" w:type="auto"/>
            <w:shd w:val="clear" w:color="auto" w:fill="auto"/>
          </w:tcPr>
          <w:p w14:paraId="0D8DF0FF" w14:textId="77777777" w:rsidR="004C2197" w:rsidRDefault="004C2197">
            <w:pPr>
              <w:rPr>
                <w:rFonts w:ascii="宋体"/>
              </w:rPr>
            </w:pPr>
          </w:p>
        </w:tc>
        <w:tc>
          <w:tcPr>
            <w:tcW w:w="0" w:type="auto"/>
            <w:shd w:val="clear" w:color="auto" w:fill="auto"/>
          </w:tcPr>
          <w:p w14:paraId="0D8DF100" w14:textId="77777777" w:rsidR="004C2197" w:rsidRDefault="004C2197">
            <w:pPr>
              <w:rPr>
                <w:rFonts w:ascii="宋体"/>
              </w:rPr>
            </w:pPr>
          </w:p>
        </w:tc>
        <w:tc>
          <w:tcPr>
            <w:tcW w:w="0" w:type="auto"/>
            <w:shd w:val="clear" w:color="auto" w:fill="auto"/>
          </w:tcPr>
          <w:p w14:paraId="0D8DF101" w14:textId="77777777" w:rsidR="004C2197" w:rsidRDefault="004C2197">
            <w:pPr>
              <w:rPr>
                <w:rFonts w:ascii="宋体"/>
              </w:rPr>
            </w:pPr>
          </w:p>
        </w:tc>
        <w:tc>
          <w:tcPr>
            <w:tcW w:w="0" w:type="auto"/>
            <w:shd w:val="clear" w:color="auto" w:fill="auto"/>
          </w:tcPr>
          <w:p w14:paraId="0D8DF102" w14:textId="77777777" w:rsidR="004C2197" w:rsidRDefault="004C2197">
            <w:pPr>
              <w:rPr>
                <w:rFonts w:ascii="宋体"/>
              </w:rPr>
            </w:pPr>
          </w:p>
        </w:tc>
        <w:tc>
          <w:tcPr>
            <w:tcW w:w="0" w:type="auto"/>
            <w:shd w:val="clear" w:color="auto" w:fill="auto"/>
          </w:tcPr>
          <w:p w14:paraId="0D8DF103" w14:textId="77777777" w:rsidR="004C2197" w:rsidRDefault="004C2197">
            <w:pPr>
              <w:rPr>
                <w:rFonts w:ascii="宋体"/>
              </w:rPr>
            </w:pPr>
          </w:p>
        </w:tc>
        <w:tc>
          <w:tcPr>
            <w:tcW w:w="0" w:type="auto"/>
            <w:shd w:val="clear" w:color="auto" w:fill="auto"/>
          </w:tcPr>
          <w:p w14:paraId="0D8DF104" w14:textId="77777777" w:rsidR="004C2197" w:rsidRDefault="004C2197">
            <w:pPr>
              <w:rPr>
                <w:rFonts w:ascii="宋体"/>
              </w:rPr>
            </w:pPr>
          </w:p>
        </w:tc>
      </w:tr>
      <w:tr w:rsidR="004C2197" w14:paraId="0D8DF128" w14:textId="77777777">
        <w:tc>
          <w:tcPr>
            <w:tcW w:w="0" w:type="auto"/>
            <w:gridSpan w:val="3"/>
            <w:shd w:val="clear" w:color="auto" w:fill="FFFFFF"/>
            <w:tcMar>
              <w:top w:w="40" w:type="dxa"/>
              <w:left w:w="20" w:type="dxa"/>
              <w:bottom w:w="40" w:type="dxa"/>
              <w:right w:w="20" w:type="dxa"/>
            </w:tcMar>
            <w:vAlign w:val="bottom"/>
          </w:tcPr>
          <w:p w14:paraId="0D8DF106" w14:textId="77777777" w:rsidR="004C2197" w:rsidRDefault="00863B83">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tcMar>
            <w:vAlign w:val="bottom"/>
          </w:tcPr>
          <w:p w14:paraId="0D8DF10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108" w14:textId="77777777" w:rsidR="004C2197" w:rsidRDefault="00863B83">
            <w:pPr>
              <w:jc w:val="right"/>
              <w:textAlignment w:val="bottom"/>
            </w:pPr>
            <w:r>
              <w:rPr>
                <w:rFonts w:ascii="sans-serif" w:eastAsia="sans-serif" w:hAnsi="sans-serif" w:cs="sans-serif"/>
                <w:color w:val="000000"/>
                <w:sz w:val="20"/>
                <w:szCs w:val="20"/>
              </w:rPr>
              <w:t>1.01 </w:t>
            </w:r>
          </w:p>
        </w:tc>
        <w:tc>
          <w:tcPr>
            <w:tcW w:w="0" w:type="auto"/>
            <w:shd w:val="clear" w:color="auto" w:fill="FFFFFF"/>
            <w:tcMar>
              <w:top w:w="40" w:type="dxa"/>
              <w:bottom w:w="40" w:type="dxa"/>
              <w:right w:w="20" w:type="dxa"/>
            </w:tcMar>
            <w:vAlign w:val="bottom"/>
          </w:tcPr>
          <w:p w14:paraId="0D8DF10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0A"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10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10C" w14:textId="77777777" w:rsidR="004C2197" w:rsidRDefault="00863B83">
            <w:pPr>
              <w:jc w:val="right"/>
              <w:textAlignment w:val="bottom"/>
            </w:pPr>
            <w:r>
              <w:rPr>
                <w:rFonts w:ascii="sans-serif" w:eastAsia="sans-serif" w:hAnsi="sans-serif" w:cs="sans-serif"/>
                <w:color w:val="000000"/>
                <w:sz w:val="20"/>
                <w:szCs w:val="20"/>
              </w:rPr>
              <w:t>0.91 </w:t>
            </w:r>
          </w:p>
        </w:tc>
        <w:tc>
          <w:tcPr>
            <w:tcW w:w="0" w:type="auto"/>
            <w:shd w:val="clear" w:color="auto" w:fill="FFFFFF"/>
            <w:tcMar>
              <w:top w:w="40" w:type="dxa"/>
              <w:bottom w:w="40" w:type="dxa"/>
              <w:right w:w="20" w:type="dxa"/>
            </w:tcMar>
            <w:vAlign w:val="bottom"/>
          </w:tcPr>
          <w:p w14:paraId="0D8DF10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0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10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110" w14:textId="77777777" w:rsidR="004C2197" w:rsidRDefault="00863B83">
            <w:pPr>
              <w:jc w:val="right"/>
              <w:textAlignment w:val="bottom"/>
            </w:pPr>
            <w:r>
              <w:rPr>
                <w:rFonts w:ascii="sans-serif" w:eastAsia="sans-serif" w:hAnsi="sans-serif" w:cs="sans-serif"/>
                <w:color w:val="000000"/>
                <w:sz w:val="20"/>
                <w:szCs w:val="20"/>
              </w:rPr>
              <w:t>2.50 </w:t>
            </w:r>
          </w:p>
        </w:tc>
        <w:tc>
          <w:tcPr>
            <w:tcW w:w="0" w:type="auto"/>
            <w:shd w:val="clear" w:color="auto" w:fill="FFFFFF"/>
            <w:tcMar>
              <w:top w:w="40" w:type="dxa"/>
              <w:bottom w:w="40" w:type="dxa"/>
              <w:right w:w="20" w:type="dxa"/>
            </w:tcMar>
            <w:vAlign w:val="bottom"/>
          </w:tcPr>
          <w:p w14:paraId="0D8DF11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1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11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114" w14:textId="77777777" w:rsidR="004C2197" w:rsidRDefault="00863B83">
            <w:pPr>
              <w:jc w:val="right"/>
              <w:textAlignment w:val="bottom"/>
            </w:pPr>
            <w:r>
              <w:rPr>
                <w:rFonts w:ascii="sans-serif" w:eastAsia="sans-serif" w:hAnsi="sans-serif" w:cs="sans-serif"/>
                <w:color w:val="000000"/>
                <w:sz w:val="20"/>
                <w:szCs w:val="20"/>
              </w:rPr>
              <w:t>1.56 </w:t>
            </w:r>
          </w:p>
        </w:tc>
        <w:tc>
          <w:tcPr>
            <w:tcW w:w="0" w:type="auto"/>
            <w:shd w:val="clear" w:color="auto" w:fill="FFFFFF"/>
            <w:tcMar>
              <w:top w:w="40" w:type="dxa"/>
              <w:bottom w:w="40" w:type="dxa"/>
              <w:right w:w="20" w:type="dxa"/>
            </w:tcMar>
            <w:vAlign w:val="bottom"/>
          </w:tcPr>
          <w:p w14:paraId="0D8DF115" w14:textId="77777777" w:rsidR="004C2197" w:rsidRDefault="004C2197">
            <w:pPr>
              <w:jc w:val="right"/>
              <w:rPr>
                <w:rFonts w:ascii="宋体"/>
              </w:rPr>
            </w:pPr>
          </w:p>
        </w:tc>
        <w:tc>
          <w:tcPr>
            <w:tcW w:w="0" w:type="auto"/>
            <w:shd w:val="clear" w:color="auto" w:fill="auto"/>
          </w:tcPr>
          <w:p w14:paraId="0D8DF116" w14:textId="77777777" w:rsidR="004C2197" w:rsidRDefault="004C2197">
            <w:pPr>
              <w:rPr>
                <w:rFonts w:ascii="宋体"/>
              </w:rPr>
            </w:pPr>
          </w:p>
        </w:tc>
        <w:tc>
          <w:tcPr>
            <w:tcW w:w="0" w:type="auto"/>
            <w:shd w:val="clear" w:color="auto" w:fill="auto"/>
          </w:tcPr>
          <w:p w14:paraId="0D8DF117" w14:textId="77777777" w:rsidR="004C2197" w:rsidRDefault="004C2197">
            <w:pPr>
              <w:rPr>
                <w:rFonts w:ascii="宋体"/>
              </w:rPr>
            </w:pPr>
          </w:p>
        </w:tc>
        <w:tc>
          <w:tcPr>
            <w:tcW w:w="0" w:type="auto"/>
            <w:shd w:val="clear" w:color="auto" w:fill="auto"/>
          </w:tcPr>
          <w:p w14:paraId="0D8DF118" w14:textId="77777777" w:rsidR="004C2197" w:rsidRDefault="004C2197">
            <w:pPr>
              <w:rPr>
                <w:rFonts w:ascii="宋体"/>
              </w:rPr>
            </w:pPr>
          </w:p>
        </w:tc>
        <w:tc>
          <w:tcPr>
            <w:tcW w:w="0" w:type="auto"/>
            <w:shd w:val="clear" w:color="auto" w:fill="auto"/>
          </w:tcPr>
          <w:p w14:paraId="0D8DF119" w14:textId="77777777" w:rsidR="004C2197" w:rsidRDefault="004C2197">
            <w:pPr>
              <w:rPr>
                <w:rFonts w:ascii="宋体"/>
              </w:rPr>
            </w:pPr>
          </w:p>
        </w:tc>
        <w:tc>
          <w:tcPr>
            <w:tcW w:w="0" w:type="auto"/>
            <w:shd w:val="clear" w:color="auto" w:fill="auto"/>
          </w:tcPr>
          <w:p w14:paraId="0D8DF11A" w14:textId="77777777" w:rsidR="004C2197" w:rsidRDefault="004C2197">
            <w:pPr>
              <w:rPr>
                <w:rFonts w:ascii="宋体"/>
              </w:rPr>
            </w:pPr>
          </w:p>
        </w:tc>
        <w:tc>
          <w:tcPr>
            <w:tcW w:w="0" w:type="auto"/>
            <w:shd w:val="clear" w:color="auto" w:fill="auto"/>
          </w:tcPr>
          <w:p w14:paraId="0D8DF11B" w14:textId="77777777" w:rsidR="004C2197" w:rsidRDefault="004C2197">
            <w:pPr>
              <w:rPr>
                <w:rFonts w:ascii="宋体"/>
              </w:rPr>
            </w:pPr>
          </w:p>
        </w:tc>
        <w:tc>
          <w:tcPr>
            <w:tcW w:w="0" w:type="auto"/>
            <w:shd w:val="clear" w:color="auto" w:fill="auto"/>
          </w:tcPr>
          <w:p w14:paraId="0D8DF11C" w14:textId="77777777" w:rsidR="004C2197" w:rsidRDefault="004C2197">
            <w:pPr>
              <w:rPr>
                <w:rFonts w:ascii="宋体"/>
              </w:rPr>
            </w:pPr>
          </w:p>
        </w:tc>
        <w:tc>
          <w:tcPr>
            <w:tcW w:w="0" w:type="auto"/>
            <w:shd w:val="clear" w:color="auto" w:fill="auto"/>
          </w:tcPr>
          <w:p w14:paraId="0D8DF11D" w14:textId="77777777" w:rsidR="004C2197" w:rsidRDefault="004C2197">
            <w:pPr>
              <w:rPr>
                <w:rFonts w:ascii="宋体"/>
              </w:rPr>
            </w:pPr>
          </w:p>
        </w:tc>
        <w:tc>
          <w:tcPr>
            <w:tcW w:w="0" w:type="auto"/>
            <w:shd w:val="clear" w:color="auto" w:fill="auto"/>
          </w:tcPr>
          <w:p w14:paraId="0D8DF11E" w14:textId="77777777" w:rsidR="004C2197" w:rsidRDefault="004C2197">
            <w:pPr>
              <w:rPr>
                <w:rFonts w:ascii="宋体"/>
              </w:rPr>
            </w:pPr>
          </w:p>
        </w:tc>
        <w:tc>
          <w:tcPr>
            <w:tcW w:w="0" w:type="auto"/>
            <w:shd w:val="clear" w:color="auto" w:fill="auto"/>
          </w:tcPr>
          <w:p w14:paraId="0D8DF11F" w14:textId="77777777" w:rsidR="004C2197" w:rsidRDefault="004C2197">
            <w:pPr>
              <w:rPr>
                <w:rFonts w:ascii="宋体"/>
              </w:rPr>
            </w:pPr>
          </w:p>
        </w:tc>
        <w:tc>
          <w:tcPr>
            <w:tcW w:w="0" w:type="auto"/>
            <w:shd w:val="clear" w:color="auto" w:fill="auto"/>
          </w:tcPr>
          <w:p w14:paraId="0D8DF120" w14:textId="77777777" w:rsidR="004C2197" w:rsidRDefault="004C2197">
            <w:pPr>
              <w:rPr>
                <w:rFonts w:ascii="宋体"/>
              </w:rPr>
            </w:pPr>
          </w:p>
        </w:tc>
        <w:tc>
          <w:tcPr>
            <w:tcW w:w="0" w:type="auto"/>
            <w:shd w:val="clear" w:color="auto" w:fill="auto"/>
          </w:tcPr>
          <w:p w14:paraId="0D8DF121" w14:textId="77777777" w:rsidR="004C2197" w:rsidRDefault="004C2197">
            <w:pPr>
              <w:rPr>
                <w:rFonts w:ascii="宋体"/>
              </w:rPr>
            </w:pPr>
          </w:p>
        </w:tc>
        <w:tc>
          <w:tcPr>
            <w:tcW w:w="0" w:type="auto"/>
            <w:shd w:val="clear" w:color="auto" w:fill="auto"/>
          </w:tcPr>
          <w:p w14:paraId="0D8DF122" w14:textId="77777777" w:rsidR="004C2197" w:rsidRDefault="004C2197">
            <w:pPr>
              <w:rPr>
                <w:rFonts w:ascii="宋体"/>
              </w:rPr>
            </w:pPr>
          </w:p>
        </w:tc>
        <w:tc>
          <w:tcPr>
            <w:tcW w:w="0" w:type="auto"/>
            <w:shd w:val="clear" w:color="auto" w:fill="auto"/>
          </w:tcPr>
          <w:p w14:paraId="0D8DF123" w14:textId="77777777" w:rsidR="004C2197" w:rsidRDefault="004C2197">
            <w:pPr>
              <w:rPr>
                <w:rFonts w:ascii="宋体"/>
              </w:rPr>
            </w:pPr>
          </w:p>
        </w:tc>
        <w:tc>
          <w:tcPr>
            <w:tcW w:w="0" w:type="auto"/>
            <w:shd w:val="clear" w:color="auto" w:fill="auto"/>
          </w:tcPr>
          <w:p w14:paraId="0D8DF124" w14:textId="77777777" w:rsidR="004C2197" w:rsidRDefault="004C2197">
            <w:pPr>
              <w:rPr>
                <w:rFonts w:ascii="宋体"/>
              </w:rPr>
            </w:pPr>
          </w:p>
        </w:tc>
        <w:tc>
          <w:tcPr>
            <w:tcW w:w="0" w:type="auto"/>
            <w:shd w:val="clear" w:color="auto" w:fill="auto"/>
          </w:tcPr>
          <w:p w14:paraId="0D8DF125" w14:textId="77777777" w:rsidR="004C2197" w:rsidRDefault="004C2197">
            <w:pPr>
              <w:rPr>
                <w:rFonts w:ascii="宋体"/>
              </w:rPr>
            </w:pPr>
          </w:p>
        </w:tc>
        <w:tc>
          <w:tcPr>
            <w:tcW w:w="0" w:type="auto"/>
            <w:shd w:val="clear" w:color="auto" w:fill="auto"/>
          </w:tcPr>
          <w:p w14:paraId="0D8DF126" w14:textId="77777777" w:rsidR="004C2197" w:rsidRDefault="004C2197">
            <w:pPr>
              <w:rPr>
                <w:rFonts w:ascii="宋体"/>
              </w:rPr>
            </w:pPr>
          </w:p>
        </w:tc>
        <w:tc>
          <w:tcPr>
            <w:tcW w:w="0" w:type="auto"/>
            <w:shd w:val="clear" w:color="auto" w:fill="auto"/>
          </w:tcPr>
          <w:p w14:paraId="0D8DF127" w14:textId="77777777" w:rsidR="004C2197" w:rsidRDefault="004C2197">
            <w:pPr>
              <w:rPr>
                <w:rFonts w:ascii="宋体"/>
              </w:rPr>
            </w:pPr>
          </w:p>
        </w:tc>
      </w:tr>
      <w:tr w:rsidR="004C2197" w14:paraId="0D8DF14B" w14:textId="77777777">
        <w:tc>
          <w:tcPr>
            <w:tcW w:w="0" w:type="auto"/>
            <w:gridSpan w:val="3"/>
            <w:shd w:val="clear" w:color="auto" w:fill="E2EFD9"/>
            <w:tcMar>
              <w:top w:w="40" w:type="dxa"/>
              <w:left w:w="20" w:type="dxa"/>
              <w:bottom w:w="40" w:type="dxa"/>
              <w:right w:w="20" w:type="dxa"/>
            </w:tcMar>
            <w:vAlign w:val="bottom"/>
          </w:tcPr>
          <w:p w14:paraId="0D8DF129" w14:textId="77777777" w:rsidR="004C2197" w:rsidRDefault="00863B83">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tcMar>
            <w:vAlign w:val="bottom"/>
          </w:tcPr>
          <w:p w14:paraId="0D8DF12A"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F12B" w14:textId="77777777" w:rsidR="004C2197" w:rsidRDefault="00863B83">
            <w:pPr>
              <w:jc w:val="right"/>
              <w:textAlignment w:val="bottom"/>
            </w:pPr>
            <w:r>
              <w:rPr>
                <w:rFonts w:ascii="sans-serif" w:eastAsia="sans-serif" w:hAnsi="sans-serif" w:cs="sans-serif"/>
                <w:color w:val="000000"/>
                <w:sz w:val="20"/>
                <w:szCs w:val="20"/>
              </w:rPr>
              <w:t>0.99 </w:t>
            </w:r>
          </w:p>
        </w:tc>
        <w:tc>
          <w:tcPr>
            <w:tcW w:w="0" w:type="auto"/>
            <w:tcBorders>
              <w:top w:val="double" w:sz="6" w:space="0" w:color="000000"/>
            </w:tcBorders>
            <w:shd w:val="clear" w:color="auto" w:fill="E2EFD9"/>
            <w:tcMar>
              <w:top w:w="40" w:type="dxa"/>
              <w:bottom w:w="40" w:type="dxa"/>
              <w:right w:w="20" w:type="dxa"/>
            </w:tcMar>
            <w:vAlign w:val="bottom"/>
          </w:tcPr>
          <w:p w14:paraId="0D8DF12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12D"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F12E"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F12F" w14:textId="77777777" w:rsidR="004C2197" w:rsidRDefault="00863B83">
            <w:pPr>
              <w:jc w:val="right"/>
              <w:textAlignment w:val="bottom"/>
            </w:pPr>
            <w:r>
              <w:rPr>
                <w:rFonts w:ascii="sans-serif" w:eastAsia="sans-serif" w:hAnsi="sans-serif" w:cs="sans-serif"/>
                <w:color w:val="000000"/>
                <w:sz w:val="20"/>
                <w:szCs w:val="20"/>
              </w:rPr>
              <w:t>0.90 </w:t>
            </w:r>
          </w:p>
        </w:tc>
        <w:tc>
          <w:tcPr>
            <w:tcW w:w="0" w:type="auto"/>
            <w:tcBorders>
              <w:top w:val="double" w:sz="6" w:space="0" w:color="000000"/>
            </w:tcBorders>
            <w:shd w:val="clear" w:color="auto" w:fill="E2EFD9"/>
            <w:tcMar>
              <w:top w:w="40" w:type="dxa"/>
              <w:bottom w:w="40" w:type="dxa"/>
              <w:right w:w="20" w:type="dxa"/>
            </w:tcMar>
            <w:vAlign w:val="bottom"/>
          </w:tcPr>
          <w:p w14:paraId="0D8DF13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131"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F132"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F133" w14:textId="77777777" w:rsidR="004C2197" w:rsidRDefault="00863B83">
            <w:pPr>
              <w:jc w:val="right"/>
              <w:textAlignment w:val="bottom"/>
            </w:pPr>
            <w:r>
              <w:rPr>
                <w:rFonts w:ascii="sans-serif" w:eastAsia="sans-serif" w:hAnsi="sans-serif" w:cs="sans-serif"/>
                <w:color w:val="000000"/>
                <w:sz w:val="20"/>
                <w:szCs w:val="20"/>
              </w:rPr>
              <w:t>2.47 </w:t>
            </w:r>
          </w:p>
        </w:tc>
        <w:tc>
          <w:tcPr>
            <w:tcW w:w="0" w:type="auto"/>
            <w:tcBorders>
              <w:top w:val="double" w:sz="6" w:space="0" w:color="000000"/>
            </w:tcBorders>
            <w:shd w:val="clear" w:color="auto" w:fill="E2EFD9"/>
            <w:tcMar>
              <w:top w:w="40" w:type="dxa"/>
              <w:bottom w:w="40" w:type="dxa"/>
              <w:right w:w="20" w:type="dxa"/>
            </w:tcMar>
            <w:vAlign w:val="bottom"/>
          </w:tcPr>
          <w:p w14:paraId="0D8DF13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135" w14:textId="77777777" w:rsidR="004C2197" w:rsidRDefault="004C2197">
            <w:pPr>
              <w:rPr>
                <w:rFonts w:ascii="宋体"/>
              </w:rPr>
            </w:pPr>
          </w:p>
        </w:tc>
        <w:tc>
          <w:tcPr>
            <w:tcW w:w="0" w:type="auto"/>
            <w:tcBorders>
              <w:top w:val="double" w:sz="6" w:space="0" w:color="000000"/>
            </w:tcBorders>
            <w:shd w:val="clear" w:color="auto" w:fill="E2EFD9"/>
            <w:tcMar>
              <w:top w:w="40" w:type="dxa"/>
              <w:left w:w="20" w:type="dxa"/>
              <w:bottom w:w="40" w:type="dxa"/>
            </w:tcMar>
            <w:vAlign w:val="bottom"/>
          </w:tcPr>
          <w:p w14:paraId="0D8DF136"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bottom w:w="40" w:type="dxa"/>
              <w:right w:w="0" w:type="dxa"/>
            </w:tcMar>
            <w:vAlign w:val="bottom"/>
          </w:tcPr>
          <w:p w14:paraId="0D8DF137" w14:textId="77777777" w:rsidR="004C2197" w:rsidRDefault="00863B83">
            <w:pPr>
              <w:jc w:val="right"/>
              <w:textAlignment w:val="bottom"/>
            </w:pPr>
            <w:r>
              <w:rPr>
                <w:rFonts w:ascii="sans-serif" w:eastAsia="sans-serif" w:hAnsi="sans-serif" w:cs="sans-serif"/>
                <w:color w:val="000000"/>
                <w:sz w:val="20"/>
                <w:szCs w:val="20"/>
              </w:rPr>
              <w:t>1.54 </w:t>
            </w:r>
          </w:p>
        </w:tc>
        <w:tc>
          <w:tcPr>
            <w:tcW w:w="0" w:type="auto"/>
            <w:tcBorders>
              <w:top w:val="double" w:sz="6" w:space="0" w:color="000000"/>
            </w:tcBorders>
            <w:shd w:val="clear" w:color="auto" w:fill="E2EFD9"/>
            <w:tcMar>
              <w:top w:w="40" w:type="dxa"/>
              <w:bottom w:w="40" w:type="dxa"/>
              <w:right w:w="20" w:type="dxa"/>
            </w:tcMar>
            <w:vAlign w:val="bottom"/>
          </w:tcPr>
          <w:p w14:paraId="0D8DF138" w14:textId="77777777" w:rsidR="004C2197" w:rsidRDefault="004C2197">
            <w:pPr>
              <w:jc w:val="right"/>
              <w:rPr>
                <w:rFonts w:ascii="宋体"/>
              </w:rPr>
            </w:pPr>
          </w:p>
        </w:tc>
        <w:tc>
          <w:tcPr>
            <w:tcW w:w="0" w:type="auto"/>
            <w:shd w:val="clear" w:color="auto" w:fill="auto"/>
          </w:tcPr>
          <w:p w14:paraId="0D8DF139" w14:textId="77777777" w:rsidR="004C2197" w:rsidRDefault="004C2197">
            <w:pPr>
              <w:rPr>
                <w:rFonts w:ascii="宋体"/>
              </w:rPr>
            </w:pPr>
          </w:p>
        </w:tc>
        <w:tc>
          <w:tcPr>
            <w:tcW w:w="0" w:type="auto"/>
            <w:shd w:val="clear" w:color="auto" w:fill="auto"/>
          </w:tcPr>
          <w:p w14:paraId="0D8DF13A" w14:textId="77777777" w:rsidR="004C2197" w:rsidRDefault="004C2197">
            <w:pPr>
              <w:rPr>
                <w:rFonts w:ascii="宋体"/>
              </w:rPr>
            </w:pPr>
          </w:p>
        </w:tc>
        <w:tc>
          <w:tcPr>
            <w:tcW w:w="0" w:type="auto"/>
            <w:shd w:val="clear" w:color="auto" w:fill="auto"/>
          </w:tcPr>
          <w:p w14:paraId="0D8DF13B" w14:textId="77777777" w:rsidR="004C2197" w:rsidRDefault="004C2197">
            <w:pPr>
              <w:rPr>
                <w:rFonts w:ascii="宋体"/>
              </w:rPr>
            </w:pPr>
          </w:p>
        </w:tc>
        <w:tc>
          <w:tcPr>
            <w:tcW w:w="0" w:type="auto"/>
            <w:shd w:val="clear" w:color="auto" w:fill="auto"/>
          </w:tcPr>
          <w:p w14:paraId="0D8DF13C" w14:textId="77777777" w:rsidR="004C2197" w:rsidRDefault="004C2197">
            <w:pPr>
              <w:rPr>
                <w:rFonts w:ascii="宋体"/>
              </w:rPr>
            </w:pPr>
          </w:p>
        </w:tc>
        <w:tc>
          <w:tcPr>
            <w:tcW w:w="0" w:type="auto"/>
            <w:shd w:val="clear" w:color="auto" w:fill="auto"/>
          </w:tcPr>
          <w:p w14:paraId="0D8DF13D" w14:textId="77777777" w:rsidR="004C2197" w:rsidRDefault="004C2197">
            <w:pPr>
              <w:rPr>
                <w:rFonts w:ascii="宋体"/>
              </w:rPr>
            </w:pPr>
          </w:p>
        </w:tc>
        <w:tc>
          <w:tcPr>
            <w:tcW w:w="0" w:type="auto"/>
            <w:shd w:val="clear" w:color="auto" w:fill="auto"/>
          </w:tcPr>
          <w:p w14:paraId="0D8DF13E" w14:textId="77777777" w:rsidR="004C2197" w:rsidRDefault="004C2197">
            <w:pPr>
              <w:rPr>
                <w:rFonts w:ascii="宋体"/>
              </w:rPr>
            </w:pPr>
          </w:p>
        </w:tc>
        <w:tc>
          <w:tcPr>
            <w:tcW w:w="0" w:type="auto"/>
            <w:shd w:val="clear" w:color="auto" w:fill="auto"/>
          </w:tcPr>
          <w:p w14:paraId="0D8DF13F" w14:textId="77777777" w:rsidR="004C2197" w:rsidRDefault="004C2197">
            <w:pPr>
              <w:rPr>
                <w:rFonts w:ascii="宋体"/>
              </w:rPr>
            </w:pPr>
          </w:p>
        </w:tc>
        <w:tc>
          <w:tcPr>
            <w:tcW w:w="0" w:type="auto"/>
            <w:shd w:val="clear" w:color="auto" w:fill="auto"/>
          </w:tcPr>
          <w:p w14:paraId="0D8DF140" w14:textId="77777777" w:rsidR="004C2197" w:rsidRDefault="004C2197">
            <w:pPr>
              <w:rPr>
                <w:rFonts w:ascii="宋体"/>
              </w:rPr>
            </w:pPr>
          </w:p>
        </w:tc>
        <w:tc>
          <w:tcPr>
            <w:tcW w:w="0" w:type="auto"/>
            <w:shd w:val="clear" w:color="auto" w:fill="auto"/>
          </w:tcPr>
          <w:p w14:paraId="0D8DF141" w14:textId="77777777" w:rsidR="004C2197" w:rsidRDefault="004C2197">
            <w:pPr>
              <w:rPr>
                <w:rFonts w:ascii="宋体"/>
              </w:rPr>
            </w:pPr>
          </w:p>
        </w:tc>
        <w:tc>
          <w:tcPr>
            <w:tcW w:w="0" w:type="auto"/>
            <w:shd w:val="clear" w:color="auto" w:fill="auto"/>
          </w:tcPr>
          <w:p w14:paraId="0D8DF142" w14:textId="77777777" w:rsidR="004C2197" w:rsidRDefault="004C2197">
            <w:pPr>
              <w:rPr>
                <w:rFonts w:ascii="宋体"/>
              </w:rPr>
            </w:pPr>
          </w:p>
        </w:tc>
        <w:tc>
          <w:tcPr>
            <w:tcW w:w="0" w:type="auto"/>
            <w:shd w:val="clear" w:color="auto" w:fill="auto"/>
          </w:tcPr>
          <w:p w14:paraId="0D8DF143" w14:textId="77777777" w:rsidR="004C2197" w:rsidRDefault="004C2197">
            <w:pPr>
              <w:rPr>
                <w:rFonts w:ascii="宋体"/>
              </w:rPr>
            </w:pPr>
          </w:p>
        </w:tc>
        <w:tc>
          <w:tcPr>
            <w:tcW w:w="0" w:type="auto"/>
            <w:shd w:val="clear" w:color="auto" w:fill="auto"/>
          </w:tcPr>
          <w:p w14:paraId="0D8DF144" w14:textId="77777777" w:rsidR="004C2197" w:rsidRDefault="004C2197">
            <w:pPr>
              <w:rPr>
                <w:rFonts w:ascii="宋体"/>
              </w:rPr>
            </w:pPr>
          </w:p>
        </w:tc>
        <w:tc>
          <w:tcPr>
            <w:tcW w:w="0" w:type="auto"/>
            <w:shd w:val="clear" w:color="auto" w:fill="auto"/>
          </w:tcPr>
          <w:p w14:paraId="0D8DF145" w14:textId="77777777" w:rsidR="004C2197" w:rsidRDefault="004C2197">
            <w:pPr>
              <w:rPr>
                <w:rFonts w:ascii="宋体"/>
              </w:rPr>
            </w:pPr>
          </w:p>
        </w:tc>
        <w:tc>
          <w:tcPr>
            <w:tcW w:w="0" w:type="auto"/>
            <w:shd w:val="clear" w:color="auto" w:fill="auto"/>
          </w:tcPr>
          <w:p w14:paraId="0D8DF146" w14:textId="77777777" w:rsidR="004C2197" w:rsidRDefault="004C2197">
            <w:pPr>
              <w:rPr>
                <w:rFonts w:ascii="宋体"/>
              </w:rPr>
            </w:pPr>
          </w:p>
        </w:tc>
        <w:tc>
          <w:tcPr>
            <w:tcW w:w="0" w:type="auto"/>
            <w:shd w:val="clear" w:color="auto" w:fill="auto"/>
          </w:tcPr>
          <w:p w14:paraId="0D8DF147" w14:textId="77777777" w:rsidR="004C2197" w:rsidRDefault="004C2197">
            <w:pPr>
              <w:rPr>
                <w:rFonts w:ascii="宋体"/>
              </w:rPr>
            </w:pPr>
          </w:p>
        </w:tc>
        <w:tc>
          <w:tcPr>
            <w:tcW w:w="0" w:type="auto"/>
            <w:shd w:val="clear" w:color="auto" w:fill="auto"/>
          </w:tcPr>
          <w:p w14:paraId="0D8DF148" w14:textId="77777777" w:rsidR="004C2197" w:rsidRDefault="004C2197">
            <w:pPr>
              <w:rPr>
                <w:rFonts w:ascii="宋体"/>
              </w:rPr>
            </w:pPr>
          </w:p>
        </w:tc>
        <w:tc>
          <w:tcPr>
            <w:tcW w:w="0" w:type="auto"/>
            <w:shd w:val="clear" w:color="auto" w:fill="auto"/>
          </w:tcPr>
          <w:p w14:paraId="0D8DF149" w14:textId="77777777" w:rsidR="004C2197" w:rsidRDefault="004C2197">
            <w:pPr>
              <w:rPr>
                <w:rFonts w:ascii="宋体"/>
              </w:rPr>
            </w:pPr>
          </w:p>
        </w:tc>
        <w:tc>
          <w:tcPr>
            <w:tcW w:w="0" w:type="auto"/>
            <w:shd w:val="clear" w:color="auto" w:fill="auto"/>
          </w:tcPr>
          <w:p w14:paraId="0D8DF14A" w14:textId="77777777" w:rsidR="004C2197" w:rsidRDefault="004C2197">
            <w:pPr>
              <w:rPr>
                <w:rFonts w:ascii="宋体"/>
              </w:rPr>
            </w:pPr>
          </w:p>
        </w:tc>
      </w:tr>
      <w:tr w:rsidR="004C2197" w14:paraId="0D8DF16A" w14:textId="77777777">
        <w:tc>
          <w:tcPr>
            <w:tcW w:w="0" w:type="auto"/>
            <w:gridSpan w:val="3"/>
            <w:shd w:val="clear" w:color="auto" w:fill="FFFFFF"/>
            <w:tcMar>
              <w:top w:w="40" w:type="dxa"/>
              <w:left w:w="20" w:type="dxa"/>
              <w:bottom w:w="40" w:type="dxa"/>
              <w:right w:w="20" w:type="dxa"/>
            </w:tcMar>
            <w:vAlign w:val="bottom"/>
          </w:tcPr>
          <w:p w14:paraId="0D8DF14C" w14:textId="77777777" w:rsidR="004C2197" w:rsidRDefault="00863B83">
            <w:pPr>
              <w:textAlignment w:val="bottom"/>
            </w:pPr>
            <w:r>
              <w:rPr>
                <w:rFonts w:ascii="sans-serif" w:eastAsia="sans-serif" w:hAnsi="sans-serif" w:cs="sans-serif"/>
                <w:color w:val="000000"/>
                <w:sz w:val="20"/>
                <w:szCs w:val="20"/>
              </w:rPr>
              <w:t xml:space="preserve">Equity awards excluded from diluted net income per share because their effect would have been </w:t>
            </w:r>
            <w:r>
              <w:rPr>
                <w:rFonts w:ascii="sans-serif" w:eastAsia="sans-serif" w:hAnsi="sans-serif" w:cs="sans-serif"/>
                <w:color w:val="000000"/>
                <w:sz w:val="20"/>
                <w:szCs w:val="20"/>
              </w:rPr>
              <w:t>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F14D" w14:textId="77777777" w:rsidR="004C2197" w:rsidRDefault="00863B83">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FFFFFF"/>
            <w:tcMar>
              <w:top w:w="40" w:type="dxa"/>
              <w:bottom w:w="40" w:type="dxa"/>
              <w:right w:w="20" w:type="dxa"/>
            </w:tcMar>
            <w:vAlign w:val="bottom"/>
          </w:tcPr>
          <w:p w14:paraId="0D8DF14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4F" w14:textId="77777777" w:rsidR="004C2197" w:rsidRDefault="004C219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F150" w14:textId="77777777" w:rsidR="004C2197" w:rsidRDefault="00863B83">
            <w:pPr>
              <w:jc w:val="right"/>
              <w:textAlignment w:val="bottom"/>
            </w:pPr>
            <w:r>
              <w:rPr>
                <w:rFonts w:ascii="sans-serif" w:eastAsia="sans-serif" w:hAnsi="sans-serif" w:cs="sans-serif"/>
                <w:color w:val="000000"/>
                <w:sz w:val="20"/>
                <w:szCs w:val="20"/>
              </w:rPr>
              <w:t>11 </w:t>
            </w:r>
          </w:p>
        </w:tc>
        <w:tc>
          <w:tcPr>
            <w:tcW w:w="0" w:type="auto"/>
            <w:tcBorders>
              <w:top w:val="double" w:sz="6" w:space="0" w:color="000000"/>
            </w:tcBorders>
            <w:shd w:val="clear" w:color="auto" w:fill="FFFFFF"/>
            <w:tcMar>
              <w:top w:w="40" w:type="dxa"/>
              <w:bottom w:w="40" w:type="dxa"/>
              <w:right w:w="20" w:type="dxa"/>
            </w:tcMar>
            <w:vAlign w:val="bottom"/>
          </w:tcPr>
          <w:p w14:paraId="0D8DF15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52" w14:textId="77777777" w:rsidR="004C2197" w:rsidRDefault="004C219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F153" w14:textId="77777777" w:rsidR="004C2197" w:rsidRDefault="00863B83">
            <w:pPr>
              <w:jc w:val="right"/>
              <w:textAlignment w:val="bottom"/>
            </w:pPr>
            <w:r>
              <w:rPr>
                <w:rFonts w:ascii="sans-serif" w:eastAsia="sans-serif" w:hAnsi="sans-serif" w:cs="sans-serif"/>
                <w:color w:val="000000"/>
                <w:sz w:val="20"/>
                <w:szCs w:val="20"/>
              </w:rPr>
              <w:t>6 </w:t>
            </w:r>
          </w:p>
        </w:tc>
        <w:tc>
          <w:tcPr>
            <w:tcW w:w="0" w:type="auto"/>
            <w:tcBorders>
              <w:top w:val="double" w:sz="6" w:space="0" w:color="000000"/>
            </w:tcBorders>
            <w:shd w:val="clear" w:color="auto" w:fill="FFFFFF"/>
            <w:tcMar>
              <w:top w:w="40" w:type="dxa"/>
              <w:bottom w:w="40" w:type="dxa"/>
              <w:right w:w="20" w:type="dxa"/>
            </w:tcMar>
            <w:vAlign w:val="bottom"/>
          </w:tcPr>
          <w:p w14:paraId="0D8DF15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155" w14:textId="77777777" w:rsidR="004C2197" w:rsidRDefault="004C219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D8DF156" w14:textId="77777777" w:rsidR="004C2197" w:rsidRDefault="00863B83">
            <w:pPr>
              <w:jc w:val="right"/>
              <w:textAlignment w:val="bottom"/>
            </w:pPr>
            <w:r>
              <w:rPr>
                <w:rFonts w:ascii="sans-serif" w:eastAsia="sans-serif" w:hAnsi="sans-serif" w:cs="sans-serif"/>
                <w:color w:val="000000"/>
                <w:sz w:val="20"/>
                <w:szCs w:val="20"/>
              </w:rPr>
              <w:t>12 </w:t>
            </w:r>
          </w:p>
        </w:tc>
        <w:tc>
          <w:tcPr>
            <w:tcW w:w="0" w:type="auto"/>
            <w:tcBorders>
              <w:top w:val="double" w:sz="6" w:space="0" w:color="000000"/>
            </w:tcBorders>
            <w:shd w:val="clear" w:color="auto" w:fill="FFFFFF"/>
            <w:tcMar>
              <w:top w:w="40" w:type="dxa"/>
              <w:bottom w:w="40" w:type="dxa"/>
              <w:right w:w="20" w:type="dxa"/>
            </w:tcMar>
            <w:vAlign w:val="bottom"/>
          </w:tcPr>
          <w:p w14:paraId="0D8DF157" w14:textId="77777777" w:rsidR="004C2197" w:rsidRDefault="004C2197">
            <w:pPr>
              <w:jc w:val="right"/>
              <w:rPr>
                <w:rFonts w:ascii="宋体"/>
              </w:rPr>
            </w:pPr>
          </w:p>
        </w:tc>
        <w:tc>
          <w:tcPr>
            <w:tcW w:w="0" w:type="auto"/>
            <w:shd w:val="clear" w:color="auto" w:fill="auto"/>
          </w:tcPr>
          <w:p w14:paraId="0D8DF158" w14:textId="77777777" w:rsidR="004C2197" w:rsidRDefault="004C2197">
            <w:pPr>
              <w:rPr>
                <w:rFonts w:ascii="宋体"/>
              </w:rPr>
            </w:pPr>
          </w:p>
        </w:tc>
        <w:tc>
          <w:tcPr>
            <w:tcW w:w="0" w:type="auto"/>
            <w:shd w:val="clear" w:color="auto" w:fill="auto"/>
          </w:tcPr>
          <w:p w14:paraId="0D8DF159" w14:textId="77777777" w:rsidR="004C2197" w:rsidRDefault="004C2197">
            <w:pPr>
              <w:rPr>
                <w:rFonts w:ascii="宋体"/>
              </w:rPr>
            </w:pPr>
          </w:p>
        </w:tc>
        <w:tc>
          <w:tcPr>
            <w:tcW w:w="0" w:type="auto"/>
            <w:shd w:val="clear" w:color="auto" w:fill="auto"/>
          </w:tcPr>
          <w:p w14:paraId="0D8DF15A" w14:textId="77777777" w:rsidR="004C2197" w:rsidRDefault="004C2197">
            <w:pPr>
              <w:rPr>
                <w:rFonts w:ascii="宋体"/>
              </w:rPr>
            </w:pPr>
          </w:p>
        </w:tc>
        <w:tc>
          <w:tcPr>
            <w:tcW w:w="0" w:type="auto"/>
            <w:shd w:val="clear" w:color="auto" w:fill="auto"/>
          </w:tcPr>
          <w:p w14:paraId="0D8DF15B" w14:textId="77777777" w:rsidR="004C2197" w:rsidRDefault="004C2197">
            <w:pPr>
              <w:rPr>
                <w:rFonts w:ascii="宋体"/>
              </w:rPr>
            </w:pPr>
          </w:p>
        </w:tc>
        <w:tc>
          <w:tcPr>
            <w:tcW w:w="0" w:type="auto"/>
            <w:shd w:val="clear" w:color="auto" w:fill="auto"/>
          </w:tcPr>
          <w:p w14:paraId="0D8DF15C" w14:textId="77777777" w:rsidR="004C2197" w:rsidRDefault="004C2197">
            <w:pPr>
              <w:rPr>
                <w:rFonts w:ascii="宋体"/>
              </w:rPr>
            </w:pPr>
          </w:p>
        </w:tc>
        <w:tc>
          <w:tcPr>
            <w:tcW w:w="0" w:type="auto"/>
            <w:shd w:val="clear" w:color="auto" w:fill="auto"/>
          </w:tcPr>
          <w:p w14:paraId="0D8DF15D" w14:textId="77777777" w:rsidR="004C2197" w:rsidRDefault="004C2197">
            <w:pPr>
              <w:rPr>
                <w:rFonts w:ascii="宋体"/>
              </w:rPr>
            </w:pPr>
          </w:p>
        </w:tc>
        <w:tc>
          <w:tcPr>
            <w:tcW w:w="0" w:type="auto"/>
            <w:shd w:val="clear" w:color="auto" w:fill="auto"/>
          </w:tcPr>
          <w:p w14:paraId="0D8DF15E" w14:textId="77777777" w:rsidR="004C2197" w:rsidRDefault="004C2197">
            <w:pPr>
              <w:rPr>
                <w:rFonts w:ascii="宋体"/>
              </w:rPr>
            </w:pPr>
          </w:p>
        </w:tc>
        <w:tc>
          <w:tcPr>
            <w:tcW w:w="0" w:type="auto"/>
            <w:shd w:val="clear" w:color="auto" w:fill="auto"/>
          </w:tcPr>
          <w:p w14:paraId="0D8DF15F" w14:textId="77777777" w:rsidR="004C2197" w:rsidRDefault="004C2197">
            <w:pPr>
              <w:rPr>
                <w:rFonts w:ascii="宋体"/>
              </w:rPr>
            </w:pPr>
          </w:p>
        </w:tc>
        <w:tc>
          <w:tcPr>
            <w:tcW w:w="0" w:type="auto"/>
            <w:shd w:val="clear" w:color="auto" w:fill="auto"/>
          </w:tcPr>
          <w:p w14:paraId="0D8DF160" w14:textId="77777777" w:rsidR="004C2197" w:rsidRDefault="004C2197">
            <w:pPr>
              <w:rPr>
                <w:rFonts w:ascii="宋体"/>
              </w:rPr>
            </w:pPr>
          </w:p>
        </w:tc>
        <w:tc>
          <w:tcPr>
            <w:tcW w:w="0" w:type="auto"/>
            <w:shd w:val="clear" w:color="auto" w:fill="auto"/>
          </w:tcPr>
          <w:p w14:paraId="0D8DF161" w14:textId="77777777" w:rsidR="004C2197" w:rsidRDefault="004C2197">
            <w:pPr>
              <w:rPr>
                <w:rFonts w:ascii="宋体"/>
              </w:rPr>
            </w:pPr>
          </w:p>
        </w:tc>
        <w:tc>
          <w:tcPr>
            <w:tcW w:w="0" w:type="auto"/>
            <w:shd w:val="clear" w:color="auto" w:fill="auto"/>
          </w:tcPr>
          <w:p w14:paraId="0D8DF162" w14:textId="77777777" w:rsidR="004C2197" w:rsidRDefault="004C2197">
            <w:pPr>
              <w:rPr>
                <w:rFonts w:ascii="宋体"/>
              </w:rPr>
            </w:pPr>
          </w:p>
        </w:tc>
        <w:tc>
          <w:tcPr>
            <w:tcW w:w="0" w:type="auto"/>
            <w:shd w:val="clear" w:color="auto" w:fill="auto"/>
          </w:tcPr>
          <w:p w14:paraId="0D8DF163" w14:textId="77777777" w:rsidR="004C2197" w:rsidRDefault="004C2197">
            <w:pPr>
              <w:rPr>
                <w:rFonts w:ascii="宋体"/>
              </w:rPr>
            </w:pPr>
          </w:p>
        </w:tc>
        <w:tc>
          <w:tcPr>
            <w:tcW w:w="0" w:type="auto"/>
            <w:shd w:val="clear" w:color="auto" w:fill="auto"/>
          </w:tcPr>
          <w:p w14:paraId="0D8DF164" w14:textId="77777777" w:rsidR="004C2197" w:rsidRDefault="004C2197">
            <w:pPr>
              <w:rPr>
                <w:rFonts w:ascii="宋体"/>
              </w:rPr>
            </w:pPr>
          </w:p>
        </w:tc>
        <w:tc>
          <w:tcPr>
            <w:tcW w:w="0" w:type="auto"/>
            <w:shd w:val="clear" w:color="auto" w:fill="auto"/>
          </w:tcPr>
          <w:p w14:paraId="0D8DF165" w14:textId="77777777" w:rsidR="004C2197" w:rsidRDefault="004C2197">
            <w:pPr>
              <w:rPr>
                <w:rFonts w:ascii="宋体"/>
              </w:rPr>
            </w:pPr>
          </w:p>
        </w:tc>
        <w:tc>
          <w:tcPr>
            <w:tcW w:w="0" w:type="auto"/>
            <w:shd w:val="clear" w:color="auto" w:fill="auto"/>
          </w:tcPr>
          <w:p w14:paraId="0D8DF166" w14:textId="77777777" w:rsidR="004C2197" w:rsidRDefault="004C2197">
            <w:pPr>
              <w:rPr>
                <w:rFonts w:ascii="宋体"/>
              </w:rPr>
            </w:pPr>
          </w:p>
        </w:tc>
        <w:tc>
          <w:tcPr>
            <w:tcW w:w="0" w:type="auto"/>
            <w:shd w:val="clear" w:color="auto" w:fill="auto"/>
          </w:tcPr>
          <w:p w14:paraId="0D8DF167" w14:textId="77777777" w:rsidR="004C2197" w:rsidRDefault="004C2197">
            <w:pPr>
              <w:rPr>
                <w:rFonts w:ascii="宋体"/>
              </w:rPr>
            </w:pPr>
          </w:p>
        </w:tc>
        <w:tc>
          <w:tcPr>
            <w:tcW w:w="0" w:type="auto"/>
            <w:shd w:val="clear" w:color="auto" w:fill="auto"/>
          </w:tcPr>
          <w:p w14:paraId="0D8DF168" w14:textId="77777777" w:rsidR="004C2197" w:rsidRDefault="004C2197">
            <w:pPr>
              <w:rPr>
                <w:rFonts w:ascii="宋体"/>
              </w:rPr>
            </w:pPr>
          </w:p>
        </w:tc>
        <w:tc>
          <w:tcPr>
            <w:tcW w:w="0" w:type="auto"/>
            <w:shd w:val="clear" w:color="auto" w:fill="auto"/>
          </w:tcPr>
          <w:p w14:paraId="0D8DF169" w14:textId="77777777" w:rsidR="004C2197" w:rsidRDefault="004C2197">
            <w:pPr>
              <w:rPr>
                <w:rFonts w:ascii="宋体"/>
              </w:rPr>
            </w:pPr>
          </w:p>
        </w:tc>
      </w:tr>
    </w:tbl>
    <w:p w14:paraId="0D8DF16B" w14:textId="77777777" w:rsidR="004C2197" w:rsidRDefault="00863B83">
      <w:pPr>
        <w:spacing w:after="60"/>
        <w:ind w:hanging="360"/>
        <w:jc w:val="both"/>
      </w:pPr>
      <w:r>
        <w:rPr>
          <w:rFonts w:ascii="sans-serif" w:eastAsia="sans-serif" w:hAnsi="sans-serif" w:cs="sans-serif"/>
          <w:color w:val="000000"/>
          <w:sz w:val="16"/>
          <w:szCs w:val="16"/>
        </w:rPr>
        <w:t>(1) Calculated as net income divided by basic weighted average shares.</w:t>
      </w:r>
    </w:p>
    <w:p w14:paraId="0D8DF16C" w14:textId="77777777" w:rsidR="004C2197" w:rsidRDefault="00863B83">
      <w:pPr>
        <w:spacing w:after="180"/>
        <w:ind w:hanging="360"/>
        <w:jc w:val="both"/>
      </w:pPr>
      <w:r>
        <w:rPr>
          <w:rFonts w:ascii="sans-serif" w:eastAsia="sans-serif" w:hAnsi="sans-serif" w:cs="sans-serif"/>
          <w:color w:val="000000"/>
          <w:sz w:val="16"/>
          <w:szCs w:val="16"/>
        </w:rPr>
        <w:t>(2) Calculated as net income divided by diluted weighted average shares.</w:t>
      </w:r>
    </w:p>
    <w:p w14:paraId="0D8DF16D" w14:textId="77777777" w:rsidR="004C2197" w:rsidRDefault="004C2197">
      <w:pPr>
        <w:spacing w:after="180"/>
        <w:ind w:hanging="360"/>
        <w:jc w:val="both"/>
      </w:pPr>
    </w:p>
    <w:p w14:paraId="0D8DF16E" w14:textId="77777777" w:rsidR="004C2197" w:rsidRDefault="00863B83">
      <w:pPr>
        <w:spacing w:before="240" w:after="120"/>
        <w:jc w:val="both"/>
      </w:pPr>
      <w:r>
        <w:rPr>
          <w:rFonts w:ascii="sans-serif" w:eastAsia="sans-serif" w:hAnsi="sans-serif" w:cs="sans-serif"/>
          <w:b/>
          <w:bCs/>
          <w:color w:val="76B900"/>
          <w:sz w:val="22"/>
          <w:szCs w:val="22"/>
        </w:rPr>
        <w:t>Note 6 – Income Taxes</w:t>
      </w:r>
    </w:p>
    <w:p w14:paraId="0D8DF16F" w14:textId="77777777" w:rsidR="004C2197" w:rsidRDefault="00863B83">
      <w:pPr>
        <w:spacing w:after="180"/>
        <w:jc w:val="both"/>
      </w:pPr>
      <w:r>
        <w:rPr>
          <w:rFonts w:ascii="sans-serif" w:eastAsia="sans-serif" w:hAnsi="sans-serif" w:cs="sans-serif"/>
          <w:color w:val="000000"/>
          <w:sz w:val="20"/>
          <w:szCs w:val="20"/>
        </w:rPr>
        <w:t>We recognized an income tax benefit of $13 million and an income tax expense of $52 million for the second quarter and first half of fiscal year 2021, respectively, and an income tax expense of $54 million and $48 million for the sec</w:t>
      </w:r>
      <w:r>
        <w:rPr>
          <w:rFonts w:ascii="sans-serif" w:eastAsia="sans-serif" w:hAnsi="sans-serif" w:cs="sans-serif"/>
          <w:color w:val="000000"/>
          <w:sz w:val="20"/>
          <w:szCs w:val="20"/>
        </w:rPr>
        <w:t>ond quarter and first half of fiscal year 2020, respectively. The income tax benefit as a percentage of income before income tax was 2.0% for the second quarter of fiscal year 2021. The income tax expense as a percentage of income before income tax was 3.3</w:t>
      </w:r>
      <w:r>
        <w:rPr>
          <w:rFonts w:ascii="sans-serif" w:eastAsia="sans-serif" w:hAnsi="sans-serif" w:cs="sans-serif"/>
          <w:color w:val="000000"/>
          <w:sz w:val="20"/>
          <w:szCs w:val="20"/>
        </w:rPr>
        <w:t>% for the first half of fiscal year 2021, and 8.8% and 4.9% for the second quarter and first half of fiscal year 2020, respectively.</w:t>
      </w:r>
    </w:p>
    <w:p w14:paraId="0D8DF170" w14:textId="77777777" w:rsidR="004C2197" w:rsidRDefault="00863B83">
      <w:pPr>
        <w:spacing w:after="180"/>
        <w:jc w:val="both"/>
      </w:pPr>
      <w:r>
        <w:rPr>
          <w:rFonts w:ascii="sans-serif" w:eastAsia="sans-serif" w:hAnsi="sans-serif" w:cs="sans-serif"/>
          <w:color w:val="000000"/>
          <w:sz w:val="20"/>
          <w:szCs w:val="20"/>
        </w:rPr>
        <w:t>The decrease in our effective tax rate for the second quarter and first half of fiscal year 2021 as compared to the same pe</w:t>
      </w:r>
      <w:r>
        <w:rPr>
          <w:rFonts w:ascii="sans-serif" w:eastAsia="sans-serif" w:hAnsi="sans-serif" w:cs="sans-serif"/>
          <w:color w:val="000000"/>
          <w:sz w:val="20"/>
          <w:szCs w:val="20"/>
        </w:rPr>
        <w:t xml:space="preserve">riods of fiscal year 2020 was primarily due to a decrease in the proportional amount of earnings subject to United States tax and an increase of tax benefits from stock-based compensation and the U.S. federal research tax credit. </w:t>
      </w:r>
    </w:p>
    <w:p w14:paraId="0D8DF171" w14:textId="77777777" w:rsidR="004C2197" w:rsidRDefault="00863B83">
      <w:pPr>
        <w:spacing w:after="180"/>
        <w:jc w:val="both"/>
      </w:pPr>
      <w:r>
        <w:rPr>
          <w:rFonts w:ascii="sans-serif" w:eastAsia="sans-serif" w:hAnsi="sans-serif" w:cs="sans-serif"/>
          <w:color w:val="000000"/>
          <w:sz w:val="20"/>
          <w:szCs w:val="20"/>
        </w:rPr>
        <w:t>Our effective tax rates f</w:t>
      </w:r>
      <w:r>
        <w:rPr>
          <w:rFonts w:ascii="sans-serif" w:eastAsia="sans-serif" w:hAnsi="sans-serif" w:cs="sans-serif"/>
          <w:color w:val="000000"/>
          <w:sz w:val="20"/>
          <w:szCs w:val="20"/>
        </w:rPr>
        <w:t>or the first half of fiscal years 2021 and 2020 were lower than the U.S. federal statutory rate of 21% due to income earned in jurisdictions that are subject to taxes lower than the U.S. federal statutory tax rate, tax benefits related to stock-based compe</w:t>
      </w:r>
      <w:r>
        <w:rPr>
          <w:rFonts w:ascii="sans-serif" w:eastAsia="sans-serif" w:hAnsi="sans-serif" w:cs="sans-serif"/>
          <w:color w:val="000000"/>
          <w:sz w:val="20"/>
          <w:szCs w:val="20"/>
        </w:rPr>
        <w:t>nsation, and the benefit of the U.S. federal research tax credit.</w:t>
      </w:r>
    </w:p>
    <w:p w14:paraId="0D8DF172" w14:textId="77777777" w:rsidR="004C2197" w:rsidRDefault="00863B83">
      <w:pPr>
        <w:spacing w:after="180"/>
        <w:jc w:val="both"/>
      </w:pPr>
      <w:r>
        <w:rPr>
          <w:rFonts w:ascii="sans-serif" w:eastAsia="sans-serif" w:hAnsi="sans-serif" w:cs="sans-serif"/>
          <w:color w:val="000000"/>
          <w:sz w:val="20"/>
          <w:szCs w:val="20"/>
        </w:rPr>
        <w:t>During the second quarter of fiscal year 2021, we completed the acquisition of Mellanox. As a result of the acquisition, we recorded $256 million of net deferred tax liabilities primarily on</w:t>
      </w:r>
      <w:r>
        <w:rPr>
          <w:rFonts w:ascii="sans-serif" w:eastAsia="sans-serif" w:hAnsi="sans-serif" w:cs="sans-serif"/>
          <w:color w:val="000000"/>
          <w:sz w:val="20"/>
          <w:szCs w:val="20"/>
        </w:rPr>
        <w:t xml:space="preserve"> the excess of book basis over the tax basis of the acquired intangible assets and undistributed earnings in certain foreign subsidiaries. We also recorded $153 million of long-term tax liabilities related to tax basis differences in Mellanox. The net defe</w:t>
      </w:r>
      <w:r>
        <w:rPr>
          <w:rFonts w:ascii="sans-serif" w:eastAsia="sans-serif" w:hAnsi="sans-serif" w:cs="sans-serif"/>
          <w:color w:val="000000"/>
          <w:sz w:val="20"/>
          <w:szCs w:val="20"/>
        </w:rPr>
        <w:t>rred tax liabilities and long-term tax liabilities are based upon certain assumptions underlying our purchase price allocation. Upon finalization of the purchase price allocation, additional adjustments to the amount of our net deferred taxes and long-term</w:t>
      </w:r>
      <w:r>
        <w:rPr>
          <w:rFonts w:ascii="sans-serif" w:eastAsia="sans-serif" w:hAnsi="sans-serif" w:cs="sans-serif"/>
          <w:color w:val="000000"/>
          <w:sz w:val="20"/>
          <w:szCs w:val="20"/>
        </w:rPr>
        <w:t xml:space="preserve"> tax liabilities may be required.</w:t>
      </w:r>
    </w:p>
    <w:p w14:paraId="0D8DF173" w14:textId="77777777" w:rsidR="004C2197" w:rsidRDefault="00863B83">
      <w:pPr>
        <w:spacing w:after="180"/>
        <w:jc w:val="both"/>
      </w:pPr>
      <w:r>
        <w:rPr>
          <w:rFonts w:ascii="sans-serif" w:eastAsia="sans-serif" w:hAnsi="sans-serif" w:cs="sans-serif"/>
          <w:color w:val="000000"/>
          <w:sz w:val="20"/>
          <w:szCs w:val="20"/>
        </w:rPr>
        <w:t xml:space="preserve">As of July 26, 2020, we intend to indefinitely reinvest approximately $675 million of cumulative undistributed earnings held by Mellanox non-U.S. subsidiaries. We have not provided the amount of unrecognized </w:t>
      </w:r>
      <w:r>
        <w:rPr>
          <w:rFonts w:ascii="sans-serif" w:eastAsia="sans-serif" w:hAnsi="sans-serif" w:cs="sans-serif"/>
          <w:color w:val="000000"/>
          <w:sz w:val="20"/>
          <w:szCs w:val="20"/>
        </w:rPr>
        <w:t>deferred tax liabilities for temporary differences related to investments in Mellanox non-U.S. subsidiaries as the determination of such amount is not practicable.</w:t>
      </w:r>
    </w:p>
    <w:p w14:paraId="0D8DF174" w14:textId="77777777" w:rsidR="004C2197" w:rsidRDefault="00863B83">
      <w:pPr>
        <w:spacing w:after="180"/>
        <w:jc w:val="center"/>
      </w:pPr>
      <w:r>
        <w:rPr>
          <w:rFonts w:ascii="sans-serif" w:eastAsia="sans-serif" w:hAnsi="sans-serif" w:cs="sans-serif"/>
          <w:color w:val="000000"/>
          <w:sz w:val="20"/>
          <w:szCs w:val="20"/>
        </w:rPr>
        <w:t>15</w:t>
      </w:r>
    </w:p>
    <w:p w14:paraId="0D8DF175" w14:textId="77777777" w:rsidR="004C2197" w:rsidRDefault="00863B83">
      <w:r>
        <w:pict w14:anchorId="0D8E0CB3">
          <v:rect id="_x0000_i1039" style="width:415.3pt;height:1.5pt" o:hralign="center" o:hrstd="t" o:hr="t" fillcolor="#a0a0a0" stroked="f"/>
        </w:pict>
      </w:r>
    </w:p>
    <w:p w14:paraId="0D8DF176" w14:textId="77777777" w:rsidR="004C2197" w:rsidRDefault="00863B83">
      <w:pPr>
        <w:jc w:val="center"/>
      </w:pPr>
      <w:r>
        <w:rPr>
          <w:rFonts w:ascii="sans-serif" w:eastAsia="sans-serif" w:hAnsi="sans-serif" w:cs="sans-serif"/>
          <w:b/>
          <w:bCs/>
          <w:color w:val="000000"/>
          <w:sz w:val="20"/>
          <w:szCs w:val="20"/>
        </w:rPr>
        <w:t>NVIDIA CORPORATION AND SUBSIDIARIES</w:t>
      </w:r>
    </w:p>
    <w:p w14:paraId="0D8DF177" w14:textId="77777777" w:rsidR="004C2197" w:rsidRDefault="00863B83">
      <w:pPr>
        <w:jc w:val="center"/>
      </w:pPr>
      <w:r>
        <w:rPr>
          <w:rFonts w:ascii="sans-serif" w:eastAsia="sans-serif" w:hAnsi="sans-serif" w:cs="sans-serif"/>
          <w:b/>
          <w:bCs/>
          <w:color w:val="000000"/>
          <w:sz w:val="20"/>
          <w:szCs w:val="20"/>
        </w:rPr>
        <w:t>NOTES TO CONDENSED CONSOLIDATED FINANCIAL STATEMENT</w:t>
      </w:r>
      <w:r>
        <w:rPr>
          <w:rFonts w:ascii="sans-serif" w:eastAsia="sans-serif" w:hAnsi="sans-serif" w:cs="sans-serif"/>
          <w:b/>
          <w:bCs/>
          <w:color w:val="000000"/>
          <w:sz w:val="20"/>
          <w:szCs w:val="20"/>
        </w:rPr>
        <w:t>S (Continued)</w:t>
      </w:r>
    </w:p>
    <w:p w14:paraId="0D8DF178" w14:textId="77777777" w:rsidR="004C2197" w:rsidRDefault="00863B83">
      <w:pPr>
        <w:jc w:val="center"/>
      </w:pPr>
      <w:r>
        <w:rPr>
          <w:rFonts w:ascii="sans-serif" w:eastAsia="sans-serif" w:hAnsi="sans-serif" w:cs="sans-serif"/>
          <w:b/>
          <w:bCs/>
          <w:color w:val="000000"/>
          <w:sz w:val="20"/>
          <w:szCs w:val="20"/>
        </w:rPr>
        <w:t>(Unaudited)</w:t>
      </w:r>
    </w:p>
    <w:p w14:paraId="0D8DF179" w14:textId="77777777" w:rsidR="004C2197" w:rsidRDefault="004C2197">
      <w:pPr>
        <w:spacing w:after="180"/>
        <w:jc w:val="both"/>
      </w:pPr>
    </w:p>
    <w:p w14:paraId="0D8DF17A" w14:textId="77777777" w:rsidR="004C2197" w:rsidRDefault="004C2197">
      <w:pPr>
        <w:spacing w:after="180"/>
        <w:jc w:val="both"/>
      </w:pPr>
    </w:p>
    <w:p w14:paraId="0D8DF17B" w14:textId="77777777" w:rsidR="004C2197" w:rsidRDefault="00863B83">
      <w:pPr>
        <w:spacing w:after="180"/>
        <w:jc w:val="both"/>
      </w:pPr>
      <w:r>
        <w:rPr>
          <w:rFonts w:ascii="sans-serif" w:eastAsia="sans-serif" w:hAnsi="sans-serif" w:cs="sans-serif"/>
          <w:color w:val="000000"/>
          <w:sz w:val="20"/>
          <w:szCs w:val="20"/>
        </w:rPr>
        <w:t>For the first half of fiscal year 2021, there have been no material changes to our tax years that remain subject to examination by major tax jurisdictions. We are currently under examination by the Internal Revenue Service for o</w:t>
      </w:r>
      <w:r>
        <w:rPr>
          <w:rFonts w:ascii="sans-serif" w:eastAsia="sans-serif" w:hAnsi="sans-serif" w:cs="sans-serif"/>
          <w:color w:val="000000"/>
          <w:sz w:val="20"/>
          <w:szCs w:val="20"/>
        </w:rPr>
        <w:t>ur fiscal years 2018 and 2019. In the second quarter of fiscal year 2021, we assumed $59 million of unrecognized tax benefits and $4 million of related interest through the Mellanox acquisition. Other than these amounts, there have been no material changes</w:t>
      </w:r>
      <w:r>
        <w:rPr>
          <w:rFonts w:ascii="sans-serif" w:eastAsia="sans-serif" w:hAnsi="sans-serif" w:cs="sans-serif"/>
          <w:color w:val="000000"/>
          <w:sz w:val="20"/>
          <w:szCs w:val="20"/>
        </w:rPr>
        <w:t xml:space="preserve"> to our unrecognized tax benefits and any related interest or penalties since the fiscal year ended January 26, 2020.</w:t>
      </w:r>
    </w:p>
    <w:p w14:paraId="0D8DF17C" w14:textId="77777777" w:rsidR="004C2197" w:rsidRDefault="00863B83">
      <w:pPr>
        <w:spacing w:after="180"/>
        <w:jc w:val="both"/>
      </w:pPr>
      <w:r>
        <w:rPr>
          <w:rFonts w:ascii="sans-serif" w:eastAsia="sans-serif" w:hAnsi="sans-serif" w:cs="sans-serif"/>
          <w:color w:val="000000"/>
          <w:sz w:val="20"/>
          <w:szCs w:val="20"/>
        </w:rPr>
        <w:t>While we believe that we have adequately provided for all uncertain tax positions, or tax positions where we believe it is not more-likely</w:t>
      </w:r>
      <w:r>
        <w:rPr>
          <w:rFonts w:ascii="sans-serif" w:eastAsia="sans-serif" w:hAnsi="sans-serif" w:cs="sans-serif"/>
          <w:color w:val="000000"/>
          <w:sz w:val="20"/>
          <w:szCs w:val="20"/>
        </w:rPr>
        <w:t>-than-not that the position will be sustained upon review, amounts asserted by tax authorities could be greater or less than our accrued position. Accordingly, our provisions on federal, state and foreign tax related matters to be recorded in the future ma</w:t>
      </w:r>
      <w:r>
        <w:rPr>
          <w:rFonts w:ascii="sans-serif" w:eastAsia="sans-serif" w:hAnsi="sans-serif" w:cs="sans-serif"/>
          <w:color w:val="000000"/>
          <w:sz w:val="20"/>
          <w:szCs w:val="20"/>
        </w:rPr>
        <w:t>y change as revised estimates are made or the underlying matters are settled or otherwise resolved with the respective tax authorities. As of July 26, 2020, we do not believe that our estimates, as otherwise provided for, on such tax positions will signifi</w:t>
      </w:r>
      <w:r>
        <w:rPr>
          <w:rFonts w:ascii="sans-serif" w:eastAsia="sans-serif" w:hAnsi="sans-serif" w:cs="sans-serif"/>
          <w:color w:val="000000"/>
          <w:sz w:val="20"/>
          <w:szCs w:val="20"/>
        </w:rPr>
        <w:t xml:space="preserve">cantly increase or decrease within the next twelve months. </w:t>
      </w:r>
    </w:p>
    <w:p w14:paraId="0D8DF17D" w14:textId="77777777" w:rsidR="004C2197" w:rsidRDefault="004C2197">
      <w:pPr>
        <w:spacing w:after="180"/>
        <w:jc w:val="both"/>
      </w:pPr>
    </w:p>
    <w:p w14:paraId="0D8DF17E" w14:textId="77777777" w:rsidR="004C2197" w:rsidRDefault="00863B83">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0D8DF17F" w14:textId="77777777" w:rsidR="004C2197" w:rsidRDefault="00863B83">
      <w:pPr>
        <w:spacing w:after="180"/>
        <w:jc w:val="both"/>
      </w:pPr>
      <w:r>
        <w:rPr>
          <w:rFonts w:ascii="sans-serif" w:eastAsia="sans-serif" w:hAnsi="sans-serif" w:cs="sans-serif"/>
          <w:color w:val="000000"/>
          <w:sz w:val="20"/>
          <w:szCs w:val="20"/>
        </w:rPr>
        <w:t>Our cash equivalents and marketable securities are classified as “available-for-sale” debt securities.</w:t>
      </w:r>
    </w:p>
    <w:p w14:paraId="0D8DF180" w14:textId="77777777" w:rsidR="004C2197" w:rsidRDefault="00863B83">
      <w:pPr>
        <w:spacing w:after="180"/>
        <w:jc w:val="both"/>
      </w:pPr>
      <w:r>
        <w:rPr>
          <w:rFonts w:ascii="sans-serif" w:eastAsia="sans-serif" w:hAnsi="sans-serif" w:cs="sans-serif"/>
          <w:color w:val="000000"/>
          <w:sz w:val="20"/>
          <w:szCs w:val="20"/>
        </w:rPr>
        <w:t>The following is a summary of cash equi</w:t>
      </w:r>
      <w:r>
        <w:rPr>
          <w:rFonts w:ascii="sans-serif" w:eastAsia="sans-serif" w:hAnsi="sans-serif" w:cs="sans-serif"/>
          <w:color w:val="000000"/>
          <w:sz w:val="20"/>
          <w:szCs w:val="20"/>
        </w:rPr>
        <w:t>valents and marketable securities as of July 26, 2020 and January 26, 2020:</w:t>
      </w:r>
    </w:p>
    <w:tbl>
      <w:tblPr>
        <w:tblW w:w="4971" w:type="pct"/>
        <w:tblCellMar>
          <w:top w:w="15" w:type="dxa"/>
          <w:left w:w="15" w:type="dxa"/>
          <w:bottom w:w="15" w:type="dxa"/>
          <w:right w:w="15" w:type="dxa"/>
        </w:tblCellMar>
        <w:tblLook w:val="04A0" w:firstRow="1" w:lastRow="0" w:firstColumn="1" w:lastColumn="0" w:noHBand="0" w:noVBand="1"/>
      </w:tblPr>
      <w:tblGrid>
        <w:gridCol w:w="38"/>
        <w:gridCol w:w="818"/>
        <w:gridCol w:w="35"/>
        <w:gridCol w:w="119"/>
        <w:gridCol w:w="669"/>
        <w:gridCol w:w="39"/>
        <w:gridCol w:w="37"/>
        <w:gridCol w:w="34"/>
        <w:gridCol w:w="34"/>
        <w:gridCol w:w="120"/>
        <w:gridCol w:w="691"/>
        <w:gridCol w:w="40"/>
        <w:gridCol w:w="37"/>
        <w:gridCol w:w="35"/>
        <w:gridCol w:w="35"/>
        <w:gridCol w:w="120"/>
        <w:gridCol w:w="688"/>
        <w:gridCol w:w="40"/>
        <w:gridCol w:w="37"/>
        <w:gridCol w:w="35"/>
        <w:gridCol w:w="35"/>
        <w:gridCol w:w="120"/>
        <w:gridCol w:w="645"/>
        <w:gridCol w:w="40"/>
        <w:gridCol w:w="37"/>
        <w:gridCol w:w="35"/>
        <w:gridCol w:w="35"/>
        <w:gridCol w:w="119"/>
        <w:gridCol w:w="426"/>
        <w:gridCol w:w="40"/>
        <w:gridCol w:w="37"/>
        <w:gridCol w:w="35"/>
        <w:gridCol w:w="35"/>
        <w:gridCol w:w="119"/>
        <w:gridCol w:w="426"/>
        <w:gridCol w:w="40"/>
        <w:gridCol w:w="37"/>
        <w:gridCol w:w="35"/>
        <w:gridCol w:w="35"/>
        <w:gridCol w:w="279"/>
        <w:gridCol w:w="277"/>
        <w:gridCol w:w="277"/>
        <w:gridCol w:w="37"/>
        <w:gridCol w:w="35"/>
        <w:gridCol w:w="35"/>
        <w:gridCol w:w="281"/>
        <w:gridCol w:w="279"/>
        <w:gridCol w:w="279"/>
        <w:gridCol w:w="35"/>
        <w:gridCol w:w="35"/>
        <w:gridCol w:w="35"/>
        <w:gridCol w:w="35"/>
        <w:gridCol w:w="35"/>
        <w:gridCol w:w="35"/>
        <w:gridCol w:w="35"/>
        <w:gridCol w:w="35"/>
        <w:gridCol w:w="35"/>
        <w:gridCol w:w="35"/>
        <w:gridCol w:w="35"/>
        <w:gridCol w:w="35"/>
        <w:gridCol w:w="35"/>
        <w:gridCol w:w="35"/>
        <w:gridCol w:w="35"/>
      </w:tblGrid>
      <w:tr w:rsidR="004C2197" w14:paraId="0D8DF1A5" w14:textId="77777777">
        <w:trPr>
          <w:gridAfter w:val="27"/>
        </w:trPr>
        <w:tc>
          <w:tcPr>
            <w:tcW w:w="50" w:type="pct"/>
            <w:shd w:val="clear" w:color="auto" w:fill="auto"/>
          </w:tcPr>
          <w:p w14:paraId="0D8DF181" w14:textId="77777777" w:rsidR="004C2197" w:rsidRDefault="004C2197">
            <w:pPr>
              <w:rPr>
                <w:rFonts w:ascii="宋体"/>
              </w:rPr>
            </w:pPr>
          </w:p>
        </w:tc>
        <w:tc>
          <w:tcPr>
            <w:tcW w:w="1481" w:type="pct"/>
            <w:shd w:val="clear" w:color="auto" w:fill="auto"/>
          </w:tcPr>
          <w:p w14:paraId="0D8DF182" w14:textId="77777777" w:rsidR="004C2197" w:rsidRDefault="004C2197">
            <w:pPr>
              <w:rPr>
                <w:rFonts w:ascii="宋体"/>
              </w:rPr>
            </w:pPr>
          </w:p>
        </w:tc>
        <w:tc>
          <w:tcPr>
            <w:tcW w:w="5" w:type="pct"/>
            <w:shd w:val="clear" w:color="auto" w:fill="auto"/>
          </w:tcPr>
          <w:p w14:paraId="0D8DF183" w14:textId="77777777" w:rsidR="004C2197" w:rsidRDefault="004C2197">
            <w:pPr>
              <w:rPr>
                <w:rFonts w:ascii="宋体"/>
              </w:rPr>
            </w:pPr>
          </w:p>
        </w:tc>
        <w:tc>
          <w:tcPr>
            <w:tcW w:w="50" w:type="pct"/>
            <w:shd w:val="clear" w:color="auto" w:fill="auto"/>
          </w:tcPr>
          <w:p w14:paraId="0D8DF184" w14:textId="77777777" w:rsidR="004C2197" w:rsidRDefault="004C2197">
            <w:pPr>
              <w:rPr>
                <w:rFonts w:ascii="宋体"/>
              </w:rPr>
            </w:pPr>
          </w:p>
        </w:tc>
        <w:tc>
          <w:tcPr>
            <w:tcW w:w="481" w:type="pct"/>
            <w:shd w:val="clear" w:color="auto" w:fill="auto"/>
          </w:tcPr>
          <w:p w14:paraId="0D8DF185" w14:textId="77777777" w:rsidR="004C2197" w:rsidRDefault="004C2197">
            <w:pPr>
              <w:rPr>
                <w:rFonts w:ascii="宋体"/>
              </w:rPr>
            </w:pPr>
          </w:p>
        </w:tc>
        <w:tc>
          <w:tcPr>
            <w:tcW w:w="5" w:type="pct"/>
            <w:shd w:val="clear" w:color="auto" w:fill="auto"/>
          </w:tcPr>
          <w:p w14:paraId="0D8DF186" w14:textId="77777777" w:rsidR="004C2197" w:rsidRDefault="004C2197">
            <w:pPr>
              <w:rPr>
                <w:rFonts w:ascii="宋体"/>
              </w:rPr>
            </w:pPr>
          </w:p>
        </w:tc>
        <w:tc>
          <w:tcPr>
            <w:tcW w:w="5" w:type="pct"/>
            <w:shd w:val="clear" w:color="auto" w:fill="auto"/>
          </w:tcPr>
          <w:p w14:paraId="0D8DF187" w14:textId="77777777" w:rsidR="004C2197" w:rsidRDefault="004C2197">
            <w:pPr>
              <w:rPr>
                <w:rFonts w:ascii="宋体"/>
              </w:rPr>
            </w:pPr>
          </w:p>
        </w:tc>
        <w:tc>
          <w:tcPr>
            <w:tcW w:w="26" w:type="pct"/>
            <w:shd w:val="clear" w:color="auto" w:fill="auto"/>
          </w:tcPr>
          <w:p w14:paraId="0D8DF188" w14:textId="77777777" w:rsidR="004C2197" w:rsidRDefault="004C2197">
            <w:pPr>
              <w:rPr>
                <w:rFonts w:ascii="宋体"/>
              </w:rPr>
            </w:pPr>
          </w:p>
        </w:tc>
        <w:tc>
          <w:tcPr>
            <w:tcW w:w="5" w:type="pct"/>
            <w:shd w:val="clear" w:color="auto" w:fill="auto"/>
          </w:tcPr>
          <w:p w14:paraId="0D8DF189" w14:textId="77777777" w:rsidR="004C2197" w:rsidRDefault="004C2197">
            <w:pPr>
              <w:rPr>
                <w:rFonts w:ascii="宋体"/>
              </w:rPr>
            </w:pPr>
          </w:p>
        </w:tc>
        <w:tc>
          <w:tcPr>
            <w:tcW w:w="50" w:type="pct"/>
            <w:shd w:val="clear" w:color="auto" w:fill="auto"/>
          </w:tcPr>
          <w:p w14:paraId="0D8DF18A" w14:textId="77777777" w:rsidR="004C2197" w:rsidRDefault="004C2197">
            <w:pPr>
              <w:rPr>
                <w:rFonts w:ascii="宋体"/>
              </w:rPr>
            </w:pPr>
          </w:p>
        </w:tc>
        <w:tc>
          <w:tcPr>
            <w:tcW w:w="496" w:type="pct"/>
            <w:shd w:val="clear" w:color="auto" w:fill="auto"/>
          </w:tcPr>
          <w:p w14:paraId="0D8DF18B" w14:textId="77777777" w:rsidR="004C2197" w:rsidRDefault="004C2197">
            <w:pPr>
              <w:rPr>
                <w:rFonts w:ascii="宋体"/>
              </w:rPr>
            </w:pPr>
          </w:p>
        </w:tc>
        <w:tc>
          <w:tcPr>
            <w:tcW w:w="5" w:type="pct"/>
            <w:shd w:val="clear" w:color="auto" w:fill="auto"/>
          </w:tcPr>
          <w:p w14:paraId="0D8DF18C" w14:textId="77777777" w:rsidR="004C2197" w:rsidRDefault="004C2197">
            <w:pPr>
              <w:rPr>
                <w:rFonts w:ascii="宋体"/>
              </w:rPr>
            </w:pPr>
          </w:p>
        </w:tc>
        <w:tc>
          <w:tcPr>
            <w:tcW w:w="5" w:type="pct"/>
            <w:shd w:val="clear" w:color="auto" w:fill="auto"/>
          </w:tcPr>
          <w:p w14:paraId="0D8DF18D" w14:textId="77777777" w:rsidR="004C2197" w:rsidRDefault="004C2197">
            <w:pPr>
              <w:rPr>
                <w:rFonts w:ascii="宋体"/>
              </w:rPr>
            </w:pPr>
          </w:p>
        </w:tc>
        <w:tc>
          <w:tcPr>
            <w:tcW w:w="26" w:type="pct"/>
            <w:shd w:val="clear" w:color="auto" w:fill="auto"/>
          </w:tcPr>
          <w:p w14:paraId="0D8DF18E" w14:textId="77777777" w:rsidR="004C2197" w:rsidRDefault="004C2197">
            <w:pPr>
              <w:rPr>
                <w:rFonts w:ascii="宋体"/>
              </w:rPr>
            </w:pPr>
          </w:p>
        </w:tc>
        <w:tc>
          <w:tcPr>
            <w:tcW w:w="5" w:type="pct"/>
            <w:shd w:val="clear" w:color="auto" w:fill="auto"/>
          </w:tcPr>
          <w:p w14:paraId="0D8DF18F" w14:textId="77777777" w:rsidR="004C2197" w:rsidRDefault="004C2197">
            <w:pPr>
              <w:rPr>
                <w:rFonts w:ascii="宋体"/>
              </w:rPr>
            </w:pPr>
          </w:p>
        </w:tc>
        <w:tc>
          <w:tcPr>
            <w:tcW w:w="50" w:type="pct"/>
            <w:shd w:val="clear" w:color="auto" w:fill="auto"/>
          </w:tcPr>
          <w:p w14:paraId="0D8DF190" w14:textId="77777777" w:rsidR="004C2197" w:rsidRDefault="004C2197">
            <w:pPr>
              <w:rPr>
                <w:rFonts w:ascii="宋体"/>
              </w:rPr>
            </w:pPr>
          </w:p>
        </w:tc>
        <w:tc>
          <w:tcPr>
            <w:tcW w:w="481" w:type="pct"/>
            <w:shd w:val="clear" w:color="auto" w:fill="auto"/>
          </w:tcPr>
          <w:p w14:paraId="0D8DF191" w14:textId="77777777" w:rsidR="004C2197" w:rsidRDefault="004C2197">
            <w:pPr>
              <w:rPr>
                <w:rFonts w:ascii="宋体"/>
              </w:rPr>
            </w:pPr>
          </w:p>
        </w:tc>
        <w:tc>
          <w:tcPr>
            <w:tcW w:w="5" w:type="pct"/>
            <w:shd w:val="clear" w:color="auto" w:fill="auto"/>
          </w:tcPr>
          <w:p w14:paraId="0D8DF192" w14:textId="77777777" w:rsidR="004C2197" w:rsidRDefault="004C2197">
            <w:pPr>
              <w:rPr>
                <w:rFonts w:ascii="宋体"/>
              </w:rPr>
            </w:pPr>
          </w:p>
        </w:tc>
        <w:tc>
          <w:tcPr>
            <w:tcW w:w="5" w:type="pct"/>
            <w:shd w:val="clear" w:color="auto" w:fill="auto"/>
          </w:tcPr>
          <w:p w14:paraId="0D8DF193" w14:textId="77777777" w:rsidR="004C2197" w:rsidRDefault="004C2197">
            <w:pPr>
              <w:rPr>
                <w:rFonts w:ascii="宋体"/>
              </w:rPr>
            </w:pPr>
          </w:p>
        </w:tc>
        <w:tc>
          <w:tcPr>
            <w:tcW w:w="26" w:type="pct"/>
            <w:shd w:val="clear" w:color="auto" w:fill="auto"/>
          </w:tcPr>
          <w:p w14:paraId="0D8DF194" w14:textId="77777777" w:rsidR="004C2197" w:rsidRDefault="004C2197">
            <w:pPr>
              <w:rPr>
                <w:rFonts w:ascii="宋体"/>
              </w:rPr>
            </w:pPr>
          </w:p>
        </w:tc>
        <w:tc>
          <w:tcPr>
            <w:tcW w:w="5" w:type="pct"/>
            <w:shd w:val="clear" w:color="auto" w:fill="auto"/>
          </w:tcPr>
          <w:p w14:paraId="0D8DF195" w14:textId="77777777" w:rsidR="004C2197" w:rsidRDefault="004C2197">
            <w:pPr>
              <w:rPr>
                <w:rFonts w:ascii="宋体"/>
              </w:rPr>
            </w:pPr>
          </w:p>
        </w:tc>
        <w:tc>
          <w:tcPr>
            <w:tcW w:w="50" w:type="pct"/>
            <w:shd w:val="clear" w:color="auto" w:fill="auto"/>
          </w:tcPr>
          <w:p w14:paraId="0D8DF196" w14:textId="77777777" w:rsidR="004C2197" w:rsidRDefault="004C2197">
            <w:pPr>
              <w:rPr>
                <w:rFonts w:ascii="宋体"/>
              </w:rPr>
            </w:pPr>
          </w:p>
        </w:tc>
        <w:tc>
          <w:tcPr>
            <w:tcW w:w="481" w:type="pct"/>
            <w:shd w:val="clear" w:color="auto" w:fill="auto"/>
          </w:tcPr>
          <w:p w14:paraId="0D8DF197" w14:textId="77777777" w:rsidR="004C2197" w:rsidRDefault="004C2197">
            <w:pPr>
              <w:rPr>
                <w:rFonts w:ascii="宋体"/>
              </w:rPr>
            </w:pPr>
          </w:p>
        </w:tc>
        <w:tc>
          <w:tcPr>
            <w:tcW w:w="5" w:type="pct"/>
            <w:shd w:val="clear" w:color="auto" w:fill="auto"/>
          </w:tcPr>
          <w:p w14:paraId="0D8DF198" w14:textId="77777777" w:rsidR="004C2197" w:rsidRDefault="004C2197">
            <w:pPr>
              <w:rPr>
                <w:rFonts w:ascii="宋体"/>
              </w:rPr>
            </w:pPr>
          </w:p>
        </w:tc>
        <w:tc>
          <w:tcPr>
            <w:tcW w:w="5" w:type="pct"/>
            <w:shd w:val="clear" w:color="auto" w:fill="auto"/>
          </w:tcPr>
          <w:p w14:paraId="0D8DF199" w14:textId="77777777" w:rsidR="004C2197" w:rsidRDefault="004C2197">
            <w:pPr>
              <w:rPr>
                <w:rFonts w:ascii="宋体"/>
              </w:rPr>
            </w:pPr>
          </w:p>
        </w:tc>
        <w:tc>
          <w:tcPr>
            <w:tcW w:w="26" w:type="pct"/>
            <w:shd w:val="clear" w:color="auto" w:fill="auto"/>
          </w:tcPr>
          <w:p w14:paraId="0D8DF19A" w14:textId="77777777" w:rsidR="004C2197" w:rsidRDefault="004C2197">
            <w:pPr>
              <w:rPr>
                <w:rFonts w:ascii="宋体"/>
              </w:rPr>
            </w:pPr>
          </w:p>
        </w:tc>
        <w:tc>
          <w:tcPr>
            <w:tcW w:w="5" w:type="pct"/>
            <w:shd w:val="clear" w:color="auto" w:fill="auto"/>
          </w:tcPr>
          <w:p w14:paraId="0D8DF19B" w14:textId="77777777" w:rsidR="004C2197" w:rsidRDefault="004C2197">
            <w:pPr>
              <w:rPr>
                <w:rFonts w:ascii="宋体"/>
              </w:rPr>
            </w:pPr>
          </w:p>
        </w:tc>
        <w:tc>
          <w:tcPr>
            <w:tcW w:w="50" w:type="pct"/>
            <w:shd w:val="clear" w:color="auto" w:fill="auto"/>
          </w:tcPr>
          <w:p w14:paraId="0D8DF19C" w14:textId="77777777" w:rsidR="004C2197" w:rsidRDefault="004C2197">
            <w:pPr>
              <w:rPr>
                <w:rFonts w:ascii="宋体"/>
              </w:rPr>
            </w:pPr>
          </w:p>
        </w:tc>
        <w:tc>
          <w:tcPr>
            <w:tcW w:w="511" w:type="pct"/>
            <w:shd w:val="clear" w:color="auto" w:fill="auto"/>
          </w:tcPr>
          <w:p w14:paraId="0D8DF19D" w14:textId="77777777" w:rsidR="004C2197" w:rsidRDefault="004C2197">
            <w:pPr>
              <w:rPr>
                <w:rFonts w:ascii="宋体"/>
              </w:rPr>
            </w:pPr>
          </w:p>
        </w:tc>
        <w:tc>
          <w:tcPr>
            <w:tcW w:w="5" w:type="pct"/>
            <w:shd w:val="clear" w:color="auto" w:fill="auto"/>
          </w:tcPr>
          <w:p w14:paraId="0D8DF19E" w14:textId="77777777" w:rsidR="004C2197" w:rsidRDefault="004C2197">
            <w:pPr>
              <w:rPr>
                <w:rFonts w:ascii="宋体"/>
              </w:rPr>
            </w:pPr>
          </w:p>
        </w:tc>
        <w:tc>
          <w:tcPr>
            <w:tcW w:w="5" w:type="pct"/>
            <w:shd w:val="clear" w:color="auto" w:fill="auto"/>
          </w:tcPr>
          <w:p w14:paraId="0D8DF19F" w14:textId="77777777" w:rsidR="004C2197" w:rsidRDefault="004C2197">
            <w:pPr>
              <w:rPr>
                <w:rFonts w:ascii="宋体"/>
              </w:rPr>
            </w:pPr>
          </w:p>
        </w:tc>
        <w:tc>
          <w:tcPr>
            <w:tcW w:w="26" w:type="pct"/>
            <w:shd w:val="clear" w:color="auto" w:fill="auto"/>
          </w:tcPr>
          <w:p w14:paraId="0D8DF1A0" w14:textId="77777777" w:rsidR="004C2197" w:rsidRDefault="004C2197">
            <w:pPr>
              <w:rPr>
                <w:rFonts w:ascii="宋体"/>
              </w:rPr>
            </w:pPr>
          </w:p>
        </w:tc>
        <w:tc>
          <w:tcPr>
            <w:tcW w:w="5" w:type="pct"/>
            <w:shd w:val="clear" w:color="auto" w:fill="auto"/>
          </w:tcPr>
          <w:p w14:paraId="0D8DF1A1" w14:textId="77777777" w:rsidR="004C2197" w:rsidRDefault="004C2197">
            <w:pPr>
              <w:rPr>
                <w:rFonts w:ascii="宋体"/>
              </w:rPr>
            </w:pPr>
          </w:p>
        </w:tc>
        <w:tc>
          <w:tcPr>
            <w:tcW w:w="50" w:type="pct"/>
            <w:shd w:val="clear" w:color="auto" w:fill="auto"/>
          </w:tcPr>
          <w:p w14:paraId="0D8DF1A2" w14:textId="77777777" w:rsidR="004C2197" w:rsidRDefault="004C2197">
            <w:pPr>
              <w:rPr>
                <w:rFonts w:ascii="宋体"/>
              </w:rPr>
            </w:pPr>
          </w:p>
        </w:tc>
        <w:tc>
          <w:tcPr>
            <w:tcW w:w="496" w:type="pct"/>
            <w:shd w:val="clear" w:color="auto" w:fill="auto"/>
          </w:tcPr>
          <w:p w14:paraId="0D8DF1A3" w14:textId="77777777" w:rsidR="004C2197" w:rsidRDefault="004C2197">
            <w:pPr>
              <w:rPr>
                <w:rFonts w:ascii="宋体"/>
              </w:rPr>
            </w:pPr>
          </w:p>
        </w:tc>
        <w:tc>
          <w:tcPr>
            <w:tcW w:w="5" w:type="pct"/>
            <w:shd w:val="clear" w:color="auto" w:fill="auto"/>
          </w:tcPr>
          <w:p w14:paraId="0D8DF1A4" w14:textId="77777777" w:rsidR="004C2197" w:rsidRDefault="004C2197">
            <w:pPr>
              <w:rPr>
                <w:rFonts w:ascii="宋体"/>
              </w:rPr>
            </w:pPr>
          </w:p>
        </w:tc>
      </w:tr>
      <w:tr w:rsidR="004C2197" w14:paraId="0D8DF1B2" w14:textId="77777777">
        <w:tc>
          <w:tcPr>
            <w:tcW w:w="0" w:type="auto"/>
            <w:gridSpan w:val="3"/>
            <w:shd w:val="clear" w:color="auto" w:fill="auto"/>
            <w:tcMar>
              <w:top w:w="40" w:type="dxa"/>
              <w:left w:w="20" w:type="dxa"/>
              <w:bottom w:w="40" w:type="dxa"/>
              <w:right w:w="20" w:type="dxa"/>
            </w:tcMar>
            <w:vAlign w:val="bottom"/>
          </w:tcPr>
          <w:p w14:paraId="0D8DF1A6" w14:textId="77777777" w:rsidR="004C2197" w:rsidRDefault="00863B83">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D8DF1A7"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Pr>
          <w:p w14:paraId="0D8DF1A8" w14:textId="77777777" w:rsidR="004C2197" w:rsidRDefault="004C2197">
            <w:pPr>
              <w:rPr>
                <w:rFonts w:ascii="宋体"/>
                <w:vanish/>
              </w:rPr>
            </w:pPr>
          </w:p>
        </w:tc>
        <w:tc>
          <w:tcPr>
            <w:tcW w:w="0" w:type="auto"/>
            <w:gridSpan w:val="3"/>
            <w:shd w:val="clear" w:color="auto" w:fill="auto"/>
          </w:tcPr>
          <w:p w14:paraId="0D8DF1A9" w14:textId="77777777" w:rsidR="004C2197" w:rsidRDefault="004C2197">
            <w:pPr>
              <w:rPr>
                <w:rFonts w:ascii="宋体"/>
                <w:vanish/>
              </w:rPr>
            </w:pPr>
          </w:p>
        </w:tc>
        <w:tc>
          <w:tcPr>
            <w:tcW w:w="0" w:type="auto"/>
            <w:gridSpan w:val="3"/>
            <w:shd w:val="clear" w:color="auto" w:fill="auto"/>
          </w:tcPr>
          <w:p w14:paraId="0D8DF1AA" w14:textId="77777777" w:rsidR="004C2197" w:rsidRDefault="004C2197">
            <w:pPr>
              <w:rPr>
                <w:rFonts w:ascii="宋体"/>
                <w:vanish/>
              </w:rPr>
            </w:pPr>
          </w:p>
        </w:tc>
        <w:tc>
          <w:tcPr>
            <w:tcW w:w="0" w:type="auto"/>
            <w:gridSpan w:val="3"/>
            <w:shd w:val="clear" w:color="auto" w:fill="auto"/>
          </w:tcPr>
          <w:p w14:paraId="0D8DF1AB" w14:textId="77777777" w:rsidR="004C2197" w:rsidRDefault="004C2197">
            <w:pPr>
              <w:rPr>
                <w:rFonts w:ascii="宋体"/>
                <w:vanish/>
              </w:rPr>
            </w:pPr>
          </w:p>
        </w:tc>
        <w:tc>
          <w:tcPr>
            <w:tcW w:w="0" w:type="auto"/>
            <w:gridSpan w:val="3"/>
            <w:shd w:val="clear" w:color="auto" w:fill="auto"/>
          </w:tcPr>
          <w:p w14:paraId="0D8DF1AC" w14:textId="77777777" w:rsidR="004C2197" w:rsidRDefault="004C2197">
            <w:pPr>
              <w:rPr>
                <w:rFonts w:ascii="宋体"/>
                <w:vanish/>
              </w:rPr>
            </w:pPr>
          </w:p>
        </w:tc>
        <w:tc>
          <w:tcPr>
            <w:tcW w:w="0" w:type="auto"/>
            <w:gridSpan w:val="3"/>
            <w:shd w:val="clear" w:color="auto" w:fill="auto"/>
          </w:tcPr>
          <w:p w14:paraId="0D8DF1AD" w14:textId="77777777" w:rsidR="004C2197" w:rsidRDefault="004C2197">
            <w:pPr>
              <w:rPr>
                <w:rFonts w:ascii="宋体"/>
                <w:vanish/>
              </w:rPr>
            </w:pPr>
          </w:p>
        </w:tc>
        <w:tc>
          <w:tcPr>
            <w:tcW w:w="0" w:type="auto"/>
            <w:gridSpan w:val="3"/>
            <w:shd w:val="clear" w:color="auto" w:fill="auto"/>
          </w:tcPr>
          <w:p w14:paraId="0D8DF1AE" w14:textId="77777777" w:rsidR="004C2197" w:rsidRDefault="004C2197">
            <w:pPr>
              <w:rPr>
                <w:rFonts w:ascii="宋体"/>
                <w:vanish/>
              </w:rPr>
            </w:pPr>
          </w:p>
        </w:tc>
        <w:tc>
          <w:tcPr>
            <w:tcW w:w="0" w:type="auto"/>
            <w:gridSpan w:val="3"/>
            <w:shd w:val="clear" w:color="auto" w:fill="auto"/>
          </w:tcPr>
          <w:p w14:paraId="0D8DF1AF" w14:textId="77777777" w:rsidR="004C2197" w:rsidRDefault="004C2197">
            <w:pPr>
              <w:rPr>
                <w:rFonts w:ascii="宋体"/>
                <w:vanish/>
              </w:rPr>
            </w:pPr>
          </w:p>
        </w:tc>
        <w:tc>
          <w:tcPr>
            <w:tcW w:w="0" w:type="auto"/>
            <w:gridSpan w:val="2"/>
            <w:shd w:val="clear" w:color="auto" w:fill="auto"/>
          </w:tcPr>
          <w:p w14:paraId="0D8DF1B0" w14:textId="77777777" w:rsidR="004C2197" w:rsidRDefault="004C2197">
            <w:pPr>
              <w:rPr>
                <w:rFonts w:ascii="宋体"/>
                <w:vanish/>
              </w:rPr>
            </w:pPr>
          </w:p>
        </w:tc>
        <w:tc>
          <w:tcPr>
            <w:tcW w:w="0" w:type="auto"/>
            <w:shd w:val="clear" w:color="auto" w:fill="auto"/>
          </w:tcPr>
          <w:p w14:paraId="0D8DF1B1" w14:textId="77777777" w:rsidR="004C2197" w:rsidRDefault="004C2197">
            <w:pPr>
              <w:rPr>
                <w:rFonts w:ascii="宋体"/>
                <w:vanish/>
              </w:rPr>
            </w:pPr>
          </w:p>
        </w:tc>
      </w:tr>
      <w:tr w:rsidR="004C2197" w14:paraId="0D8DF1D4" w14:textId="77777777">
        <w:tc>
          <w:tcPr>
            <w:tcW w:w="0" w:type="auto"/>
            <w:gridSpan w:val="3"/>
            <w:shd w:val="clear" w:color="auto" w:fill="auto"/>
            <w:tcMar>
              <w:left w:w="20" w:type="dxa"/>
              <w:right w:w="20" w:type="dxa"/>
            </w:tcMar>
            <w:vAlign w:val="bottom"/>
          </w:tcPr>
          <w:p w14:paraId="0D8DF1B3"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1B4" w14:textId="77777777" w:rsidR="004C2197" w:rsidRDefault="00863B83">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left w:w="20" w:type="dxa"/>
              <w:right w:w="20" w:type="dxa"/>
            </w:tcMar>
            <w:vAlign w:val="bottom"/>
          </w:tcPr>
          <w:p w14:paraId="0D8DF1B5"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1B6" w14:textId="77777777" w:rsidR="004C2197" w:rsidRDefault="00863B83">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left w:w="20" w:type="dxa"/>
              <w:right w:w="20" w:type="dxa"/>
            </w:tcMar>
            <w:vAlign w:val="bottom"/>
          </w:tcPr>
          <w:p w14:paraId="0D8DF1B7"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1B8" w14:textId="77777777" w:rsidR="004C2197" w:rsidRDefault="00863B83">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left w:w="20" w:type="dxa"/>
              <w:right w:w="20" w:type="dxa"/>
            </w:tcMar>
            <w:vAlign w:val="bottom"/>
          </w:tcPr>
          <w:p w14:paraId="0D8DF1B9"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1BA" w14:textId="77777777" w:rsidR="004C2197" w:rsidRDefault="00863B83">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 xml:space="preserve">Fair </w:t>
            </w:r>
            <w:r>
              <w:rPr>
                <w:rFonts w:ascii="sans-serif" w:eastAsia="sans-serif" w:hAnsi="sans-serif" w:cs="sans-serif"/>
                <w:b/>
                <w:bCs/>
                <w:color w:val="000000"/>
                <w:sz w:val="20"/>
                <w:szCs w:val="20"/>
              </w:rPr>
              <w:t>Value</w:t>
            </w:r>
          </w:p>
        </w:tc>
        <w:tc>
          <w:tcPr>
            <w:tcW w:w="0" w:type="auto"/>
            <w:gridSpan w:val="3"/>
            <w:tcBorders>
              <w:top w:val="single" w:sz="8" w:space="0" w:color="000000"/>
            </w:tcBorders>
            <w:shd w:val="clear" w:color="auto" w:fill="auto"/>
            <w:tcMar>
              <w:left w:w="20" w:type="dxa"/>
              <w:right w:w="20" w:type="dxa"/>
            </w:tcMar>
            <w:vAlign w:val="bottom"/>
          </w:tcPr>
          <w:p w14:paraId="0D8DF1BB" w14:textId="77777777" w:rsidR="004C2197" w:rsidRDefault="004C21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8DF1BC" w14:textId="77777777" w:rsidR="004C2197" w:rsidRDefault="00863B83">
            <w:pPr>
              <w:jc w:val="center"/>
              <w:textAlignment w:val="bottom"/>
            </w:pPr>
            <w:r>
              <w:rPr>
                <w:rFonts w:ascii="sans-serif" w:eastAsia="sans-serif" w:hAnsi="sans-serif" w:cs="sans-serif"/>
                <w:b/>
                <w:bCs/>
                <w:color w:val="000000"/>
                <w:sz w:val="20"/>
                <w:szCs w:val="20"/>
              </w:rPr>
              <w:t>Reported as</w:t>
            </w:r>
          </w:p>
        </w:tc>
        <w:tc>
          <w:tcPr>
            <w:tcW w:w="0" w:type="auto"/>
            <w:gridSpan w:val="3"/>
            <w:shd w:val="clear" w:color="auto" w:fill="auto"/>
          </w:tcPr>
          <w:p w14:paraId="0D8DF1BD" w14:textId="77777777" w:rsidR="004C2197" w:rsidRDefault="004C2197">
            <w:pPr>
              <w:rPr>
                <w:rFonts w:ascii="宋体"/>
                <w:vanish/>
              </w:rPr>
            </w:pPr>
          </w:p>
        </w:tc>
        <w:tc>
          <w:tcPr>
            <w:tcW w:w="0" w:type="auto"/>
            <w:gridSpan w:val="3"/>
            <w:shd w:val="clear" w:color="auto" w:fill="auto"/>
          </w:tcPr>
          <w:p w14:paraId="0D8DF1BE" w14:textId="77777777" w:rsidR="004C2197" w:rsidRDefault="004C2197">
            <w:pPr>
              <w:rPr>
                <w:rFonts w:ascii="宋体"/>
                <w:vanish/>
              </w:rPr>
            </w:pPr>
          </w:p>
        </w:tc>
        <w:tc>
          <w:tcPr>
            <w:tcW w:w="0" w:type="auto"/>
            <w:shd w:val="clear" w:color="auto" w:fill="auto"/>
          </w:tcPr>
          <w:p w14:paraId="0D8DF1BF" w14:textId="77777777" w:rsidR="004C2197" w:rsidRDefault="004C2197">
            <w:pPr>
              <w:rPr>
                <w:rFonts w:ascii="宋体"/>
              </w:rPr>
            </w:pPr>
          </w:p>
        </w:tc>
        <w:tc>
          <w:tcPr>
            <w:tcW w:w="0" w:type="auto"/>
            <w:shd w:val="clear" w:color="auto" w:fill="auto"/>
          </w:tcPr>
          <w:p w14:paraId="0D8DF1C0" w14:textId="77777777" w:rsidR="004C2197" w:rsidRDefault="004C2197">
            <w:pPr>
              <w:rPr>
                <w:rFonts w:ascii="宋体"/>
              </w:rPr>
            </w:pPr>
          </w:p>
        </w:tc>
        <w:tc>
          <w:tcPr>
            <w:tcW w:w="0" w:type="auto"/>
            <w:shd w:val="clear" w:color="auto" w:fill="auto"/>
          </w:tcPr>
          <w:p w14:paraId="0D8DF1C1" w14:textId="77777777" w:rsidR="004C2197" w:rsidRDefault="004C2197">
            <w:pPr>
              <w:rPr>
                <w:rFonts w:ascii="宋体"/>
              </w:rPr>
            </w:pPr>
          </w:p>
        </w:tc>
        <w:tc>
          <w:tcPr>
            <w:tcW w:w="0" w:type="auto"/>
            <w:shd w:val="clear" w:color="auto" w:fill="auto"/>
          </w:tcPr>
          <w:p w14:paraId="0D8DF1C2" w14:textId="77777777" w:rsidR="004C2197" w:rsidRDefault="004C2197">
            <w:pPr>
              <w:rPr>
                <w:rFonts w:ascii="宋体"/>
              </w:rPr>
            </w:pPr>
          </w:p>
        </w:tc>
        <w:tc>
          <w:tcPr>
            <w:tcW w:w="0" w:type="auto"/>
            <w:shd w:val="clear" w:color="auto" w:fill="auto"/>
          </w:tcPr>
          <w:p w14:paraId="0D8DF1C3" w14:textId="77777777" w:rsidR="004C2197" w:rsidRDefault="004C2197">
            <w:pPr>
              <w:rPr>
                <w:rFonts w:ascii="宋体"/>
              </w:rPr>
            </w:pPr>
          </w:p>
        </w:tc>
        <w:tc>
          <w:tcPr>
            <w:tcW w:w="0" w:type="auto"/>
            <w:shd w:val="clear" w:color="auto" w:fill="auto"/>
          </w:tcPr>
          <w:p w14:paraId="0D8DF1C4" w14:textId="77777777" w:rsidR="004C2197" w:rsidRDefault="004C2197">
            <w:pPr>
              <w:rPr>
                <w:rFonts w:ascii="宋体"/>
              </w:rPr>
            </w:pPr>
          </w:p>
        </w:tc>
        <w:tc>
          <w:tcPr>
            <w:tcW w:w="0" w:type="auto"/>
            <w:shd w:val="clear" w:color="auto" w:fill="auto"/>
          </w:tcPr>
          <w:p w14:paraId="0D8DF1C5" w14:textId="77777777" w:rsidR="004C2197" w:rsidRDefault="004C2197">
            <w:pPr>
              <w:rPr>
                <w:rFonts w:ascii="宋体"/>
              </w:rPr>
            </w:pPr>
          </w:p>
        </w:tc>
        <w:tc>
          <w:tcPr>
            <w:tcW w:w="0" w:type="auto"/>
            <w:shd w:val="clear" w:color="auto" w:fill="auto"/>
          </w:tcPr>
          <w:p w14:paraId="0D8DF1C6" w14:textId="77777777" w:rsidR="004C2197" w:rsidRDefault="004C2197">
            <w:pPr>
              <w:rPr>
                <w:rFonts w:ascii="宋体"/>
              </w:rPr>
            </w:pPr>
          </w:p>
        </w:tc>
        <w:tc>
          <w:tcPr>
            <w:tcW w:w="0" w:type="auto"/>
            <w:shd w:val="clear" w:color="auto" w:fill="auto"/>
          </w:tcPr>
          <w:p w14:paraId="0D8DF1C7" w14:textId="77777777" w:rsidR="004C2197" w:rsidRDefault="004C2197">
            <w:pPr>
              <w:rPr>
                <w:rFonts w:ascii="宋体"/>
              </w:rPr>
            </w:pPr>
          </w:p>
        </w:tc>
        <w:tc>
          <w:tcPr>
            <w:tcW w:w="0" w:type="auto"/>
            <w:shd w:val="clear" w:color="auto" w:fill="auto"/>
          </w:tcPr>
          <w:p w14:paraId="0D8DF1C8" w14:textId="77777777" w:rsidR="004C2197" w:rsidRDefault="004C2197">
            <w:pPr>
              <w:rPr>
                <w:rFonts w:ascii="宋体"/>
              </w:rPr>
            </w:pPr>
          </w:p>
        </w:tc>
        <w:tc>
          <w:tcPr>
            <w:tcW w:w="0" w:type="auto"/>
            <w:shd w:val="clear" w:color="auto" w:fill="auto"/>
          </w:tcPr>
          <w:p w14:paraId="0D8DF1C9" w14:textId="77777777" w:rsidR="004C2197" w:rsidRDefault="004C2197">
            <w:pPr>
              <w:rPr>
                <w:rFonts w:ascii="宋体"/>
              </w:rPr>
            </w:pPr>
          </w:p>
        </w:tc>
        <w:tc>
          <w:tcPr>
            <w:tcW w:w="0" w:type="auto"/>
            <w:shd w:val="clear" w:color="auto" w:fill="auto"/>
          </w:tcPr>
          <w:p w14:paraId="0D8DF1CA" w14:textId="77777777" w:rsidR="004C2197" w:rsidRDefault="004C2197">
            <w:pPr>
              <w:rPr>
                <w:rFonts w:ascii="宋体"/>
              </w:rPr>
            </w:pPr>
          </w:p>
        </w:tc>
        <w:tc>
          <w:tcPr>
            <w:tcW w:w="0" w:type="auto"/>
            <w:shd w:val="clear" w:color="auto" w:fill="auto"/>
          </w:tcPr>
          <w:p w14:paraId="0D8DF1CB" w14:textId="77777777" w:rsidR="004C2197" w:rsidRDefault="004C2197">
            <w:pPr>
              <w:rPr>
                <w:rFonts w:ascii="宋体"/>
              </w:rPr>
            </w:pPr>
          </w:p>
        </w:tc>
        <w:tc>
          <w:tcPr>
            <w:tcW w:w="0" w:type="auto"/>
            <w:shd w:val="clear" w:color="auto" w:fill="auto"/>
          </w:tcPr>
          <w:p w14:paraId="0D8DF1CC" w14:textId="77777777" w:rsidR="004C2197" w:rsidRDefault="004C2197">
            <w:pPr>
              <w:rPr>
                <w:rFonts w:ascii="宋体"/>
              </w:rPr>
            </w:pPr>
          </w:p>
        </w:tc>
        <w:tc>
          <w:tcPr>
            <w:tcW w:w="0" w:type="auto"/>
            <w:shd w:val="clear" w:color="auto" w:fill="auto"/>
          </w:tcPr>
          <w:p w14:paraId="0D8DF1CD" w14:textId="77777777" w:rsidR="004C2197" w:rsidRDefault="004C2197">
            <w:pPr>
              <w:rPr>
                <w:rFonts w:ascii="宋体"/>
              </w:rPr>
            </w:pPr>
          </w:p>
        </w:tc>
        <w:tc>
          <w:tcPr>
            <w:tcW w:w="0" w:type="auto"/>
            <w:shd w:val="clear" w:color="auto" w:fill="auto"/>
          </w:tcPr>
          <w:p w14:paraId="0D8DF1CE" w14:textId="77777777" w:rsidR="004C2197" w:rsidRDefault="004C2197">
            <w:pPr>
              <w:rPr>
                <w:rFonts w:ascii="宋体"/>
              </w:rPr>
            </w:pPr>
          </w:p>
        </w:tc>
        <w:tc>
          <w:tcPr>
            <w:tcW w:w="0" w:type="auto"/>
            <w:shd w:val="clear" w:color="auto" w:fill="auto"/>
          </w:tcPr>
          <w:p w14:paraId="0D8DF1CF" w14:textId="77777777" w:rsidR="004C2197" w:rsidRDefault="004C2197">
            <w:pPr>
              <w:rPr>
                <w:rFonts w:ascii="宋体"/>
              </w:rPr>
            </w:pPr>
          </w:p>
        </w:tc>
        <w:tc>
          <w:tcPr>
            <w:tcW w:w="0" w:type="auto"/>
            <w:shd w:val="clear" w:color="auto" w:fill="auto"/>
          </w:tcPr>
          <w:p w14:paraId="0D8DF1D0" w14:textId="77777777" w:rsidR="004C2197" w:rsidRDefault="004C2197">
            <w:pPr>
              <w:rPr>
                <w:rFonts w:ascii="宋体"/>
              </w:rPr>
            </w:pPr>
          </w:p>
        </w:tc>
        <w:tc>
          <w:tcPr>
            <w:tcW w:w="0" w:type="auto"/>
            <w:shd w:val="clear" w:color="auto" w:fill="auto"/>
          </w:tcPr>
          <w:p w14:paraId="0D8DF1D1" w14:textId="77777777" w:rsidR="004C2197" w:rsidRDefault="004C2197">
            <w:pPr>
              <w:rPr>
                <w:rFonts w:ascii="宋体"/>
              </w:rPr>
            </w:pPr>
          </w:p>
        </w:tc>
        <w:tc>
          <w:tcPr>
            <w:tcW w:w="0" w:type="auto"/>
            <w:shd w:val="clear" w:color="auto" w:fill="auto"/>
          </w:tcPr>
          <w:p w14:paraId="0D8DF1D2" w14:textId="77777777" w:rsidR="004C2197" w:rsidRDefault="004C2197">
            <w:pPr>
              <w:rPr>
                <w:rFonts w:ascii="宋体"/>
              </w:rPr>
            </w:pPr>
          </w:p>
        </w:tc>
        <w:tc>
          <w:tcPr>
            <w:tcW w:w="0" w:type="auto"/>
            <w:shd w:val="clear" w:color="auto" w:fill="auto"/>
          </w:tcPr>
          <w:p w14:paraId="0D8DF1D3" w14:textId="77777777" w:rsidR="004C2197" w:rsidRDefault="004C2197">
            <w:pPr>
              <w:rPr>
                <w:rFonts w:ascii="宋体"/>
              </w:rPr>
            </w:pPr>
          </w:p>
        </w:tc>
      </w:tr>
      <w:tr w:rsidR="004C2197" w14:paraId="0D8DF1F4" w14:textId="77777777">
        <w:tc>
          <w:tcPr>
            <w:tcW w:w="0" w:type="auto"/>
            <w:gridSpan w:val="3"/>
            <w:shd w:val="clear" w:color="auto" w:fill="auto"/>
            <w:tcMar>
              <w:top w:w="40" w:type="dxa"/>
              <w:left w:w="20" w:type="dxa"/>
              <w:bottom w:w="40" w:type="dxa"/>
              <w:right w:w="20" w:type="dxa"/>
            </w:tcMar>
            <w:vAlign w:val="bottom"/>
          </w:tcPr>
          <w:p w14:paraId="0D8DF1D5"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1D6" w14:textId="77777777" w:rsidR="004C2197" w:rsidRDefault="004C2197">
            <w:pPr>
              <w:jc w:val="center"/>
              <w:rPr>
                <w:rFonts w:ascii="宋体"/>
              </w:rPr>
            </w:pPr>
          </w:p>
        </w:tc>
        <w:tc>
          <w:tcPr>
            <w:tcW w:w="0" w:type="auto"/>
            <w:gridSpan w:val="3"/>
            <w:shd w:val="clear" w:color="auto" w:fill="auto"/>
          </w:tcPr>
          <w:p w14:paraId="0D8DF1D7" w14:textId="77777777" w:rsidR="004C2197" w:rsidRDefault="004C219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1D8"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F1D9" w14:textId="77777777" w:rsidR="004C2197" w:rsidRDefault="004C219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1DA" w14:textId="77777777" w:rsidR="004C2197" w:rsidRDefault="004C2197">
            <w:pPr>
              <w:jc w:val="center"/>
              <w:rPr>
                <w:rFonts w:ascii="宋体"/>
              </w:rPr>
            </w:pPr>
          </w:p>
        </w:tc>
        <w:tc>
          <w:tcPr>
            <w:tcW w:w="0" w:type="auto"/>
            <w:gridSpan w:val="3"/>
            <w:shd w:val="clear" w:color="auto" w:fill="auto"/>
          </w:tcPr>
          <w:p w14:paraId="0D8DF1DB" w14:textId="77777777" w:rsidR="004C2197" w:rsidRDefault="004C219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1DC"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F1DD" w14:textId="77777777" w:rsidR="004C2197" w:rsidRDefault="004C2197">
            <w:pPr>
              <w:rPr>
                <w:rFonts w:ascii="宋体"/>
              </w:rPr>
            </w:pPr>
          </w:p>
        </w:tc>
        <w:tc>
          <w:tcPr>
            <w:tcW w:w="0" w:type="auto"/>
            <w:gridSpan w:val="3"/>
            <w:shd w:val="clear" w:color="auto" w:fill="auto"/>
          </w:tcPr>
          <w:p w14:paraId="0D8DF1DE"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1DF" w14:textId="77777777" w:rsidR="004C2197" w:rsidRDefault="004C2197">
            <w:pPr>
              <w:rPr>
                <w:rFonts w:ascii="宋体"/>
              </w:rPr>
            </w:pPr>
          </w:p>
        </w:tc>
        <w:tc>
          <w:tcPr>
            <w:tcW w:w="0" w:type="auto"/>
            <w:gridSpan w:val="3"/>
            <w:shd w:val="clear" w:color="auto" w:fill="auto"/>
          </w:tcPr>
          <w:p w14:paraId="0D8DF1E0"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1E1"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1E2" w14:textId="77777777" w:rsidR="004C2197" w:rsidRDefault="00863B83">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left w:w="20" w:type="dxa"/>
              <w:right w:w="20" w:type="dxa"/>
            </w:tcMar>
            <w:vAlign w:val="bottom"/>
          </w:tcPr>
          <w:p w14:paraId="0D8DF1E3"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1E4" w14:textId="77777777" w:rsidR="004C2197" w:rsidRDefault="00863B83">
            <w:pPr>
              <w:jc w:val="center"/>
              <w:textAlignment w:val="bottom"/>
            </w:pPr>
            <w:r>
              <w:rPr>
                <w:rFonts w:ascii="sans-serif" w:eastAsia="sans-serif" w:hAnsi="sans-serif" w:cs="sans-serif"/>
                <w:b/>
                <w:bCs/>
                <w:color w:val="000000"/>
                <w:sz w:val="20"/>
                <w:szCs w:val="20"/>
              </w:rPr>
              <w:t>Marketable Securities</w:t>
            </w:r>
          </w:p>
        </w:tc>
        <w:tc>
          <w:tcPr>
            <w:tcW w:w="0" w:type="auto"/>
            <w:shd w:val="clear" w:color="auto" w:fill="auto"/>
          </w:tcPr>
          <w:p w14:paraId="0D8DF1E5" w14:textId="77777777" w:rsidR="004C2197" w:rsidRDefault="004C2197">
            <w:pPr>
              <w:rPr>
                <w:rFonts w:ascii="宋体"/>
              </w:rPr>
            </w:pPr>
          </w:p>
        </w:tc>
        <w:tc>
          <w:tcPr>
            <w:tcW w:w="0" w:type="auto"/>
            <w:shd w:val="clear" w:color="auto" w:fill="auto"/>
          </w:tcPr>
          <w:p w14:paraId="0D8DF1E6" w14:textId="77777777" w:rsidR="004C2197" w:rsidRDefault="004C2197">
            <w:pPr>
              <w:rPr>
                <w:rFonts w:ascii="宋体"/>
              </w:rPr>
            </w:pPr>
          </w:p>
        </w:tc>
        <w:tc>
          <w:tcPr>
            <w:tcW w:w="0" w:type="auto"/>
            <w:shd w:val="clear" w:color="auto" w:fill="auto"/>
          </w:tcPr>
          <w:p w14:paraId="0D8DF1E7" w14:textId="77777777" w:rsidR="004C2197" w:rsidRDefault="004C2197">
            <w:pPr>
              <w:rPr>
                <w:rFonts w:ascii="宋体"/>
              </w:rPr>
            </w:pPr>
          </w:p>
        </w:tc>
        <w:tc>
          <w:tcPr>
            <w:tcW w:w="0" w:type="auto"/>
            <w:shd w:val="clear" w:color="auto" w:fill="auto"/>
          </w:tcPr>
          <w:p w14:paraId="0D8DF1E8" w14:textId="77777777" w:rsidR="004C2197" w:rsidRDefault="004C2197">
            <w:pPr>
              <w:rPr>
                <w:rFonts w:ascii="宋体"/>
              </w:rPr>
            </w:pPr>
          </w:p>
        </w:tc>
        <w:tc>
          <w:tcPr>
            <w:tcW w:w="0" w:type="auto"/>
            <w:shd w:val="clear" w:color="auto" w:fill="auto"/>
          </w:tcPr>
          <w:p w14:paraId="0D8DF1E9" w14:textId="77777777" w:rsidR="004C2197" w:rsidRDefault="004C2197">
            <w:pPr>
              <w:rPr>
                <w:rFonts w:ascii="宋体"/>
              </w:rPr>
            </w:pPr>
          </w:p>
        </w:tc>
        <w:tc>
          <w:tcPr>
            <w:tcW w:w="0" w:type="auto"/>
            <w:shd w:val="clear" w:color="auto" w:fill="auto"/>
          </w:tcPr>
          <w:p w14:paraId="0D8DF1EA" w14:textId="77777777" w:rsidR="004C2197" w:rsidRDefault="004C2197">
            <w:pPr>
              <w:rPr>
                <w:rFonts w:ascii="宋体"/>
              </w:rPr>
            </w:pPr>
          </w:p>
        </w:tc>
        <w:tc>
          <w:tcPr>
            <w:tcW w:w="0" w:type="auto"/>
            <w:shd w:val="clear" w:color="auto" w:fill="auto"/>
          </w:tcPr>
          <w:p w14:paraId="0D8DF1EB" w14:textId="77777777" w:rsidR="004C2197" w:rsidRDefault="004C2197">
            <w:pPr>
              <w:rPr>
                <w:rFonts w:ascii="宋体"/>
              </w:rPr>
            </w:pPr>
          </w:p>
        </w:tc>
        <w:tc>
          <w:tcPr>
            <w:tcW w:w="0" w:type="auto"/>
            <w:shd w:val="clear" w:color="auto" w:fill="auto"/>
          </w:tcPr>
          <w:p w14:paraId="0D8DF1EC" w14:textId="77777777" w:rsidR="004C2197" w:rsidRDefault="004C2197">
            <w:pPr>
              <w:rPr>
                <w:rFonts w:ascii="宋体"/>
              </w:rPr>
            </w:pPr>
          </w:p>
        </w:tc>
        <w:tc>
          <w:tcPr>
            <w:tcW w:w="0" w:type="auto"/>
            <w:shd w:val="clear" w:color="auto" w:fill="auto"/>
          </w:tcPr>
          <w:p w14:paraId="0D8DF1ED" w14:textId="77777777" w:rsidR="004C2197" w:rsidRDefault="004C2197">
            <w:pPr>
              <w:rPr>
                <w:rFonts w:ascii="宋体"/>
              </w:rPr>
            </w:pPr>
          </w:p>
        </w:tc>
        <w:tc>
          <w:tcPr>
            <w:tcW w:w="0" w:type="auto"/>
            <w:shd w:val="clear" w:color="auto" w:fill="auto"/>
          </w:tcPr>
          <w:p w14:paraId="0D8DF1EE" w14:textId="77777777" w:rsidR="004C2197" w:rsidRDefault="004C2197">
            <w:pPr>
              <w:rPr>
                <w:rFonts w:ascii="宋体"/>
              </w:rPr>
            </w:pPr>
          </w:p>
        </w:tc>
        <w:tc>
          <w:tcPr>
            <w:tcW w:w="0" w:type="auto"/>
            <w:shd w:val="clear" w:color="auto" w:fill="auto"/>
          </w:tcPr>
          <w:p w14:paraId="0D8DF1EF" w14:textId="77777777" w:rsidR="004C2197" w:rsidRDefault="004C2197">
            <w:pPr>
              <w:rPr>
                <w:rFonts w:ascii="宋体"/>
              </w:rPr>
            </w:pPr>
          </w:p>
        </w:tc>
        <w:tc>
          <w:tcPr>
            <w:tcW w:w="0" w:type="auto"/>
            <w:shd w:val="clear" w:color="auto" w:fill="auto"/>
          </w:tcPr>
          <w:p w14:paraId="0D8DF1F0" w14:textId="77777777" w:rsidR="004C2197" w:rsidRDefault="004C2197">
            <w:pPr>
              <w:rPr>
                <w:rFonts w:ascii="宋体"/>
              </w:rPr>
            </w:pPr>
          </w:p>
        </w:tc>
        <w:tc>
          <w:tcPr>
            <w:tcW w:w="0" w:type="auto"/>
            <w:shd w:val="clear" w:color="auto" w:fill="auto"/>
          </w:tcPr>
          <w:p w14:paraId="0D8DF1F1" w14:textId="77777777" w:rsidR="004C2197" w:rsidRDefault="004C2197">
            <w:pPr>
              <w:rPr>
                <w:rFonts w:ascii="宋体"/>
              </w:rPr>
            </w:pPr>
          </w:p>
        </w:tc>
        <w:tc>
          <w:tcPr>
            <w:tcW w:w="0" w:type="auto"/>
            <w:shd w:val="clear" w:color="auto" w:fill="auto"/>
          </w:tcPr>
          <w:p w14:paraId="0D8DF1F2" w14:textId="77777777" w:rsidR="004C2197" w:rsidRDefault="004C2197">
            <w:pPr>
              <w:rPr>
                <w:rFonts w:ascii="宋体"/>
              </w:rPr>
            </w:pPr>
          </w:p>
        </w:tc>
        <w:tc>
          <w:tcPr>
            <w:tcW w:w="0" w:type="auto"/>
            <w:shd w:val="clear" w:color="auto" w:fill="auto"/>
          </w:tcPr>
          <w:p w14:paraId="0D8DF1F3" w14:textId="77777777" w:rsidR="004C2197" w:rsidRDefault="004C2197">
            <w:pPr>
              <w:rPr>
                <w:rFonts w:ascii="宋体"/>
              </w:rPr>
            </w:pPr>
          </w:p>
        </w:tc>
      </w:tr>
      <w:tr w:rsidR="004C2197" w14:paraId="0D8DF21C" w14:textId="77777777">
        <w:trPr>
          <w:trHeight w:val="60"/>
        </w:trPr>
        <w:tc>
          <w:tcPr>
            <w:tcW w:w="0" w:type="auto"/>
            <w:gridSpan w:val="3"/>
            <w:shd w:val="clear" w:color="auto" w:fill="auto"/>
            <w:tcMar>
              <w:left w:w="20" w:type="dxa"/>
              <w:right w:w="20" w:type="dxa"/>
            </w:tcMar>
            <w:vAlign w:val="bottom"/>
          </w:tcPr>
          <w:p w14:paraId="0D8DF1F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1F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1F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1F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1F9"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1F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1FB"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1F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1FD"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1F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1FF"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200" w14:textId="77777777" w:rsidR="004C2197" w:rsidRDefault="004C2197">
            <w:pPr>
              <w:rPr>
                <w:rFonts w:ascii="宋体"/>
              </w:rPr>
            </w:pPr>
          </w:p>
        </w:tc>
        <w:tc>
          <w:tcPr>
            <w:tcW w:w="0" w:type="auto"/>
            <w:shd w:val="clear" w:color="auto" w:fill="auto"/>
          </w:tcPr>
          <w:p w14:paraId="0D8DF201" w14:textId="77777777" w:rsidR="004C2197" w:rsidRDefault="004C2197">
            <w:pPr>
              <w:rPr>
                <w:rFonts w:ascii="宋体"/>
              </w:rPr>
            </w:pPr>
          </w:p>
        </w:tc>
        <w:tc>
          <w:tcPr>
            <w:tcW w:w="0" w:type="auto"/>
            <w:shd w:val="clear" w:color="auto" w:fill="auto"/>
          </w:tcPr>
          <w:p w14:paraId="0D8DF202" w14:textId="77777777" w:rsidR="004C2197" w:rsidRDefault="004C2197">
            <w:pPr>
              <w:rPr>
                <w:rFonts w:ascii="宋体"/>
              </w:rPr>
            </w:pPr>
          </w:p>
        </w:tc>
        <w:tc>
          <w:tcPr>
            <w:tcW w:w="0" w:type="auto"/>
            <w:shd w:val="clear" w:color="auto" w:fill="auto"/>
          </w:tcPr>
          <w:p w14:paraId="0D8DF203" w14:textId="77777777" w:rsidR="004C2197" w:rsidRDefault="004C2197">
            <w:pPr>
              <w:rPr>
                <w:rFonts w:ascii="宋体"/>
              </w:rPr>
            </w:pPr>
          </w:p>
        </w:tc>
        <w:tc>
          <w:tcPr>
            <w:tcW w:w="0" w:type="auto"/>
            <w:shd w:val="clear" w:color="auto" w:fill="auto"/>
          </w:tcPr>
          <w:p w14:paraId="0D8DF204" w14:textId="77777777" w:rsidR="004C2197" w:rsidRDefault="004C2197">
            <w:pPr>
              <w:rPr>
                <w:rFonts w:ascii="宋体"/>
              </w:rPr>
            </w:pPr>
          </w:p>
        </w:tc>
        <w:tc>
          <w:tcPr>
            <w:tcW w:w="0" w:type="auto"/>
            <w:shd w:val="clear" w:color="auto" w:fill="auto"/>
          </w:tcPr>
          <w:p w14:paraId="0D8DF205" w14:textId="77777777" w:rsidR="004C2197" w:rsidRDefault="004C2197">
            <w:pPr>
              <w:rPr>
                <w:rFonts w:ascii="宋体"/>
              </w:rPr>
            </w:pPr>
          </w:p>
        </w:tc>
        <w:tc>
          <w:tcPr>
            <w:tcW w:w="0" w:type="auto"/>
            <w:shd w:val="clear" w:color="auto" w:fill="auto"/>
          </w:tcPr>
          <w:p w14:paraId="0D8DF206" w14:textId="77777777" w:rsidR="004C2197" w:rsidRDefault="004C2197">
            <w:pPr>
              <w:rPr>
                <w:rFonts w:ascii="宋体"/>
              </w:rPr>
            </w:pPr>
          </w:p>
        </w:tc>
        <w:tc>
          <w:tcPr>
            <w:tcW w:w="0" w:type="auto"/>
            <w:shd w:val="clear" w:color="auto" w:fill="auto"/>
          </w:tcPr>
          <w:p w14:paraId="0D8DF207" w14:textId="77777777" w:rsidR="004C2197" w:rsidRDefault="004C2197">
            <w:pPr>
              <w:rPr>
                <w:rFonts w:ascii="宋体"/>
              </w:rPr>
            </w:pPr>
          </w:p>
        </w:tc>
        <w:tc>
          <w:tcPr>
            <w:tcW w:w="0" w:type="auto"/>
            <w:shd w:val="clear" w:color="auto" w:fill="auto"/>
          </w:tcPr>
          <w:p w14:paraId="0D8DF208" w14:textId="77777777" w:rsidR="004C2197" w:rsidRDefault="004C2197">
            <w:pPr>
              <w:rPr>
                <w:rFonts w:ascii="宋体"/>
              </w:rPr>
            </w:pPr>
          </w:p>
        </w:tc>
        <w:tc>
          <w:tcPr>
            <w:tcW w:w="0" w:type="auto"/>
            <w:shd w:val="clear" w:color="auto" w:fill="auto"/>
          </w:tcPr>
          <w:p w14:paraId="0D8DF209" w14:textId="77777777" w:rsidR="004C2197" w:rsidRDefault="004C2197">
            <w:pPr>
              <w:rPr>
                <w:rFonts w:ascii="宋体"/>
              </w:rPr>
            </w:pPr>
          </w:p>
        </w:tc>
        <w:tc>
          <w:tcPr>
            <w:tcW w:w="0" w:type="auto"/>
            <w:shd w:val="clear" w:color="auto" w:fill="auto"/>
          </w:tcPr>
          <w:p w14:paraId="0D8DF20A" w14:textId="77777777" w:rsidR="004C2197" w:rsidRDefault="004C2197">
            <w:pPr>
              <w:rPr>
                <w:rFonts w:ascii="宋体"/>
              </w:rPr>
            </w:pPr>
          </w:p>
        </w:tc>
        <w:tc>
          <w:tcPr>
            <w:tcW w:w="0" w:type="auto"/>
            <w:shd w:val="clear" w:color="auto" w:fill="auto"/>
          </w:tcPr>
          <w:p w14:paraId="0D8DF20B" w14:textId="77777777" w:rsidR="004C2197" w:rsidRDefault="004C2197">
            <w:pPr>
              <w:rPr>
                <w:rFonts w:ascii="宋体"/>
              </w:rPr>
            </w:pPr>
          </w:p>
        </w:tc>
        <w:tc>
          <w:tcPr>
            <w:tcW w:w="0" w:type="auto"/>
            <w:shd w:val="clear" w:color="auto" w:fill="auto"/>
          </w:tcPr>
          <w:p w14:paraId="0D8DF20C" w14:textId="77777777" w:rsidR="004C2197" w:rsidRDefault="004C2197">
            <w:pPr>
              <w:rPr>
                <w:rFonts w:ascii="宋体"/>
              </w:rPr>
            </w:pPr>
          </w:p>
        </w:tc>
        <w:tc>
          <w:tcPr>
            <w:tcW w:w="0" w:type="auto"/>
            <w:shd w:val="clear" w:color="auto" w:fill="auto"/>
          </w:tcPr>
          <w:p w14:paraId="0D8DF20D" w14:textId="77777777" w:rsidR="004C2197" w:rsidRDefault="004C2197">
            <w:pPr>
              <w:rPr>
                <w:rFonts w:ascii="宋体"/>
              </w:rPr>
            </w:pPr>
          </w:p>
        </w:tc>
        <w:tc>
          <w:tcPr>
            <w:tcW w:w="0" w:type="auto"/>
            <w:shd w:val="clear" w:color="auto" w:fill="auto"/>
          </w:tcPr>
          <w:p w14:paraId="0D8DF20E" w14:textId="77777777" w:rsidR="004C2197" w:rsidRDefault="004C2197">
            <w:pPr>
              <w:rPr>
                <w:rFonts w:ascii="宋体"/>
              </w:rPr>
            </w:pPr>
          </w:p>
        </w:tc>
        <w:tc>
          <w:tcPr>
            <w:tcW w:w="0" w:type="auto"/>
            <w:shd w:val="clear" w:color="auto" w:fill="auto"/>
          </w:tcPr>
          <w:p w14:paraId="0D8DF20F" w14:textId="77777777" w:rsidR="004C2197" w:rsidRDefault="004C2197">
            <w:pPr>
              <w:rPr>
                <w:rFonts w:ascii="宋体"/>
              </w:rPr>
            </w:pPr>
          </w:p>
        </w:tc>
        <w:tc>
          <w:tcPr>
            <w:tcW w:w="0" w:type="auto"/>
            <w:shd w:val="clear" w:color="auto" w:fill="auto"/>
          </w:tcPr>
          <w:p w14:paraId="0D8DF210" w14:textId="77777777" w:rsidR="004C2197" w:rsidRDefault="004C2197">
            <w:pPr>
              <w:rPr>
                <w:rFonts w:ascii="宋体"/>
              </w:rPr>
            </w:pPr>
          </w:p>
        </w:tc>
        <w:tc>
          <w:tcPr>
            <w:tcW w:w="0" w:type="auto"/>
            <w:shd w:val="clear" w:color="auto" w:fill="auto"/>
          </w:tcPr>
          <w:p w14:paraId="0D8DF211" w14:textId="77777777" w:rsidR="004C2197" w:rsidRDefault="004C2197">
            <w:pPr>
              <w:rPr>
                <w:rFonts w:ascii="宋体"/>
              </w:rPr>
            </w:pPr>
          </w:p>
        </w:tc>
        <w:tc>
          <w:tcPr>
            <w:tcW w:w="0" w:type="auto"/>
            <w:shd w:val="clear" w:color="auto" w:fill="auto"/>
          </w:tcPr>
          <w:p w14:paraId="0D8DF212" w14:textId="77777777" w:rsidR="004C2197" w:rsidRDefault="004C2197">
            <w:pPr>
              <w:rPr>
                <w:rFonts w:ascii="宋体"/>
              </w:rPr>
            </w:pPr>
          </w:p>
        </w:tc>
        <w:tc>
          <w:tcPr>
            <w:tcW w:w="0" w:type="auto"/>
            <w:shd w:val="clear" w:color="auto" w:fill="auto"/>
          </w:tcPr>
          <w:p w14:paraId="0D8DF213" w14:textId="77777777" w:rsidR="004C2197" w:rsidRDefault="004C2197">
            <w:pPr>
              <w:rPr>
                <w:rFonts w:ascii="宋体"/>
              </w:rPr>
            </w:pPr>
          </w:p>
        </w:tc>
        <w:tc>
          <w:tcPr>
            <w:tcW w:w="0" w:type="auto"/>
            <w:shd w:val="clear" w:color="auto" w:fill="auto"/>
          </w:tcPr>
          <w:p w14:paraId="0D8DF214" w14:textId="77777777" w:rsidR="004C2197" w:rsidRDefault="004C2197">
            <w:pPr>
              <w:rPr>
                <w:rFonts w:ascii="宋体"/>
              </w:rPr>
            </w:pPr>
          </w:p>
        </w:tc>
        <w:tc>
          <w:tcPr>
            <w:tcW w:w="0" w:type="auto"/>
            <w:shd w:val="clear" w:color="auto" w:fill="auto"/>
          </w:tcPr>
          <w:p w14:paraId="0D8DF215" w14:textId="77777777" w:rsidR="004C2197" w:rsidRDefault="004C2197">
            <w:pPr>
              <w:rPr>
                <w:rFonts w:ascii="宋体"/>
              </w:rPr>
            </w:pPr>
          </w:p>
        </w:tc>
        <w:tc>
          <w:tcPr>
            <w:tcW w:w="0" w:type="auto"/>
            <w:shd w:val="clear" w:color="auto" w:fill="auto"/>
          </w:tcPr>
          <w:p w14:paraId="0D8DF216" w14:textId="77777777" w:rsidR="004C2197" w:rsidRDefault="004C2197">
            <w:pPr>
              <w:rPr>
                <w:rFonts w:ascii="宋体"/>
              </w:rPr>
            </w:pPr>
          </w:p>
        </w:tc>
        <w:tc>
          <w:tcPr>
            <w:tcW w:w="0" w:type="auto"/>
            <w:shd w:val="clear" w:color="auto" w:fill="auto"/>
          </w:tcPr>
          <w:p w14:paraId="0D8DF217" w14:textId="77777777" w:rsidR="004C2197" w:rsidRDefault="004C2197">
            <w:pPr>
              <w:rPr>
                <w:rFonts w:ascii="宋体"/>
              </w:rPr>
            </w:pPr>
          </w:p>
        </w:tc>
        <w:tc>
          <w:tcPr>
            <w:tcW w:w="0" w:type="auto"/>
            <w:shd w:val="clear" w:color="auto" w:fill="auto"/>
          </w:tcPr>
          <w:p w14:paraId="0D8DF218" w14:textId="77777777" w:rsidR="004C2197" w:rsidRDefault="004C2197">
            <w:pPr>
              <w:rPr>
                <w:rFonts w:ascii="宋体"/>
              </w:rPr>
            </w:pPr>
          </w:p>
        </w:tc>
        <w:tc>
          <w:tcPr>
            <w:tcW w:w="0" w:type="auto"/>
            <w:shd w:val="clear" w:color="auto" w:fill="auto"/>
          </w:tcPr>
          <w:p w14:paraId="0D8DF219" w14:textId="77777777" w:rsidR="004C2197" w:rsidRDefault="004C2197">
            <w:pPr>
              <w:rPr>
                <w:rFonts w:ascii="宋体"/>
              </w:rPr>
            </w:pPr>
          </w:p>
        </w:tc>
        <w:tc>
          <w:tcPr>
            <w:tcW w:w="0" w:type="auto"/>
            <w:shd w:val="clear" w:color="auto" w:fill="auto"/>
          </w:tcPr>
          <w:p w14:paraId="0D8DF21A" w14:textId="77777777" w:rsidR="004C2197" w:rsidRDefault="004C2197">
            <w:pPr>
              <w:rPr>
                <w:rFonts w:ascii="宋体"/>
              </w:rPr>
            </w:pPr>
          </w:p>
        </w:tc>
        <w:tc>
          <w:tcPr>
            <w:tcW w:w="0" w:type="auto"/>
            <w:shd w:val="clear" w:color="auto" w:fill="auto"/>
          </w:tcPr>
          <w:p w14:paraId="0D8DF21B" w14:textId="77777777" w:rsidR="004C2197" w:rsidRDefault="004C2197">
            <w:pPr>
              <w:rPr>
                <w:rFonts w:ascii="宋体"/>
              </w:rPr>
            </w:pPr>
          </w:p>
        </w:tc>
      </w:tr>
      <w:tr w:rsidR="004C2197" w14:paraId="0D8DF229" w14:textId="77777777">
        <w:tc>
          <w:tcPr>
            <w:tcW w:w="0" w:type="auto"/>
            <w:gridSpan w:val="3"/>
            <w:shd w:val="clear" w:color="auto" w:fill="auto"/>
            <w:tcMar>
              <w:top w:w="40" w:type="dxa"/>
              <w:left w:w="20" w:type="dxa"/>
              <w:bottom w:w="40" w:type="dxa"/>
              <w:right w:w="20" w:type="dxa"/>
            </w:tcMar>
            <w:vAlign w:val="bottom"/>
          </w:tcPr>
          <w:p w14:paraId="0D8DF21D" w14:textId="77777777" w:rsidR="004C2197" w:rsidRDefault="00863B83">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D8DF21E"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21F" w14:textId="77777777" w:rsidR="004C2197" w:rsidRDefault="004C2197">
            <w:pPr>
              <w:rPr>
                <w:rFonts w:ascii="宋体"/>
                <w:vanish/>
              </w:rPr>
            </w:pPr>
          </w:p>
        </w:tc>
        <w:tc>
          <w:tcPr>
            <w:tcW w:w="0" w:type="auto"/>
            <w:gridSpan w:val="3"/>
            <w:shd w:val="clear" w:color="auto" w:fill="auto"/>
          </w:tcPr>
          <w:p w14:paraId="0D8DF220" w14:textId="77777777" w:rsidR="004C2197" w:rsidRDefault="004C2197">
            <w:pPr>
              <w:rPr>
                <w:rFonts w:ascii="宋体"/>
                <w:vanish/>
              </w:rPr>
            </w:pPr>
          </w:p>
        </w:tc>
        <w:tc>
          <w:tcPr>
            <w:tcW w:w="0" w:type="auto"/>
            <w:gridSpan w:val="3"/>
            <w:shd w:val="clear" w:color="auto" w:fill="auto"/>
          </w:tcPr>
          <w:p w14:paraId="0D8DF221" w14:textId="77777777" w:rsidR="004C2197" w:rsidRDefault="004C2197">
            <w:pPr>
              <w:rPr>
                <w:rFonts w:ascii="宋体"/>
                <w:vanish/>
              </w:rPr>
            </w:pPr>
          </w:p>
        </w:tc>
        <w:tc>
          <w:tcPr>
            <w:tcW w:w="0" w:type="auto"/>
            <w:gridSpan w:val="3"/>
            <w:shd w:val="clear" w:color="auto" w:fill="auto"/>
          </w:tcPr>
          <w:p w14:paraId="0D8DF222" w14:textId="77777777" w:rsidR="004C2197" w:rsidRDefault="004C2197">
            <w:pPr>
              <w:rPr>
                <w:rFonts w:ascii="宋体"/>
                <w:vanish/>
              </w:rPr>
            </w:pPr>
          </w:p>
        </w:tc>
        <w:tc>
          <w:tcPr>
            <w:tcW w:w="0" w:type="auto"/>
            <w:gridSpan w:val="3"/>
            <w:shd w:val="clear" w:color="auto" w:fill="auto"/>
          </w:tcPr>
          <w:p w14:paraId="0D8DF223" w14:textId="77777777" w:rsidR="004C2197" w:rsidRDefault="004C2197">
            <w:pPr>
              <w:rPr>
                <w:rFonts w:ascii="宋体"/>
                <w:vanish/>
              </w:rPr>
            </w:pPr>
          </w:p>
        </w:tc>
        <w:tc>
          <w:tcPr>
            <w:tcW w:w="0" w:type="auto"/>
            <w:gridSpan w:val="3"/>
            <w:shd w:val="clear" w:color="auto" w:fill="auto"/>
          </w:tcPr>
          <w:p w14:paraId="0D8DF224" w14:textId="77777777" w:rsidR="004C2197" w:rsidRDefault="004C2197">
            <w:pPr>
              <w:rPr>
                <w:rFonts w:ascii="宋体"/>
                <w:vanish/>
              </w:rPr>
            </w:pPr>
          </w:p>
        </w:tc>
        <w:tc>
          <w:tcPr>
            <w:tcW w:w="0" w:type="auto"/>
            <w:gridSpan w:val="3"/>
            <w:shd w:val="clear" w:color="auto" w:fill="auto"/>
          </w:tcPr>
          <w:p w14:paraId="0D8DF225" w14:textId="77777777" w:rsidR="004C2197" w:rsidRDefault="004C2197">
            <w:pPr>
              <w:rPr>
                <w:rFonts w:ascii="宋体"/>
                <w:vanish/>
              </w:rPr>
            </w:pPr>
          </w:p>
        </w:tc>
        <w:tc>
          <w:tcPr>
            <w:tcW w:w="0" w:type="auto"/>
            <w:gridSpan w:val="3"/>
            <w:shd w:val="clear" w:color="auto" w:fill="auto"/>
          </w:tcPr>
          <w:p w14:paraId="0D8DF226" w14:textId="77777777" w:rsidR="004C2197" w:rsidRDefault="004C2197">
            <w:pPr>
              <w:rPr>
                <w:rFonts w:ascii="宋体"/>
                <w:vanish/>
              </w:rPr>
            </w:pPr>
          </w:p>
        </w:tc>
        <w:tc>
          <w:tcPr>
            <w:tcW w:w="0" w:type="auto"/>
            <w:gridSpan w:val="2"/>
            <w:shd w:val="clear" w:color="auto" w:fill="auto"/>
          </w:tcPr>
          <w:p w14:paraId="0D8DF227" w14:textId="77777777" w:rsidR="004C2197" w:rsidRDefault="004C2197">
            <w:pPr>
              <w:rPr>
                <w:rFonts w:ascii="宋体"/>
                <w:vanish/>
              </w:rPr>
            </w:pPr>
          </w:p>
        </w:tc>
        <w:tc>
          <w:tcPr>
            <w:tcW w:w="0" w:type="auto"/>
            <w:shd w:val="clear" w:color="auto" w:fill="auto"/>
          </w:tcPr>
          <w:p w14:paraId="0D8DF228" w14:textId="77777777" w:rsidR="004C2197" w:rsidRDefault="004C2197">
            <w:pPr>
              <w:rPr>
                <w:rFonts w:ascii="宋体"/>
                <w:vanish/>
              </w:rPr>
            </w:pPr>
          </w:p>
        </w:tc>
      </w:tr>
      <w:tr w:rsidR="004C2197" w14:paraId="0D8DF25D" w14:textId="77777777">
        <w:tc>
          <w:tcPr>
            <w:tcW w:w="0" w:type="auto"/>
            <w:gridSpan w:val="3"/>
            <w:shd w:val="clear" w:color="auto" w:fill="E2EFD9"/>
            <w:tcMar>
              <w:top w:w="40" w:type="dxa"/>
              <w:left w:w="20" w:type="dxa"/>
              <w:bottom w:w="40" w:type="dxa"/>
              <w:right w:w="20" w:type="dxa"/>
            </w:tcMar>
            <w:vAlign w:val="bottom"/>
          </w:tcPr>
          <w:p w14:paraId="0D8DF22A" w14:textId="77777777" w:rsidR="004C2197" w:rsidRDefault="00863B83">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tcMar>
            <w:vAlign w:val="bottom"/>
          </w:tcPr>
          <w:p w14:paraId="0D8DF22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2C" w14:textId="77777777" w:rsidR="004C2197" w:rsidRDefault="00863B83">
            <w:pPr>
              <w:jc w:val="right"/>
              <w:textAlignment w:val="bottom"/>
            </w:pPr>
            <w:r>
              <w:rPr>
                <w:rFonts w:ascii="sans-serif" w:eastAsia="sans-serif" w:hAnsi="sans-serif" w:cs="sans-serif"/>
                <w:color w:val="000000"/>
                <w:sz w:val="20"/>
                <w:szCs w:val="20"/>
              </w:rPr>
              <w:t>3,494 </w:t>
            </w:r>
          </w:p>
        </w:tc>
        <w:tc>
          <w:tcPr>
            <w:tcW w:w="0" w:type="auto"/>
            <w:shd w:val="clear" w:color="auto" w:fill="E2EFD9"/>
            <w:tcMar>
              <w:top w:w="40" w:type="dxa"/>
              <w:bottom w:w="40" w:type="dxa"/>
              <w:right w:w="20" w:type="dxa"/>
            </w:tcMar>
            <w:vAlign w:val="bottom"/>
          </w:tcPr>
          <w:p w14:paraId="0D8DF22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2E"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22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30" w14:textId="77777777" w:rsidR="004C2197" w:rsidRDefault="00863B83">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bottom w:w="40" w:type="dxa"/>
              <w:right w:w="20" w:type="dxa"/>
            </w:tcMar>
            <w:vAlign w:val="bottom"/>
          </w:tcPr>
          <w:p w14:paraId="0D8DF23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32"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23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3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3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36"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23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38" w14:textId="77777777" w:rsidR="004C2197" w:rsidRDefault="00863B83">
            <w:pPr>
              <w:jc w:val="right"/>
              <w:textAlignment w:val="bottom"/>
            </w:pPr>
            <w:r>
              <w:rPr>
                <w:rFonts w:ascii="sans-serif" w:eastAsia="sans-serif" w:hAnsi="sans-serif" w:cs="sans-serif"/>
                <w:color w:val="000000"/>
                <w:sz w:val="20"/>
                <w:szCs w:val="20"/>
              </w:rPr>
              <w:t>3,497 </w:t>
            </w:r>
          </w:p>
        </w:tc>
        <w:tc>
          <w:tcPr>
            <w:tcW w:w="0" w:type="auto"/>
            <w:shd w:val="clear" w:color="auto" w:fill="E2EFD9"/>
            <w:tcMar>
              <w:top w:w="40" w:type="dxa"/>
              <w:bottom w:w="40" w:type="dxa"/>
              <w:right w:w="20" w:type="dxa"/>
            </w:tcMar>
            <w:vAlign w:val="bottom"/>
          </w:tcPr>
          <w:p w14:paraId="0D8DF23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3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23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3C" w14:textId="77777777" w:rsidR="004C2197" w:rsidRDefault="00863B83">
            <w:pPr>
              <w:jc w:val="right"/>
              <w:textAlignment w:val="bottom"/>
            </w:pPr>
            <w:r>
              <w:rPr>
                <w:rFonts w:ascii="sans-serif" w:eastAsia="sans-serif" w:hAnsi="sans-serif" w:cs="sans-serif"/>
                <w:color w:val="000000"/>
                <w:sz w:val="20"/>
                <w:szCs w:val="20"/>
              </w:rPr>
              <w:t>515 </w:t>
            </w:r>
          </w:p>
        </w:tc>
        <w:tc>
          <w:tcPr>
            <w:tcW w:w="0" w:type="auto"/>
            <w:shd w:val="clear" w:color="auto" w:fill="E2EFD9"/>
            <w:tcMar>
              <w:top w:w="40" w:type="dxa"/>
              <w:bottom w:w="40" w:type="dxa"/>
              <w:right w:w="20" w:type="dxa"/>
            </w:tcMar>
            <w:vAlign w:val="bottom"/>
          </w:tcPr>
          <w:p w14:paraId="0D8DF23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3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23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240" w14:textId="77777777" w:rsidR="004C2197" w:rsidRDefault="00863B83">
            <w:pPr>
              <w:jc w:val="right"/>
              <w:textAlignment w:val="bottom"/>
            </w:pPr>
            <w:r>
              <w:rPr>
                <w:rFonts w:ascii="sans-serif" w:eastAsia="sans-serif" w:hAnsi="sans-serif" w:cs="sans-serif"/>
                <w:color w:val="000000"/>
                <w:sz w:val="20"/>
                <w:szCs w:val="20"/>
              </w:rPr>
              <w:t>2,982 </w:t>
            </w:r>
          </w:p>
        </w:tc>
        <w:tc>
          <w:tcPr>
            <w:tcW w:w="0" w:type="auto"/>
            <w:shd w:val="clear" w:color="auto" w:fill="E2EFD9"/>
            <w:tcMar>
              <w:top w:w="40" w:type="dxa"/>
              <w:bottom w:w="40" w:type="dxa"/>
              <w:right w:w="20" w:type="dxa"/>
            </w:tcMar>
            <w:vAlign w:val="bottom"/>
          </w:tcPr>
          <w:p w14:paraId="0D8DF241" w14:textId="77777777" w:rsidR="004C2197" w:rsidRDefault="004C2197">
            <w:pPr>
              <w:jc w:val="right"/>
              <w:rPr>
                <w:rFonts w:ascii="宋体"/>
              </w:rPr>
            </w:pPr>
          </w:p>
        </w:tc>
        <w:tc>
          <w:tcPr>
            <w:tcW w:w="0" w:type="auto"/>
            <w:shd w:val="clear" w:color="auto" w:fill="auto"/>
          </w:tcPr>
          <w:p w14:paraId="0D8DF242" w14:textId="77777777" w:rsidR="004C2197" w:rsidRDefault="004C2197">
            <w:pPr>
              <w:rPr>
                <w:rFonts w:ascii="宋体"/>
              </w:rPr>
            </w:pPr>
          </w:p>
        </w:tc>
        <w:tc>
          <w:tcPr>
            <w:tcW w:w="0" w:type="auto"/>
            <w:shd w:val="clear" w:color="auto" w:fill="auto"/>
          </w:tcPr>
          <w:p w14:paraId="0D8DF243" w14:textId="77777777" w:rsidR="004C2197" w:rsidRDefault="004C2197">
            <w:pPr>
              <w:rPr>
                <w:rFonts w:ascii="宋体"/>
              </w:rPr>
            </w:pPr>
          </w:p>
        </w:tc>
        <w:tc>
          <w:tcPr>
            <w:tcW w:w="0" w:type="auto"/>
            <w:shd w:val="clear" w:color="auto" w:fill="auto"/>
          </w:tcPr>
          <w:p w14:paraId="0D8DF244" w14:textId="77777777" w:rsidR="004C2197" w:rsidRDefault="004C2197">
            <w:pPr>
              <w:rPr>
                <w:rFonts w:ascii="宋体"/>
              </w:rPr>
            </w:pPr>
          </w:p>
        </w:tc>
        <w:tc>
          <w:tcPr>
            <w:tcW w:w="0" w:type="auto"/>
            <w:shd w:val="clear" w:color="auto" w:fill="auto"/>
          </w:tcPr>
          <w:p w14:paraId="0D8DF245" w14:textId="77777777" w:rsidR="004C2197" w:rsidRDefault="004C2197">
            <w:pPr>
              <w:rPr>
                <w:rFonts w:ascii="宋体"/>
              </w:rPr>
            </w:pPr>
          </w:p>
        </w:tc>
        <w:tc>
          <w:tcPr>
            <w:tcW w:w="0" w:type="auto"/>
            <w:shd w:val="clear" w:color="auto" w:fill="auto"/>
          </w:tcPr>
          <w:p w14:paraId="0D8DF246" w14:textId="77777777" w:rsidR="004C2197" w:rsidRDefault="004C2197">
            <w:pPr>
              <w:rPr>
                <w:rFonts w:ascii="宋体"/>
              </w:rPr>
            </w:pPr>
          </w:p>
        </w:tc>
        <w:tc>
          <w:tcPr>
            <w:tcW w:w="0" w:type="auto"/>
            <w:shd w:val="clear" w:color="auto" w:fill="auto"/>
          </w:tcPr>
          <w:p w14:paraId="0D8DF247" w14:textId="77777777" w:rsidR="004C2197" w:rsidRDefault="004C2197">
            <w:pPr>
              <w:rPr>
                <w:rFonts w:ascii="宋体"/>
              </w:rPr>
            </w:pPr>
          </w:p>
        </w:tc>
        <w:tc>
          <w:tcPr>
            <w:tcW w:w="0" w:type="auto"/>
            <w:shd w:val="clear" w:color="auto" w:fill="auto"/>
          </w:tcPr>
          <w:p w14:paraId="0D8DF248" w14:textId="77777777" w:rsidR="004C2197" w:rsidRDefault="004C2197">
            <w:pPr>
              <w:rPr>
                <w:rFonts w:ascii="宋体"/>
              </w:rPr>
            </w:pPr>
          </w:p>
        </w:tc>
        <w:tc>
          <w:tcPr>
            <w:tcW w:w="0" w:type="auto"/>
            <w:shd w:val="clear" w:color="auto" w:fill="auto"/>
          </w:tcPr>
          <w:p w14:paraId="0D8DF249" w14:textId="77777777" w:rsidR="004C2197" w:rsidRDefault="004C2197">
            <w:pPr>
              <w:rPr>
                <w:rFonts w:ascii="宋体"/>
              </w:rPr>
            </w:pPr>
          </w:p>
        </w:tc>
        <w:tc>
          <w:tcPr>
            <w:tcW w:w="0" w:type="auto"/>
            <w:shd w:val="clear" w:color="auto" w:fill="auto"/>
          </w:tcPr>
          <w:p w14:paraId="0D8DF24A" w14:textId="77777777" w:rsidR="004C2197" w:rsidRDefault="004C2197">
            <w:pPr>
              <w:rPr>
                <w:rFonts w:ascii="宋体"/>
              </w:rPr>
            </w:pPr>
          </w:p>
        </w:tc>
        <w:tc>
          <w:tcPr>
            <w:tcW w:w="0" w:type="auto"/>
            <w:shd w:val="clear" w:color="auto" w:fill="auto"/>
          </w:tcPr>
          <w:p w14:paraId="0D8DF24B" w14:textId="77777777" w:rsidR="004C2197" w:rsidRDefault="004C2197">
            <w:pPr>
              <w:rPr>
                <w:rFonts w:ascii="宋体"/>
              </w:rPr>
            </w:pPr>
          </w:p>
        </w:tc>
        <w:tc>
          <w:tcPr>
            <w:tcW w:w="0" w:type="auto"/>
            <w:shd w:val="clear" w:color="auto" w:fill="auto"/>
          </w:tcPr>
          <w:p w14:paraId="0D8DF24C" w14:textId="77777777" w:rsidR="004C2197" w:rsidRDefault="004C2197">
            <w:pPr>
              <w:rPr>
                <w:rFonts w:ascii="宋体"/>
              </w:rPr>
            </w:pPr>
          </w:p>
        </w:tc>
        <w:tc>
          <w:tcPr>
            <w:tcW w:w="0" w:type="auto"/>
            <w:shd w:val="clear" w:color="auto" w:fill="auto"/>
          </w:tcPr>
          <w:p w14:paraId="0D8DF24D" w14:textId="77777777" w:rsidR="004C2197" w:rsidRDefault="004C2197">
            <w:pPr>
              <w:rPr>
                <w:rFonts w:ascii="宋体"/>
              </w:rPr>
            </w:pPr>
          </w:p>
        </w:tc>
        <w:tc>
          <w:tcPr>
            <w:tcW w:w="0" w:type="auto"/>
            <w:shd w:val="clear" w:color="auto" w:fill="auto"/>
          </w:tcPr>
          <w:p w14:paraId="0D8DF24E" w14:textId="77777777" w:rsidR="004C2197" w:rsidRDefault="004C2197">
            <w:pPr>
              <w:rPr>
                <w:rFonts w:ascii="宋体"/>
              </w:rPr>
            </w:pPr>
          </w:p>
        </w:tc>
        <w:tc>
          <w:tcPr>
            <w:tcW w:w="0" w:type="auto"/>
            <w:shd w:val="clear" w:color="auto" w:fill="auto"/>
          </w:tcPr>
          <w:p w14:paraId="0D8DF24F" w14:textId="77777777" w:rsidR="004C2197" w:rsidRDefault="004C2197">
            <w:pPr>
              <w:rPr>
                <w:rFonts w:ascii="宋体"/>
              </w:rPr>
            </w:pPr>
          </w:p>
        </w:tc>
        <w:tc>
          <w:tcPr>
            <w:tcW w:w="0" w:type="auto"/>
            <w:shd w:val="clear" w:color="auto" w:fill="auto"/>
          </w:tcPr>
          <w:p w14:paraId="0D8DF250" w14:textId="77777777" w:rsidR="004C2197" w:rsidRDefault="004C2197">
            <w:pPr>
              <w:rPr>
                <w:rFonts w:ascii="宋体"/>
              </w:rPr>
            </w:pPr>
          </w:p>
        </w:tc>
        <w:tc>
          <w:tcPr>
            <w:tcW w:w="0" w:type="auto"/>
            <w:shd w:val="clear" w:color="auto" w:fill="auto"/>
          </w:tcPr>
          <w:p w14:paraId="0D8DF251" w14:textId="77777777" w:rsidR="004C2197" w:rsidRDefault="004C2197">
            <w:pPr>
              <w:rPr>
                <w:rFonts w:ascii="宋体"/>
              </w:rPr>
            </w:pPr>
          </w:p>
        </w:tc>
        <w:tc>
          <w:tcPr>
            <w:tcW w:w="0" w:type="auto"/>
            <w:shd w:val="clear" w:color="auto" w:fill="auto"/>
          </w:tcPr>
          <w:p w14:paraId="0D8DF252" w14:textId="77777777" w:rsidR="004C2197" w:rsidRDefault="004C2197">
            <w:pPr>
              <w:rPr>
                <w:rFonts w:ascii="宋体"/>
              </w:rPr>
            </w:pPr>
          </w:p>
        </w:tc>
        <w:tc>
          <w:tcPr>
            <w:tcW w:w="0" w:type="auto"/>
            <w:shd w:val="clear" w:color="auto" w:fill="auto"/>
          </w:tcPr>
          <w:p w14:paraId="0D8DF253" w14:textId="77777777" w:rsidR="004C2197" w:rsidRDefault="004C2197">
            <w:pPr>
              <w:rPr>
                <w:rFonts w:ascii="宋体"/>
              </w:rPr>
            </w:pPr>
          </w:p>
        </w:tc>
        <w:tc>
          <w:tcPr>
            <w:tcW w:w="0" w:type="auto"/>
            <w:shd w:val="clear" w:color="auto" w:fill="auto"/>
          </w:tcPr>
          <w:p w14:paraId="0D8DF254" w14:textId="77777777" w:rsidR="004C2197" w:rsidRDefault="004C2197">
            <w:pPr>
              <w:rPr>
                <w:rFonts w:ascii="宋体"/>
              </w:rPr>
            </w:pPr>
          </w:p>
        </w:tc>
        <w:tc>
          <w:tcPr>
            <w:tcW w:w="0" w:type="auto"/>
            <w:shd w:val="clear" w:color="auto" w:fill="auto"/>
          </w:tcPr>
          <w:p w14:paraId="0D8DF255" w14:textId="77777777" w:rsidR="004C2197" w:rsidRDefault="004C2197">
            <w:pPr>
              <w:rPr>
                <w:rFonts w:ascii="宋体"/>
              </w:rPr>
            </w:pPr>
          </w:p>
        </w:tc>
        <w:tc>
          <w:tcPr>
            <w:tcW w:w="0" w:type="auto"/>
            <w:shd w:val="clear" w:color="auto" w:fill="auto"/>
          </w:tcPr>
          <w:p w14:paraId="0D8DF256" w14:textId="77777777" w:rsidR="004C2197" w:rsidRDefault="004C2197">
            <w:pPr>
              <w:rPr>
                <w:rFonts w:ascii="宋体"/>
              </w:rPr>
            </w:pPr>
          </w:p>
        </w:tc>
        <w:tc>
          <w:tcPr>
            <w:tcW w:w="0" w:type="auto"/>
            <w:shd w:val="clear" w:color="auto" w:fill="auto"/>
          </w:tcPr>
          <w:p w14:paraId="0D8DF257" w14:textId="77777777" w:rsidR="004C2197" w:rsidRDefault="004C2197">
            <w:pPr>
              <w:rPr>
                <w:rFonts w:ascii="宋体"/>
              </w:rPr>
            </w:pPr>
          </w:p>
        </w:tc>
        <w:tc>
          <w:tcPr>
            <w:tcW w:w="0" w:type="auto"/>
            <w:shd w:val="clear" w:color="auto" w:fill="auto"/>
          </w:tcPr>
          <w:p w14:paraId="0D8DF258" w14:textId="77777777" w:rsidR="004C2197" w:rsidRDefault="004C2197">
            <w:pPr>
              <w:rPr>
                <w:rFonts w:ascii="宋体"/>
              </w:rPr>
            </w:pPr>
          </w:p>
        </w:tc>
        <w:tc>
          <w:tcPr>
            <w:tcW w:w="0" w:type="auto"/>
            <w:shd w:val="clear" w:color="auto" w:fill="auto"/>
          </w:tcPr>
          <w:p w14:paraId="0D8DF259" w14:textId="77777777" w:rsidR="004C2197" w:rsidRDefault="004C2197">
            <w:pPr>
              <w:rPr>
                <w:rFonts w:ascii="宋体"/>
              </w:rPr>
            </w:pPr>
          </w:p>
        </w:tc>
        <w:tc>
          <w:tcPr>
            <w:tcW w:w="0" w:type="auto"/>
            <w:shd w:val="clear" w:color="auto" w:fill="auto"/>
          </w:tcPr>
          <w:p w14:paraId="0D8DF25A" w14:textId="77777777" w:rsidR="004C2197" w:rsidRDefault="004C2197">
            <w:pPr>
              <w:rPr>
                <w:rFonts w:ascii="宋体"/>
              </w:rPr>
            </w:pPr>
          </w:p>
        </w:tc>
        <w:tc>
          <w:tcPr>
            <w:tcW w:w="0" w:type="auto"/>
            <w:shd w:val="clear" w:color="auto" w:fill="auto"/>
          </w:tcPr>
          <w:p w14:paraId="0D8DF25B" w14:textId="77777777" w:rsidR="004C2197" w:rsidRDefault="004C2197">
            <w:pPr>
              <w:rPr>
                <w:rFonts w:ascii="宋体"/>
              </w:rPr>
            </w:pPr>
          </w:p>
        </w:tc>
        <w:tc>
          <w:tcPr>
            <w:tcW w:w="0" w:type="auto"/>
            <w:shd w:val="clear" w:color="auto" w:fill="auto"/>
          </w:tcPr>
          <w:p w14:paraId="0D8DF25C" w14:textId="77777777" w:rsidR="004C2197" w:rsidRDefault="004C2197">
            <w:pPr>
              <w:rPr>
                <w:rFonts w:ascii="宋体"/>
              </w:rPr>
            </w:pPr>
          </w:p>
        </w:tc>
      </w:tr>
      <w:tr w:rsidR="004C2197" w14:paraId="0D8DF28B" w14:textId="77777777">
        <w:tc>
          <w:tcPr>
            <w:tcW w:w="0" w:type="auto"/>
            <w:gridSpan w:val="3"/>
            <w:shd w:val="clear" w:color="auto" w:fill="FFFFFF"/>
            <w:tcMar>
              <w:top w:w="40" w:type="dxa"/>
              <w:left w:w="20" w:type="dxa"/>
              <w:bottom w:w="40" w:type="dxa"/>
              <w:right w:w="20" w:type="dxa"/>
            </w:tcMar>
            <w:vAlign w:val="bottom"/>
          </w:tcPr>
          <w:p w14:paraId="0D8DF25E" w14:textId="77777777" w:rsidR="004C2197" w:rsidRDefault="00863B83">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FFFFFF"/>
            <w:tcMar>
              <w:top w:w="40" w:type="dxa"/>
              <w:left w:w="20" w:type="dxa"/>
              <w:bottom w:w="40" w:type="dxa"/>
              <w:right w:w="0" w:type="dxa"/>
            </w:tcMar>
            <w:vAlign w:val="bottom"/>
          </w:tcPr>
          <w:p w14:paraId="0D8DF25F" w14:textId="77777777" w:rsidR="004C2197" w:rsidRDefault="00863B83">
            <w:pPr>
              <w:jc w:val="right"/>
              <w:textAlignment w:val="bottom"/>
            </w:pPr>
            <w:r>
              <w:rPr>
                <w:rFonts w:ascii="sans-serif" w:eastAsia="sans-serif" w:hAnsi="sans-serif" w:cs="sans-serif"/>
                <w:color w:val="000000"/>
                <w:sz w:val="20"/>
                <w:szCs w:val="20"/>
              </w:rPr>
              <w:t>2,101 </w:t>
            </w:r>
          </w:p>
        </w:tc>
        <w:tc>
          <w:tcPr>
            <w:tcW w:w="0" w:type="auto"/>
            <w:shd w:val="clear" w:color="auto" w:fill="FFFFFF"/>
            <w:tcMar>
              <w:top w:w="40" w:type="dxa"/>
              <w:bottom w:w="40" w:type="dxa"/>
              <w:right w:w="20" w:type="dxa"/>
            </w:tcMar>
            <w:vAlign w:val="bottom"/>
          </w:tcPr>
          <w:p w14:paraId="0D8DF26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61"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62"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0D8DF26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6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65"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26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6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68" w14:textId="77777777" w:rsidR="004C2197" w:rsidRDefault="00863B83">
            <w:pPr>
              <w:jc w:val="right"/>
              <w:textAlignment w:val="bottom"/>
            </w:pPr>
            <w:r>
              <w:rPr>
                <w:rFonts w:ascii="sans-serif" w:eastAsia="sans-serif" w:hAnsi="sans-serif" w:cs="sans-serif"/>
                <w:color w:val="000000"/>
                <w:sz w:val="20"/>
                <w:szCs w:val="20"/>
              </w:rPr>
              <w:t>2,102 </w:t>
            </w:r>
          </w:p>
        </w:tc>
        <w:tc>
          <w:tcPr>
            <w:tcW w:w="0" w:type="auto"/>
            <w:shd w:val="clear" w:color="auto" w:fill="FFFFFF"/>
            <w:tcMar>
              <w:top w:w="40" w:type="dxa"/>
              <w:bottom w:w="40" w:type="dxa"/>
              <w:right w:w="20" w:type="dxa"/>
            </w:tcMar>
            <w:vAlign w:val="bottom"/>
          </w:tcPr>
          <w:p w14:paraId="0D8DF26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6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26B" w14:textId="77777777" w:rsidR="004C2197" w:rsidRDefault="00863B83">
            <w:pPr>
              <w:jc w:val="right"/>
              <w:textAlignment w:val="bottom"/>
            </w:pPr>
            <w:r>
              <w:rPr>
                <w:rFonts w:ascii="sans-serif" w:eastAsia="sans-serif" w:hAnsi="sans-serif" w:cs="sans-serif"/>
                <w:color w:val="000000"/>
                <w:sz w:val="20"/>
                <w:szCs w:val="20"/>
              </w:rPr>
              <w:t>50 </w:t>
            </w:r>
          </w:p>
        </w:tc>
        <w:tc>
          <w:tcPr>
            <w:tcW w:w="0" w:type="auto"/>
            <w:shd w:val="clear" w:color="auto" w:fill="FFFFFF"/>
            <w:tcMar>
              <w:top w:w="40" w:type="dxa"/>
              <w:bottom w:w="40" w:type="dxa"/>
              <w:right w:w="20" w:type="dxa"/>
            </w:tcMar>
            <w:vAlign w:val="bottom"/>
          </w:tcPr>
          <w:p w14:paraId="0D8DF26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6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26E" w14:textId="77777777" w:rsidR="004C2197" w:rsidRDefault="00863B83">
            <w:pPr>
              <w:jc w:val="right"/>
              <w:textAlignment w:val="bottom"/>
            </w:pPr>
            <w:r>
              <w:rPr>
                <w:rFonts w:ascii="sans-serif" w:eastAsia="sans-serif" w:hAnsi="sans-serif" w:cs="sans-serif"/>
                <w:color w:val="000000"/>
                <w:sz w:val="20"/>
                <w:szCs w:val="20"/>
              </w:rPr>
              <w:t>2,052 </w:t>
            </w:r>
          </w:p>
        </w:tc>
        <w:tc>
          <w:tcPr>
            <w:tcW w:w="0" w:type="auto"/>
            <w:shd w:val="clear" w:color="auto" w:fill="FFFFFF"/>
            <w:tcMar>
              <w:top w:w="40" w:type="dxa"/>
              <w:bottom w:w="40" w:type="dxa"/>
              <w:right w:w="20" w:type="dxa"/>
            </w:tcMar>
            <w:vAlign w:val="bottom"/>
          </w:tcPr>
          <w:p w14:paraId="0D8DF26F" w14:textId="77777777" w:rsidR="004C2197" w:rsidRDefault="004C2197">
            <w:pPr>
              <w:jc w:val="right"/>
              <w:rPr>
                <w:rFonts w:ascii="宋体"/>
              </w:rPr>
            </w:pPr>
          </w:p>
        </w:tc>
        <w:tc>
          <w:tcPr>
            <w:tcW w:w="0" w:type="auto"/>
            <w:shd w:val="clear" w:color="auto" w:fill="auto"/>
          </w:tcPr>
          <w:p w14:paraId="0D8DF270" w14:textId="77777777" w:rsidR="004C2197" w:rsidRDefault="004C2197">
            <w:pPr>
              <w:rPr>
                <w:rFonts w:ascii="宋体"/>
              </w:rPr>
            </w:pPr>
          </w:p>
        </w:tc>
        <w:tc>
          <w:tcPr>
            <w:tcW w:w="0" w:type="auto"/>
            <w:shd w:val="clear" w:color="auto" w:fill="auto"/>
          </w:tcPr>
          <w:p w14:paraId="0D8DF271" w14:textId="77777777" w:rsidR="004C2197" w:rsidRDefault="004C2197">
            <w:pPr>
              <w:rPr>
                <w:rFonts w:ascii="宋体"/>
              </w:rPr>
            </w:pPr>
          </w:p>
        </w:tc>
        <w:tc>
          <w:tcPr>
            <w:tcW w:w="0" w:type="auto"/>
            <w:shd w:val="clear" w:color="auto" w:fill="auto"/>
          </w:tcPr>
          <w:p w14:paraId="0D8DF272" w14:textId="77777777" w:rsidR="004C2197" w:rsidRDefault="004C2197">
            <w:pPr>
              <w:rPr>
                <w:rFonts w:ascii="宋体"/>
              </w:rPr>
            </w:pPr>
          </w:p>
        </w:tc>
        <w:tc>
          <w:tcPr>
            <w:tcW w:w="0" w:type="auto"/>
            <w:shd w:val="clear" w:color="auto" w:fill="auto"/>
          </w:tcPr>
          <w:p w14:paraId="0D8DF273" w14:textId="77777777" w:rsidR="004C2197" w:rsidRDefault="004C2197">
            <w:pPr>
              <w:rPr>
                <w:rFonts w:ascii="宋体"/>
              </w:rPr>
            </w:pPr>
          </w:p>
        </w:tc>
        <w:tc>
          <w:tcPr>
            <w:tcW w:w="0" w:type="auto"/>
            <w:shd w:val="clear" w:color="auto" w:fill="auto"/>
          </w:tcPr>
          <w:p w14:paraId="0D8DF274" w14:textId="77777777" w:rsidR="004C2197" w:rsidRDefault="004C2197">
            <w:pPr>
              <w:rPr>
                <w:rFonts w:ascii="宋体"/>
              </w:rPr>
            </w:pPr>
          </w:p>
        </w:tc>
        <w:tc>
          <w:tcPr>
            <w:tcW w:w="0" w:type="auto"/>
            <w:shd w:val="clear" w:color="auto" w:fill="auto"/>
          </w:tcPr>
          <w:p w14:paraId="0D8DF275" w14:textId="77777777" w:rsidR="004C2197" w:rsidRDefault="004C2197">
            <w:pPr>
              <w:rPr>
                <w:rFonts w:ascii="宋体"/>
              </w:rPr>
            </w:pPr>
          </w:p>
        </w:tc>
        <w:tc>
          <w:tcPr>
            <w:tcW w:w="0" w:type="auto"/>
            <w:shd w:val="clear" w:color="auto" w:fill="auto"/>
          </w:tcPr>
          <w:p w14:paraId="0D8DF276" w14:textId="77777777" w:rsidR="004C2197" w:rsidRDefault="004C2197">
            <w:pPr>
              <w:rPr>
                <w:rFonts w:ascii="宋体"/>
              </w:rPr>
            </w:pPr>
          </w:p>
        </w:tc>
        <w:tc>
          <w:tcPr>
            <w:tcW w:w="0" w:type="auto"/>
            <w:shd w:val="clear" w:color="auto" w:fill="auto"/>
          </w:tcPr>
          <w:p w14:paraId="0D8DF277" w14:textId="77777777" w:rsidR="004C2197" w:rsidRDefault="004C2197">
            <w:pPr>
              <w:rPr>
                <w:rFonts w:ascii="宋体"/>
              </w:rPr>
            </w:pPr>
          </w:p>
        </w:tc>
        <w:tc>
          <w:tcPr>
            <w:tcW w:w="0" w:type="auto"/>
            <w:shd w:val="clear" w:color="auto" w:fill="auto"/>
          </w:tcPr>
          <w:p w14:paraId="0D8DF278" w14:textId="77777777" w:rsidR="004C2197" w:rsidRDefault="004C2197">
            <w:pPr>
              <w:rPr>
                <w:rFonts w:ascii="宋体"/>
              </w:rPr>
            </w:pPr>
          </w:p>
        </w:tc>
        <w:tc>
          <w:tcPr>
            <w:tcW w:w="0" w:type="auto"/>
            <w:shd w:val="clear" w:color="auto" w:fill="auto"/>
          </w:tcPr>
          <w:p w14:paraId="0D8DF279" w14:textId="77777777" w:rsidR="004C2197" w:rsidRDefault="004C2197">
            <w:pPr>
              <w:rPr>
                <w:rFonts w:ascii="宋体"/>
              </w:rPr>
            </w:pPr>
          </w:p>
        </w:tc>
        <w:tc>
          <w:tcPr>
            <w:tcW w:w="0" w:type="auto"/>
            <w:shd w:val="clear" w:color="auto" w:fill="auto"/>
          </w:tcPr>
          <w:p w14:paraId="0D8DF27A" w14:textId="77777777" w:rsidR="004C2197" w:rsidRDefault="004C2197">
            <w:pPr>
              <w:rPr>
                <w:rFonts w:ascii="宋体"/>
              </w:rPr>
            </w:pPr>
          </w:p>
        </w:tc>
        <w:tc>
          <w:tcPr>
            <w:tcW w:w="0" w:type="auto"/>
            <w:shd w:val="clear" w:color="auto" w:fill="auto"/>
          </w:tcPr>
          <w:p w14:paraId="0D8DF27B" w14:textId="77777777" w:rsidR="004C2197" w:rsidRDefault="004C2197">
            <w:pPr>
              <w:rPr>
                <w:rFonts w:ascii="宋体"/>
              </w:rPr>
            </w:pPr>
          </w:p>
        </w:tc>
        <w:tc>
          <w:tcPr>
            <w:tcW w:w="0" w:type="auto"/>
            <w:shd w:val="clear" w:color="auto" w:fill="auto"/>
          </w:tcPr>
          <w:p w14:paraId="0D8DF27C" w14:textId="77777777" w:rsidR="004C2197" w:rsidRDefault="004C2197">
            <w:pPr>
              <w:rPr>
                <w:rFonts w:ascii="宋体"/>
              </w:rPr>
            </w:pPr>
          </w:p>
        </w:tc>
        <w:tc>
          <w:tcPr>
            <w:tcW w:w="0" w:type="auto"/>
            <w:shd w:val="clear" w:color="auto" w:fill="auto"/>
          </w:tcPr>
          <w:p w14:paraId="0D8DF27D" w14:textId="77777777" w:rsidR="004C2197" w:rsidRDefault="004C2197">
            <w:pPr>
              <w:rPr>
                <w:rFonts w:ascii="宋体"/>
              </w:rPr>
            </w:pPr>
          </w:p>
        </w:tc>
        <w:tc>
          <w:tcPr>
            <w:tcW w:w="0" w:type="auto"/>
            <w:shd w:val="clear" w:color="auto" w:fill="auto"/>
          </w:tcPr>
          <w:p w14:paraId="0D8DF27E" w14:textId="77777777" w:rsidR="004C2197" w:rsidRDefault="004C2197">
            <w:pPr>
              <w:rPr>
                <w:rFonts w:ascii="宋体"/>
              </w:rPr>
            </w:pPr>
          </w:p>
        </w:tc>
        <w:tc>
          <w:tcPr>
            <w:tcW w:w="0" w:type="auto"/>
            <w:shd w:val="clear" w:color="auto" w:fill="auto"/>
          </w:tcPr>
          <w:p w14:paraId="0D8DF27F" w14:textId="77777777" w:rsidR="004C2197" w:rsidRDefault="004C2197">
            <w:pPr>
              <w:rPr>
                <w:rFonts w:ascii="宋体"/>
              </w:rPr>
            </w:pPr>
          </w:p>
        </w:tc>
        <w:tc>
          <w:tcPr>
            <w:tcW w:w="0" w:type="auto"/>
            <w:shd w:val="clear" w:color="auto" w:fill="auto"/>
          </w:tcPr>
          <w:p w14:paraId="0D8DF280" w14:textId="77777777" w:rsidR="004C2197" w:rsidRDefault="004C2197">
            <w:pPr>
              <w:rPr>
                <w:rFonts w:ascii="宋体"/>
              </w:rPr>
            </w:pPr>
          </w:p>
        </w:tc>
        <w:tc>
          <w:tcPr>
            <w:tcW w:w="0" w:type="auto"/>
            <w:shd w:val="clear" w:color="auto" w:fill="auto"/>
          </w:tcPr>
          <w:p w14:paraId="0D8DF281" w14:textId="77777777" w:rsidR="004C2197" w:rsidRDefault="004C2197">
            <w:pPr>
              <w:rPr>
                <w:rFonts w:ascii="宋体"/>
              </w:rPr>
            </w:pPr>
          </w:p>
        </w:tc>
        <w:tc>
          <w:tcPr>
            <w:tcW w:w="0" w:type="auto"/>
            <w:shd w:val="clear" w:color="auto" w:fill="auto"/>
          </w:tcPr>
          <w:p w14:paraId="0D8DF282" w14:textId="77777777" w:rsidR="004C2197" w:rsidRDefault="004C2197">
            <w:pPr>
              <w:rPr>
                <w:rFonts w:ascii="宋体"/>
              </w:rPr>
            </w:pPr>
          </w:p>
        </w:tc>
        <w:tc>
          <w:tcPr>
            <w:tcW w:w="0" w:type="auto"/>
            <w:shd w:val="clear" w:color="auto" w:fill="auto"/>
          </w:tcPr>
          <w:p w14:paraId="0D8DF283" w14:textId="77777777" w:rsidR="004C2197" w:rsidRDefault="004C2197">
            <w:pPr>
              <w:rPr>
                <w:rFonts w:ascii="宋体"/>
              </w:rPr>
            </w:pPr>
          </w:p>
        </w:tc>
        <w:tc>
          <w:tcPr>
            <w:tcW w:w="0" w:type="auto"/>
            <w:shd w:val="clear" w:color="auto" w:fill="auto"/>
          </w:tcPr>
          <w:p w14:paraId="0D8DF284" w14:textId="77777777" w:rsidR="004C2197" w:rsidRDefault="004C2197">
            <w:pPr>
              <w:rPr>
                <w:rFonts w:ascii="宋体"/>
              </w:rPr>
            </w:pPr>
          </w:p>
        </w:tc>
        <w:tc>
          <w:tcPr>
            <w:tcW w:w="0" w:type="auto"/>
            <w:shd w:val="clear" w:color="auto" w:fill="auto"/>
          </w:tcPr>
          <w:p w14:paraId="0D8DF285" w14:textId="77777777" w:rsidR="004C2197" w:rsidRDefault="004C2197">
            <w:pPr>
              <w:rPr>
                <w:rFonts w:ascii="宋体"/>
              </w:rPr>
            </w:pPr>
          </w:p>
        </w:tc>
        <w:tc>
          <w:tcPr>
            <w:tcW w:w="0" w:type="auto"/>
            <w:shd w:val="clear" w:color="auto" w:fill="auto"/>
          </w:tcPr>
          <w:p w14:paraId="0D8DF286" w14:textId="77777777" w:rsidR="004C2197" w:rsidRDefault="004C2197">
            <w:pPr>
              <w:rPr>
                <w:rFonts w:ascii="宋体"/>
              </w:rPr>
            </w:pPr>
          </w:p>
        </w:tc>
        <w:tc>
          <w:tcPr>
            <w:tcW w:w="0" w:type="auto"/>
            <w:shd w:val="clear" w:color="auto" w:fill="auto"/>
          </w:tcPr>
          <w:p w14:paraId="0D8DF287" w14:textId="77777777" w:rsidR="004C2197" w:rsidRDefault="004C2197">
            <w:pPr>
              <w:rPr>
                <w:rFonts w:ascii="宋体"/>
              </w:rPr>
            </w:pPr>
          </w:p>
        </w:tc>
        <w:tc>
          <w:tcPr>
            <w:tcW w:w="0" w:type="auto"/>
            <w:shd w:val="clear" w:color="auto" w:fill="auto"/>
          </w:tcPr>
          <w:p w14:paraId="0D8DF288" w14:textId="77777777" w:rsidR="004C2197" w:rsidRDefault="004C2197">
            <w:pPr>
              <w:rPr>
                <w:rFonts w:ascii="宋体"/>
              </w:rPr>
            </w:pPr>
          </w:p>
        </w:tc>
        <w:tc>
          <w:tcPr>
            <w:tcW w:w="0" w:type="auto"/>
            <w:shd w:val="clear" w:color="auto" w:fill="auto"/>
          </w:tcPr>
          <w:p w14:paraId="0D8DF289" w14:textId="77777777" w:rsidR="004C2197" w:rsidRDefault="004C2197">
            <w:pPr>
              <w:rPr>
                <w:rFonts w:ascii="宋体"/>
              </w:rPr>
            </w:pPr>
          </w:p>
        </w:tc>
        <w:tc>
          <w:tcPr>
            <w:tcW w:w="0" w:type="auto"/>
            <w:shd w:val="clear" w:color="auto" w:fill="auto"/>
          </w:tcPr>
          <w:p w14:paraId="0D8DF28A" w14:textId="77777777" w:rsidR="004C2197" w:rsidRDefault="004C2197">
            <w:pPr>
              <w:rPr>
                <w:rFonts w:ascii="宋体"/>
              </w:rPr>
            </w:pPr>
          </w:p>
        </w:tc>
      </w:tr>
      <w:tr w:rsidR="004C2197" w14:paraId="0D8DF2B9" w14:textId="77777777">
        <w:tc>
          <w:tcPr>
            <w:tcW w:w="0" w:type="auto"/>
            <w:gridSpan w:val="3"/>
            <w:shd w:val="clear" w:color="auto" w:fill="E2EFD9"/>
            <w:tcMar>
              <w:top w:w="40" w:type="dxa"/>
              <w:left w:w="20" w:type="dxa"/>
              <w:bottom w:w="40" w:type="dxa"/>
              <w:right w:w="20" w:type="dxa"/>
            </w:tcMar>
            <w:vAlign w:val="bottom"/>
          </w:tcPr>
          <w:p w14:paraId="0D8DF28C" w14:textId="77777777" w:rsidR="004C2197" w:rsidRDefault="00863B83">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0D8DF28D" w14:textId="77777777" w:rsidR="004C2197" w:rsidRDefault="00863B83">
            <w:pPr>
              <w:jc w:val="right"/>
              <w:textAlignment w:val="bottom"/>
            </w:pPr>
            <w:r>
              <w:rPr>
                <w:rFonts w:ascii="sans-serif" w:eastAsia="sans-serif" w:hAnsi="sans-serif" w:cs="sans-serif"/>
                <w:color w:val="000000"/>
                <w:sz w:val="20"/>
                <w:szCs w:val="20"/>
              </w:rPr>
              <w:t>2,053 </w:t>
            </w:r>
          </w:p>
        </w:tc>
        <w:tc>
          <w:tcPr>
            <w:tcW w:w="0" w:type="auto"/>
            <w:shd w:val="clear" w:color="auto" w:fill="E2EFD9"/>
            <w:tcMar>
              <w:top w:w="40" w:type="dxa"/>
              <w:bottom w:w="40" w:type="dxa"/>
              <w:right w:w="20" w:type="dxa"/>
            </w:tcMar>
            <w:vAlign w:val="bottom"/>
          </w:tcPr>
          <w:p w14:paraId="0D8DF28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8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90"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9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9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93"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9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9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96" w14:textId="77777777" w:rsidR="004C2197" w:rsidRDefault="00863B83">
            <w:pPr>
              <w:jc w:val="right"/>
              <w:textAlignment w:val="bottom"/>
            </w:pPr>
            <w:r>
              <w:rPr>
                <w:rFonts w:ascii="sans-serif" w:eastAsia="sans-serif" w:hAnsi="sans-serif" w:cs="sans-serif"/>
                <w:color w:val="000000"/>
                <w:sz w:val="20"/>
                <w:szCs w:val="20"/>
              </w:rPr>
              <w:t>2,053 </w:t>
            </w:r>
          </w:p>
        </w:tc>
        <w:tc>
          <w:tcPr>
            <w:tcW w:w="0" w:type="auto"/>
            <w:shd w:val="clear" w:color="auto" w:fill="E2EFD9"/>
            <w:tcMar>
              <w:top w:w="40" w:type="dxa"/>
              <w:bottom w:w="40" w:type="dxa"/>
              <w:right w:w="20" w:type="dxa"/>
            </w:tcMar>
            <w:vAlign w:val="bottom"/>
          </w:tcPr>
          <w:p w14:paraId="0D8DF29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9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99" w14:textId="77777777" w:rsidR="004C2197" w:rsidRDefault="00863B83">
            <w:pPr>
              <w:jc w:val="right"/>
              <w:textAlignment w:val="bottom"/>
            </w:pPr>
            <w:r>
              <w:rPr>
                <w:rFonts w:ascii="sans-serif" w:eastAsia="sans-serif" w:hAnsi="sans-serif" w:cs="sans-serif"/>
                <w:color w:val="000000"/>
                <w:sz w:val="20"/>
                <w:szCs w:val="20"/>
              </w:rPr>
              <w:t>2,053 </w:t>
            </w:r>
          </w:p>
        </w:tc>
        <w:tc>
          <w:tcPr>
            <w:tcW w:w="0" w:type="auto"/>
            <w:shd w:val="clear" w:color="auto" w:fill="E2EFD9"/>
            <w:tcMar>
              <w:top w:w="40" w:type="dxa"/>
              <w:bottom w:w="40" w:type="dxa"/>
              <w:right w:w="20" w:type="dxa"/>
            </w:tcMar>
            <w:vAlign w:val="bottom"/>
          </w:tcPr>
          <w:p w14:paraId="0D8DF29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9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9C"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9D" w14:textId="77777777" w:rsidR="004C2197" w:rsidRDefault="004C2197">
            <w:pPr>
              <w:jc w:val="right"/>
              <w:rPr>
                <w:rFonts w:ascii="宋体"/>
              </w:rPr>
            </w:pPr>
          </w:p>
        </w:tc>
        <w:tc>
          <w:tcPr>
            <w:tcW w:w="0" w:type="auto"/>
            <w:shd w:val="clear" w:color="auto" w:fill="auto"/>
          </w:tcPr>
          <w:p w14:paraId="0D8DF29E" w14:textId="77777777" w:rsidR="004C2197" w:rsidRDefault="004C2197">
            <w:pPr>
              <w:rPr>
                <w:rFonts w:ascii="宋体"/>
              </w:rPr>
            </w:pPr>
          </w:p>
        </w:tc>
        <w:tc>
          <w:tcPr>
            <w:tcW w:w="0" w:type="auto"/>
            <w:shd w:val="clear" w:color="auto" w:fill="auto"/>
          </w:tcPr>
          <w:p w14:paraId="0D8DF29F" w14:textId="77777777" w:rsidR="004C2197" w:rsidRDefault="004C2197">
            <w:pPr>
              <w:rPr>
                <w:rFonts w:ascii="宋体"/>
              </w:rPr>
            </w:pPr>
          </w:p>
        </w:tc>
        <w:tc>
          <w:tcPr>
            <w:tcW w:w="0" w:type="auto"/>
            <w:shd w:val="clear" w:color="auto" w:fill="auto"/>
          </w:tcPr>
          <w:p w14:paraId="0D8DF2A0" w14:textId="77777777" w:rsidR="004C2197" w:rsidRDefault="004C2197">
            <w:pPr>
              <w:rPr>
                <w:rFonts w:ascii="宋体"/>
              </w:rPr>
            </w:pPr>
          </w:p>
        </w:tc>
        <w:tc>
          <w:tcPr>
            <w:tcW w:w="0" w:type="auto"/>
            <w:shd w:val="clear" w:color="auto" w:fill="auto"/>
          </w:tcPr>
          <w:p w14:paraId="0D8DF2A1" w14:textId="77777777" w:rsidR="004C2197" w:rsidRDefault="004C2197">
            <w:pPr>
              <w:rPr>
                <w:rFonts w:ascii="宋体"/>
              </w:rPr>
            </w:pPr>
          </w:p>
        </w:tc>
        <w:tc>
          <w:tcPr>
            <w:tcW w:w="0" w:type="auto"/>
            <w:shd w:val="clear" w:color="auto" w:fill="auto"/>
          </w:tcPr>
          <w:p w14:paraId="0D8DF2A2" w14:textId="77777777" w:rsidR="004C2197" w:rsidRDefault="004C2197">
            <w:pPr>
              <w:rPr>
                <w:rFonts w:ascii="宋体"/>
              </w:rPr>
            </w:pPr>
          </w:p>
        </w:tc>
        <w:tc>
          <w:tcPr>
            <w:tcW w:w="0" w:type="auto"/>
            <w:shd w:val="clear" w:color="auto" w:fill="auto"/>
          </w:tcPr>
          <w:p w14:paraId="0D8DF2A3" w14:textId="77777777" w:rsidR="004C2197" w:rsidRDefault="004C2197">
            <w:pPr>
              <w:rPr>
                <w:rFonts w:ascii="宋体"/>
              </w:rPr>
            </w:pPr>
          </w:p>
        </w:tc>
        <w:tc>
          <w:tcPr>
            <w:tcW w:w="0" w:type="auto"/>
            <w:shd w:val="clear" w:color="auto" w:fill="auto"/>
          </w:tcPr>
          <w:p w14:paraId="0D8DF2A4" w14:textId="77777777" w:rsidR="004C2197" w:rsidRDefault="004C2197">
            <w:pPr>
              <w:rPr>
                <w:rFonts w:ascii="宋体"/>
              </w:rPr>
            </w:pPr>
          </w:p>
        </w:tc>
        <w:tc>
          <w:tcPr>
            <w:tcW w:w="0" w:type="auto"/>
            <w:shd w:val="clear" w:color="auto" w:fill="auto"/>
          </w:tcPr>
          <w:p w14:paraId="0D8DF2A5" w14:textId="77777777" w:rsidR="004C2197" w:rsidRDefault="004C2197">
            <w:pPr>
              <w:rPr>
                <w:rFonts w:ascii="宋体"/>
              </w:rPr>
            </w:pPr>
          </w:p>
        </w:tc>
        <w:tc>
          <w:tcPr>
            <w:tcW w:w="0" w:type="auto"/>
            <w:shd w:val="clear" w:color="auto" w:fill="auto"/>
          </w:tcPr>
          <w:p w14:paraId="0D8DF2A6" w14:textId="77777777" w:rsidR="004C2197" w:rsidRDefault="004C2197">
            <w:pPr>
              <w:rPr>
                <w:rFonts w:ascii="宋体"/>
              </w:rPr>
            </w:pPr>
          </w:p>
        </w:tc>
        <w:tc>
          <w:tcPr>
            <w:tcW w:w="0" w:type="auto"/>
            <w:shd w:val="clear" w:color="auto" w:fill="auto"/>
          </w:tcPr>
          <w:p w14:paraId="0D8DF2A7" w14:textId="77777777" w:rsidR="004C2197" w:rsidRDefault="004C2197">
            <w:pPr>
              <w:rPr>
                <w:rFonts w:ascii="宋体"/>
              </w:rPr>
            </w:pPr>
          </w:p>
        </w:tc>
        <w:tc>
          <w:tcPr>
            <w:tcW w:w="0" w:type="auto"/>
            <w:shd w:val="clear" w:color="auto" w:fill="auto"/>
          </w:tcPr>
          <w:p w14:paraId="0D8DF2A8" w14:textId="77777777" w:rsidR="004C2197" w:rsidRDefault="004C2197">
            <w:pPr>
              <w:rPr>
                <w:rFonts w:ascii="宋体"/>
              </w:rPr>
            </w:pPr>
          </w:p>
        </w:tc>
        <w:tc>
          <w:tcPr>
            <w:tcW w:w="0" w:type="auto"/>
            <w:shd w:val="clear" w:color="auto" w:fill="auto"/>
          </w:tcPr>
          <w:p w14:paraId="0D8DF2A9" w14:textId="77777777" w:rsidR="004C2197" w:rsidRDefault="004C2197">
            <w:pPr>
              <w:rPr>
                <w:rFonts w:ascii="宋体"/>
              </w:rPr>
            </w:pPr>
          </w:p>
        </w:tc>
        <w:tc>
          <w:tcPr>
            <w:tcW w:w="0" w:type="auto"/>
            <w:shd w:val="clear" w:color="auto" w:fill="auto"/>
          </w:tcPr>
          <w:p w14:paraId="0D8DF2AA" w14:textId="77777777" w:rsidR="004C2197" w:rsidRDefault="004C2197">
            <w:pPr>
              <w:rPr>
                <w:rFonts w:ascii="宋体"/>
              </w:rPr>
            </w:pPr>
          </w:p>
        </w:tc>
        <w:tc>
          <w:tcPr>
            <w:tcW w:w="0" w:type="auto"/>
            <w:shd w:val="clear" w:color="auto" w:fill="auto"/>
          </w:tcPr>
          <w:p w14:paraId="0D8DF2AB" w14:textId="77777777" w:rsidR="004C2197" w:rsidRDefault="004C2197">
            <w:pPr>
              <w:rPr>
                <w:rFonts w:ascii="宋体"/>
              </w:rPr>
            </w:pPr>
          </w:p>
        </w:tc>
        <w:tc>
          <w:tcPr>
            <w:tcW w:w="0" w:type="auto"/>
            <w:shd w:val="clear" w:color="auto" w:fill="auto"/>
          </w:tcPr>
          <w:p w14:paraId="0D8DF2AC" w14:textId="77777777" w:rsidR="004C2197" w:rsidRDefault="004C2197">
            <w:pPr>
              <w:rPr>
                <w:rFonts w:ascii="宋体"/>
              </w:rPr>
            </w:pPr>
          </w:p>
        </w:tc>
        <w:tc>
          <w:tcPr>
            <w:tcW w:w="0" w:type="auto"/>
            <w:shd w:val="clear" w:color="auto" w:fill="auto"/>
          </w:tcPr>
          <w:p w14:paraId="0D8DF2AD" w14:textId="77777777" w:rsidR="004C2197" w:rsidRDefault="004C2197">
            <w:pPr>
              <w:rPr>
                <w:rFonts w:ascii="宋体"/>
              </w:rPr>
            </w:pPr>
          </w:p>
        </w:tc>
        <w:tc>
          <w:tcPr>
            <w:tcW w:w="0" w:type="auto"/>
            <w:shd w:val="clear" w:color="auto" w:fill="auto"/>
          </w:tcPr>
          <w:p w14:paraId="0D8DF2AE" w14:textId="77777777" w:rsidR="004C2197" w:rsidRDefault="004C2197">
            <w:pPr>
              <w:rPr>
                <w:rFonts w:ascii="宋体"/>
              </w:rPr>
            </w:pPr>
          </w:p>
        </w:tc>
        <w:tc>
          <w:tcPr>
            <w:tcW w:w="0" w:type="auto"/>
            <w:shd w:val="clear" w:color="auto" w:fill="auto"/>
          </w:tcPr>
          <w:p w14:paraId="0D8DF2AF" w14:textId="77777777" w:rsidR="004C2197" w:rsidRDefault="004C2197">
            <w:pPr>
              <w:rPr>
                <w:rFonts w:ascii="宋体"/>
              </w:rPr>
            </w:pPr>
          </w:p>
        </w:tc>
        <w:tc>
          <w:tcPr>
            <w:tcW w:w="0" w:type="auto"/>
            <w:shd w:val="clear" w:color="auto" w:fill="auto"/>
          </w:tcPr>
          <w:p w14:paraId="0D8DF2B0" w14:textId="77777777" w:rsidR="004C2197" w:rsidRDefault="004C2197">
            <w:pPr>
              <w:rPr>
                <w:rFonts w:ascii="宋体"/>
              </w:rPr>
            </w:pPr>
          </w:p>
        </w:tc>
        <w:tc>
          <w:tcPr>
            <w:tcW w:w="0" w:type="auto"/>
            <w:shd w:val="clear" w:color="auto" w:fill="auto"/>
          </w:tcPr>
          <w:p w14:paraId="0D8DF2B1" w14:textId="77777777" w:rsidR="004C2197" w:rsidRDefault="004C2197">
            <w:pPr>
              <w:rPr>
                <w:rFonts w:ascii="宋体"/>
              </w:rPr>
            </w:pPr>
          </w:p>
        </w:tc>
        <w:tc>
          <w:tcPr>
            <w:tcW w:w="0" w:type="auto"/>
            <w:shd w:val="clear" w:color="auto" w:fill="auto"/>
          </w:tcPr>
          <w:p w14:paraId="0D8DF2B2" w14:textId="77777777" w:rsidR="004C2197" w:rsidRDefault="004C2197">
            <w:pPr>
              <w:rPr>
                <w:rFonts w:ascii="宋体"/>
              </w:rPr>
            </w:pPr>
          </w:p>
        </w:tc>
        <w:tc>
          <w:tcPr>
            <w:tcW w:w="0" w:type="auto"/>
            <w:shd w:val="clear" w:color="auto" w:fill="auto"/>
          </w:tcPr>
          <w:p w14:paraId="0D8DF2B3" w14:textId="77777777" w:rsidR="004C2197" w:rsidRDefault="004C2197">
            <w:pPr>
              <w:rPr>
                <w:rFonts w:ascii="宋体"/>
              </w:rPr>
            </w:pPr>
          </w:p>
        </w:tc>
        <w:tc>
          <w:tcPr>
            <w:tcW w:w="0" w:type="auto"/>
            <w:shd w:val="clear" w:color="auto" w:fill="auto"/>
          </w:tcPr>
          <w:p w14:paraId="0D8DF2B4" w14:textId="77777777" w:rsidR="004C2197" w:rsidRDefault="004C2197">
            <w:pPr>
              <w:rPr>
                <w:rFonts w:ascii="宋体"/>
              </w:rPr>
            </w:pPr>
          </w:p>
        </w:tc>
        <w:tc>
          <w:tcPr>
            <w:tcW w:w="0" w:type="auto"/>
            <w:shd w:val="clear" w:color="auto" w:fill="auto"/>
          </w:tcPr>
          <w:p w14:paraId="0D8DF2B5" w14:textId="77777777" w:rsidR="004C2197" w:rsidRDefault="004C2197">
            <w:pPr>
              <w:rPr>
                <w:rFonts w:ascii="宋体"/>
              </w:rPr>
            </w:pPr>
          </w:p>
        </w:tc>
        <w:tc>
          <w:tcPr>
            <w:tcW w:w="0" w:type="auto"/>
            <w:shd w:val="clear" w:color="auto" w:fill="auto"/>
          </w:tcPr>
          <w:p w14:paraId="0D8DF2B6" w14:textId="77777777" w:rsidR="004C2197" w:rsidRDefault="004C2197">
            <w:pPr>
              <w:rPr>
                <w:rFonts w:ascii="宋体"/>
              </w:rPr>
            </w:pPr>
          </w:p>
        </w:tc>
        <w:tc>
          <w:tcPr>
            <w:tcW w:w="0" w:type="auto"/>
            <w:shd w:val="clear" w:color="auto" w:fill="auto"/>
          </w:tcPr>
          <w:p w14:paraId="0D8DF2B7" w14:textId="77777777" w:rsidR="004C2197" w:rsidRDefault="004C2197">
            <w:pPr>
              <w:rPr>
                <w:rFonts w:ascii="宋体"/>
              </w:rPr>
            </w:pPr>
          </w:p>
        </w:tc>
        <w:tc>
          <w:tcPr>
            <w:tcW w:w="0" w:type="auto"/>
            <w:shd w:val="clear" w:color="auto" w:fill="auto"/>
          </w:tcPr>
          <w:p w14:paraId="0D8DF2B8" w14:textId="77777777" w:rsidR="004C2197" w:rsidRDefault="004C2197">
            <w:pPr>
              <w:rPr>
                <w:rFonts w:ascii="宋体"/>
              </w:rPr>
            </w:pPr>
          </w:p>
        </w:tc>
      </w:tr>
      <w:tr w:rsidR="004C2197" w14:paraId="0D8DF2E7" w14:textId="77777777">
        <w:tc>
          <w:tcPr>
            <w:tcW w:w="0" w:type="auto"/>
            <w:gridSpan w:val="3"/>
            <w:shd w:val="clear" w:color="auto" w:fill="FFFFFF"/>
            <w:tcMar>
              <w:top w:w="40" w:type="dxa"/>
              <w:left w:w="20" w:type="dxa"/>
              <w:bottom w:w="40" w:type="dxa"/>
              <w:right w:w="20" w:type="dxa"/>
            </w:tcMar>
            <w:vAlign w:val="bottom"/>
          </w:tcPr>
          <w:p w14:paraId="0D8DF2BA" w14:textId="77777777" w:rsidR="004C2197" w:rsidRDefault="00863B83">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FFFFFF"/>
            <w:tcMar>
              <w:top w:w="40" w:type="dxa"/>
              <w:left w:w="20" w:type="dxa"/>
              <w:bottom w:w="40" w:type="dxa"/>
              <w:right w:w="0" w:type="dxa"/>
            </w:tcMar>
            <w:vAlign w:val="bottom"/>
          </w:tcPr>
          <w:p w14:paraId="0D8DF2BB" w14:textId="77777777" w:rsidR="004C2197" w:rsidRDefault="00863B83">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bottom w:w="40" w:type="dxa"/>
              <w:right w:w="20" w:type="dxa"/>
            </w:tcMar>
            <w:vAlign w:val="bottom"/>
          </w:tcPr>
          <w:p w14:paraId="0D8DF2B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B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BE"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2B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C0"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C1"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2C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C3"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2C4" w14:textId="77777777" w:rsidR="004C2197" w:rsidRDefault="00863B83">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bottom w:w="40" w:type="dxa"/>
              <w:right w:w="20" w:type="dxa"/>
            </w:tcMar>
            <w:vAlign w:val="bottom"/>
          </w:tcPr>
          <w:p w14:paraId="0D8DF2C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C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2C7"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2C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2C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2CA" w14:textId="77777777" w:rsidR="004C2197" w:rsidRDefault="00863B83">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bottom w:w="40" w:type="dxa"/>
              <w:right w:w="20" w:type="dxa"/>
            </w:tcMar>
            <w:vAlign w:val="bottom"/>
          </w:tcPr>
          <w:p w14:paraId="0D8DF2CB" w14:textId="77777777" w:rsidR="004C2197" w:rsidRDefault="004C2197">
            <w:pPr>
              <w:jc w:val="right"/>
              <w:rPr>
                <w:rFonts w:ascii="宋体"/>
              </w:rPr>
            </w:pPr>
          </w:p>
        </w:tc>
        <w:tc>
          <w:tcPr>
            <w:tcW w:w="0" w:type="auto"/>
            <w:shd w:val="clear" w:color="auto" w:fill="auto"/>
          </w:tcPr>
          <w:p w14:paraId="0D8DF2CC" w14:textId="77777777" w:rsidR="004C2197" w:rsidRDefault="004C2197">
            <w:pPr>
              <w:rPr>
                <w:rFonts w:ascii="宋体"/>
              </w:rPr>
            </w:pPr>
          </w:p>
        </w:tc>
        <w:tc>
          <w:tcPr>
            <w:tcW w:w="0" w:type="auto"/>
            <w:shd w:val="clear" w:color="auto" w:fill="auto"/>
          </w:tcPr>
          <w:p w14:paraId="0D8DF2CD" w14:textId="77777777" w:rsidR="004C2197" w:rsidRDefault="004C2197">
            <w:pPr>
              <w:rPr>
                <w:rFonts w:ascii="宋体"/>
              </w:rPr>
            </w:pPr>
          </w:p>
        </w:tc>
        <w:tc>
          <w:tcPr>
            <w:tcW w:w="0" w:type="auto"/>
            <w:shd w:val="clear" w:color="auto" w:fill="auto"/>
          </w:tcPr>
          <w:p w14:paraId="0D8DF2CE" w14:textId="77777777" w:rsidR="004C2197" w:rsidRDefault="004C2197">
            <w:pPr>
              <w:rPr>
                <w:rFonts w:ascii="宋体"/>
              </w:rPr>
            </w:pPr>
          </w:p>
        </w:tc>
        <w:tc>
          <w:tcPr>
            <w:tcW w:w="0" w:type="auto"/>
            <w:shd w:val="clear" w:color="auto" w:fill="auto"/>
          </w:tcPr>
          <w:p w14:paraId="0D8DF2CF" w14:textId="77777777" w:rsidR="004C2197" w:rsidRDefault="004C2197">
            <w:pPr>
              <w:rPr>
                <w:rFonts w:ascii="宋体"/>
              </w:rPr>
            </w:pPr>
          </w:p>
        </w:tc>
        <w:tc>
          <w:tcPr>
            <w:tcW w:w="0" w:type="auto"/>
            <w:shd w:val="clear" w:color="auto" w:fill="auto"/>
          </w:tcPr>
          <w:p w14:paraId="0D8DF2D0" w14:textId="77777777" w:rsidR="004C2197" w:rsidRDefault="004C2197">
            <w:pPr>
              <w:rPr>
                <w:rFonts w:ascii="宋体"/>
              </w:rPr>
            </w:pPr>
          </w:p>
        </w:tc>
        <w:tc>
          <w:tcPr>
            <w:tcW w:w="0" w:type="auto"/>
            <w:shd w:val="clear" w:color="auto" w:fill="auto"/>
          </w:tcPr>
          <w:p w14:paraId="0D8DF2D1" w14:textId="77777777" w:rsidR="004C2197" w:rsidRDefault="004C2197">
            <w:pPr>
              <w:rPr>
                <w:rFonts w:ascii="宋体"/>
              </w:rPr>
            </w:pPr>
          </w:p>
        </w:tc>
        <w:tc>
          <w:tcPr>
            <w:tcW w:w="0" w:type="auto"/>
            <w:shd w:val="clear" w:color="auto" w:fill="auto"/>
          </w:tcPr>
          <w:p w14:paraId="0D8DF2D2" w14:textId="77777777" w:rsidR="004C2197" w:rsidRDefault="004C2197">
            <w:pPr>
              <w:rPr>
                <w:rFonts w:ascii="宋体"/>
              </w:rPr>
            </w:pPr>
          </w:p>
        </w:tc>
        <w:tc>
          <w:tcPr>
            <w:tcW w:w="0" w:type="auto"/>
            <w:shd w:val="clear" w:color="auto" w:fill="auto"/>
          </w:tcPr>
          <w:p w14:paraId="0D8DF2D3" w14:textId="77777777" w:rsidR="004C2197" w:rsidRDefault="004C2197">
            <w:pPr>
              <w:rPr>
                <w:rFonts w:ascii="宋体"/>
              </w:rPr>
            </w:pPr>
          </w:p>
        </w:tc>
        <w:tc>
          <w:tcPr>
            <w:tcW w:w="0" w:type="auto"/>
            <w:shd w:val="clear" w:color="auto" w:fill="auto"/>
          </w:tcPr>
          <w:p w14:paraId="0D8DF2D4" w14:textId="77777777" w:rsidR="004C2197" w:rsidRDefault="004C2197">
            <w:pPr>
              <w:rPr>
                <w:rFonts w:ascii="宋体"/>
              </w:rPr>
            </w:pPr>
          </w:p>
        </w:tc>
        <w:tc>
          <w:tcPr>
            <w:tcW w:w="0" w:type="auto"/>
            <w:shd w:val="clear" w:color="auto" w:fill="auto"/>
          </w:tcPr>
          <w:p w14:paraId="0D8DF2D5" w14:textId="77777777" w:rsidR="004C2197" w:rsidRDefault="004C2197">
            <w:pPr>
              <w:rPr>
                <w:rFonts w:ascii="宋体"/>
              </w:rPr>
            </w:pPr>
          </w:p>
        </w:tc>
        <w:tc>
          <w:tcPr>
            <w:tcW w:w="0" w:type="auto"/>
            <w:shd w:val="clear" w:color="auto" w:fill="auto"/>
          </w:tcPr>
          <w:p w14:paraId="0D8DF2D6" w14:textId="77777777" w:rsidR="004C2197" w:rsidRDefault="004C2197">
            <w:pPr>
              <w:rPr>
                <w:rFonts w:ascii="宋体"/>
              </w:rPr>
            </w:pPr>
          </w:p>
        </w:tc>
        <w:tc>
          <w:tcPr>
            <w:tcW w:w="0" w:type="auto"/>
            <w:shd w:val="clear" w:color="auto" w:fill="auto"/>
          </w:tcPr>
          <w:p w14:paraId="0D8DF2D7" w14:textId="77777777" w:rsidR="004C2197" w:rsidRDefault="004C2197">
            <w:pPr>
              <w:rPr>
                <w:rFonts w:ascii="宋体"/>
              </w:rPr>
            </w:pPr>
          </w:p>
        </w:tc>
        <w:tc>
          <w:tcPr>
            <w:tcW w:w="0" w:type="auto"/>
            <w:shd w:val="clear" w:color="auto" w:fill="auto"/>
          </w:tcPr>
          <w:p w14:paraId="0D8DF2D8" w14:textId="77777777" w:rsidR="004C2197" w:rsidRDefault="004C2197">
            <w:pPr>
              <w:rPr>
                <w:rFonts w:ascii="宋体"/>
              </w:rPr>
            </w:pPr>
          </w:p>
        </w:tc>
        <w:tc>
          <w:tcPr>
            <w:tcW w:w="0" w:type="auto"/>
            <w:shd w:val="clear" w:color="auto" w:fill="auto"/>
          </w:tcPr>
          <w:p w14:paraId="0D8DF2D9" w14:textId="77777777" w:rsidR="004C2197" w:rsidRDefault="004C2197">
            <w:pPr>
              <w:rPr>
                <w:rFonts w:ascii="宋体"/>
              </w:rPr>
            </w:pPr>
          </w:p>
        </w:tc>
        <w:tc>
          <w:tcPr>
            <w:tcW w:w="0" w:type="auto"/>
            <w:shd w:val="clear" w:color="auto" w:fill="auto"/>
          </w:tcPr>
          <w:p w14:paraId="0D8DF2DA" w14:textId="77777777" w:rsidR="004C2197" w:rsidRDefault="004C2197">
            <w:pPr>
              <w:rPr>
                <w:rFonts w:ascii="宋体"/>
              </w:rPr>
            </w:pPr>
          </w:p>
        </w:tc>
        <w:tc>
          <w:tcPr>
            <w:tcW w:w="0" w:type="auto"/>
            <w:shd w:val="clear" w:color="auto" w:fill="auto"/>
          </w:tcPr>
          <w:p w14:paraId="0D8DF2DB" w14:textId="77777777" w:rsidR="004C2197" w:rsidRDefault="004C2197">
            <w:pPr>
              <w:rPr>
                <w:rFonts w:ascii="宋体"/>
              </w:rPr>
            </w:pPr>
          </w:p>
        </w:tc>
        <w:tc>
          <w:tcPr>
            <w:tcW w:w="0" w:type="auto"/>
            <w:shd w:val="clear" w:color="auto" w:fill="auto"/>
          </w:tcPr>
          <w:p w14:paraId="0D8DF2DC" w14:textId="77777777" w:rsidR="004C2197" w:rsidRDefault="004C2197">
            <w:pPr>
              <w:rPr>
                <w:rFonts w:ascii="宋体"/>
              </w:rPr>
            </w:pPr>
          </w:p>
        </w:tc>
        <w:tc>
          <w:tcPr>
            <w:tcW w:w="0" w:type="auto"/>
            <w:shd w:val="clear" w:color="auto" w:fill="auto"/>
          </w:tcPr>
          <w:p w14:paraId="0D8DF2DD" w14:textId="77777777" w:rsidR="004C2197" w:rsidRDefault="004C2197">
            <w:pPr>
              <w:rPr>
                <w:rFonts w:ascii="宋体"/>
              </w:rPr>
            </w:pPr>
          </w:p>
        </w:tc>
        <w:tc>
          <w:tcPr>
            <w:tcW w:w="0" w:type="auto"/>
            <w:shd w:val="clear" w:color="auto" w:fill="auto"/>
          </w:tcPr>
          <w:p w14:paraId="0D8DF2DE" w14:textId="77777777" w:rsidR="004C2197" w:rsidRDefault="004C2197">
            <w:pPr>
              <w:rPr>
                <w:rFonts w:ascii="宋体"/>
              </w:rPr>
            </w:pPr>
          </w:p>
        </w:tc>
        <w:tc>
          <w:tcPr>
            <w:tcW w:w="0" w:type="auto"/>
            <w:shd w:val="clear" w:color="auto" w:fill="auto"/>
          </w:tcPr>
          <w:p w14:paraId="0D8DF2DF" w14:textId="77777777" w:rsidR="004C2197" w:rsidRDefault="004C2197">
            <w:pPr>
              <w:rPr>
                <w:rFonts w:ascii="宋体"/>
              </w:rPr>
            </w:pPr>
          </w:p>
        </w:tc>
        <w:tc>
          <w:tcPr>
            <w:tcW w:w="0" w:type="auto"/>
            <w:shd w:val="clear" w:color="auto" w:fill="auto"/>
          </w:tcPr>
          <w:p w14:paraId="0D8DF2E0" w14:textId="77777777" w:rsidR="004C2197" w:rsidRDefault="004C2197">
            <w:pPr>
              <w:rPr>
                <w:rFonts w:ascii="宋体"/>
              </w:rPr>
            </w:pPr>
          </w:p>
        </w:tc>
        <w:tc>
          <w:tcPr>
            <w:tcW w:w="0" w:type="auto"/>
            <w:shd w:val="clear" w:color="auto" w:fill="auto"/>
          </w:tcPr>
          <w:p w14:paraId="0D8DF2E1" w14:textId="77777777" w:rsidR="004C2197" w:rsidRDefault="004C2197">
            <w:pPr>
              <w:rPr>
                <w:rFonts w:ascii="宋体"/>
              </w:rPr>
            </w:pPr>
          </w:p>
        </w:tc>
        <w:tc>
          <w:tcPr>
            <w:tcW w:w="0" w:type="auto"/>
            <w:shd w:val="clear" w:color="auto" w:fill="auto"/>
          </w:tcPr>
          <w:p w14:paraId="0D8DF2E2" w14:textId="77777777" w:rsidR="004C2197" w:rsidRDefault="004C2197">
            <w:pPr>
              <w:rPr>
                <w:rFonts w:ascii="宋体"/>
              </w:rPr>
            </w:pPr>
          </w:p>
        </w:tc>
        <w:tc>
          <w:tcPr>
            <w:tcW w:w="0" w:type="auto"/>
            <w:shd w:val="clear" w:color="auto" w:fill="auto"/>
          </w:tcPr>
          <w:p w14:paraId="0D8DF2E3" w14:textId="77777777" w:rsidR="004C2197" w:rsidRDefault="004C2197">
            <w:pPr>
              <w:rPr>
                <w:rFonts w:ascii="宋体"/>
              </w:rPr>
            </w:pPr>
          </w:p>
        </w:tc>
        <w:tc>
          <w:tcPr>
            <w:tcW w:w="0" w:type="auto"/>
            <w:shd w:val="clear" w:color="auto" w:fill="auto"/>
          </w:tcPr>
          <w:p w14:paraId="0D8DF2E4" w14:textId="77777777" w:rsidR="004C2197" w:rsidRDefault="004C2197">
            <w:pPr>
              <w:rPr>
                <w:rFonts w:ascii="宋体"/>
              </w:rPr>
            </w:pPr>
          </w:p>
        </w:tc>
        <w:tc>
          <w:tcPr>
            <w:tcW w:w="0" w:type="auto"/>
            <w:shd w:val="clear" w:color="auto" w:fill="auto"/>
          </w:tcPr>
          <w:p w14:paraId="0D8DF2E5" w14:textId="77777777" w:rsidR="004C2197" w:rsidRDefault="004C2197">
            <w:pPr>
              <w:rPr>
                <w:rFonts w:ascii="宋体"/>
              </w:rPr>
            </w:pPr>
          </w:p>
        </w:tc>
        <w:tc>
          <w:tcPr>
            <w:tcW w:w="0" w:type="auto"/>
            <w:shd w:val="clear" w:color="auto" w:fill="auto"/>
          </w:tcPr>
          <w:p w14:paraId="0D8DF2E6" w14:textId="77777777" w:rsidR="004C2197" w:rsidRDefault="004C2197">
            <w:pPr>
              <w:rPr>
                <w:rFonts w:ascii="宋体"/>
              </w:rPr>
            </w:pPr>
          </w:p>
        </w:tc>
      </w:tr>
      <w:tr w:rsidR="004C2197" w14:paraId="0D8DF315" w14:textId="77777777">
        <w:tc>
          <w:tcPr>
            <w:tcW w:w="0" w:type="auto"/>
            <w:gridSpan w:val="3"/>
            <w:shd w:val="clear" w:color="auto" w:fill="E2EFD9"/>
            <w:tcMar>
              <w:top w:w="40" w:type="dxa"/>
              <w:left w:w="20" w:type="dxa"/>
              <w:bottom w:w="40" w:type="dxa"/>
              <w:right w:w="20" w:type="dxa"/>
            </w:tcMar>
            <w:vAlign w:val="bottom"/>
          </w:tcPr>
          <w:p w14:paraId="0D8DF2E8" w14:textId="77777777" w:rsidR="004C2197" w:rsidRDefault="00863B83">
            <w:pPr>
              <w:textAlignment w:val="bottom"/>
            </w:pPr>
            <w:r>
              <w:rPr>
                <w:rFonts w:ascii="sans-serif" w:eastAsia="sans-serif" w:hAnsi="sans-serif" w:cs="sans-serif"/>
                <w:color w:val="000000"/>
                <w:sz w:val="20"/>
                <w:szCs w:val="20"/>
              </w:rPr>
              <w:t>Certificates of deposit</w:t>
            </w:r>
          </w:p>
        </w:tc>
        <w:tc>
          <w:tcPr>
            <w:tcW w:w="0" w:type="auto"/>
            <w:gridSpan w:val="2"/>
            <w:shd w:val="clear" w:color="auto" w:fill="E2EFD9"/>
            <w:tcMar>
              <w:top w:w="40" w:type="dxa"/>
              <w:left w:w="20" w:type="dxa"/>
              <w:bottom w:w="40" w:type="dxa"/>
              <w:right w:w="0" w:type="dxa"/>
            </w:tcMar>
            <w:vAlign w:val="bottom"/>
          </w:tcPr>
          <w:p w14:paraId="0D8DF2E9" w14:textId="77777777" w:rsidR="004C2197" w:rsidRDefault="00863B83">
            <w:pPr>
              <w:jc w:val="right"/>
              <w:textAlignment w:val="bottom"/>
            </w:pPr>
            <w:r>
              <w:rPr>
                <w:rFonts w:ascii="sans-serif" w:eastAsia="sans-serif" w:hAnsi="sans-serif" w:cs="sans-serif"/>
                <w:color w:val="000000"/>
                <w:sz w:val="20"/>
                <w:szCs w:val="20"/>
              </w:rPr>
              <w:t>893 </w:t>
            </w:r>
          </w:p>
        </w:tc>
        <w:tc>
          <w:tcPr>
            <w:tcW w:w="0" w:type="auto"/>
            <w:shd w:val="clear" w:color="auto" w:fill="E2EFD9"/>
            <w:tcMar>
              <w:top w:w="40" w:type="dxa"/>
              <w:bottom w:w="40" w:type="dxa"/>
              <w:right w:w="20" w:type="dxa"/>
            </w:tcMar>
            <w:vAlign w:val="bottom"/>
          </w:tcPr>
          <w:p w14:paraId="0D8DF2E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E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EC"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E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EE"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EF"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2F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F1"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F2" w14:textId="77777777" w:rsidR="004C2197" w:rsidRDefault="00863B83">
            <w:pPr>
              <w:jc w:val="right"/>
              <w:textAlignment w:val="bottom"/>
            </w:pPr>
            <w:r>
              <w:rPr>
                <w:rFonts w:ascii="sans-serif" w:eastAsia="sans-serif" w:hAnsi="sans-serif" w:cs="sans-serif"/>
                <w:color w:val="000000"/>
                <w:sz w:val="20"/>
                <w:szCs w:val="20"/>
              </w:rPr>
              <w:t>893 </w:t>
            </w:r>
          </w:p>
        </w:tc>
        <w:tc>
          <w:tcPr>
            <w:tcW w:w="0" w:type="auto"/>
            <w:shd w:val="clear" w:color="auto" w:fill="E2EFD9"/>
            <w:tcMar>
              <w:top w:w="40" w:type="dxa"/>
              <w:bottom w:w="40" w:type="dxa"/>
              <w:right w:w="20" w:type="dxa"/>
            </w:tcMar>
            <w:vAlign w:val="bottom"/>
          </w:tcPr>
          <w:p w14:paraId="0D8DF2F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F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F5" w14:textId="77777777" w:rsidR="004C2197" w:rsidRDefault="00863B83">
            <w:pPr>
              <w:jc w:val="right"/>
              <w:textAlignment w:val="bottom"/>
            </w:pPr>
            <w:r>
              <w:rPr>
                <w:rFonts w:ascii="sans-serif" w:eastAsia="sans-serif" w:hAnsi="sans-serif" w:cs="sans-serif"/>
                <w:color w:val="000000"/>
                <w:sz w:val="20"/>
                <w:szCs w:val="20"/>
              </w:rPr>
              <w:t>342 </w:t>
            </w:r>
          </w:p>
        </w:tc>
        <w:tc>
          <w:tcPr>
            <w:tcW w:w="0" w:type="auto"/>
            <w:shd w:val="clear" w:color="auto" w:fill="E2EFD9"/>
            <w:tcMar>
              <w:top w:w="40" w:type="dxa"/>
              <w:bottom w:w="40" w:type="dxa"/>
              <w:right w:w="20" w:type="dxa"/>
            </w:tcMar>
            <w:vAlign w:val="bottom"/>
          </w:tcPr>
          <w:p w14:paraId="0D8DF2F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2F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2F8" w14:textId="77777777" w:rsidR="004C2197" w:rsidRDefault="00863B83">
            <w:pPr>
              <w:jc w:val="right"/>
              <w:textAlignment w:val="bottom"/>
            </w:pPr>
            <w:r>
              <w:rPr>
                <w:rFonts w:ascii="sans-serif" w:eastAsia="sans-serif" w:hAnsi="sans-serif" w:cs="sans-serif"/>
                <w:color w:val="000000"/>
                <w:sz w:val="20"/>
                <w:szCs w:val="20"/>
              </w:rPr>
              <w:t>551 </w:t>
            </w:r>
          </w:p>
        </w:tc>
        <w:tc>
          <w:tcPr>
            <w:tcW w:w="0" w:type="auto"/>
            <w:shd w:val="clear" w:color="auto" w:fill="E2EFD9"/>
            <w:tcMar>
              <w:top w:w="40" w:type="dxa"/>
              <w:bottom w:w="40" w:type="dxa"/>
              <w:right w:w="20" w:type="dxa"/>
            </w:tcMar>
            <w:vAlign w:val="bottom"/>
          </w:tcPr>
          <w:p w14:paraId="0D8DF2F9" w14:textId="77777777" w:rsidR="004C2197" w:rsidRDefault="004C2197">
            <w:pPr>
              <w:jc w:val="right"/>
              <w:rPr>
                <w:rFonts w:ascii="宋体"/>
              </w:rPr>
            </w:pPr>
          </w:p>
        </w:tc>
        <w:tc>
          <w:tcPr>
            <w:tcW w:w="0" w:type="auto"/>
            <w:shd w:val="clear" w:color="auto" w:fill="auto"/>
          </w:tcPr>
          <w:p w14:paraId="0D8DF2FA" w14:textId="77777777" w:rsidR="004C2197" w:rsidRDefault="004C2197">
            <w:pPr>
              <w:rPr>
                <w:rFonts w:ascii="宋体"/>
              </w:rPr>
            </w:pPr>
          </w:p>
        </w:tc>
        <w:tc>
          <w:tcPr>
            <w:tcW w:w="0" w:type="auto"/>
            <w:shd w:val="clear" w:color="auto" w:fill="auto"/>
          </w:tcPr>
          <w:p w14:paraId="0D8DF2FB" w14:textId="77777777" w:rsidR="004C2197" w:rsidRDefault="004C2197">
            <w:pPr>
              <w:rPr>
                <w:rFonts w:ascii="宋体"/>
              </w:rPr>
            </w:pPr>
          </w:p>
        </w:tc>
        <w:tc>
          <w:tcPr>
            <w:tcW w:w="0" w:type="auto"/>
            <w:shd w:val="clear" w:color="auto" w:fill="auto"/>
          </w:tcPr>
          <w:p w14:paraId="0D8DF2FC" w14:textId="77777777" w:rsidR="004C2197" w:rsidRDefault="004C2197">
            <w:pPr>
              <w:rPr>
                <w:rFonts w:ascii="宋体"/>
              </w:rPr>
            </w:pPr>
          </w:p>
        </w:tc>
        <w:tc>
          <w:tcPr>
            <w:tcW w:w="0" w:type="auto"/>
            <w:shd w:val="clear" w:color="auto" w:fill="auto"/>
          </w:tcPr>
          <w:p w14:paraId="0D8DF2FD" w14:textId="77777777" w:rsidR="004C2197" w:rsidRDefault="004C2197">
            <w:pPr>
              <w:rPr>
                <w:rFonts w:ascii="宋体"/>
              </w:rPr>
            </w:pPr>
          </w:p>
        </w:tc>
        <w:tc>
          <w:tcPr>
            <w:tcW w:w="0" w:type="auto"/>
            <w:shd w:val="clear" w:color="auto" w:fill="auto"/>
          </w:tcPr>
          <w:p w14:paraId="0D8DF2FE" w14:textId="77777777" w:rsidR="004C2197" w:rsidRDefault="004C2197">
            <w:pPr>
              <w:rPr>
                <w:rFonts w:ascii="宋体"/>
              </w:rPr>
            </w:pPr>
          </w:p>
        </w:tc>
        <w:tc>
          <w:tcPr>
            <w:tcW w:w="0" w:type="auto"/>
            <w:shd w:val="clear" w:color="auto" w:fill="auto"/>
          </w:tcPr>
          <w:p w14:paraId="0D8DF2FF" w14:textId="77777777" w:rsidR="004C2197" w:rsidRDefault="004C2197">
            <w:pPr>
              <w:rPr>
                <w:rFonts w:ascii="宋体"/>
              </w:rPr>
            </w:pPr>
          </w:p>
        </w:tc>
        <w:tc>
          <w:tcPr>
            <w:tcW w:w="0" w:type="auto"/>
            <w:shd w:val="clear" w:color="auto" w:fill="auto"/>
          </w:tcPr>
          <w:p w14:paraId="0D8DF300" w14:textId="77777777" w:rsidR="004C2197" w:rsidRDefault="004C2197">
            <w:pPr>
              <w:rPr>
                <w:rFonts w:ascii="宋体"/>
              </w:rPr>
            </w:pPr>
          </w:p>
        </w:tc>
        <w:tc>
          <w:tcPr>
            <w:tcW w:w="0" w:type="auto"/>
            <w:shd w:val="clear" w:color="auto" w:fill="auto"/>
          </w:tcPr>
          <w:p w14:paraId="0D8DF301" w14:textId="77777777" w:rsidR="004C2197" w:rsidRDefault="004C2197">
            <w:pPr>
              <w:rPr>
                <w:rFonts w:ascii="宋体"/>
              </w:rPr>
            </w:pPr>
          </w:p>
        </w:tc>
        <w:tc>
          <w:tcPr>
            <w:tcW w:w="0" w:type="auto"/>
            <w:shd w:val="clear" w:color="auto" w:fill="auto"/>
          </w:tcPr>
          <w:p w14:paraId="0D8DF302" w14:textId="77777777" w:rsidR="004C2197" w:rsidRDefault="004C2197">
            <w:pPr>
              <w:rPr>
                <w:rFonts w:ascii="宋体"/>
              </w:rPr>
            </w:pPr>
          </w:p>
        </w:tc>
        <w:tc>
          <w:tcPr>
            <w:tcW w:w="0" w:type="auto"/>
            <w:shd w:val="clear" w:color="auto" w:fill="auto"/>
          </w:tcPr>
          <w:p w14:paraId="0D8DF303" w14:textId="77777777" w:rsidR="004C2197" w:rsidRDefault="004C2197">
            <w:pPr>
              <w:rPr>
                <w:rFonts w:ascii="宋体"/>
              </w:rPr>
            </w:pPr>
          </w:p>
        </w:tc>
        <w:tc>
          <w:tcPr>
            <w:tcW w:w="0" w:type="auto"/>
            <w:shd w:val="clear" w:color="auto" w:fill="auto"/>
          </w:tcPr>
          <w:p w14:paraId="0D8DF304" w14:textId="77777777" w:rsidR="004C2197" w:rsidRDefault="004C2197">
            <w:pPr>
              <w:rPr>
                <w:rFonts w:ascii="宋体"/>
              </w:rPr>
            </w:pPr>
          </w:p>
        </w:tc>
        <w:tc>
          <w:tcPr>
            <w:tcW w:w="0" w:type="auto"/>
            <w:shd w:val="clear" w:color="auto" w:fill="auto"/>
          </w:tcPr>
          <w:p w14:paraId="0D8DF305" w14:textId="77777777" w:rsidR="004C2197" w:rsidRDefault="004C2197">
            <w:pPr>
              <w:rPr>
                <w:rFonts w:ascii="宋体"/>
              </w:rPr>
            </w:pPr>
          </w:p>
        </w:tc>
        <w:tc>
          <w:tcPr>
            <w:tcW w:w="0" w:type="auto"/>
            <w:shd w:val="clear" w:color="auto" w:fill="auto"/>
          </w:tcPr>
          <w:p w14:paraId="0D8DF306" w14:textId="77777777" w:rsidR="004C2197" w:rsidRDefault="004C2197">
            <w:pPr>
              <w:rPr>
                <w:rFonts w:ascii="宋体"/>
              </w:rPr>
            </w:pPr>
          </w:p>
        </w:tc>
        <w:tc>
          <w:tcPr>
            <w:tcW w:w="0" w:type="auto"/>
            <w:shd w:val="clear" w:color="auto" w:fill="auto"/>
          </w:tcPr>
          <w:p w14:paraId="0D8DF307" w14:textId="77777777" w:rsidR="004C2197" w:rsidRDefault="004C2197">
            <w:pPr>
              <w:rPr>
                <w:rFonts w:ascii="宋体"/>
              </w:rPr>
            </w:pPr>
          </w:p>
        </w:tc>
        <w:tc>
          <w:tcPr>
            <w:tcW w:w="0" w:type="auto"/>
            <w:shd w:val="clear" w:color="auto" w:fill="auto"/>
          </w:tcPr>
          <w:p w14:paraId="0D8DF308" w14:textId="77777777" w:rsidR="004C2197" w:rsidRDefault="004C2197">
            <w:pPr>
              <w:rPr>
                <w:rFonts w:ascii="宋体"/>
              </w:rPr>
            </w:pPr>
          </w:p>
        </w:tc>
        <w:tc>
          <w:tcPr>
            <w:tcW w:w="0" w:type="auto"/>
            <w:shd w:val="clear" w:color="auto" w:fill="auto"/>
          </w:tcPr>
          <w:p w14:paraId="0D8DF309" w14:textId="77777777" w:rsidR="004C2197" w:rsidRDefault="004C2197">
            <w:pPr>
              <w:rPr>
                <w:rFonts w:ascii="宋体"/>
              </w:rPr>
            </w:pPr>
          </w:p>
        </w:tc>
        <w:tc>
          <w:tcPr>
            <w:tcW w:w="0" w:type="auto"/>
            <w:shd w:val="clear" w:color="auto" w:fill="auto"/>
          </w:tcPr>
          <w:p w14:paraId="0D8DF30A" w14:textId="77777777" w:rsidR="004C2197" w:rsidRDefault="004C2197">
            <w:pPr>
              <w:rPr>
                <w:rFonts w:ascii="宋体"/>
              </w:rPr>
            </w:pPr>
          </w:p>
        </w:tc>
        <w:tc>
          <w:tcPr>
            <w:tcW w:w="0" w:type="auto"/>
            <w:shd w:val="clear" w:color="auto" w:fill="auto"/>
          </w:tcPr>
          <w:p w14:paraId="0D8DF30B" w14:textId="77777777" w:rsidR="004C2197" w:rsidRDefault="004C2197">
            <w:pPr>
              <w:rPr>
                <w:rFonts w:ascii="宋体"/>
              </w:rPr>
            </w:pPr>
          </w:p>
        </w:tc>
        <w:tc>
          <w:tcPr>
            <w:tcW w:w="0" w:type="auto"/>
            <w:shd w:val="clear" w:color="auto" w:fill="auto"/>
          </w:tcPr>
          <w:p w14:paraId="0D8DF30C" w14:textId="77777777" w:rsidR="004C2197" w:rsidRDefault="004C2197">
            <w:pPr>
              <w:rPr>
                <w:rFonts w:ascii="宋体"/>
              </w:rPr>
            </w:pPr>
          </w:p>
        </w:tc>
        <w:tc>
          <w:tcPr>
            <w:tcW w:w="0" w:type="auto"/>
            <w:shd w:val="clear" w:color="auto" w:fill="auto"/>
          </w:tcPr>
          <w:p w14:paraId="0D8DF30D" w14:textId="77777777" w:rsidR="004C2197" w:rsidRDefault="004C2197">
            <w:pPr>
              <w:rPr>
                <w:rFonts w:ascii="宋体"/>
              </w:rPr>
            </w:pPr>
          </w:p>
        </w:tc>
        <w:tc>
          <w:tcPr>
            <w:tcW w:w="0" w:type="auto"/>
            <w:shd w:val="clear" w:color="auto" w:fill="auto"/>
          </w:tcPr>
          <w:p w14:paraId="0D8DF30E" w14:textId="77777777" w:rsidR="004C2197" w:rsidRDefault="004C2197">
            <w:pPr>
              <w:rPr>
                <w:rFonts w:ascii="宋体"/>
              </w:rPr>
            </w:pPr>
          </w:p>
        </w:tc>
        <w:tc>
          <w:tcPr>
            <w:tcW w:w="0" w:type="auto"/>
            <w:shd w:val="clear" w:color="auto" w:fill="auto"/>
          </w:tcPr>
          <w:p w14:paraId="0D8DF30F" w14:textId="77777777" w:rsidR="004C2197" w:rsidRDefault="004C2197">
            <w:pPr>
              <w:rPr>
                <w:rFonts w:ascii="宋体"/>
              </w:rPr>
            </w:pPr>
          </w:p>
        </w:tc>
        <w:tc>
          <w:tcPr>
            <w:tcW w:w="0" w:type="auto"/>
            <w:shd w:val="clear" w:color="auto" w:fill="auto"/>
          </w:tcPr>
          <w:p w14:paraId="0D8DF310" w14:textId="77777777" w:rsidR="004C2197" w:rsidRDefault="004C2197">
            <w:pPr>
              <w:rPr>
                <w:rFonts w:ascii="宋体"/>
              </w:rPr>
            </w:pPr>
          </w:p>
        </w:tc>
        <w:tc>
          <w:tcPr>
            <w:tcW w:w="0" w:type="auto"/>
            <w:shd w:val="clear" w:color="auto" w:fill="auto"/>
          </w:tcPr>
          <w:p w14:paraId="0D8DF311" w14:textId="77777777" w:rsidR="004C2197" w:rsidRDefault="004C2197">
            <w:pPr>
              <w:rPr>
                <w:rFonts w:ascii="宋体"/>
              </w:rPr>
            </w:pPr>
          </w:p>
        </w:tc>
        <w:tc>
          <w:tcPr>
            <w:tcW w:w="0" w:type="auto"/>
            <w:shd w:val="clear" w:color="auto" w:fill="auto"/>
          </w:tcPr>
          <w:p w14:paraId="0D8DF312" w14:textId="77777777" w:rsidR="004C2197" w:rsidRDefault="004C2197">
            <w:pPr>
              <w:rPr>
                <w:rFonts w:ascii="宋体"/>
              </w:rPr>
            </w:pPr>
          </w:p>
        </w:tc>
        <w:tc>
          <w:tcPr>
            <w:tcW w:w="0" w:type="auto"/>
            <w:shd w:val="clear" w:color="auto" w:fill="auto"/>
          </w:tcPr>
          <w:p w14:paraId="0D8DF313" w14:textId="77777777" w:rsidR="004C2197" w:rsidRDefault="004C2197">
            <w:pPr>
              <w:rPr>
                <w:rFonts w:ascii="宋体"/>
              </w:rPr>
            </w:pPr>
          </w:p>
        </w:tc>
        <w:tc>
          <w:tcPr>
            <w:tcW w:w="0" w:type="auto"/>
            <w:shd w:val="clear" w:color="auto" w:fill="auto"/>
          </w:tcPr>
          <w:p w14:paraId="0D8DF314" w14:textId="77777777" w:rsidR="004C2197" w:rsidRDefault="004C2197">
            <w:pPr>
              <w:rPr>
                <w:rFonts w:ascii="宋体"/>
              </w:rPr>
            </w:pPr>
          </w:p>
        </w:tc>
      </w:tr>
      <w:tr w:rsidR="004C2197" w14:paraId="0D8DF343" w14:textId="77777777">
        <w:tc>
          <w:tcPr>
            <w:tcW w:w="0" w:type="auto"/>
            <w:gridSpan w:val="3"/>
            <w:shd w:val="clear" w:color="auto" w:fill="FFFFFF"/>
            <w:tcMar>
              <w:top w:w="40" w:type="dxa"/>
              <w:left w:w="20" w:type="dxa"/>
              <w:bottom w:w="40" w:type="dxa"/>
              <w:right w:w="20" w:type="dxa"/>
            </w:tcMar>
            <w:vAlign w:val="bottom"/>
          </w:tcPr>
          <w:p w14:paraId="0D8DF316" w14:textId="77777777" w:rsidR="004C2197" w:rsidRDefault="00863B83">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0D8DF317" w14:textId="77777777" w:rsidR="004C2197" w:rsidRDefault="00863B83">
            <w:pPr>
              <w:jc w:val="right"/>
              <w:textAlignment w:val="bottom"/>
            </w:pPr>
            <w:r>
              <w:rPr>
                <w:rFonts w:ascii="sans-serif" w:eastAsia="sans-serif" w:hAnsi="sans-serif" w:cs="sans-serif"/>
                <w:color w:val="000000"/>
                <w:sz w:val="20"/>
                <w:szCs w:val="20"/>
              </w:rPr>
              <w:t>256 </w:t>
            </w:r>
          </w:p>
        </w:tc>
        <w:tc>
          <w:tcPr>
            <w:tcW w:w="0" w:type="auto"/>
            <w:shd w:val="clear" w:color="auto" w:fill="FFFFFF"/>
            <w:tcMar>
              <w:top w:w="40" w:type="dxa"/>
              <w:bottom w:w="40" w:type="dxa"/>
              <w:right w:w="20" w:type="dxa"/>
            </w:tcMar>
            <w:vAlign w:val="bottom"/>
          </w:tcPr>
          <w:p w14:paraId="0D8DF31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319"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31A"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31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31C"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31D"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31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31F"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320" w14:textId="77777777" w:rsidR="004C2197" w:rsidRDefault="00863B83">
            <w:pPr>
              <w:jc w:val="right"/>
              <w:textAlignment w:val="bottom"/>
            </w:pPr>
            <w:r>
              <w:rPr>
                <w:rFonts w:ascii="sans-serif" w:eastAsia="sans-serif" w:hAnsi="sans-serif" w:cs="sans-serif"/>
                <w:color w:val="000000"/>
                <w:sz w:val="20"/>
                <w:szCs w:val="20"/>
              </w:rPr>
              <w:t>256 </w:t>
            </w:r>
          </w:p>
        </w:tc>
        <w:tc>
          <w:tcPr>
            <w:tcW w:w="0" w:type="auto"/>
            <w:shd w:val="clear" w:color="auto" w:fill="FFFFFF"/>
            <w:tcMar>
              <w:top w:w="40" w:type="dxa"/>
              <w:bottom w:w="40" w:type="dxa"/>
              <w:right w:w="20" w:type="dxa"/>
            </w:tcMar>
            <w:vAlign w:val="bottom"/>
          </w:tcPr>
          <w:p w14:paraId="0D8DF32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32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323" w14:textId="77777777" w:rsidR="004C2197" w:rsidRDefault="00863B83">
            <w:pPr>
              <w:jc w:val="right"/>
              <w:textAlignment w:val="bottom"/>
            </w:pPr>
            <w:r>
              <w:rPr>
                <w:rFonts w:ascii="sans-serif" w:eastAsia="sans-serif" w:hAnsi="sans-serif" w:cs="sans-serif"/>
                <w:color w:val="000000"/>
                <w:sz w:val="20"/>
                <w:szCs w:val="20"/>
              </w:rPr>
              <w:t>90 </w:t>
            </w:r>
          </w:p>
        </w:tc>
        <w:tc>
          <w:tcPr>
            <w:tcW w:w="0" w:type="auto"/>
            <w:shd w:val="clear" w:color="auto" w:fill="FFFFFF"/>
            <w:tcMar>
              <w:top w:w="40" w:type="dxa"/>
              <w:bottom w:w="40" w:type="dxa"/>
              <w:right w:w="20" w:type="dxa"/>
            </w:tcMar>
            <w:vAlign w:val="bottom"/>
          </w:tcPr>
          <w:p w14:paraId="0D8DF32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32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326" w14:textId="77777777" w:rsidR="004C2197" w:rsidRDefault="00863B83">
            <w:pPr>
              <w:jc w:val="right"/>
              <w:textAlignment w:val="bottom"/>
            </w:pPr>
            <w:r>
              <w:rPr>
                <w:rFonts w:ascii="sans-serif" w:eastAsia="sans-serif" w:hAnsi="sans-serif" w:cs="sans-serif"/>
                <w:color w:val="000000"/>
                <w:sz w:val="20"/>
                <w:szCs w:val="20"/>
              </w:rPr>
              <w:t>166 </w:t>
            </w:r>
          </w:p>
        </w:tc>
        <w:tc>
          <w:tcPr>
            <w:tcW w:w="0" w:type="auto"/>
            <w:shd w:val="clear" w:color="auto" w:fill="FFFFFF"/>
            <w:tcMar>
              <w:top w:w="40" w:type="dxa"/>
              <w:bottom w:w="40" w:type="dxa"/>
              <w:right w:w="20" w:type="dxa"/>
            </w:tcMar>
            <w:vAlign w:val="bottom"/>
          </w:tcPr>
          <w:p w14:paraId="0D8DF327" w14:textId="77777777" w:rsidR="004C2197" w:rsidRDefault="004C2197">
            <w:pPr>
              <w:jc w:val="right"/>
              <w:rPr>
                <w:rFonts w:ascii="宋体"/>
              </w:rPr>
            </w:pPr>
          </w:p>
        </w:tc>
        <w:tc>
          <w:tcPr>
            <w:tcW w:w="0" w:type="auto"/>
            <w:shd w:val="clear" w:color="auto" w:fill="auto"/>
          </w:tcPr>
          <w:p w14:paraId="0D8DF328" w14:textId="77777777" w:rsidR="004C2197" w:rsidRDefault="004C2197">
            <w:pPr>
              <w:rPr>
                <w:rFonts w:ascii="宋体"/>
              </w:rPr>
            </w:pPr>
          </w:p>
        </w:tc>
        <w:tc>
          <w:tcPr>
            <w:tcW w:w="0" w:type="auto"/>
            <w:shd w:val="clear" w:color="auto" w:fill="auto"/>
          </w:tcPr>
          <w:p w14:paraId="0D8DF329" w14:textId="77777777" w:rsidR="004C2197" w:rsidRDefault="004C2197">
            <w:pPr>
              <w:rPr>
                <w:rFonts w:ascii="宋体"/>
              </w:rPr>
            </w:pPr>
          </w:p>
        </w:tc>
        <w:tc>
          <w:tcPr>
            <w:tcW w:w="0" w:type="auto"/>
            <w:shd w:val="clear" w:color="auto" w:fill="auto"/>
          </w:tcPr>
          <w:p w14:paraId="0D8DF32A" w14:textId="77777777" w:rsidR="004C2197" w:rsidRDefault="004C2197">
            <w:pPr>
              <w:rPr>
                <w:rFonts w:ascii="宋体"/>
              </w:rPr>
            </w:pPr>
          </w:p>
        </w:tc>
        <w:tc>
          <w:tcPr>
            <w:tcW w:w="0" w:type="auto"/>
            <w:shd w:val="clear" w:color="auto" w:fill="auto"/>
          </w:tcPr>
          <w:p w14:paraId="0D8DF32B" w14:textId="77777777" w:rsidR="004C2197" w:rsidRDefault="004C2197">
            <w:pPr>
              <w:rPr>
                <w:rFonts w:ascii="宋体"/>
              </w:rPr>
            </w:pPr>
          </w:p>
        </w:tc>
        <w:tc>
          <w:tcPr>
            <w:tcW w:w="0" w:type="auto"/>
            <w:shd w:val="clear" w:color="auto" w:fill="auto"/>
          </w:tcPr>
          <w:p w14:paraId="0D8DF32C" w14:textId="77777777" w:rsidR="004C2197" w:rsidRDefault="004C2197">
            <w:pPr>
              <w:rPr>
                <w:rFonts w:ascii="宋体"/>
              </w:rPr>
            </w:pPr>
          </w:p>
        </w:tc>
        <w:tc>
          <w:tcPr>
            <w:tcW w:w="0" w:type="auto"/>
            <w:shd w:val="clear" w:color="auto" w:fill="auto"/>
          </w:tcPr>
          <w:p w14:paraId="0D8DF32D" w14:textId="77777777" w:rsidR="004C2197" w:rsidRDefault="004C2197">
            <w:pPr>
              <w:rPr>
                <w:rFonts w:ascii="宋体"/>
              </w:rPr>
            </w:pPr>
          </w:p>
        </w:tc>
        <w:tc>
          <w:tcPr>
            <w:tcW w:w="0" w:type="auto"/>
            <w:shd w:val="clear" w:color="auto" w:fill="auto"/>
          </w:tcPr>
          <w:p w14:paraId="0D8DF32E" w14:textId="77777777" w:rsidR="004C2197" w:rsidRDefault="004C2197">
            <w:pPr>
              <w:rPr>
                <w:rFonts w:ascii="宋体"/>
              </w:rPr>
            </w:pPr>
          </w:p>
        </w:tc>
        <w:tc>
          <w:tcPr>
            <w:tcW w:w="0" w:type="auto"/>
            <w:shd w:val="clear" w:color="auto" w:fill="auto"/>
          </w:tcPr>
          <w:p w14:paraId="0D8DF32F" w14:textId="77777777" w:rsidR="004C2197" w:rsidRDefault="004C2197">
            <w:pPr>
              <w:rPr>
                <w:rFonts w:ascii="宋体"/>
              </w:rPr>
            </w:pPr>
          </w:p>
        </w:tc>
        <w:tc>
          <w:tcPr>
            <w:tcW w:w="0" w:type="auto"/>
            <w:shd w:val="clear" w:color="auto" w:fill="auto"/>
          </w:tcPr>
          <w:p w14:paraId="0D8DF330" w14:textId="77777777" w:rsidR="004C2197" w:rsidRDefault="004C2197">
            <w:pPr>
              <w:rPr>
                <w:rFonts w:ascii="宋体"/>
              </w:rPr>
            </w:pPr>
          </w:p>
        </w:tc>
        <w:tc>
          <w:tcPr>
            <w:tcW w:w="0" w:type="auto"/>
            <w:shd w:val="clear" w:color="auto" w:fill="auto"/>
          </w:tcPr>
          <w:p w14:paraId="0D8DF331" w14:textId="77777777" w:rsidR="004C2197" w:rsidRDefault="004C2197">
            <w:pPr>
              <w:rPr>
                <w:rFonts w:ascii="宋体"/>
              </w:rPr>
            </w:pPr>
          </w:p>
        </w:tc>
        <w:tc>
          <w:tcPr>
            <w:tcW w:w="0" w:type="auto"/>
            <w:shd w:val="clear" w:color="auto" w:fill="auto"/>
          </w:tcPr>
          <w:p w14:paraId="0D8DF332" w14:textId="77777777" w:rsidR="004C2197" w:rsidRDefault="004C2197">
            <w:pPr>
              <w:rPr>
                <w:rFonts w:ascii="宋体"/>
              </w:rPr>
            </w:pPr>
          </w:p>
        </w:tc>
        <w:tc>
          <w:tcPr>
            <w:tcW w:w="0" w:type="auto"/>
            <w:shd w:val="clear" w:color="auto" w:fill="auto"/>
          </w:tcPr>
          <w:p w14:paraId="0D8DF333" w14:textId="77777777" w:rsidR="004C2197" w:rsidRDefault="004C2197">
            <w:pPr>
              <w:rPr>
                <w:rFonts w:ascii="宋体"/>
              </w:rPr>
            </w:pPr>
          </w:p>
        </w:tc>
        <w:tc>
          <w:tcPr>
            <w:tcW w:w="0" w:type="auto"/>
            <w:shd w:val="clear" w:color="auto" w:fill="auto"/>
          </w:tcPr>
          <w:p w14:paraId="0D8DF334" w14:textId="77777777" w:rsidR="004C2197" w:rsidRDefault="004C2197">
            <w:pPr>
              <w:rPr>
                <w:rFonts w:ascii="宋体"/>
              </w:rPr>
            </w:pPr>
          </w:p>
        </w:tc>
        <w:tc>
          <w:tcPr>
            <w:tcW w:w="0" w:type="auto"/>
            <w:shd w:val="clear" w:color="auto" w:fill="auto"/>
          </w:tcPr>
          <w:p w14:paraId="0D8DF335" w14:textId="77777777" w:rsidR="004C2197" w:rsidRDefault="004C2197">
            <w:pPr>
              <w:rPr>
                <w:rFonts w:ascii="宋体"/>
              </w:rPr>
            </w:pPr>
          </w:p>
        </w:tc>
        <w:tc>
          <w:tcPr>
            <w:tcW w:w="0" w:type="auto"/>
            <w:shd w:val="clear" w:color="auto" w:fill="auto"/>
          </w:tcPr>
          <w:p w14:paraId="0D8DF336" w14:textId="77777777" w:rsidR="004C2197" w:rsidRDefault="004C2197">
            <w:pPr>
              <w:rPr>
                <w:rFonts w:ascii="宋体"/>
              </w:rPr>
            </w:pPr>
          </w:p>
        </w:tc>
        <w:tc>
          <w:tcPr>
            <w:tcW w:w="0" w:type="auto"/>
            <w:shd w:val="clear" w:color="auto" w:fill="auto"/>
          </w:tcPr>
          <w:p w14:paraId="0D8DF337" w14:textId="77777777" w:rsidR="004C2197" w:rsidRDefault="004C2197">
            <w:pPr>
              <w:rPr>
                <w:rFonts w:ascii="宋体"/>
              </w:rPr>
            </w:pPr>
          </w:p>
        </w:tc>
        <w:tc>
          <w:tcPr>
            <w:tcW w:w="0" w:type="auto"/>
            <w:shd w:val="clear" w:color="auto" w:fill="auto"/>
          </w:tcPr>
          <w:p w14:paraId="0D8DF338" w14:textId="77777777" w:rsidR="004C2197" w:rsidRDefault="004C2197">
            <w:pPr>
              <w:rPr>
                <w:rFonts w:ascii="宋体"/>
              </w:rPr>
            </w:pPr>
          </w:p>
        </w:tc>
        <w:tc>
          <w:tcPr>
            <w:tcW w:w="0" w:type="auto"/>
            <w:shd w:val="clear" w:color="auto" w:fill="auto"/>
          </w:tcPr>
          <w:p w14:paraId="0D8DF339" w14:textId="77777777" w:rsidR="004C2197" w:rsidRDefault="004C2197">
            <w:pPr>
              <w:rPr>
                <w:rFonts w:ascii="宋体"/>
              </w:rPr>
            </w:pPr>
          </w:p>
        </w:tc>
        <w:tc>
          <w:tcPr>
            <w:tcW w:w="0" w:type="auto"/>
            <w:shd w:val="clear" w:color="auto" w:fill="auto"/>
          </w:tcPr>
          <w:p w14:paraId="0D8DF33A" w14:textId="77777777" w:rsidR="004C2197" w:rsidRDefault="004C2197">
            <w:pPr>
              <w:rPr>
                <w:rFonts w:ascii="宋体"/>
              </w:rPr>
            </w:pPr>
          </w:p>
        </w:tc>
        <w:tc>
          <w:tcPr>
            <w:tcW w:w="0" w:type="auto"/>
            <w:shd w:val="clear" w:color="auto" w:fill="auto"/>
          </w:tcPr>
          <w:p w14:paraId="0D8DF33B" w14:textId="77777777" w:rsidR="004C2197" w:rsidRDefault="004C2197">
            <w:pPr>
              <w:rPr>
                <w:rFonts w:ascii="宋体"/>
              </w:rPr>
            </w:pPr>
          </w:p>
        </w:tc>
        <w:tc>
          <w:tcPr>
            <w:tcW w:w="0" w:type="auto"/>
            <w:shd w:val="clear" w:color="auto" w:fill="auto"/>
          </w:tcPr>
          <w:p w14:paraId="0D8DF33C" w14:textId="77777777" w:rsidR="004C2197" w:rsidRDefault="004C2197">
            <w:pPr>
              <w:rPr>
                <w:rFonts w:ascii="宋体"/>
              </w:rPr>
            </w:pPr>
          </w:p>
        </w:tc>
        <w:tc>
          <w:tcPr>
            <w:tcW w:w="0" w:type="auto"/>
            <w:shd w:val="clear" w:color="auto" w:fill="auto"/>
          </w:tcPr>
          <w:p w14:paraId="0D8DF33D" w14:textId="77777777" w:rsidR="004C2197" w:rsidRDefault="004C2197">
            <w:pPr>
              <w:rPr>
                <w:rFonts w:ascii="宋体"/>
              </w:rPr>
            </w:pPr>
          </w:p>
        </w:tc>
        <w:tc>
          <w:tcPr>
            <w:tcW w:w="0" w:type="auto"/>
            <w:shd w:val="clear" w:color="auto" w:fill="auto"/>
          </w:tcPr>
          <w:p w14:paraId="0D8DF33E" w14:textId="77777777" w:rsidR="004C2197" w:rsidRDefault="004C2197">
            <w:pPr>
              <w:rPr>
                <w:rFonts w:ascii="宋体"/>
              </w:rPr>
            </w:pPr>
          </w:p>
        </w:tc>
        <w:tc>
          <w:tcPr>
            <w:tcW w:w="0" w:type="auto"/>
            <w:shd w:val="clear" w:color="auto" w:fill="auto"/>
          </w:tcPr>
          <w:p w14:paraId="0D8DF33F" w14:textId="77777777" w:rsidR="004C2197" w:rsidRDefault="004C2197">
            <w:pPr>
              <w:rPr>
                <w:rFonts w:ascii="宋体"/>
              </w:rPr>
            </w:pPr>
          </w:p>
        </w:tc>
        <w:tc>
          <w:tcPr>
            <w:tcW w:w="0" w:type="auto"/>
            <w:shd w:val="clear" w:color="auto" w:fill="auto"/>
          </w:tcPr>
          <w:p w14:paraId="0D8DF340" w14:textId="77777777" w:rsidR="004C2197" w:rsidRDefault="004C2197">
            <w:pPr>
              <w:rPr>
                <w:rFonts w:ascii="宋体"/>
              </w:rPr>
            </w:pPr>
          </w:p>
        </w:tc>
        <w:tc>
          <w:tcPr>
            <w:tcW w:w="0" w:type="auto"/>
            <w:shd w:val="clear" w:color="auto" w:fill="auto"/>
          </w:tcPr>
          <w:p w14:paraId="0D8DF341" w14:textId="77777777" w:rsidR="004C2197" w:rsidRDefault="004C2197">
            <w:pPr>
              <w:rPr>
                <w:rFonts w:ascii="宋体"/>
              </w:rPr>
            </w:pPr>
          </w:p>
        </w:tc>
        <w:tc>
          <w:tcPr>
            <w:tcW w:w="0" w:type="auto"/>
            <w:shd w:val="clear" w:color="auto" w:fill="auto"/>
          </w:tcPr>
          <w:p w14:paraId="0D8DF342" w14:textId="77777777" w:rsidR="004C2197" w:rsidRDefault="004C2197">
            <w:pPr>
              <w:rPr>
                <w:rFonts w:ascii="宋体"/>
              </w:rPr>
            </w:pPr>
          </w:p>
        </w:tc>
      </w:tr>
      <w:tr w:rsidR="004C2197" w14:paraId="0D8DF36B" w14:textId="77777777">
        <w:trPr>
          <w:hidden/>
        </w:trPr>
        <w:tc>
          <w:tcPr>
            <w:tcW w:w="0" w:type="auto"/>
            <w:gridSpan w:val="3"/>
            <w:shd w:val="clear" w:color="auto" w:fill="auto"/>
          </w:tcPr>
          <w:p w14:paraId="0D8DF344" w14:textId="77777777" w:rsidR="004C2197" w:rsidRDefault="004C2197">
            <w:pPr>
              <w:rPr>
                <w:rFonts w:ascii="宋体"/>
                <w:vanish/>
              </w:rPr>
            </w:pPr>
          </w:p>
        </w:tc>
        <w:tc>
          <w:tcPr>
            <w:tcW w:w="0" w:type="auto"/>
            <w:gridSpan w:val="3"/>
            <w:shd w:val="clear" w:color="auto" w:fill="auto"/>
          </w:tcPr>
          <w:p w14:paraId="0D8DF345" w14:textId="77777777" w:rsidR="004C2197" w:rsidRDefault="004C2197">
            <w:pPr>
              <w:rPr>
                <w:rFonts w:ascii="宋体"/>
                <w:vanish/>
              </w:rPr>
            </w:pPr>
          </w:p>
        </w:tc>
        <w:tc>
          <w:tcPr>
            <w:tcW w:w="0" w:type="auto"/>
            <w:gridSpan w:val="3"/>
            <w:shd w:val="clear" w:color="auto" w:fill="auto"/>
          </w:tcPr>
          <w:p w14:paraId="0D8DF346" w14:textId="77777777" w:rsidR="004C2197" w:rsidRDefault="004C2197">
            <w:pPr>
              <w:rPr>
                <w:rFonts w:ascii="宋体"/>
                <w:vanish/>
              </w:rPr>
            </w:pPr>
          </w:p>
        </w:tc>
        <w:tc>
          <w:tcPr>
            <w:tcW w:w="0" w:type="auto"/>
            <w:gridSpan w:val="3"/>
            <w:shd w:val="clear" w:color="auto" w:fill="auto"/>
          </w:tcPr>
          <w:p w14:paraId="0D8DF347" w14:textId="77777777" w:rsidR="004C2197" w:rsidRDefault="004C2197">
            <w:pPr>
              <w:rPr>
                <w:rFonts w:ascii="宋体"/>
                <w:vanish/>
              </w:rPr>
            </w:pPr>
          </w:p>
        </w:tc>
        <w:tc>
          <w:tcPr>
            <w:tcW w:w="0" w:type="auto"/>
            <w:gridSpan w:val="3"/>
            <w:shd w:val="clear" w:color="auto" w:fill="auto"/>
          </w:tcPr>
          <w:p w14:paraId="0D8DF348" w14:textId="77777777" w:rsidR="004C2197" w:rsidRDefault="004C2197">
            <w:pPr>
              <w:rPr>
                <w:rFonts w:ascii="宋体"/>
                <w:vanish/>
              </w:rPr>
            </w:pPr>
          </w:p>
        </w:tc>
        <w:tc>
          <w:tcPr>
            <w:tcW w:w="0" w:type="auto"/>
            <w:gridSpan w:val="3"/>
            <w:shd w:val="clear" w:color="auto" w:fill="auto"/>
          </w:tcPr>
          <w:p w14:paraId="0D8DF349" w14:textId="77777777" w:rsidR="004C2197" w:rsidRDefault="004C2197">
            <w:pPr>
              <w:rPr>
                <w:rFonts w:ascii="宋体"/>
                <w:vanish/>
              </w:rPr>
            </w:pPr>
          </w:p>
        </w:tc>
        <w:tc>
          <w:tcPr>
            <w:tcW w:w="0" w:type="auto"/>
            <w:gridSpan w:val="3"/>
            <w:shd w:val="clear" w:color="auto" w:fill="auto"/>
          </w:tcPr>
          <w:p w14:paraId="0D8DF34A" w14:textId="77777777" w:rsidR="004C2197" w:rsidRDefault="004C2197">
            <w:pPr>
              <w:rPr>
                <w:rFonts w:ascii="宋体"/>
                <w:vanish/>
              </w:rPr>
            </w:pPr>
          </w:p>
        </w:tc>
        <w:tc>
          <w:tcPr>
            <w:tcW w:w="0" w:type="auto"/>
            <w:gridSpan w:val="3"/>
            <w:shd w:val="clear" w:color="auto" w:fill="auto"/>
          </w:tcPr>
          <w:p w14:paraId="0D8DF34B" w14:textId="77777777" w:rsidR="004C2197" w:rsidRDefault="004C2197">
            <w:pPr>
              <w:rPr>
                <w:rFonts w:ascii="宋体"/>
                <w:vanish/>
              </w:rPr>
            </w:pPr>
          </w:p>
        </w:tc>
        <w:tc>
          <w:tcPr>
            <w:tcW w:w="0" w:type="auto"/>
            <w:gridSpan w:val="3"/>
            <w:shd w:val="clear" w:color="auto" w:fill="auto"/>
          </w:tcPr>
          <w:p w14:paraId="0D8DF34C" w14:textId="77777777" w:rsidR="004C2197" w:rsidRDefault="004C2197">
            <w:pPr>
              <w:rPr>
                <w:rFonts w:ascii="宋体"/>
                <w:vanish/>
              </w:rPr>
            </w:pPr>
          </w:p>
        </w:tc>
        <w:tc>
          <w:tcPr>
            <w:tcW w:w="0" w:type="auto"/>
            <w:gridSpan w:val="3"/>
            <w:shd w:val="clear" w:color="auto" w:fill="auto"/>
          </w:tcPr>
          <w:p w14:paraId="0D8DF34D" w14:textId="77777777" w:rsidR="004C2197" w:rsidRDefault="004C2197">
            <w:pPr>
              <w:rPr>
                <w:rFonts w:ascii="宋体"/>
                <w:vanish/>
              </w:rPr>
            </w:pPr>
          </w:p>
        </w:tc>
        <w:tc>
          <w:tcPr>
            <w:tcW w:w="0" w:type="auto"/>
            <w:gridSpan w:val="3"/>
            <w:shd w:val="clear" w:color="auto" w:fill="auto"/>
          </w:tcPr>
          <w:p w14:paraId="0D8DF34E" w14:textId="77777777" w:rsidR="004C2197" w:rsidRDefault="004C2197">
            <w:pPr>
              <w:rPr>
                <w:rFonts w:ascii="宋体"/>
                <w:vanish/>
              </w:rPr>
            </w:pPr>
          </w:p>
        </w:tc>
        <w:tc>
          <w:tcPr>
            <w:tcW w:w="0" w:type="auto"/>
            <w:gridSpan w:val="3"/>
            <w:shd w:val="clear" w:color="auto" w:fill="auto"/>
          </w:tcPr>
          <w:p w14:paraId="0D8DF34F" w14:textId="77777777" w:rsidR="004C2197" w:rsidRDefault="004C2197">
            <w:pPr>
              <w:rPr>
                <w:rFonts w:ascii="宋体"/>
                <w:vanish/>
              </w:rPr>
            </w:pPr>
          </w:p>
        </w:tc>
        <w:tc>
          <w:tcPr>
            <w:tcW w:w="0" w:type="auto"/>
            <w:shd w:val="clear" w:color="auto" w:fill="auto"/>
          </w:tcPr>
          <w:p w14:paraId="0D8DF350" w14:textId="77777777" w:rsidR="004C2197" w:rsidRDefault="004C2197">
            <w:pPr>
              <w:rPr>
                <w:rFonts w:ascii="宋体"/>
              </w:rPr>
            </w:pPr>
          </w:p>
        </w:tc>
        <w:tc>
          <w:tcPr>
            <w:tcW w:w="0" w:type="auto"/>
            <w:shd w:val="clear" w:color="auto" w:fill="auto"/>
          </w:tcPr>
          <w:p w14:paraId="0D8DF351" w14:textId="77777777" w:rsidR="004C2197" w:rsidRDefault="004C2197">
            <w:pPr>
              <w:rPr>
                <w:rFonts w:ascii="宋体"/>
              </w:rPr>
            </w:pPr>
          </w:p>
        </w:tc>
        <w:tc>
          <w:tcPr>
            <w:tcW w:w="0" w:type="auto"/>
            <w:shd w:val="clear" w:color="auto" w:fill="auto"/>
          </w:tcPr>
          <w:p w14:paraId="0D8DF352" w14:textId="77777777" w:rsidR="004C2197" w:rsidRDefault="004C2197">
            <w:pPr>
              <w:rPr>
                <w:rFonts w:ascii="宋体"/>
              </w:rPr>
            </w:pPr>
          </w:p>
        </w:tc>
        <w:tc>
          <w:tcPr>
            <w:tcW w:w="0" w:type="auto"/>
            <w:shd w:val="clear" w:color="auto" w:fill="auto"/>
          </w:tcPr>
          <w:p w14:paraId="0D8DF353" w14:textId="77777777" w:rsidR="004C2197" w:rsidRDefault="004C2197">
            <w:pPr>
              <w:rPr>
                <w:rFonts w:ascii="宋体"/>
              </w:rPr>
            </w:pPr>
          </w:p>
        </w:tc>
        <w:tc>
          <w:tcPr>
            <w:tcW w:w="0" w:type="auto"/>
            <w:shd w:val="clear" w:color="auto" w:fill="auto"/>
          </w:tcPr>
          <w:p w14:paraId="0D8DF354" w14:textId="77777777" w:rsidR="004C2197" w:rsidRDefault="004C2197">
            <w:pPr>
              <w:rPr>
                <w:rFonts w:ascii="宋体"/>
              </w:rPr>
            </w:pPr>
          </w:p>
        </w:tc>
        <w:tc>
          <w:tcPr>
            <w:tcW w:w="0" w:type="auto"/>
            <w:shd w:val="clear" w:color="auto" w:fill="auto"/>
          </w:tcPr>
          <w:p w14:paraId="0D8DF355" w14:textId="77777777" w:rsidR="004C2197" w:rsidRDefault="004C2197">
            <w:pPr>
              <w:rPr>
                <w:rFonts w:ascii="宋体"/>
              </w:rPr>
            </w:pPr>
          </w:p>
        </w:tc>
        <w:tc>
          <w:tcPr>
            <w:tcW w:w="0" w:type="auto"/>
            <w:shd w:val="clear" w:color="auto" w:fill="auto"/>
          </w:tcPr>
          <w:p w14:paraId="0D8DF356" w14:textId="77777777" w:rsidR="004C2197" w:rsidRDefault="004C2197">
            <w:pPr>
              <w:rPr>
                <w:rFonts w:ascii="宋体"/>
              </w:rPr>
            </w:pPr>
          </w:p>
        </w:tc>
        <w:tc>
          <w:tcPr>
            <w:tcW w:w="0" w:type="auto"/>
            <w:shd w:val="clear" w:color="auto" w:fill="auto"/>
          </w:tcPr>
          <w:p w14:paraId="0D8DF357" w14:textId="77777777" w:rsidR="004C2197" w:rsidRDefault="004C2197">
            <w:pPr>
              <w:rPr>
                <w:rFonts w:ascii="宋体"/>
              </w:rPr>
            </w:pPr>
          </w:p>
        </w:tc>
        <w:tc>
          <w:tcPr>
            <w:tcW w:w="0" w:type="auto"/>
            <w:shd w:val="clear" w:color="auto" w:fill="auto"/>
          </w:tcPr>
          <w:p w14:paraId="0D8DF358" w14:textId="77777777" w:rsidR="004C2197" w:rsidRDefault="004C2197">
            <w:pPr>
              <w:rPr>
                <w:rFonts w:ascii="宋体"/>
              </w:rPr>
            </w:pPr>
          </w:p>
        </w:tc>
        <w:tc>
          <w:tcPr>
            <w:tcW w:w="0" w:type="auto"/>
            <w:shd w:val="clear" w:color="auto" w:fill="auto"/>
          </w:tcPr>
          <w:p w14:paraId="0D8DF359" w14:textId="77777777" w:rsidR="004C2197" w:rsidRDefault="004C2197">
            <w:pPr>
              <w:rPr>
                <w:rFonts w:ascii="宋体"/>
              </w:rPr>
            </w:pPr>
          </w:p>
        </w:tc>
        <w:tc>
          <w:tcPr>
            <w:tcW w:w="0" w:type="auto"/>
            <w:shd w:val="clear" w:color="auto" w:fill="auto"/>
          </w:tcPr>
          <w:p w14:paraId="0D8DF35A" w14:textId="77777777" w:rsidR="004C2197" w:rsidRDefault="004C2197">
            <w:pPr>
              <w:rPr>
                <w:rFonts w:ascii="宋体"/>
              </w:rPr>
            </w:pPr>
          </w:p>
        </w:tc>
        <w:tc>
          <w:tcPr>
            <w:tcW w:w="0" w:type="auto"/>
            <w:shd w:val="clear" w:color="auto" w:fill="auto"/>
          </w:tcPr>
          <w:p w14:paraId="0D8DF35B" w14:textId="77777777" w:rsidR="004C2197" w:rsidRDefault="004C2197">
            <w:pPr>
              <w:rPr>
                <w:rFonts w:ascii="宋体"/>
              </w:rPr>
            </w:pPr>
          </w:p>
        </w:tc>
        <w:tc>
          <w:tcPr>
            <w:tcW w:w="0" w:type="auto"/>
            <w:shd w:val="clear" w:color="auto" w:fill="auto"/>
          </w:tcPr>
          <w:p w14:paraId="0D8DF35C" w14:textId="77777777" w:rsidR="004C2197" w:rsidRDefault="004C2197">
            <w:pPr>
              <w:rPr>
                <w:rFonts w:ascii="宋体"/>
              </w:rPr>
            </w:pPr>
          </w:p>
        </w:tc>
        <w:tc>
          <w:tcPr>
            <w:tcW w:w="0" w:type="auto"/>
            <w:shd w:val="clear" w:color="auto" w:fill="auto"/>
          </w:tcPr>
          <w:p w14:paraId="0D8DF35D" w14:textId="77777777" w:rsidR="004C2197" w:rsidRDefault="004C2197">
            <w:pPr>
              <w:rPr>
                <w:rFonts w:ascii="宋体"/>
              </w:rPr>
            </w:pPr>
          </w:p>
        </w:tc>
        <w:tc>
          <w:tcPr>
            <w:tcW w:w="0" w:type="auto"/>
            <w:shd w:val="clear" w:color="auto" w:fill="auto"/>
          </w:tcPr>
          <w:p w14:paraId="0D8DF35E" w14:textId="77777777" w:rsidR="004C2197" w:rsidRDefault="004C2197">
            <w:pPr>
              <w:rPr>
                <w:rFonts w:ascii="宋体"/>
              </w:rPr>
            </w:pPr>
          </w:p>
        </w:tc>
        <w:tc>
          <w:tcPr>
            <w:tcW w:w="0" w:type="auto"/>
            <w:shd w:val="clear" w:color="auto" w:fill="auto"/>
          </w:tcPr>
          <w:p w14:paraId="0D8DF35F" w14:textId="77777777" w:rsidR="004C2197" w:rsidRDefault="004C2197">
            <w:pPr>
              <w:rPr>
                <w:rFonts w:ascii="宋体"/>
              </w:rPr>
            </w:pPr>
          </w:p>
        </w:tc>
        <w:tc>
          <w:tcPr>
            <w:tcW w:w="0" w:type="auto"/>
            <w:shd w:val="clear" w:color="auto" w:fill="auto"/>
          </w:tcPr>
          <w:p w14:paraId="0D8DF360" w14:textId="77777777" w:rsidR="004C2197" w:rsidRDefault="004C2197">
            <w:pPr>
              <w:rPr>
                <w:rFonts w:ascii="宋体"/>
              </w:rPr>
            </w:pPr>
          </w:p>
        </w:tc>
        <w:tc>
          <w:tcPr>
            <w:tcW w:w="0" w:type="auto"/>
            <w:shd w:val="clear" w:color="auto" w:fill="auto"/>
          </w:tcPr>
          <w:p w14:paraId="0D8DF361" w14:textId="77777777" w:rsidR="004C2197" w:rsidRDefault="004C2197">
            <w:pPr>
              <w:rPr>
                <w:rFonts w:ascii="宋体"/>
              </w:rPr>
            </w:pPr>
          </w:p>
        </w:tc>
        <w:tc>
          <w:tcPr>
            <w:tcW w:w="0" w:type="auto"/>
            <w:shd w:val="clear" w:color="auto" w:fill="auto"/>
          </w:tcPr>
          <w:p w14:paraId="0D8DF362" w14:textId="77777777" w:rsidR="004C2197" w:rsidRDefault="004C2197">
            <w:pPr>
              <w:rPr>
                <w:rFonts w:ascii="宋体"/>
              </w:rPr>
            </w:pPr>
          </w:p>
        </w:tc>
        <w:tc>
          <w:tcPr>
            <w:tcW w:w="0" w:type="auto"/>
            <w:shd w:val="clear" w:color="auto" w:fill="auto"/>
          </w:tcPr>
          <w:p w14:paraId="0D8DF363" w14:textId="77777777" w:rsidR="004C2197" w:rsidRDefault="004C2197">
            <w:pPr>
              <w:rPr>
                <w:rFonts w:ascii="宋体"/>
              </w:rPr>
            </w:pPr>
          </w:p>
        </w:tc>
        <w:tc>
          <w:tcPr>
            <w:tcW w:w="0" w:type="auto"/>
            <w:shd w:val="clear" w:color="auto" w:fill="auto"/>
          </w:tcPr>
          <w:p w14:paraId="0D8DF364" w14:textId="77777777" w:rsidR="004C2197" w:rsidRDefault="004C2197">
            <w:pPr>
              <w:rPr>
                <w:rFonts w:ascii="宋体"/>
              </w:rPr>
            </w:pPr>
          </w:p>
        </w:tc>
        <w:tc>
          <w:tcPr>
            <w:tcW w:w="0" w:type="auto"/>
            <w:shd w:val="clear" w:color="auto" w:fill="auto"/>
          </w:tcPr>
          <w:p w14:paraId="0D8DF365" w14:textId="77777777" w:rsidR="004C2197" w:rsidRDefault="004C2197">
            <w:pPr>
              <w:rPr>
                <w:rFonts w:ascii="宋体"/>
              </w:rPr>
            </w:pPr>
          </w:p>
        </w:tc>
        <w:tc>
          <w:tcPr>
            <w:tcW w:w="0" w:type="auto"/>
            <w:shd w:val="clear" w:color="auto" w:fill="auto"/>
          </w:tcPr>
          <w:p w14:paraId="0D8DF366" w14:textId="77777777" w:rsidR="004C2197" w:rsidRDefault="004C2197">
            <w:pPr>
              <w:rPr>
                <w:rFonts w:ascii="宋体"/>
              </w:rPr>
            </w:pPr>
          </w:p>
        </w:tc>
        <w:tc>
          <w:tcPr>
            <w:tcW w:w="0" w:type="auto"/>
            <w:shd w:val="clear" w:color="auto" w:fill="auto"/>
          </w:tcPr>
          <w:p w14:paraId="0D8DF367" w14:textId="77777777" w:rsidR="004C2197" w:rsidRDefault="004C2197">
            <w:pPr>
              <w:rPr>
                <w:rFonts w:ascii="宋体"/>
              </w:rPr>
            </w:pPr>
          </w:p>
        </w:tc>
        <w:tc>
          <w:tcPr>
            <w:tcW w:w="0" w:type="auto"/>
            <w:shd w:val="clear" w:color="auto" w:fill="auto"/>
          </w:tcPr>
          <w:p w14:paraId="0D8DF368" w14:textId="77777777" w:rsidR="004C2197" w:rsidRDefault="004C2197">
            <w:pPr>
              <w:rPr>
                <w:rFonts w:ascii="宋体"/>
              </w:rPr>
            </w:pPr>
          </w:p>
        </w:tc>
        <w:tc>
          <w:tcPr>
            <w:tcW w:w="0" w:type="auto"/>
            <w:shd w:val="clear" w:color="auto" w:fill="auto"/>
          </w:tcPr>
          <w:p w14:paraId="0D8DF369" w14:textId="77777777" w:rsidR="004C2197" w:rsidRDefault="004C2197">
            <w:pPr>
              <w:rPr>
                <w:rFonts w:ascii="宋体"/>
              </w:rPr>
            </w:pPr>
          </w:p>
        </w:tc>
        <w:tc>
          <w:tcPr>
            <w:tcW w:w="0" w:type="auto"/>
            <w:shd w:val="clear" w:color="auto" w:fill="auto"/>
          </w:tcPr>
          <w:p w14:paraId="0D8DF36A" w14:textId="77777777" w:rsidR="004C2197" w:rsidRDefault="004C2197">
            <w:pPr>
              <w:rPr>
                <w:rFonts w:ascii="宋体"/>
              </w:rPr>
            </w:pPr>
          </w:p>
        </w:tc>
      </w:tr>
      <w:tr w:rsidR="004C2197" w14:paraId="0D8DF393" w14:textId="77777777">
        <w:trPr>
          <w:hidden/>
        </w:trPr>
        <w:tc>
          <w:tcPr>
            <w:tcW w:w="0" w:type="auto"/>
            <w:gridSpan w:val="3"/>
            <w:shd w:val="clear" w:color="auto" w:fill="auto"/>
          </w:tcPr>
          <w:p w14:paraId="0D8DF36C" w14:textId="77777777" w:rsidR="004C2197" w:rsidRDefault="004C2197">
            <w:pPr>
              <w:rPr>
                <w:rFonts w:ascii="宋体"/>
                <w:vanish/>
              </w:rPr>
            </w:pPr>
          </w:p>
        </w:tc>
        <w:tc>
          <w:tcPr>
            <w:tcW w:w="0" w:type="auto"/>
            <w:gridSpan w:val="3"/>
            <w:shd w:val="clear" w:color="auto" w:fill="auto"/>
          </w:tcPr>
          <w:p w14:paraId="0D8DF36D" w14:textId="77777777" w:rsidR="004C2197" w:rsidRDefault="004C2197">
            <w:pPr>
              <w:rPr>
                <w:rFonts w:ascii="宋体"/>
                <w:vanish/>
              </w:rPr>
            </w:pPr>
          </w:p>
        </w:tc>
        <w:tc>
          <w:tcPr>
            <w:tcW w:w="0" w:type="auto"/>
            <w:gridSpan w:val="3"/>
            <w:shd w:val="clear" w:color="auto" w:fill="auto"/>
          </w:tcPr>
          <w:p w14:paraId="0D8DF36E" w14:textId="77777777" w:rsidR="004C2197" w:rsidRDefault="004C2197">
            <w:pPr>
              <w:rPr>
                <w:rFonts w:ascii="宋体"/>
                <w:vanish/>
              </w:rPr>
            </w:pPr>
          </w:p>
        </w:tc>
        <w:tc>
          <w:tcPr>
            <w:tcW w:w="0" w:type="auto"/>
            <w:gridSpan w:val="3"/>
            <w:shd w:val="clear" w:color="auto" w:fill="auto"/>
          </w:tcPr>
          <w:p w14:paraId="0D8DF36F" w14:textId="77777777" w:rsidR="004C2197" w:rsidRDefault="004C2197">
            <w:pPr>
              <w:rPr>
                <w:rFonts w:ascii="宋体"/>
                <w:vanish/>
              </w:rPr>
            </w:pPr>
          </w:p>
        </w:tc>
        <w:tc>
          <w:tcPr>
            <w:tcW w:w="0" w:type="auto"/>
            <w:gridSpan w:val="3"/>
            <w:shd w:val="clear" w:color="auto" w:fill="auto"/>
          </w:tcPr>
          <w:p w14:paraId="0D8DF370" w14:textId="77777777" w:rsidR="004C2197" w:rsidRDefault="004C2197">
            <w:pPr>
              <w:rPr>
                <w:rFonts w:ascii="宋体"/>
                <w:vanish/>
              </w:rPr>
            </w:pPr>
          </w:p>
        </w:tc>
        <w:tc>
          <w:tcPr>
            <w:tcW w:w="0" w:type="auto"/>
            <w:gridSpan w:val="3"/>
            <w:shd w:val="clear" w:color="auto" w:fill="auto"/>
          </w:tcPr>
          <w:p w14:paraId="0D8DF371" w14:textId="77777777" w:rsidR="004C2197" w:rsidRDefault="004C2197">
            <w:pPr>
              <w:rPr>
                <w:rFonts w:ascii="宋体"/>
                <w:vanish/>
              </w:rPr>
            </w:pPr>
          </w:p>
        </w:tc>
        <w:tc>
          <w:tcPr>
            <w:tcW w:w="0" w:type="auto"/>
            <w:gridSpan w:val="3"/>
            <w:shd w:val="clear" w:color="auto" w:fill="auto"/>
          </w:tcPr>
          <w:p w14:paraId="0D8DF372" w14:textId="77777777" w:rsidR="004C2197" w:rsidRDefault="004C2197">
            <w:pPr>
              <w:rPr>
                <w:rFonts w:ascii="宋体"/>
                <w:vanish/>
              </w:rPr>
            </w:pPr>
          </w:p>
        </w:tc>
        <w:tc>
          <w:tcPr>
            <w:tcW w:w="0" w:type="auto"/>
            <w:gridSpan w:val="3"/>
            <w:shd w:val="clear" w:color="auto" w:fill="auto"/>
          </w:tcPr>
          <w:p w14:paraId="0D8DF373" w14:textId="77777777" w:rsidR="004C2197" w:rsidRDefault="004C2197">
            <w:pPr>
              <w:rPr>
                <w:rFonts w:ascii="宋体"/>
                <w:vanish/>
              </w:rPr>
            </w:pPr>
          </w:p>
        </w:tc>
        <w:tc>
          <w:tcPr>
            <w:tcW w:w="0" w:type="auto"/>
            <w:gridSpan w:val="3"/>
            <w:shd w:val="clear" w:color="auto" w:fill="auto"/>
          </w:tcPr>
          <w:p w14:paraId="0D8DF374" w14:textId="77777777" w:rsidR="004C2197" w:rsidRDefault="004C2197">
            <w:pPr>
              <w:rPr>
                <w:rFonts w:ascii="宋体"/>
                <w:vanish/>
              </w:rPr>
            </w:pPr>
          </w:p>
        </w:tc>
        <w:tc>
          <w:tcPr>
            <w:tcW w:w="0" w:type="auto"/>
            <w:gridSpan w:val="3"/>
            <w:shd w:val="clear" w:color="auto" w:fill="auto"/>
          </w:tcPr>
          <w:p w14:paraId="0D8DF375" w14:textId="77777777" w:rsidR="004C2197" w:rsidRDefault="004C2197">
            <w:pPr>
              <w:rPr>
                <w:rFonts w:ascii="宋体"/>
                <w:vanish/>
              </w:rPr>
            </w:pPr>
          </w:p>
        </w:tc>
        <w:tc>
          <w:tcPr>
            <w:tcW w:w="0" w:type="auto"/>
            <w:gridSpan w:val="3"/>
            <w:shd w:val="clear" w:color="auto" w:fill="auto"/>
          </w:tcPr>
          <w:p w14:paraId="0D8DF376" w14:textId="77777777" w:rsidR="004C2197" w:rsidRDefault="004C2197">
            <w:pPr>
              <w:rPr>
                <w:rFonts w:ascii="宋体"/>
                <w:vanish/>
              </w:rPr>
            </w:pPr>
          </w:p>
        </w:tc>
        <w:tc>
          <w:tcPr>
            <w:tcW w:w="0" w:type="auto"/>
            <w:gridSpan w:val="3"/>
            <w:shd w:val="clear" w:color="auto" w:fill="auto"/>
          </w:tcPr>
          <w:p w14:paraId="0D8DF377" w14:textId="77777777" w:rsidR="004C2197" w:rsidRDefault="004C2197">
            <w:pPr>
              <w:rPr>
                <w:rFonts w:ascii="宋体"/>
                <w:vanish/>
              </w:rPr>
            </w:pPr>
          </w:p>
        </w:tc>
        <w:tc>
          <w:tcPr>
            <w:tcW w:w="0" w:type="auto"/>
            <w:shd w:val="clear" w:color="auto" w:fill="auto"/>
          </w:tcPr>
          <w:p w14:paraId="0D8DF378" w14:textId="77777777" w:rsidR="004C2197" w:rsidRDefault="004C2197">
            <w:pPr>
              <w:rPr>
                <w:rFonts w:ascii="宋体"/>
              </w:rPr>
            </w:pPr>
          </w:p>
        </w:tc>
        <w:tc>
          <w:tcPr>
            <w:tcW w:w="0" w:type="auto"/>
            <w:shd w:val="clear" w:color="auto" w:fill="auto"/>
          </w:tcPr>
          <w:p w14:paraId="0D8DF379" w14:textId="77777777" w:rsidR="004C2197" w:rsidRDefault="004C2197">
            <w:pPr>
              <w:rPr>
                <w:rFonts w:ascii="宋体"/>
              </w:rPr>
            </w:pPr>
          </w:p>
        </w:tc>
        <w:tc>
          <w:tcPr>
            <w:tcW w:w="0" w:type="auto"/>
            <w:shd w:val="clear" w:color="auto" w:fill="auto"/>
          </w:tcPr>
          <w:p w14:paraId="0D8DF37A" w14:textId="77777777" w:rsidR="004C2197" w:rsidRDefault="004C2197">
            <w:pPr>
              <w:rPr>
                <w:rFonts w:ascii="宋体"/>
              </w:rPr>
            </w:pPr>
          </w:p>
        </w:tc>
        <w:tc>
          <w:tcPr>
            <w:tcW w:w="0" w:type="auto"/>
            <w:shd w:val="clear" w:color="auto" w:fill="auto"/>
          </w:tcPr>
          <w:p w14:paraId="0D8DF37B" w14:textId="77777777" w:rsidR="004C2197" w:rsidRDefault="004C2197">
            <w:pPr>
              <w:rPr>
                <w:rFonts w:ascii="宋体"/>
              </w:rPr>
            </w:pPr>
          </w:p>
        </w:tc>
        <w:tc>
          <w:tcPr>
            <w:tcW w:w="0" w:type="auto"/>
            <w:shd w:val="clear" w:color="auto" w:fill="auto"/>
          </w:tcPr>
          <w:p w14:paraId="0D8DF37C" w14:textId="77777777" w:rsidR="004C2197" w:rsidRDefault="004C2197">
            <w:pPr>
              <w:rPr>
                <w:rFonts w:ascii="宋体"/>
              </w:rPr>
            </w:pPr>
          </w:p>
        </w:tc>
        <w:tc>
          <w:tcPr>
            <w:tcW w:w="0" w:type="auto"/>
            <w:shd w:val="clear" w:color="auto" w:fill="auto"/>
          </w:tcPr>
          <w:p w14:paraId="0D8DF37D" w14:textId="77777777" w:rsidR="004C2197" w:rsidRDefault="004C2197">
            <w:pPr>
              <w:rPr>
                <w:rFonts w:ascii="宋体"/>
              </w:rPr>
            </w:pPr>
          </w:p>
        </w:tc>
        <w:tc>
          <w:tcPr>
            <w:tcW w:w="0" w:type="auto"/>
            <w:shd w:val="clear" w:color="auto" w:fill="auto"/>
          </w:tcPr>
          <w:p w14:paraId="0D8DF37E" w14:textId="77777777" w:rsidR="004C2197" w:rsidRDefault="004C2197">
            <w:pPr>
              <w:rPr>
                <w:rFonts w:ascii="宋体"/>
              </w:rPr>
            </w:pPr>
          </w:p>
        </w:tc>
        <w:tc>
          <w:tcPr>
            <w:tcW w:w="0" w:type="auto"/>
            <w:shd w:val="clear" w:color="auto" w:fill="auto"/>
          </w:tcPr>
          <w:p w14:paraId="0D8DF37F" w14:textId="77777777" w:rsidR="004C2197" w:rsidRDefault="004C2197">
            <w:pPr>
              <w:rPr>
                <w:rFonts w:ascii="宋体"/>
              </w:rPr>
            </w:pPr>
          </w:p>
        </w:tc>
        <w:tc>
          <w:tcPr>
            <w:tcW w:w="0" w:type="auto"/>
            <w:shd w:val="clear" w:color="auto" w:fill="auto"/>
          </w:tcPr>
          <w:p w14:paraId="0D8DF380" w14:textId="77777777" w:rsidR="004C2197" w:rsidRDefault="004C2197">
            <w:pPr>
              <w:rPr>
                <w:rFonts w:ascii="宋体"/>
              </w:rPr>
            </w:pPr>
          </w:p>
        </w:tc>
        <w:tc>
          <w:tcPr>
            <w:tcW w:w="0" w:type="auto"/>
            <w:shd w:val="clear" w:color="auto" w:fill="auto"/>
          </w:tcPr>
          <w:p w14:paraId="0D8DF381" w14:textId="77777777" w:rsidR="004C2197" w:rsidRDefault="004C2197">
            <w:pPr>
              <w:rPr>
                <w:rFonts w:ascii="宋体"/>
              </w:rPr>
            </w:pPr>
          </w:p>
        </w:tc>
        <w:tc>
          <w:tcPr>
            <w:tcW w:w="0" w:type="auto"/>
            <w:shd w:val="clear" w:color="auto" w:fill="auto"/>
          </w:tcPr>
          <w:p w14:paraId="0D8DF382" w14:textId="77777777" w:rsidR="004C2197" w:rsidRDefault="004C2197">
            <w:pPr>
              <w:rPr>
                <w:rFonts w:ascii="宋体"/>
              </w:rPr>
            </w:pPr>
          </w:p>
        </w:tc>
        <w:tc>
          <w:tcPr>
            <w:tcW w:w="0" w:type="auto"/>
            <w:shd w:val="clear" w:color="auto" w:fill="auto"/>
          </w:tcPr>
          <w:p w14:paraId="0D8DF383" w14:textId="77777777" w:rsidR="004C2197" w:rsidRDefault="004C2197">
            <w:pPr>
              <w:rPr>
                <w:rFonts w:ascii="宋体"/>
              </w:rPr>
            </w:pPr>
          </w:p>
        </w:tc>
        <w:tc>
          <w:tcPr>
            <w:tcW w:w="0" w:type="auto"/>
            <w:shd w:val="clear" w:color="auto" w:fill="auto"/>
          </w:tcPr>
          <w:p w14:paraId="0D8DF384" w14:textId="77777777" w:rsidR="004C2197" w:rsidRDefault="004C2197">
            <w:pPr>
              <w:rPr>
                <w:rFonts w:ascii="宋体"/>
              </w:rPr>
            </w:pPr>
          </w:p>
        </w:tc>
        <w:tc>
          <w:tcPr>
            <w:tcW w:w="0" w:type="auto"/>
            <w:shd w:val="clear" w:color="auto" w:fill="auto"/>
          </w:tcPr>
          <w:p w14:paraId="0D8DF385" w14:textId="77777777" w:rsidR="004C2197" w:rsidRDefault="004C2197">
            <w:pPr>
              <w:rPr>
                <w:rFonts w:ascii="宋体"/>
              </w:rPr>
            </w:pPr>
          </w:p>
        </w:tc>
        <w:tc>
          <w:tcPr>
            <w:tcW w:w="0" w:type="auto"/>
            <w:shd w:val="clear" w:color="auto" w:fill="auto"/>
          </w:tcPr>
          <w:p w14:paraId="0D8DF386" w14:textId="77777777" w:rsidR="004C2197" w:rsidRDefault="004C2197">
            <w:pPr>
              <w:rPr>
                <w:rFonts w:ascii="宋体"/>
              </w:rPr>
            </w:pPr>
          </w:p>
        </w:tc>
        <w:tc>
          <w:tcPr>
            <w:tcW w:w="0" w:type="auto"/>
            <w:shd w:val="clear" w:color="auto" w:fill="auto"/>
          </w:tcPr>
          <w:p w14:paraId="0D8DF387" w14:textId="77777777" w:rsidR="004C2197" w:rsidRDefault="004C2197">
            <w:pPr>
              <w:rPr>
                <w:rFonts w:ascii="宋体"/>
              </w:rPr>
            </w:pPr>
          </w:p>
        </w:tc>
        <w:tc>
          <w:tcPr>
            <w:tcW w:w="0" w:type="auto"/>
            <w:shd w:val="clear" w:color="auto" w:fill="auto"/>
          </w:tcPr>
          <w:p w14:paraId="0D8DF388" w14:textId="77777777" w:rsidR="004C2197" w:rsidRDefault="004C2197">
            <w:pPr>
              <w:rPr>
                <w:rFonts w:ascii="宋体"/>
              </w:rPr>
            </w:pPr>
          </w:p>
        </w:tc>
        <w:tc>
          <w:tcPr>
            <w:tcW w:w="0" w:type="auto"/>
            <w:shd w:val="clear" w:color="auto" w:fill="auto"/>
          </w:tcPr>
          <w:p w14:paraId="0D8DF389" w14:textId="77777777" w:rsidR="004C2197" w:rsidRDefault="004C2197">
            <w:pPr>
              <w:rPr>
                <w:rFonts w:ascii="宋体"/>
              </w:rPr>
            </w:pPr>
          </w:p>
        </w:tc>
        <w:tc>
          <w:tcPr>
            <w:tcW w:w="0" w:type="auto"/>
            <w:shd w:val="clear" w:color="auto" w:fill="auto"/>
          </w:tcPr>
          <w:p w14:paraId="0D8DF38A" w14:textId="77777777" w:rsidR="004C2197" w:rsidRDefault="004C2197">
            <w:pPr>
              <w:rPr>
                <w:rFonts w:ascii="宋体"/>
              </w:rPr>
            </w:pPr>
          </w:p>
        </w:tc>
        <w:tc>
          <w:tcPr>
            <w:tcW w:w="0" w:type="auto"/>
            <w:shd w:val="clear" w:color="auto" w:fill="auto"/>
          </w:tcPr>
          <w:p w14:paraId="0D8DF38B" w14:textId="77777777" w:rsidR="004C2197" w:rsidRDefault="004C2197">
            <w:pPr>
              <w:rPr>
                <w:rFonts w:ascii="宋体"/>
              </w:rPr>
            </w:pPr>
          </w:p>
        </w:tc>
        <w:tc>
          <w:tcPr>
            <w:tcW w:w="0" w:type="auto"/>
            <w:shd w:val="clear" w:color="auto" w:fill="auto"/>
          </w:tcPr>
          <w:p w14:paraId="0D8DF38C" w14:textId="77777777" w:rsidR="004C2197" w:rsidRDefault="004C2197">
            <w:pPr>
              <w:rPr>
                <w:rFonts w:ascii="宋体"/>
              </w:rPr>
            </w:pPr>
          </w:p>
        </w:tc>
        <w:tc>
          <w:tcPr>
            <w:tcW w:w="0" w:type="auto"/>
            <w:shd w:val="clear" w:color="auto" w:fill="auto"/>
          </w:tcPr>
          <w:p w14:paraId="0D8DF38D" w14:textId="77777777" w:rsidR="004C2197" w:rsidRDefault="004C2197">
            <w:pPr>
              <w:rPr>
                <w:rFonts w:ascii="宋体"/>
              </w:rPr>
            </w:pPr>
          </w:p>
        </w:tc>
        <w:tc>
          <w:tcPr>
            <w:tcW w:w="0" w:type="auto"/>
            <w:shd w:val="clear" w:color="auto" w:fill="auto"/>
          </w:tcPr>
          <w:p w14:paraId="0D8DF38E" w14:textId="77777777" w:rsidR="004C2197" w:rsidRDefault="004C2197">
            <w:pPr>
              <w:rPr>
                <w:rFonts w:ascii="宋体"/>
              </w:rPr>
            </w:pPr>
          </w:p>
        </w:tc>
        <w:tc>
          <w:tcPr>
            <w:tcW w:w="0" w:type="auto"/>
            <w:shd w:val="clear" w:color="auto" w:fill="auto"/>
          </w:tcPr>
          <w:p w14:paraId="0D8DF38F" w14:textId="77777777" w:rsidR="004C2197" w:rsidRDefault="004C2197">
            <w:pPr>
              <w:rPr>
                <w:rFonts w:ascii="宋体"/>
              </w:rPr>
            </w:pPr>
          </w:p>
        </w:tc>
        <w:tc>
          <w:tcPr>
            <w:tcW w:w="0" w:type="auto"/>
            <w:shd w:val="clear" w:color="auto" w:fill="auto"/>
          </w:tcPr>
          <w:p w14:paraId="0D8DF390" w14:textId="77777777" w:rsidR="004C2197" w:rsidRDefault="004C2197">
            <w:pPr>
              <w:rPr>
                <w:rFonts w:ascii="宋体"/>
              </w:rPr>
            </w:pPr>
          </w:p>
        </w:tc>
        <w:tc>
          <w:tcPr>
            <w:tcW w:w="0" w:type="auto"/>
            <w:shd w:val="clear" w:color="auto" w:fill="auto"/>
          </w:tcPr>
          <w:p w14:paraId="0D8DF391" w14:textId="77777777" w:rsidR="004C2197" w:rsidRDefault="004C2197">
            <w:pPr>
              <w:rPr>
                <w:rFonts w:ascii="宋体"/>
              </w:rPr>
            </w:pPr>
          </w:p>
        </w:tc>
        <w:tc>
          <w:tcPr>
            <w:tcW w:w="0" w:type="auto"/>
            <w:shd w:val="clear" w:color="auto" w:fill="auto"/>
          </w:tcPr>
          <w:p w14:paraId="0D8DF392" w14:textId="77777777" w:rsidR="004C2197" w:rsidRDefault="004C2197">
            <w:pPr>
              <w:rPr>
                <w:rFonts w:ascii="宋体"/>
              </w:rPr>
            </w:pPr>
          </w:p>
        </w:tc>
      </w:tr>
      <w:tr w:rsidR="004C2197" w14:paraId="0D8DF3C7" w14:textId="77777777">
        <w:tc>
          <w:tcPr>
            <w:tcW w:w="0" w:type="auto"/>
            <w:gridSpan w:val="3"/>
            <w:shd w:val="clear" w:color="auto" w:fill="E2EFD9"/>
            <w:tcMar>
              <w:top w:w="40" w:type="dxa"/>
              <w:left w:w="20" w:type="dxa"/>
              <w:bottom w:w="40" w:type="dxa"/>
              <w:right w:w="20" w:type="dxa"/>
            </w:tcMar>
            <w:vAlign w:val="bottom"/>
          </w:tcPr>
          <w:p w14:paraId="0D8DF394"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95"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96" w14:textId="77777777" w:rsidR="004C2197" w:rsidRDefault="00863B83">
            <w:pPr>
              <w:jc w:val="right"/>
              <w:textAlignment w:val="bottom"/>
            </w:pPr>
            <w:r>
              <w:rPr>
                <w:rFonts w:ascii="sans-serif" w:eastAsia="sans-serif" w:hAnsi="sans-serif" w:cs="sans-serif"/>
                <w:color w:val="000000"/>
                <w:sz w:val="20"/>
                <w:szCs w:val="20"/>
              </w:rPr>
              <w:t>10,753 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9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398"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9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9A" w14:textId="77777777" w:rsidR="004C2197" w:rsidRDefault="00863B83">
            <w:pPr>
              <w:jc w:val="right"/>
              <w:textAlignment w:val="bottom"/>
            </w:pPr>
            <w:r>
              <w:rPr>
                <w:rFonts w:ascii="sans-serif" w:eastAsia="sans-serif" w:hAnsi="sans-serif" w:cs="sans-serif"/>
                <w:color w:val="000000"/>
                <w:sz w:val="20"/>
                <w:szCs w:val="20"/>
              </w:rPr>
              <w:t>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9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39C"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9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9E" w14:textId="77777777" w:rsidR="004C2197" w:rsidRDefault="00863B83">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9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3A0"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A1"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A2" w14:textId="77777777" w:rsidR="004C2197" w:rsidRDefault="00863B83">
            <w:pPr>
              <w:jc w:val="right"/>
              <w:textAlignment w:val="bottom"/>
            </w:pPr>
            <w:r>
              <w:rPr>
                <w:rFonts w:ascii="sans-serif" w:eastAsia="sans-serif" w:hAnsi="sans-serif" w:cs="sans-serif"/>
                <w:color w:val="000000"/>
                <w:sz w:val="20"/>
                <w:szCs w:val="20"/>
              </w:rPr>
              <w:t>10,757 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A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3A4"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A5"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A6" w14:textId="77777777" w:rsidR="004C2197" w:rsidRDefault="00863B83">
            <w:pPr>
              <w:jc w:val="right"/>
              <w:textAlignment w:val="bottom"/>
            </w:pPr>
            <w:r>
              <w:rPr>
                <w:rFonts w:ascii="sans-serif" w:eastAsia="sans-serif" w:hAnsi="sans-serif" w:cs="sans-serif"/>
                <w:color w:val="000000"/>
                <w:sz w:val="20"/>
                <w:szCs w:val="20"/>
              </w:rPr>
              <w:t>3,050 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A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3A8"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3A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3AA" w14:textId="77777777" w:rsidR="004C2197" w:rsidRDefault="00863B83">
            <w:pPr>
              <w:jc w:val="right"/>
              <w:textAlignment w:val="bottom"/>
            </w:pPr>
            <w:r>
              <w:rPr>
                <w:rFonts w:ascii="sans-serif" w:eastAsia="sans-serif" w:hAnsi="sans-serif" w:cs="sans-serif"/>
                <w:color w:val="000000"/>
                <w:sz w:val="20"/>
                <w:szCs w:val="20"/>
              </w:rPr>
              <w:t>7,707 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3AB" w14:textId="77777777" w:rsidR="004C2197" w:rsidRDefault="004C2197">
            <w:pPr>
              <w:jc w:val="right"/>
              <w:rPr>
                <w:rFonts w:ascii="宋体"/>
              </w:rPr>
            </w:pPr>
          </w:p>
        </w:tc>
        <w:tc>
          <w:tcPr>
            <w:tcW w:w="0" w:type="auto"/>
            <w:shd w:val="clear" w:color="auto" w:fill="auto"/>
          </w:tcPr>
          <w:p w14:paraId="0D8DF3AC" w14:textId="77777777" w:rsidR="004C2197" w:rsidRDefault="004C2197">
            <w:pPr>
              <w:rPr>
                <w:rFonts w:ascii="宋体"/>
              </w:rPr>
            </w:pPr>
          </w:p>
        </w:tc>
        <w:tc>
          <w:tcPr>
            <w:tcW w:w="0" w:type="auto"/>
            <w:shd w:val="clear" w:color="auto" w:fill="auto"/>
          </w:tcPr>
          <w:p w14:paraId="0D8DF3AD" w14:textId="77777777" w:rsidR="004C2197" w:rsidRDefault="004C2197">
            <w:pPr>
              <w:rPr>
                <w:rFonts w:ascii="宋体"/>
              </w:rPr>
            </w:pPr>
          </w:p>
        </w:tc>
        <w:tc>
          <w:tcPr>
            <w:tcW w:w="0" w:type="auto"/>
            <w:shd w:val="clear" w:color="auto" w:fill="auto"/>
          </w:tcPr>
          <w:p w14:paraId="0D8DF3AE" w14:textId="77777777" w:rsidR="004C2197" w:rsidRDefault="004C2197">
            <w:pPr>
              <w:rPr>
                <w:rFonts w:ascii="宋体"/>
              </w:rPr>
            </w:pPr>
          </w:p>
        </w:tc>
        <w:tc>
          <w:tcPr>
            <w:tcW w:w="0" w:type="auto"/>
            <w:shd w:val="clear" w:color="auto" w:fill="auto"/>
          </w:tcPr>
          <w:p w14:paraId="0D8DF3AF" w14:textId="77777777" w:rsidR="004C2197" w:rsidRDefault="004C2197">
            <w:pPr>
              <w:rPr>
                <w:rFonts w:ascii="宋体"/>
              </w:rPr>
            </w:pPr>
          </w:p>
        </w:tc>
        <w:tc>
          <w:tcPr>
            <w:tcW w:w="0" w:type="auto"/>
            <w:shd w:val="clear" w:color="auto" w:fill="auto"/>
          </w:tcPr>
          <w:p w14:paraId="0D8DF3B0" w14:textId="77777777" w:rsidR="004C2197" w:rsidRDefault="004C2197">
            <w:pPr>
              <w:rPr>
                <w:rFonts w:ascii="宋体"/>
              </w:rPr>
            </w:pPr>
          </w:p>
        </w:tc>
        <w:tc>
          <w:tcPr>
            <w:tcW w:w="0" w:type="auto"/>
            <w:shd w:val="clear" w:color="auto" w:fill="auto"/>
          </w:tcPr>
          <w:p w14:paraId="0D8DF3B1" w14:textId="77777777" w:rsidR="004C2197" w:rsidRDefault="004C2197">
            <w:pPr>
              <w:rPr>
                <w:rFonts w:ascii="宋体"/>
              </w:rPr>
            </w:pPr>
          </w:p>
        </w:tc>
        <w:tc>
          <w:tcPr>
            <w:tcW w:w="0" w:type="auto"/>
            <w:shd w:val="clear" w:color="auto" w:fill="auto"/>
          </w:tcPr>
          <w:p w14:paraId="0D8DF3B2" w14:textId="77777777" w:rsidR="004C2197" w:rsidRDefault="004C2197">
            <w:pPr>
              <w:rPr>
                <w:rFonts w:ascii="宋体"/>
              </w:rPr>
            </w:pPr>
          </w:p>
        </w:tc>
        <w:tc>
          <w:tcPr>
            <w:tcW w:w="0" w:type="auto"/>
            <w:shd w:val="clear" w:color="auto" w:fill="auto"/>
          </w:tcPr>
          <w:p w14:paraId="0D8DF3B3" w14:textId="77777777" w:rsidR="004C2197" w:rsidRDefault="004C2197">
            <w:pPr>
              <w:rPr>
                <w:rFonts w:ascii="宋体"/>
              </w:rPr>
            </w:pPr>
          </w:p>
        </w:tc>
        <w:tc>
          <w:tcPr>
            <w:tcW w:w="0" w:type="auto"/>
            <w:shd w:val="clear" w:color="auto" w:fill="auto"/>
          </w:tcPr>
          <w:p w14:paraId="0D8DF3B4" w14:textId="77777777" w:rsidR="004C2197" w:rsidRDefault="004C2197">
            <w:pPr>
              <w:rPr>
                <w:rFonts w:ascii="宋体"/>
              </w:rPr>
            </w:pPr>
          </w:p>
        </w:tc>
        <w:tc>
          <w:tcPr>
            <w:tcW w:w="0" w:type="auto"/>
            <w:shd w:val="clear" w:color="auto" w:fill="auto"/>
          </w:tcPr>
          <w:p w14:paraId="0D8DF3B5" w14:textId="77777777" w:rsidR="004C2197" w:rsidRDefault="004C2197">
            <w:pPr>
              <w:rPr>
                <w:rFonts w:ascii="宋体"/>
              </w:rPr>
            </w:pPr>
          </w:p>
        </w:tc>
        <w:tc>
          <w:tcPr>
            <w:tcW w:w="0" w:type="auto"/>
            <w:shd w:val="clear" w:color="auto" w:fill="auto"/>
          </w:tcPr>
          <w:p w14:paraId="0D8DF3B6" w14:textId="77777777" w:rsidR="004C2197" w:rsidRDefault="004C2197">
            <w:pPr>
              <w:rPr>
                <w:rFonts w:ascii="宋体"/>
              </w:rPr>
            </w:pPr>
          </w:p>
        </w:tc>
        <w:tc>
          <w:tcPr>
            <w:tcW w:w="0" w:type="auto"/>
            <w:shd w:val="clear" w:color="auto" w:fill="auto"/>
          </w:tcPr>
          <w:p w14:paraId="0D8DF3B7" w14:textId="77777777" w:rsidR="004C2197" w:rsidRDefault="004C2197">
            <w:pPr>
              <w:rPr>
                <w:rFonts w:ascii="宋体"/>
              </w:rPr>
            </w:pPr>
          </w:p>
        </w:tc>
        <w:tc>
          <w:tcPr>
            <w:tcW w:w="0" w:type="auto"/>
            <w:shd w:val="clear" w:color="auto" w:fill="auto"/>
          </w:tcPr>
          <w:p w14:paraId="0D8DF3B8" w14:textId="77777777" w:rsidR="004C2197" w:rsidRDefault="004C2197">
            <w:pPr>
              <w:rPr>
                <w:rFonts w:ascii="宋体"/>
              </w:rPr>
            </w:pPr>
          </w:p>
        </w:tc>
        <w:tc>
          <w:tcPr>
            <w:tcW w:w="0" w:type="auto"/>
            <w:shd w:val="clear" w:color="auto" w:fill="auto"/>
          </w:tcPr>
          <w:p w14:paraId="0D8DF3B9" w14:textId="77777777" w:rsidR="004C2197" w:rsidRDefault="004C2197">
            <w:pPr>
              <w:rPr>
                <w:rFonts w:ascii="宋体"/>
              </w:rPr>
            </w:pPr>
          </w:p>
        </w:tc>
        <w:tc>
          <w:tcPr>
            <w:tcW w:w="0" w:type="auto"/>
            <w:shd w:val="clear" w:color="auto" w:fill="auto"/>
          </w:tcPr>
          <w:p w14:paraId="0D8DF3BA" w14:textId="77777777" w:rsidR="004C2197" w:rsidRDefault="004C2197">
            <w:pPr>
              <w:rPr>
                <w:rFonts w:ascii="宋体"/>
              </w:rPr>
            </w:pPr>
          </w:p>
        </w:tc>
        <w:tc>
          <w:tcPr>
            <w:tcW w:w="0" w:type="auto"/>
            <w:shd w:val="clear" w:color="auto" w:fill="auto"/>
          </w:tcPr>
          <w:p w14:paraId="0D8DF3BB" w14:textId="77777777" w:rsidR="004C2197" w:rsidRDefault="004C2197">
            <w:pPr>
              <w:rPr>
                <w:rFonts w:ascii="宋体"/>
              </w:rPr>
            </w:pPr>
          </w:p>
        </w:tc>
        <w:tc>
          <w:tcPr>
            <w:tcW w:w="0" w:type="auto"/>
            <w:shd w:val="clear" w:color="auto" w:fill="auto"/>
          </w:tcPr>
          <w:p w14:paraId="0D8DF3BC" w14:textId="77777777" w:rsidR="004C2197" w:rsidRDefault="004C2197">
            <w:pPr>
              <w:rPr>
                <w:rFonts w:ascii="宋体"/>
              </w:rPr>
            </w:pPr>
          </w:p>
        </w:tc>
        <w:tc>
          <w:tcPr>
            <w:tcW w:w="0" w:type="auto"/>
            <w:shd w:val="clear" w:color="auto" w:fill="auto"/>
          </w:tcPr>
          <w:p w14:paraId="0D8DF3BD" w14:textId="77777777" w:rsidR="004C2197" w:rsidRDefault="004C2197">
            <w:pPr>
              <w:rPr>
                <w:rFonts w:ascii="宋体"/>
              </w:rPr>
            </w:pPr>
          </w:p>
        </w:tc>
        <w:tc>
          <w:tcPr>
            <w:tcW w:w="0" w:type="auto"/>
            <w:shd w:val="clear" w:color="auto" w:fill="auto"/>
          </w:tcPr>
          <w:p w14:paraId="0D8DF3BE" w14:textId="77777777" w:rsidR="004C2197" w:rsidRDefault="004C2197">
            <w:pPr>
              <w:rPr>
                <w:rFonts w:ascii="宋体"/>
              </w:rPr>
            </w:pPr>
          </w:p>
        </w:tc>
        <w:tc>
          <w:tcPr>
            <w:tcW w:w="0" w:type="auto"/>
            <w:shd w:val="clear" w:color="auto" w:fill="auto"/>
          </w:tcPr>
          <w:p w14:paraId="0D8DF3BF" w14:textId="77777777" w:rsidR="004C2197" w:rsidRDefault="004C2197">
            <w:pPr>
              <w:rPr>
                <w:rFonts w:ascii="宋体"/>
              </w:rPr>
            </w:pPr>
          </w:p>
        </w:tc>
        <w:tc>
          <w:tcPr>
            <w:tcW w:w="0" w:type="auto"/>
            <w:shd w:val="clear" w:color="auto" w:fill="auto"/>
          </w:tcPr>
          <w:p w14:paraId="0D8DF3C0" w14:textId="77777777" w:rsidR="004C2197" w:rsidRDefault="004C2197">
            <w:pPr>
              <w:rPr>
                <w:rFonts w:ascii="宋体"/>
              </w:rPr>
            </w:pPr>
          </w:p>
        </w:tc>
        <w:tc>
          <w:tcPr>
            <w:tcW w:w="0" w:type="auto"/>
            <w:shd w:val="clear" w:color="auto" w:fill="auto"/>
          </w:tcPr>
          <w:p w14:paraId="0D8DF3C1" w14:textId="77777777" w:rsidR="004C2197" w:rsidRDefault="004C2197">
            <w:pPr>
              <w:rPr>
                <w:rFonts w:ascii="宋体"/>
              </w:rPr>
            </w:pPr>
          </w:p>
        </w:tc>
        <w:tc>
          <w:tcPr>
            <w:tcW w:w="0" w:type="auto"/>
            <w:shd w:val="clear" w:color="auto" w:fill="auto"/>
          </w:tcPr>
          <w:p w14:paraId="0D8DF3C2" w14:textId="77777777" w:rsidR="004C2197" w:rsidRDefault="004C2197">
            <w:pPr>
              <w:rPr>
                <w:rFonts w:ascii="宋体"/>
              </w:rPr>
            </w:pPr>
          </w:p>
        </w:tc>
        <w:tc>
          <w:tcPr>
            <w:tcW w:w="0" w:type="auto"/>
            <w:shd w:val="clear" w:color="auto" w:fill="auto"/>
          </w:tcPr>
          <w:p w14:paraId="0D8DF3C3" w14:textId="77777777" w:rsidR="004C2197" w:rsidRDefault="004C2197">
            <w:pPr>
              <w:rPr>
                <w:rFonts w:ascii="宋体"/>
              </w:rPr>
            </w:pPr>
          </w:p>
        </w:tc>
        <w:tc>
          <w:tcPr>
            <w:tcW w:w="0" w:type="auto"/>
            <w:shd w:val="clear" w:color="auto" w:fill="auto"/>
          </w:tcPr>
          <w:p w14:paraId="0D8DF3C4" w14:textId="77777777" w:rsidR="004C2197" w:rsidRDefault="004C2197">
            <w:pPr>
              <w:rPr>
                <w:rFonts w:ascii="宋体"/>
              </w:rPr>
            </w:pPr>
          </w:p>
        </w:tc>
        <w:tc>
          <w:tcPr>
            <w:tcW w:w="0" w:type="auto"/>
            <w:shd w:val="clear" w:color="auto" w:fill="auto"/>
          </w:tcPr>
          <w:p w14:paraId="0D8DF3C5" w14:textId="77777777" w:rsidR="004C2197" w:rsidRDefault="004C2197">
            <w:pPr>
              <w:rPr>
                <w:rFonts w:ascii="宋体"/>
              </w:rPr>
            </w:pPr>
          </w:p>
        </w:tc>
        <w:tc>
          <w:tcPr>
            <w:tcW w:w="0" w:type="auto"/>
            <w:shd w:val="clear" w:color="auto" w:fill="auto"/>
          </w:tcPr>
          <w:p w14:paraId="0D8DF3C6" w14:textId="77777777" w:rsidR="004C2197" w:rsidRDefault="004C2197">
            <w:pPr>
              <w:rPr>
                <w:rFonts w:ascii="宋体"/>
              </w:rPr>
            </w:pPr>
          </w:p>
        </w:tc>
      </w:tr>
    </w:tbl>
    <w:p w14:paraId="0D8DF3C8" w14:textId="77777777" w:rsidR="004C2197" w:rsidRDefault="004C2197">
      <w:pPr>
        <w:spacing w:after="300"/>
        <w:jc w:val="both"/>
      </w:pPr>
    </w:p>
    <w:tbl>
      <w:tblPr>
        <w:tblW w:w="4971" w:type="pct"/>
        <w:tblCellMar>
          <w:top w:w="15" w:type="dxa"/>
          <w:left w:w="15" w:type="dxa"/>
          <w:bottom w:w="15" w:type="dxa"/>
          <w:right w:w="15" w:type="dxa"/>
        </w:tblCellMar>
        <w:tblLook w:val="04A0" w:firstRow="1" w:lastRow="0" w:firstColumn="1" w:lastColumn="0" w:noHBand="0" w:noVBand="1"/>
      </w:tblPr>
      <w:tblGrid>
        <w:gridCol w:w="40"/>
        <w:gridCol w:w="894"/>
        <w:gridCol w:w="36"/>
        <w:gridCol w:w="120"/>
        <w:gridCol w:w="676"/>
        <w:gridCol w:w="39"/>
        <w:gridCol w:w="37"/>
        <w:gridCol w:w="35"/>
        <w:gridCol w:w="35"/>
        <w:gridCol w:w="121"/>
        <w:gridCol w:w="698"/>
        <w:gridCol w:w="40"/>
        <w:gridCol w:w="37"/>
        <w:gridCol w:w="35"/>
        <w:gridCol w:w="35"/>
        <w:gridCol w:w="121"/>
        <w:gridCol w:w="696"/>
        <w:gridCol w:w="40"/>
        <w:gridCol w:w="37"/>
        <w:gridCol w:w="35"/>
        <w:gridCol w:w="35"/>
        <w:gridCol w:w="121"/>
        <w:gridCol w:w="652"/>
        <w:gridCol w:w="40"/>
        <w:gridCol w:w="37"/>
        <w:gridCol w:w="35"/>
        <w:gridCol w:w="35"/>
        <w:gridCol w:w="120"/>
        <w:gridCol w:w="513"/>
        <w:gridCol w:w="40"/>
        <w:gridCol w:w="37"/>
        <w:gridCol w:w="35"/>
        <w:gridCol w:w="35"/>
        <w:gridCol w:w="120"/>
        <w:gridCol w:w="205"/>
        <w:gridCol w:w="40"/>
        <w:gridCol w:w="37"/>
        <w:gridCol w:w="35"/>
        <w:gridCol w:w="35"/>
        <w:gridCol w:w="282"/>
        <w:gridCol w:w="280"/>
        <w:gridCol w:w="280"/>
        <w:gridCol w:w="37"/>
        <w:gridCol w:w="35"/>
        <w:gridCol w:w="35"/>
        <w:gridCol w:w="284"/>
        <w:gridCol w:w="282"/>
        <w:gridCol w:w="282"/>
        <w:gridCol w:w="35"/>
        <w:gridCol w:w="35"/>
        <w:gridCol w:w="35"/>
        <w:gridCol w:w="35"/>
        <w:gridCol w:w="35"/>
        <w:gridCol w:w="35"/>
        <w:gridCol w:w="35"/>
        <w:gridCol w:w="35"/>
        <w:gridCol w:w="35"/>
        <w:gridCol w:w="35"/>
        <w:gridCol w:w="35"/>
        <w:gridCol w:w="35"/>
        <w:gridCol w:w="35"/>
        <w:gridCol w:w="35"/>
        <w:gridCol w:w="35"/>
      </w:tblGrid>
      <w:tr w:rsidR="004C2197" w14:paraId="0D8DF3ED" w14:textId="77777777">
        <w:trPr>
          <w:gridAfter w:val="27"/>
        </w:trPr>
        <w:tc>
          <w:tcPr>
            <w:tcW w:w="50" w:type="pct"/>
            <w:shd w:val="clear" w:color="auto" w:fill="auto"/>
          </w:tcPr>
          <w:p w14:paraId="0D8DF3C9" w14:textId="77777777" w:rsidR="004C2197" w:rsidRDefault="004C2197">
            <w:pPr>
              <w:rPr>
                <w:rFonts w:ascii="宋体"/>
              </w:rPr>
            </w:pPr>
          </w:p>
        </w:tc>
        <w:tc>
          <w:tcPr>
            <w:tcW w:w="1481" w:type="pct"/>
            <w:shd w:val="clear" w:color="auto" w:fill="auto"/>
          </w:tcPr>
          <w:p w14:paraId="0D8DF3CA" w14:textId="77777777" w:rsidR="004C2197" w:rsidRDefault="004C2197">
            <w:pPr>
              <w:rPr>
                <w:rFonts w:ascii="宋体"/>
              </w:rPr>
            </w:pPr>
          </w:p>
        </w:tc>
        <w:tc>
          <w:tcPr>
            <w:tcW w:w="5" w:type="pct"/>
            <w:shd w:val="clear" w:color="auto" w:fill="auto"/>
          </w:tcPr>
          <w:p w14:paraId="0D8DF3CB" w14:textId="77777777" w:rsidR="004C2197" w:rsidRDefault="004C2197">
            <w:pPr>
              <w:rPr>
                <w:rFonts w:ascii="宋体"/>
              </w:rPr>
            </w:pPr>
          </w:p>
        </w:tc>
        <w:tc>
          <w:tcPr>
            <w:tcW w:w="50" w:type="pct"/>
            <w:shd w:val="clear" w:color="auto" w:fill="auto"/>
          </w:tcPr>
          <w:p w14:paraId="0D8DF3CC" w14:textId="77777777" w:rsidR="004C2197" w:rsidRDefault="004C2197">
            <w:pPr>
              <w:rPr>
                <w:rFonts w:ascii="宋体"/>
              </w:rPr>
            </w:pPr>
          </w:p>
        </w:tc>
        <w:tc>
          <w:tcPr>
            <w:tcW w:w="481" w:type="pct"/>
            <w:shd w:val="clear" w:color="auto" w:fill="auto"/>
          </w:tcPr>
          <w:p w14:paraId="0D8DF3CD" w14:textId="77777777" w:rsidR="004C2197" w:rsidRDefault="004C2197">
            <w:pPr>
              <w:rPr>
                <w:rFonts w:ascii="宋体"/>
              </w:rPr>
            </w:pPr>
          </w:p>
        </w:tc>
        <w:tc>
          <w:tcPr>
            <w:tcW w:w="5" w:type="pct"/>
            <w:shd w:val="clear" w:color="auto" w:fill="auto"/>
          </w:tcPr>
          <w:p w14:paraId="0D8DF3CE" w14:textId="77777777" w:rsidR="004C2197" w:rsidRDefault="004C2197">
            <w:pPr>
              <w:rPr>
                <w:rFonts w:ascii="宋体"/>
              </w:rPr>
            </w:pPr>
          </w:p>
        </w:tc>
        <w:tc>
          <w:tcPr>
            <w:tcW w:w="5" w:type="pct"/>
            <w:shd w:val="clear" w:color="auto" w:fill="auto"/>
          </w:tcPr>
          <w:p w14:paraId="0D8DF3CF" w14:textId="77777777" w:rsidR="004C2197" w:rsidRDefault="004C2197">
            <w:pPr>
              <w:rPr>
                <w:rFonts w:ascii="宋体"/>
              </w:rPr>
            </w:pPr>
          </w:p>
        </w:tc>
        <w:tc>
          <w:tcPr>
            <w:tcW w:w="26" w:type="pct"/>
            <w:shd w:val="clear" w:color="auto" w:fill="auto"/>
          </w:tcPr>
          <w:p w14:paraId="0D8DF3D0" w14:textId="77777777" w:rsidR="004C2197" w:rsidRDefault="004C2197">
            <w:pPr>
              <w:rPr>
                <w:rFonts w:ascii="宋体"/>
              </w:rPr>
            </w:pPr>
          </w:p>
        </w:tc>
        <w:tc>
          <w:tcPr>
            <w:tcW w:w="5" w:type="pct"/>
            <w:shd w:val="clear" w:color="auto" w:fill="auto"/>
          </w:tcPr>
          <w:p w14:paraId="0D8DF3D1" w14:textId="77777777" w:rsidR="004C2197" w:rsidRDefault="004C2197">
            <w:pPr>
              <w:rPr>
                <w:rFonts w:ascii="宋体"/>
              </w:rPr>
            </w:pPr>
          </w:p>
        </w:tc>
        <w:tc>
          <w:tcPr>
            <w:tcW w:w="50" w:type="pct"/>
            <w:shd w:val="clear" w:color="auto" w:fill="auto"/>
          </w:tcPr>
          <w:p w14:paraId="0D8DF3D2" w14:textId="77777777" w:rsidR="004C2197" w:rsidRDefault="004C2197">
            <w:pPr>
              <w:rPr>
                <w:rFonts w:ascii="宋体"/>
              </w:rPr>
            </w:pPr>
          </w:p>
        </w:tc>
        <w:tc>
          <w:tcPr>
            <w:tcW w:w="496" w:type="pct"/>
            <w:shd w:val="clear" w:color="auto" w:fill="auto"/>
          </w:tcPr>
          <w:p w14:paraId="0D8DF3D3" w14:textId="77777777" w:rsidR="004C2197" w:rsidRDefault="004C2197">
            <w:pPr>
              <w:rPr>
                <w:rFonts w:ascii="宋体"/>
              </w:rPr>
            </w:pPr>
          </w:p>
        </w:tc>
        <w:tc>
          <w:tcPr>
            <w:tcW w:w="5" w:type="pct"/>
            <w:shd w:val="clear" w:color="auto" w:fill="auto"/>
          </w:tcPr>
          <w:p w14:paraId="0D8DF3D4" w14:textId="77777777" w:rsidR="004C2197" w:rsidRDefault="004C2197">
            <w:pPr>
              <w:rPr>
                <w:rFonts w:ascii="宋体"/>
              </w:rPr>
            </w:pPr>
          </w:p>
        </w:tc>
        <w:tc>
          <w:tcPr>
            <w:tcW w:w="5" w:type="pct"/>
            <w:shd w:val="clear" w:color="auto" w:fill="auto"/>
          </w:tcPr>
          <w:p w14:paraId="0D8DF3D5" w14:textId="77777777" w:rsidR="004C2197" w:rsidRDefault="004C2197">
            <w:pPr>
              <w:rPr>
                <w:rFonts w:ascii="宋体"/>
              </w:rPr>
            </w:pPr>
          </w:p>
        </w:tc>
        <w:tc>
          <w:tcPr>
            <w:tcW w:w="26" w:type="pct"/>
            <w:shd w:val="clear" w:color="auto" w:fill="auto"/>
          </w:tcPr>
          <w:p w14:paraId="0D8DF3D6" w14:textId="77777777" w:rsidR="004C2197" w:rsidRDefault="004C2197">
            <w:pPr>
              <w:rPr>
                <w:rFonts w:ascii="宋体"/>
              </w:rPr>
            </w:pPr>
          </w:p>
        </w:tc>
        <w:tc>
          <w:tcPr>
            <w:tcW w:w="5" w:type="pct"/>
            <w:shd w:val="clear" w:color="auto" w:fill="auto"/>
          </w:tcPr>
          <w:p w14:paraId="0D8DF3D7" w14:textId="77777777" w:rsidR="004C2197" w:rsidRDefault="004C2197">
            <w:pPr>
              <w:rPr>
                <w:rFonts w:ascii="宋体"/>
              </w:rPr>
            </w:pPr>
          </w:p>
        </w:tc>
        <w:tc>
          <w:tcPr>
            <w:tcW w:w="50" w:type="pct"/>
            <w:shd w:val="clear" w:color="auto" w:fill="auto"/>
          </w:tcPr>
          <w:p w14:paraId="0D8DF3D8" w14:textId="77777777" w:rsidR="004C2197" w:rsidRDefault="004C2197">
            <w:pPr>
              <w:rPr>
                <w:rFonts w:ascii="宋体"/>
              </w:rPr>
            </w:pPr>
          </w:p>
        </w:tc>
        <w:tc>
          <w:tcPr>
            <w:tcW w:w="481" w:type="pct"/>
            <w:shd w:val="clear" w:color="auto" w:fill="auto"/>
          </w:tcPr>
          <w:p w14:paraId="0D8DF3D9" w14:textId="77777777" w:rsidR="004C2197" w:rsidRDefault="004C2197">
            <w:pPr>
              <w:rPr>
                <w:rFonts w:ascii="宋体"/>
              </w:rPr>
            </w:pPr>
          </w:p>
        </w:tc>
        <w:tc>
          <w:tcPr>
            <w:tcW w:w="5" w:type="pct"/>
            <w:shd w:val="clear" w:color="auto" w:fill="auto"/>
          </w:tcPr>
          <w:p w14:paraId="0D8DF3DA" w14:textId="77777777" w:rsidR="004C2197" w:rsidRDefault="004C2197">
            <w:pPr>
              <w:rPr>
                <w:rFonts w:ascii="宋体"/>
              </w:rPr>
            </w:pPr>
          </w:p>
        </w:tc>
        <w:tc>
          <w:tcPr>
            <w:tcW w:w="5" w:type="pct"/>
            <w:shd w:val="clear" w:color="auto" w:fill="auto"/>
          </w:tcPr>
          <w:p w14:paraId="0D8DF3DB" w14:textId="77777777" w:rsidR="004C2197" w:rsidRDefault="004C2197">
            <w:pPr>
              <w:rPr>
                <w:rFonts w:ascii="宋体"/>
              </w:rPr>
            </w:pPr>
          </w:p>
        </w:tc>
        <w:tc>
          <w:tcPr>
            <w:tcW w:w="26" w:type="pct"/>
            <w:shd w:val="clear" w:color="auto" w:fill="auto"/>
          </w:tcPr>
          <w:p w14:paraId="0D8DF3DC" w14:textId="77777777" w:rsidR="004C2197" w:rsidRDefault="004C2197">
            <w:pPr>
              <w:rPr>
                <w:rFonts w:ascii="宋体"/>
              </w:rPr>
            </w:pPr>
          </w:p>
        </w:tc>
        <w:tc>
          <w:tcPr>
            <w:tcW w:w="5" w:type="pct"/>
            <w:shd w:val="clear" w:color="auto" w:fill="auto"/>
          </w:tcPr>
          <w:p w14:paraId="0D8DF3DD" w14:textId="77777777" w:rsidR="004C2197" w:rsidRDefault="004C2197">
            <w:pPr>
              <w:rPr>
                <w:rFonts w:ascii="宋体"/>
              </w:rPr>
            </w:pPr>
          </w:p>
        </w:tc>
        <w:tc>
          <w:tcPr>
            <w:tcW w:w="50" w:type="pct"/>
            <w:shd w:val="clear" w:color="auto" w:fill="auto"/>
          </w:tcPr>
          <w:p w14:paraId="0D8DF3DE" w14:textId="77777777" w:rsidR="004C2197" w:rsidRDefault="004C2197">
            <w:pPr>
              <w:rPr>
                <w:rFonts w:ascii="宋体"/>
              </w:rPr>
            </w:pPr>
          </w:p>
        </w:tc>
        <w:tc>
          <w:tcPr>
            <w:tcW w:w="481" w:type="pct"/>
            <w:shd w:val="clear" w:color="auto" w:fill="auto"/>
          </w:tcPr>
          <w:p w14:paraId="0D8DF3DF" w14:textId="77777777" w:rsidR="004C2197" w:rsidRDefault="004C2197">
            <w:pPr>
              <w:rPr>
                <w:rFonts w:ascii="宋体"/>
              </w:rPr>
            </w:pPr>
          </w:p>
        </w:tc>
        <w:tc>
          <w:tcPr>
            <w:tcW w:w="5" w:type="pct"/>
            <w:shd w:val="clear" w:color="auto" w:fill="auto"/>
          </w:tcPr>
          <w:p w14:paraId="0D8DF3E0" w14:textId="77777777" w:rsidR="004C2197" w:rsidRDefault="004C2197">
            <w:pPr>
              <w:rPr>
                <w:rFonts w:ascii="宋体"/>
              </w:rPr>
            </w:pPr>
          </w:p>
        </w:tc>
        <w:tc>
          <w:tcPr>
            <w:tcW w:w="5" w:type="pct"/>
            <w:shd w:val="clear" w:color="auto" w:fill="auto"/>
          </w:tcPr>
          <w:p w14:paraId="0D8DF3E1" w14:textId="77777777" w:rsidR="004C2197" w:rsidRDefault="004C2197">
            <w:pPr>
              <w:rPr>
                <w:rFonts w:ascii="宋体"/>
              </w:rPr>
            </w:pPr>
          </w:p>
        </w:tc>
        <w:tc>
          <w:tcPr>
            <w:tcW w:w="26" w:type="pct"/>
            <w:shd w:val="clear" w:color="auto" w:fill="auto"/>
          </w:tcPr>
          <w:p w14:paraId="0D8DF3E2" w14:textId="77777777" w:rsidR="004C2197" w:rsidRDefault="004C2197">
            <w:pPr>
              <w:rPr>
                <w:rFonts w:ascii="宋体"/>
              </w:rPr>
            </w:pPr>
          </w:p>
        </w:tc>
        <w:tc>
          <w:tcPr>
            <w:tcW w:w="5" w:type="pct"/>
            <w:shd w:val="clear" w:color="auto" w:fill="auto"/>
          </w:tcPr>
          <w:p w14:paraId="0D8DF3E3" w14:textId="77777777" w:rsidR="004C2197" w:rsidRDefault="004C2197">
            <w:pPr>
              <w:rPr>
                <w:rFonts w:ascii="宋体"/>
              </w:rPr>
            </w:pPr>
          </w:p>
        </w:tc>
        <w:tc>
          <w:tcPr>
            <w:tcW w:w="50" w:type="pct"/>
            <w:shd w:val="clear" w:color="auto" w:fill="auto"/>
          </w:tcPr>
          <w:p w14:paraId="0D8DF3E4" w14:textId="77777777" w:rsidR="004C2197" w:rsidRDefault="004C2197">
            <w:pPr>
              <w:rPr>
                <w:rFonts w:ascii="宋体"/>
              </w:rPr>
            </w:pPr>
          </w:p>
        </w:tc>
        <w:tc>
          <w:tcPr>
            <w:tcW w:w="511" w:type="pct"/>
            <w:shd w:val="clear" w:color="auto" w:fill="auto"/>
          </w:tcPr>
          <w:p w14:paraId="0D8DF3E5" w14:textId="77777777" w:rsidR="004C2197" w:rsidRDefault="004C2197">
            <w:pPr>
              <w:rPr>
                <w:rFonts w:ascii="宋体"/>
              </w:rPr>
            </w:pPr>
          </w:p>
        </w:tc>
        <w:tc>
          <w:tcPr>
            <w:tcW w:w="5" w:type="pct"/>
            <w:shd w:val="clear" w:color="auto" w:fill="auto"/>
          </w:tcPr>
          <w:p w14:paraId="0D8DF3E6" w14:textId="77777777" w:rsidR="004C2197" w:rsidRDefault="004C2197">
            <w:pPr>
              <w:rPr>
                <w:rFonts w:ascii="宋体"/>
              </w:rPr>
            </w:pPr>
          </w:p>
        </w:tc>
        <w:tc>
          <w:tcPr>
            <w:tcW w:w="5" w:type="pct"/>
            <w:shd w:val="clear" w:color="auto" w:fill="auto"/>
          </w:tcPr>
          <w:p w14:paraId="0D8DF3E7" w14:textId="77777777" w:rsidR="004C2197" w:rsidRDefault="004C2197">
            <w:pPr>
              <w:rPr>
                <w:rFonts w:ascii="宋体"/>
              </w:rPr>
            </w:pPr>
          </w:p>
        </w:tc>
        <w:tc>
          <w:tcPr>
            <w:tcW w:w="26" w:type="pct"/>
            <w:shd w:val="clear" w:color="auto" w:fill="auto"/>
          </w:tcPr>
          <w:p w14:paraId="0D8DF3E8" w14:textId="77777777" w:rsidR="004C2197" w:rsidRDefault="004C2197">
            <w:pPr>
              <w:rPr>
                <w:rFonts w:ascii="宋体"/>
              </w:rPr>
            </w:pPr>
          </w:p>
        </w:tc>
        <w:tc>
          <w:tcPr>
            <w:tcW w:w="5" w:type="pct"/>
            <w:shd w:val="clear" w:color="auto" w:fill="auto"/>
          </w:tcPr>
          <w:p w14:paraId="0D8DF3E9" w14:textId="77777777" w:rsidR="004C2197" w:rsidRDefault="004C2197">
            <w:pPr>
              <w:rPr>
                <w:rFonts w:ascii="宋体"/>
              </w:rPr>
            </w:pPr>
          </w:p>
        </w:tc>
        <w:tc>
          <w:tcPr>
            <w:tcW w:w="50" w:type="pct"/>
            <w:shd w:val="clear" w:color="auto" w:fill="auto"/>
          </w:tcPr>
          <w:p w14:paraId="0D8DF3EA" w14:textId="77777777" w:rsidR="004C2197" w:rsidRDefault="004C2197">
            <w:pPr>
              <w:rPr>
                <w:rFonts w:ascii="宋体"/>
              </w:rPr>
            </w:pPr>
          </w:p>
        </w:tc>
        <w:tc>
          <w:tcPr>
            <w:tcW w:w="496" w:type="pct"/>
            <w:shd w:val="clear" w:color="auto" w:fill="auto"/>
          </w:tcPr>
          <w:p w14:paraId="0D8DF3EB" w14:textId="77777777" w:rsidR="004C2197" w:rsidRDefault="004C2197">
            <w:pPr>
              <w:rPr>
                <w:rFonts w:ascii="宋体"/>
              </w:rPr>
            </w:pPr>
          </w:p>
        </w:tc>
        <w:tc>
          <w:tcPr>
            <w:tcW w:w="5" w:type="pct"/>
            <w:shd w:val="clear" w:color="auto" w:fill="auto"/>
          </w:tcPr>
          <w:p w14:paraId="0D8DF3EC" w14:textId="77777777" w:rsidR="004C2197" w:rsidRDefault="004C2197">
            <w:pPr>
              <w:rPr>
                <w:rFonts w:ascii="宋体"/>
              </w:rPr>
            </w:pPr>
          </w:p>
        </w:tc>
      </w:tr>
      <w:tr w:rsidR="004C2197" w14:paraId="0D8DF3FA" w14:textId="77777777">
        <w:tc>
          <w:tcPr>
            <w:tcW w:w="0" w:type="auto"/>
            <w:gridSpan w:val="3"/>
            <w:shd w:val="clear" w:color="auto" w:fill="auto"/>
            <w:tcMar>
              <w:top w:w="40" w:type="dxa"/>
              <w:left w:w="20" w:type="dxa"/>
              <w:bottom w:w="40" w:type="dxa"/>
              <w:right w:w="20" w:type="dxa"/>
            </w:tcMar>
            <w:vAlign w:val="bottom"/>
          </w:tcPr>
          <w:p w14:paraId="0D8DF3EE" w14:textId="77777777" w:rsidR="004C2197" w:rsidRDefault="00863B83">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D8DF3EF" w14:textId="77777777" w:rsidR="004C2197" w:rsidRDefault="00863B83">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tcPr>
          <w:p w14:paraId="0D8DF3F0" w14:textId="77777777" w:rsidR="004C2197" w:rsidRDefault="004C2197">
            <w:pPr>
              <w:rPr>
                <w:rFonts w:ascii="宋体"/>
                <w:vanish/>
              </w:rPr>
            </w:pPr>
          </w:p>
        </w:tc>
        <w:tc>
          <w:tcPr>
            <w:tcW w:w="0" w:type="auto"/>
            <w:gridSpan w:val="3"/>
            <w:shd w:val="clear" w:color="auto" w:fill="auto"/>
          </w:tcPr>
          <w:p w14:paraId="0D8DF3F1" w14:textId="77777777" w:rsidR="004C2197" w:rsidRDefault="004C2197">
            <w:pPr>
              <w:rPr>
                <w:rFonts w:ascii="宋体"/>
                <w:vanish/>
              </w:rPr>
            </w:pPr>
          </w:p>
        </w:tc>
        <w:tc>
          <w:tcPr>
            <w:tcW w:w="0" w:type="auto"/>
            <w:gridSpan w:val="3"/>
            <w:shd w:val="clear" w:color="auto" w:fill="auto"/>
          </w:tcPr>
          <w:p w14:paraId="0D8DF3F2" w14:textId="77777777" w:rsidR="004C2197" w:rsidRDefault="004C2197">
            <w:pPr>
              <w:rPr>
                <w:rFonts w:ascii="宋体"/>
                <w:vanish/>
              </w:rPr>
            </w:pPr>
          </w:p>
        </w:tc>
        <w:tc>
          <w:tcPr>
            <w:tcW w:w="0" w:type="auto"/>
            <w:gridSpan w:val="3"/>
            <w:shd w:val="clear" w:color="auto" w:fill="auto"/>
          </w:tcPr>
          <w:p w14:paraId="0D8DF3F3" w14:textId="77777777" w:rsidR="004C2197" w:rsidRDefault="004C2197">
            <w:pPr>
              <w:rPr>
                <w:rFonts w:ascii="宋体"/>
                <w:vanish/>
              </w:rPr>
            </w:pPr>
          </w:p>
        </w:tc>
        <w:tc>
          <w:tcPr>
            <w:tcW w:w="0" w:type="auto"/>
            <w:gridSpan w:val="3"/>
            <w:shd w:val="clear" w:color="auto" w:fill="auto"/>
          </w:tcPr>
          <w:p w14:paraId="0D8DF3F4" w14:textId="77777777" w:rsidR="004C2197" w:rsidRDefault="004C2197">
            <w:pPr>
              <w:rPr>
                <w:rFonts w:ascii="宋体"/>
                <w:vanish/>
              </w:rPr>
            </w:pPr>
          </w:p>
        </w:tc>
        <w:tc>
          <w:tcPr>
            <w:tcW w:w="0" w:type="auto"/>
            <w:gridSpan w:val="3"/>
            <w:shd w:val="clear" w:color="auto" w:fill="auto"/>
          </w:tcPr>
          <w:p w14:paraId="0D8DF3F5" w14:textId="77777777" w:rsidR="004C2197" w:rsidRDefault="004C2197">
            <w:pPr>
              <w:rPr>
                <w:rFonts w:ascii="宋体"/>
                <w:vanish/>
              </w:rPr>
            </w:pPr>
          </w:p>
        </w:tc>
        <w:tc>
          <w:tcPr>
            <w:tcW w:w="0" w:type="auto"/>
            <w:gridSpan w:val="3"/>
            <w:shd w:val="clear" w:color="auto" w:fill="auto"/>
          </w:tcPr>
          <w:p w14:paraId="0D8DF3F6" w14:textId="77777777" w:rsidR="004C2197" w:rsidRDefault="004C2197">
            <w:pPr>
              <w:rPr>
                <w:rFonts w:ascii="宋体"/>
                <w:vanish/>
              </w:rPr>
            </w:pPr>
          </w:p>
        </w:tc>
        <w:tc>
          <w:tcPr>
            <w:tcW w:w="0" w:type="auto"/>
            <w:gridSpan w:val="3"/>
            <w:shd w:val="clear" w:color="auto" w:fill="auto"/>
          </w:tcPr>
          <w:p w14:paraId="0D8DF3F7" w14:textId="77777777" w:rsidR="004C2197" w:rsidRDefault="004C2197">
            <w:pPr>
              <w:rPr>
                <w:rFonts w:ascii="宋体"/>
                <w:vanish/>
              </w:rPr>
            </w:pPr>
          </w:p>
        </w:tc>
        <w:tc>
          <w:tcPr>
            <w:tcW w:w="0" w:type="auto"/>
            <w:gridSpan w:val="2"/>
            <w:shd w:val="clear" w:color="auto" w:fill="auto"/>
          </w:tcPr>
          <w:p w14:paraId="0D8DF3F8" w14:textId="77777777" w:rsidR="004C2197" w:rsidRDefault="004C2197">
            <w:pPr>
              <w:rPr>
                <w:rFonts w:ascii="宋体"/>
                <w:vanish/>
              </w:rPr>
            </w:pPr>
          </w:p>
        </w:tc>
        <w:tc>
          <w:tcPr>
            <w:tcW w:w="0" w:type="auto"/>
            <w:shd w:val="clear" w:color="auto" w:fill="auto"/>
          </w:tcPr>
          <w:p w14:paraId="0D8DF3F9" w14:textId="77777777" w:rsidR="004C2197" w:rsidRDefault="004C2197">
            <w:pPr>
              <w:rPr>
                <w:rFonts w:ascii="宋体"/>
                <w:vanish/>
              </w:rPr>
            </w:pPr>
          </w:p>
        </w:tc>
      </w:tr>
      <w:tr w:rsidR="004C2197" w14:paraId="0D8DF41C" w14:textId="77777777">
        <w:tc>
          <w:tcPr>
            <w:tcW w:w="0" w:type="auto"/>
            <w:gridSpan w:val="3"/>
            <w:shd w:val="clear" w:color="auto" w:fill="auto"/>
            <w:tcMar>
              <w:left w:w="20" w:type="dxa"/>
              <w:right w:w="20" w:type="dxa"/>
            </w:tcMar>
            <w:vAlign w:val="bottom"/>
          </w:tcPr>
          <w:p w14:paraId="0D8DF3FB"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3FC" w14:textId="77777777" w:rsidR="004C2197" w:rsidRDefault="00863B83">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left w:w="20" w:type="dxa"/>
              <w:right w:w="20" w:type="dxa"/>
            </w:tcMar>
            <w:vAlign w:val="bottom"/>
          </w:tcPr>
          <w:p w14:paraId="0D8DF3FD"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3FE" w14:textId="77777777" w:rsidR="004C2197" w:rsidRDefault="00863B83">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left w:w="20" w:type="dxa"/>
              <w:right w:w="20" w:type="dxa"/>
            </w:tcMar>
            <w:vAlign w:val="bottom"/>
          </w:tcPr>
          <w:p w14:paraId="0D8DF3FF"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400" w14:textId="77777777" w:rsidR="004C2197" w:rsidRDefault="00863B83">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left w:w="20" w:type="dxa"/>
              <w:right w:w="20" w:type="dxa"/>
            </w:tcMar>
            <w:vAlign w:val="bottom"/>
          </w:tcPr>
          <w:p w14:paraId="0D8DF401" w14:textId="77777777" w:rsidR="004C2197" w:rsidRDefault="004C219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D8DF402" w14:textId="77777777" w:rsidR="004C2197" w:rsidRDefault="00863B83">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left w:w="20" w:type="dxa"/>
              <w:right w:w="20" w:type="dxa"/>
            </w:tcMar>
            <w:vAlign w:val="bottom"/>
          </w:tcPr>
          <w:p w14:paraId="0D8DF403" w14:textId="77777777" w:rsidR="004C2197" w:rsidRDefault="004C219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8DF404" w14:textId="77777777" w:rsidR="004C2197" w:rsidRDefault="00863B83">
            <w:pPr>
              <w:jc w:val="center"/>
              <w:textAlignment w:val="bottom"/>
            </w:pPr>
            <w:r>
              <w:rPr>
                <w:rFonts w:ascii="sans-serif" w:eastAsia="sans-serif" w:hAnsi="sans-serif" w:cs="sans-serif"/>
                <w:b/>
                <w:bCs/>
                <w:color w:val="000000"/>
                <w:sz w:val="20"/>
                <w:szCs w:val="20"/>
              </w:rPr>
              <w:t>Reported as</w:t>
            </w:r>
          </w:p>
        </w:tc>
        <w:tc>
          <w:tcPr>
            <w:tcW w:w="0" w:type="auto"/>
            <w:gridSpan w:val="3"/>
            <w:shd w:val="clear" w:color="auto" w:fill="auto"/>
          </w:tcPr>
          <w:p w14:paraId="0D8DF405" w14:textId="77777777" w:rsidR="004C2197" w:rsidRDefault="004C2197">
            <w:pPr>
              <w:rPr>
                <w:rFonts w:ascii="宋体"/>
                <w:vanish/>
              </w:rPr>
            </w:pPr>
          </w:p>
        </w:tc>
        <w:tc>
          <w:tcPr>
            <w:tcW w:w="0" w:type="auto"/>
            <w:gridSpan w:val="3"/>
            <w:shd w:val="clear" w:color="auto" w:fill="auto"/>
          </w:tcPr>
          <w:p w14:paraId="0D8DF406" w14:textId="77777777" w:rsidR="004C2197" w:rsidRDefault="004C2197">
            <w:pPr>
              <w:rPr>
                <w:rFonts w:ascii="宋体"/>
                <w:vanish/>
              </w:rPr>
            </w:pPr>
          </w:p>
        </w:tc>
        <w:tc>
          <w:tcPr>
            <w:tcW w:w="0" w:type="auto"/>
            <w:shd w:val="clear" w:color="auto" w:fill="auto"/>
          </w:tcPr>
          <w:p w14:paraId="0D8DF407" w14:textId="77777777" w:rsidR="004C2197" w:rsidRDefault="004C2197">
            <w:pPr>
              <w:rPr>
                <w:rFonts w:ascii="宋体"/>
              </w:rPr>
            </w:pPr>
          </w:p>
        </w:tc>
        <w:tc>
          <w:tcPr>
            <w:tcW w:w="0" w:type="auto"/>
            <w:shd w:val="clear" w:color="auto" w:fill="auto"/>
          </w:tcPr>
          <w:p w14:paraId="0D8DF408" w14:textId="77777777" w:rsidR="004C2197" w:rsidRDefault="004C2197">
            <w:pPr>
              <w:rPr>
                <w:rFonts w:ascii="宋体"/>
              </w:rPr>
            </w:pPr>
          </w:p>
        </w:tc>
        <w:tc>
          <w:tcPr>
            <w:tcW w:w="0" w:type="auto"/>
            <w:shd w:val="clear" w:color="auto" w:fill="auto"/>
          </w:tcPr>
          <w:p w14:paraId="0D8DF409" w14:textId="77777777" w:rsidR="004C2197" w:rsidRDefault="004C2197">
            <w:pPr>
              <w:rPr>
                <w:rFonts w:ascii="宋体"/>
              </w:rPr>
            </w:pPr>
          </w:p>
        </w:tc>
        <w:tc>
          <w:tcPr>
            <w:tcW w:w="0" w:type="auto"/>
            <w:shd w:val="clear" w:color="auto" w:fill="auto"/>
          </w:tcPr>
          <w:p w14:paraId="0D8DF40A" w14:textId="77777777" w:rsidR="004C2197" w:rsidRDefault="004C2197">
            <w:pPr>
              <w:rPr>
                <w:rFonts w:ascii="宋体"/>
              </w:rPr>
            </w:pPr>
          </w:p>
        </w:tc>
        <w:tc>
          <w:tcPr>
            <w:tcW w:w="0" w:type="auto"/>
            <w:shd w:val="clear" w:color="auto" w:fill="auto"/>
          </w:tcPr>
          <w:p w14:paraId="0D8DF40B" w14:textId="77777777" w:rsidR="004C2197" w:rsidRDefault="004C2197">
            <w:pPr>
              <w:rPr>
                <w:rFonts w:ascii="宋体"/>
              </w:rPr>
            </w:pPr>
          </w:p>
        </w:tc>
        <w:tc>
          <w:tcPr>
            <w:tcW w:w="0" w:type="auto"/>
            <w:shd w:val="clear" w:color="auto" w:fill="auto"/>
          </w:tcPr>
          <w:p w14:paraId="0D8DF40C" w14:textId="77777777" w:rsidR="004C2197" w:rsidRDefault="004C2197">
            <w:pPr>
              <w:rPr>
                <w:rFonts w:ascii="宋体"/>
              </w:rPr>
            </w:pPr>
          </w:p>
        </w:tc>
        <w:tc>
          <w:tcPr>
            <w:tcW w:w="0" w:type="auto"/>
            <w:shd w:val="clear" w:color="auto" w:fill="auto"/>
          </w:tcPr>
          <w:p w14:paraId="0D8DF40D" w14:textId="77777777" w:rsidR="004C2197" w:rsidRDefault="004C2197">
            <w:pPr>
              <w:rPr>
                <w:rFonts w:ascii="宋体"/>
              </w:rPr>
            </w:pPr>
          </w:p>
        </w:tc>
        <w:tc>
          <w:tcPr>
            <w:tcW w:w="0" w:type="auto"/>
            <w:shd w:val="clear" w:color="auto" w:fill="auto"/>
          </w:tcPr>
          <w:p w14:paraId="0D8DF40E" w14:textId="77777777" w:rsidR="004C2197" w:rsidRDefault="004C2197">
            <w:pPr>
              <w:rPr>
                <w:rFonts w:ascii="宋体"/>
              </w:rPr>
            </w:pPr>
          </w:p>
        </w:tc>
        <w:tc>
          <w:tcPr>
            <w:tcW w:w="0" w:type="auto"/>
            <w:shd w:val="clear" w:color="auto" w:fill="auto"/>
          </w:tcPr>
          <w:p w14:paraId="0D8DF40F" w14:textId="77777777" w:rsidR="004C2197" w:rsidRDefault="004C2197">
            <w:pPr>
              <w:rPr>
                <w:rFonts w:ascii="宋体"/>
              </w:rPr>
            </w:pPr>
          </w:p>
        </w:tc>
        <w:tc>
          <w:tcPr>
            <w:tcW w:w="0" w:type="auto"/>
            <w:shd w:val="clear" w:color="auto" w:fill="auto"/>
          </w:tcPr>
          <w:p w14:paraId="0D8DF410" w14:textId="77777777" w:rsidR="004C2197" w:rsidRDefault="004C2197">
            <w:pPr>
              <w:rPr>
                <w:rFonts w:ascii="宋体"/>
              </w:rPr>
            </w:pPr>
          </w:p>
        </w:tc>
        <w:tc>
          <w:tcPr>
            <w:tcW w:w="0" w:type="auto"/>
            <w:shd w:val="clear" w:color="auto" w:fill="auto"/>
          </w:tcPr>
          <w:p w14:paraId="0D8DF411" w14:textId="77777777" w:rsidR="004C2197" w:rsidRDefault="004C2197">
            <w:pPr>
              <w:rPr>
                <w:rFonts w:ascii="宋体"/>
              </w:rPr>
            </w:pPr>
          </w:p>
        </w:tc>
        <w:tc>
          <w:tcPr>
            <w:tcW w:w="0" w:type="auto"/>
            <w:shd w:val="clear" w:color="auto" w:fill="auto"/>
          </w:tcPr>
          <w:p w14:paraId="0D8DF412" w14:textId="77777777" w:rsidR="004C2197" w:rsidRDefault="004C2197">
            <w:pPr>
              <w:rPr>
                <w:rFonts w:ascii="宋体"/>
              </w:rPr>
            </w:pPr>
          </w:p>
        </w:tc>
        <w:tc>
          <w:tcPr>
            <w:tcW w:w="0" w:type="auto"/>
            <w:shd w:val="clear" w:color="auto" w:fill="auto"/>
          </w:tcPr>
          <w:p w14:paraId="0D8DF413" w14:textId="77777777" w:rsidR="004C2197" w:rsidRDefault="004C2197">
            <w:pPr>
              <w:rPr>
                <w:rFonts w:ascii="宋体"/>
              </w:rPr>
            </w:pPr>
          </w:p>
        </w:tc>
        <w:tc>
          <w:tcPr>
            <w:tcW w:w="0" w:type="auto"/>
            <w:shd w:val="clear" w:color="auto" w:fill="auto"/>
          </w:tcPr>
          <w:p w14:paraId="0D8DF414" w14:textId="77777777" w:rsidR="004C2197" w:rsidRDefault="004C2197">
            <w:pPr>
              <w:rPr>
                <w:rFonts w:ascii="宋体"/>
              </w:rPr>
            </w:pPr>
          </w:p>
        </w:tc>
        <w:tc>
          <w:tcPr>
            <w:tcW w:w="0" w:type="auto"/>
            <w:shd w:val="clear" w:color="auto" w:fill="auto"/>
          </w:tcPr>
          <w:p w14:paraId="0D8DF415" w14:textId="77777777" w:rsidR="004C2197" w:rsidRDefault="004C2197">
            <w:pPr>
              <w:rPr>
                <w:rFonts w:ascii="宋体"/>
              </w:rPr>
            </w:pPr>
          </w:p>
        </w:tc>
        <w:tc>
          <w:tcPr>
            <w:tcW w:w="0" w:type="auto"/>
            <w:shd w:val="clear" w:color="auto" w:fill="auto"/>
          </w:tcPr>
          <w:p w14:paraId="0D8DF416" w14:textId="77777777" w:rsidR="004C2197" w:rsidRDefault="004C2197">
            <w:pPr>
              <w:rPr>
                <w:rFonts w:ascii="宋体"/>
              </w:rPr>
            </w:pPr>
          </w:p>
        </w:tc>
        <w:tc>
          <w:tcPr>
            <w:tcW w:w="0" w:type="auto"/>
            <w:shd w:val="clear" w:color="auto" w:fill="auto"/>
          </w:tcPr>
          <w:p w14:paraId="0D8DF417" w14:textId="77777777" w:rsidR="004C2197" w:rsidRDefault="004C2197">
            <w:pPr>
              <w:rPr>
                <w:rFonts w:ascii="宋体"/>
              </w:rPr>
            </w:pPr>
          </w:p>
        </w:tc>
        <w:tc>
          <w:tcPr>
            <w:tcW w:w="0" w:type="auto"/>
            <w:shd w:val="clear" w:color="auto" w:fill="auto"/>
          </w:tcPr>
          <w:p w14:paraId="0D8DF418" w14:textId="77777777" w:rsidR="004C2197" w:rsidRDefault="004C2197">
            <w:pPr>
              <w:rPr>
                <w:rFonts w:ascii="宋体"/>
              </w:rPr>
            </w:pPr>
          </w:p>
        </w:tc>
        <w:tc>
          <w:tcPr>
            <w:tcW w:w="0" w:type="auto"/>
            <w:shd w:val="clear" w:color="auto" w:fill="auto"/>
          </w:tcPr>
          <w:p w14:paraId="0D8DF419" w14:textId="77777777" w:rsidR="004C2197" w:rsidRDefault="004C2197">
            <w:pPr>
              <w:rPr>
                <w:rFonts w:ascii="宋体"/>
              </w:rPr>
            </w:pPr>
          </w:p>
        </w:tc>
        <w:tc>
          <w:tcPr>
            <w:tcW w:w="0" w:type="auto"/>
            <w:shd w:val="clear" w:color="auto" w:fill="auto"/>
          </w:tcPr>
          <w:p w14:paraId="0D8DF41A" w14:textId="77777777" w:rsidR="004C2197" w:rsidRDefault="004C2197">
            <w:pPr>
              <w:rPr>
                <w:rFonts w:ascii="宋体"/>
              </w:rPr>
            </w:pPr>
          </w:p>
        </w:tc>
        <w:tc>
          <w:tcPr>
            <w:tcW w:w="0" w:type="auto"/>
            <w:shd w:val="clear" w:color="auto" w:fill="auto"/>
          </w:tcPr>
          <w:p w14:paraId="0D8DF41B" w14:textId="77777777" w:rsidR="004C2197" w:rsidRDefault="004C2197">
            <w:pPr>
              <w:rPr>
                <w:rFonts w:ascii="宋体"/>
              </w:rPr>
            </w:pPr>
          </w:p>
        </w:tc>
      </w:tr>
      <w:tr w:rsidR="004C2197" w14:paraId="0D8DF43C" w14:textId="77777777">
        <w:tc>
          <w:tcPr>
            <w:tcW w:w="0" w:type="auto"/>
            <w:gridSpan w:val="3"/>
            <w:shd w:val="clear" w:color="auto" w:fill="auto"/>
            <w:tcMar>
              <w:top w:w="40" w:type="dxa"/>
              <w:left w:w="20" w:type="dxa"/>
              <w:bottom w:w="40" w:type="dxa"/>
              <w:right w:w="20" w:type="dxa"/>
            </w:tcMar>
            <w:vAlign w:val="bottom"/>
          </w:tcPr>
          <w:p w14:paraId="0D8DF41D"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41E" w14:textId="77777777" w:rsidR="004C2197" w:rsidRDefault="004C2197">
            <w:pPr>
              <w:jc w:val="center"/>
              <w:rPr>
                <w:rFonts w:ascii="宋体"/>
              </w:rPr>
            </w:pPr>
          </w:p>
        </w:tc>
        <w:tc>
          <w:tcPr>
            <w:tcW w:w="0" w:type="auto"/>
            <w:gridSpan w:val="3"/>
            <w:shd w:val="clear" w:color="auto" w:fill="auto"/>
          </w:tcPr>
          <w:p w14:paraId="0D8DF41F" w14:textId="77777777" w:rsidR="004C2197" w:rsidRDefault="004C219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420"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F421" w14:textId="77777777" w:rsidR="004C2197" w:rsidRDefault="004C219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422" w14:textId="77777777" w:rsidR="004C2197" w:rsidRDefault="004C2197">
            <w:pPr>
              <w:jc w:val="center"/>
              <w:rPr>
                <w:rFonts w:ascii="宋体"/>
              </w:rPr>
            </w:pPr>
          </w:p>
        </w:tc>
        <w:tc>
          <w:tcPr>
            <w:tcW w:w="0" w:type="auto"/>
            <w:gridSpan w:val="3"/>
            <w:shd w:val="clear" w:color="auto" w:fill="auto"/>
          </w:tcPr>
          <w:p w14:paraId="0D8DF423" w14:textId="77777777" w:rsidR="004C2197" w:rsidRDefault="004C219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D8DF424" w14:textId="77777777" w:rsidR="004C2197" w:rsidRDefault="004C2197">
            <w:pPr>
              <w:jc w:val="center"/>
              <w:rPr>
                <w:rFonts w:ascii="宋体"/>
              </w:rPr>
            </w:pPr>
          </w:p>
        </w:tc>
        <w:tc>
          <w:tcPr>
            <w:tcW w:w="0" w:type="auto"/>
            <w:gridSpan w:val="3"/>
            <w:shd w:val="clear" w:color="auto" w:fill="auto"/>
            <w:tcMar>
              <w:left w:w="20" w:type="dxa"/>
              <w:right w:w="20" w:type="dxa"/>
            </w:tcMar>
            <w:vAlign w:val="bottom"/>
          </w:tcPr>
          <w:p w14:paraId="0D8DF425" w14:textId="77777777" w:rsidR="004C2197" w:rsidRDefault="004C2197">
            <w:pPr>
              <w:rPr>
                <w:rFonts w:ascii="宋体"/>
              </w:rPr>
            </w:pPr>
          </w:p>
        </w:tc>
        <w:tc>
          <w:tcPr>
            <w:tcW w:w="0" w:type="auto"/>
            <w:gridSpan w:val="3"/>
            <w:shd w:val="clear" w:color="auto" w:fill="auto"/>
          </w:tcPr>
          <w:p w14:paraId="0D8DF426"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427" w14:textId="77777777" w:rsidR="004C2197" w:rsidRDefault="004C2197">
            <w:pPr>
              <w:rPr>
                <w:rFonts w:ascii="宋体"/>
              </w:rPr>
            </w:pPr>
          </w:p>
        </w:tc>
        <w:tc>
          <w:tcPr>
            <w:tcW w:w="0" w:type="auto"/>
            <w:gridSpan w:val="3"/>
            <w:shd w:val="clear" w:color="auto" w:fill="auto"/>
          </w:tcPr>
          <w:p w14:paraId="0D8DF428"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429"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42A" w14:textId="77777777" w:rsidR="004C2197" w:rsidRDefault="00863B83">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left w:w="20" w:type="dxa"/>
              <w:right w:w="20" w:type="dxa"/>
            </w:tcMar>
            <w:vAlign w:val="bottom"/>
          </w:tcPr>
          <w:p w14:paraId="0D8DF42B"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42C" w14:textId="77777777" w:rsidR="004C2197" w:rsidRDefault="00863B83">
            <w:pPr>
              <w:jc w:val="center"/>
              <w:textAlignment w:val="bottom"/>
            </w:pPr>
            <w:r>
              <w:rPr>
                <w:rFonts w:ascii="sans-serif" w:eastAsia="sans-serif" w:hAnsi="sans-serif" w:cs="sans-serif"/>
                <w:b/>
                <w:bCs/>
                <w:color w:val="000000"/>
                <w:sz w:val="20"/>
                <w:szCs w:val="20"/>
              </w:rPr>
              <w:t>Marketable Securities</w:t>
            </w:r>
          </w:p>
        </w:tc>
        <w:tc>
          <w:tcPr>
            <w:tcW w:w="0" w:type="auto"/>
            <w:shd w:val="clear" w:color="auto" w:fill="auto"/>
          </w:tcPr>
          <w:p w14:paraId="0D8DF42D" w14:textId="77777777" w:rsidR="004C2197" w:rsidRDefault="004C2197">
            <w:pPr>
              <w:rPr>
                <w:rFonts w:ascii="宋体"/>
              </w:rPr>
            </w:pPr>
          </w:p>
        </w:tc>
        <w:tc>
          <w:tcPr>
            <w:tcW w:w="0" w:type="auto"/>
            <w:shd w:val="clear" w:color="auto" w:fill="auto"/>
          </w:tcPr>
          <w:p w14:paraId="0D8DF42E" w14:textId="77777777" w:rsidR="004C2197" w:rsidRDefault="004C2197">
            <w:pPr>
              <w:rPr>
                <w:rFonts w:ascii="宋体"/>
              </w:rPr>
            </w:pPr>
          </w:p>
        </w:tc>
        <w:tc>
          <w:tcPr>
            <w:tcW w:w="0" w:type="auto"/>
            <w:shd w:val="clear" w:color="auto" w:fill="auto"/>
          </w:tcPr>
          <w:p w14:paraId="0D8DF42F" w14:textId="77777777" w:rsidR="004C2197" w:rsidRDefault="004C2197">
            <w:pPr>
              <w:rPr>
                <w:rFonts w:ascii="宋体"/>
              </w:rPr>
            </w:pPr>
          </w:p>
        </w:tc>
        <w:tc>
          <w:tcPr>
            <w:tcW w:w="0" w:type="auto"/>
            <w:shd w:val="clear" w:color="auto" w:fill="auto"/>
          </w:tcPr>
          <w:p w14:paraId="0D8DF430" w14:textId="77777777" w:rsidR="004C2197" w:rsidRDefault="004C2197">
            <w:pPr>
              <w:rPr>
                <w:rFonts w:ascii="宋体"/>
              </w:rPr>
            </w:pPr>
          </w:p>
        </w:tc>
        <w:tc>
          <w:tcPr>
            <w:tcW w:w="0" w:type="auto"/>
            <w:shd w:val="clear" w:color="auto" w:fill="auto"/>
          </w:tcPr>
          <w:p w14:paraId="0D8DF431" w14:textId="77777777" w:rsidR="004C2197" w:rsidRDefault="004C2197">
            <w:pPr>
              <w:rPr>
                <w:rFonts w:ascii="宋体"/>
              </w:rPr>
            </w:pPr>
          </w:p>
        </w:tc>
        <w:tc>
          <w:tcPr>
            <w:tcW w:w="0" w:type="auto"/>
            <w:shd w:val="clear" w:color="auto" w:fill="auto"/>
          </w:tcPr>
          <w:p w14:paraId="0D8DF432" w14:textId="77777777" w:rsidR="004C2197" w:rsidRDefault="004C2197">
            <w:pPr>
              <w:rPr>
                <w:rFonts w:ascii="宋体"/>
              </w:rPr>
            </w:pPr>
          </w:p>
        </w:tc>
        <w:tc>
          <w:tcPr>
            <w:tcW w:w="0" w:type="auto"/>
            <w:shd w:val="clear" w:color="auto" w:fill="auto"/>
          </w:tcPr>
          <w:p w14:paraId="0D8DF433" w14:textId="77777777" w:rsidR="004C2197" w:rsidRDefault="004C2197">
            <w:pPr>
              <w:rPr>
                <w:rFonts w:ascii="宋体"/>
              </w:rPr>
            </w:pPr>
          </w:p>
        </w:tc>
        <w:tc>
          <w:tcPr>
            <w:tcW w:w="0" w:type="auto"/>
            <w:shd w:val="clear" w:color="auto" w:fill="auto"/>
          </w:tcPr>
          <w:p w14:paraId="0D8DF434" w14:textId="77777777" w:rsidR="004C2197" w:rsidRDefault="004C2197">
            <w:pPr>
              <w:rPr>
                <w:rFonts w:ascii="宋体"/>
              </w:rPr>
            </w:pPr>
          </w:p>
        </w:tc>
        <w:tc>
          <w:tcPr>
            <w:tcW w:w="0" w:type="auto"/>
            <w:shd w:val="clear" w:color="auto" w:fill="auto"/>
          </w:tcPr>
          <w:p w14:paraId="0D8DF435" w14:textId="77777777" w:rsidR="004C2197" w:rsidRDefault="004C2197">
            <w:pPr>
              <w:rPr>
                <w:rFonts w:ascii="宋体"/>
              </w:rPr>
            </w:pPr>
          </w:p>
        </w:tc>
        <w:tc>
          <w:tcPr>
            <w:tcW w:w="0" w:type="auto"/>
            <w:shd w:val="clear" w:color="auto" w:fill="auto"/>
          </w:tcPr>
          <w:p w14:paraId="0D8DF436" w14:textId="77777777" w:rsidR="004C2197" w:rsidRDefault="004C2197">
            <w:pPr>
              <w:rPr>
                <w:rFonts w:ascii="宋体"/>
              </w:rPr>
            </w:pPr>
          </w:p>
        </w:tc>
        <w:tc>
          <w:tcPr>
            <w:tcW w:w="0" w:type="auto"/>
            <w:shd w:val="clear" w:color="auto" w:fill="auto"/>
          </w:tcPr>
          <w:p w14:paraId="0D8DF437" w14:textId="77777777" w:rsidR="004C2197" w:rsidRDefault="004C2197">
            <w:pPr>
              <w:rPr>
                <w:rFonts w:ascii="宋体"/>
              </w:rPr>
            </w:pPr>
          </w:p>
        </w:tc>
        <w:tc>
          <w:tcPr>
            <w:tcW w:w="0" w:type="auto"/>
            <w:shd w:val="clear" w:color="auto" w:fill="auto"/>
          </w:tcPr>
          <w:p w14:paraId="0D8DF438" w14:textId="77777777" w:rsidR="004C2197" w:rsidRDefault="004C2197">
            <w:pPr>
              <w:rPr>
                <w:rFonts w:ascii="宋体"/>
              </w:rPr>
            </w:pPr>
          </w:p>
        </w:tc>
        <w:tc>
          <w:tcPr>
            <w:tcW w:w="0" w:type="auto"/>
            <w:shd w:val="clear" w:color="auto" w:fill="auto"/>
          </w:tcPr>
          <w:p w14:paraId="0D8DF439" w14:textId="77777777" w:rsidR="004C2197" w:rsidRDefault="004C2197">
            <w:pPr>
              <w:rPr>
                <w:rFonts w:ascii="宋体"/>
              </w:rPr>
            </w:pPr>
          </w:p>
        </w:tc>
        <w:tc>
          <w:tcPr>
            <w:tcW w:w="0" w:type="auto"/>
            <w:shd w:val="clear" w:color="auto" w:fill="auto"/>
          </w:tcPr>
          <w:p w14:paraId="0D8DF43A" w14:textId="77777777" w:rsidR="004C2197" w:rsidRDefault="004C2197">
            <w:pPr>
              <w:rPr>
                <w:rFonts w:ascii="宋体"/>
              </w:rPr>
            </w:pPr>
          </w:p>
        </w:tc>
        <w:tc>
          <w:tcPr>
            <w:tcW w:w="0" w:type="auto"/>
            <w:shd w:val="clear" w:color="auto" w:fill="auto"/>
          </w:tcPr>
          <w:p w14:paraId="0D8DF43B" w14:textId="77777777" w:rsidR="004C2197" w:rsidRDefault="004C2197">
            <w:pPr>
              <w:rPr>
                <w:rFonts w:ascii="宋体"/>
              </w:rPr>
            </w:pPr>
          </w:p>
        </w:tc>
      </w:tr>
      <w:tr w:rsidR="004C2197" w14:paraId="0D8DF464" w14:textId="77777777">
        <w:trPr>
          <w:trHeight w:val="60"/>
        </w:trPr>
        <w:tc>
          <w:tcPr>
            <w:tcW w:w="0" w:type="auto"/>
            <w:gridSpan w:val="3"/>
            <w:shd w:val="clear" w:color="auto" w:fill="auto"/>
            <w:tcMar>
              <w:left w:w="20" w:type="dxa"/>
              <w:right w:w="20" w:type="dxa"/>
            </w:tcMar>
            <w:vAlign w:val="bottom"/>
          </w:tcPr>
          <w:p w14:paraId="0D8DF43D"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3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43F"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4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44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4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44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4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44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4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44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448" w14:textId="77777777" w:rsidR="004C2197" w:rsidRDefault="004C2197">
            <w:pPr>
              <w:rPr>
                <w:rFonts w:ascii="宋体"/>
              </w:rPr>
            </w:pPr>
          </w:p>
        </w:tc>
        <w:tc>
          <w:tcPr>
            <w:tcW w:w="0" w:type="auto"/>
            <w:shd w:val="clear" w:color="auto" w:fill="auto"/>
          </w:tcPr>
          <w:p w14:paraId="0D8DF449" w14:textId="77777777" w:rsidR="004C2197" w:rsidRDefault="004C2197">
            <w:pPr>
              <w:rPr>
                <w:rFonts w:ascii="宋体"/>
              </w:rPr>
            </w:pPr>
          </w:p>
        </w:tc>
        <w:tc>
          <w:tcPr>
            <w:tcW w:w="0" w:type="auto"/>
            <w:shd w:val="clear" w:color="auto" w:fill="auto"/>
          </w:tcPr>
          <w:p w14:paraId="0D8DF44A" w14:textId="77777777" w:rsidR="004C2197" w:rsidRDefault="004C2197">
            <w:pPr>
              <w:rPr>
                <w:rFonts w:ascii="宋体"/>
              </w:rPr>
            </w:pPr>
          </w:p>
        </w:tc>
        <w:tc>
          <w:tcPr>
            <w:tcW w:w="0" w:type="auto"/>
            <w:shd w:val="clear" w:color="auto" w:fill="auto"/>
          </w:tcPr>
          <w:p w14:paraId="0D8DF44B" w14:textId="77777777" w:rsidR="004C2197" w:rsidRDefault="004C2197">
            <w:pPr>
              <w:rPr>
                <w:rFonts w:ascii="宋体"/>
              </w:rPr>
            </w:pPr>
          </w:p>
        </w:tc>
        <w:tc>
          <w:tcPr>
            <w:tcW w:w="0" w:type="auto"/>
            <w:shd w:val="clear" w:color="auto" w:fill="auto"/>
          </w:tcPr>
          <w:p w14:paraId="0D8DF44C" w14:textId="77777777" w:rsidR="004C2197" w:rsidRDefault="004C2197">
            <w:pPr>
              <w:rPr>
                <w:rFonts w:ascii="宋体"/>
              </w:rPr>
            </w:pPr>
          </w:p>
        </w:tc>
        <w:tc>
          <w:tcPr>
            <w:tcW w:w="0" w:type="auto"/>
            <w:shd w:val="clear" w:color="auto" w:fill="auto"/>
          </w:tcPr>
          <w:p w14:paraId="0D8DF44D" w14:textId="77777777" w:rsidR="004C2197" w:rsidRDefault="004C2197">
            <w:pPr>
              <w:rPr>
                <w:rFonts w:ascii="宋体"/>
              </w:rPr>
            </w:pPr>
          </w:p>
        </w:tc>
        <w:tc>
          <w:tcPr>
            <w:tcW w:w="0" w:type="auto"/>
            <w:shd w:val="clear" w:color="auto" w:fill="auto"/>
          </w:tcPr>
          <w:p w14:paraId="0D8DF44E" w14:textId="77777777" w:rsidR="004C2197" w:rsidRDefault="004C2197">
            <w:pPr>
              <w:rPr>
                <w:rFonts w:ascii="宋体"/>
              </w:rPr>
            </w:pPr>
          </w:p>
        </w:tc>
        <w:tc>
          <w:tcPr>
            <w:tcW w:w="0" w:type="auto"/>
            <w:shd w:val="clear" w:color="auto" w:fill="auto"/>
          </w:tcPr>
          <w:p w14:paraId="0D8DF44F" w14:textId="77777777" w:rsidR="004C2197" w:rsidRDefault="004C2197">
            <w:pPr>
              <w:rPr>
                <w:rFonts w:ascii="宋体"/>
              </w:rPr>
            </w:pPr>
          </w:p>
        </w:tc>
        <w:tc>
          <w:tcPr>
            <w:tcW w:w="0" w:type="auto"/>
            <w:shd w:val="clear" w:color="auto" w:fill="auto"/>
          </w:tcPr>
          <w:p w14:paraId="0D8DF450" w14:textId="77777777" w:rsidR="004C2197" w:rsidRDefault="004C2197">
            <w:pPr>
              <w:rPr>
                <w:rFonts w:ascii="宋体"/>
              </w:rPr>
            </w:pPr>
          </w:p>
        </w:tc>
        <w:tc>
          <w:tcPr>
            <w:tcW w:w="0" w:type="auto"/>
            <w:shd w:val="clear" w:color="auto" w:fill="auto"/>
          </w:tcPr>
          <w:p w14:paraId="0D8DF451" w14:textId="77777777" w:rsidR="004C2197" w:rsidRDefault="004C2197">
            <w:pPr>
              <w:rPr>
                <w:rFonts w:ascii="宋体"/>
              </w:rPr>
            </w:pPr>
          </w:p>
        </w:tc>
        <w:tc>
          <w:tcPr>
            <w:tcW w:w="0" w:type="auto"/>
            <w:shd w:val="clear" w:color="auto" w:fill="auto"/>
          </w:tcPr>
          <w:p w14:paraId="0D8DF452" w14:textId="77777777" w:rsidR="004C2197" w:rsidRDefault="004C2197">
            <w:pPr>
              <w:rPr>
                <w:rFonts w:ascii="宋体"/>
              </w:rPr>
            </w:pPr>
          </w:p>
        </w:tc>
        <w:tc>
          <w:tcPr>
            <w:tcW w:w="0" w:type="auto"/>
            <w:shd w:val="clear" w:color="auto" w:fill="auto"/>
          </w:tcPr>
          <w:p w14:paraId="0D8DF453" w14:textId="77777777" w:rsidR="004C2197" w:rsidRDefault="004C2197">
            <w:pPr>
              <w:rPr>
                <w:rFonts w:ascii="宋体"/>
              </w:rPr>
            </w:pPr>
          </w:p>
        </w:tc>
        <w:tc>
          <w:tcPr>
            <w:tcW w:w="0" w:type="auto"/>
            <w:shd w:val="clear" w:color="auto" w:fill="auto"/>
          </w:tcPr>
          <w:p w14:paraId="0D8DF454" w14:textId="77777777" w:rsidR="004C2197" w:rsidRDefault="004C2197">
            <w:pPr>
              <w:rPr>
                <w:rFonts w:ascii="宋体"/>
              </w:rPr>
            </w:pPr>
          </w:p>
        </w:tc>
        <w:tc>
          <w:tcPr>
            <w:tcW w:w="0" w:type="auto"/>
            <w:shd w:val="clear" w:color="auto" w:fill="auto"/>
          </w:tcPr>
          <w:p w14:paraId="0D8DF455" w14:textId="77777777" w:rsidR="004C2197" w:rsidRDefault="004C2197">
            <w:pPr>
              <w:rPr>
                <w:rFonts w:ascii="宋体"/>
              </w:rPr>
            </w:pPr>
          </w:p>
        </w:tc>
        <w:tc>
          <w:tcPr>
            <w:tcW w:w="0" w:type="auto"/>
            <w:shd w:val="clear" w:color="auto" w:fill="auto"/>
          </w:tcPr>
          <w:p w14:paraId="0D8DF456" w14:textId="77777777" w:rsidR="004C2197" w:rsidRDefault="004C2197">
            <w:pPr>
              <w:rPr>
                <w:rFonts w:ascii="宋体"/>
              </w:rPr>
            </w:pPr>
          </w:p>
        </w:tc>
        <w:tc>
          <w:tcPr>
            <w:tcW w:w="0" w:type="auto"/>
            <w:shd w:val="clear" w:color="auto" w:fill="auto"/>
          </w:tcPr>
          <w:p w14:paraId="0D8DF457" w14:textId="77777777" w:rsidR="004C2197" w:rsidRDefault="004C2197">
            <w:pPr>
              <w:rPr>
                <w:rFonts w:ascii="宋体"/>
              </w:rPr>
            </w:pPr>
          </w:p>
        </w:tc>
        <w:tc>
          <w:tcPr>
            <w:tcW w:w="0" w:type="auto"/>
            <w:shd w:val="clear" w:color="auto" w:fill="auto"/>
          </w:tcPr>
          <w:p w14:paraId="0D8DF458" w14:textId="77777777" w:rsidR="004C2197" w:rsidRDefault="004C2197">
            <w:pPr>
              <w:rPr>
                <w:rFonts w:ascii="宋体"/>
              </w:rPr>
            </w:pPr>
          </w:p>
        </w:tc>
        <w:tc>
          <w:tcPr>
            <w:tcW w:w="0" w:type="auto"/>
            <w:shd w:val="clear" w:color="auto" w:fill="auto"/>
          </w:tcPr>
          <w:p w14:paraId="0D8DF459" w14:textId="77777777" w:rsidR="004C2197" w:rsidRDefault="004C2197">
            <w:pPr>
              <w:rPr>
                <w:rFonts w:ascii="宋体"/>
              </w:rPr>
            </w:pPr>
          </w:p>
        </w:tc>
        <w:tc>
          <w:tcPr>
            <w:tcW w:w="0" w:type="auto"/>
            <w:shd w:val="clear" w:color="auto" w:fill="auto"/>
          </w:tcPr>
          <w:p w14:paraId="0D8DF45A" w14:textId="77777777" w:rsidR="004C2197" w:rsidRDefault="004C2197">
            <w:pPr>
              <w:rPr>
                <w:rFonts w:ascii="宋体"/>
              </w:rPr>
            </w:pPr>
          </w:p>
        </w:tc>
        <w:tc>
          <w:tcPr>
            <w:tcW w:w="0" w:type="auto"/>
            <w:shd w:val="clear" w:color="auto" w:fill="auto"/>
          </w:tcPr>
          <w:p w14:paraId="0D8DF45B" w14:textId="77777777" w:rsidR="004C2197" w:rsidRDefault="004C2197">
            <w:pPr>
              <w:rPr>
                <w:rFonts w:ascii="宋体"/>
              </w:rPr>
            </w:pPr>
          </w:p>
        </w:tc>
        <w:tc>
          <w:tcPr>
            <w:tcW w:w="0" w:type="auto"/>
            <w:shd w:val="clear" w:color="auto" w:fill="auto"/>
          </w:tcPr>
          <w:p w14:paraId="0D8DF45C" w14:textId="77777777" w:rsidR="004C2197" w:rsidRDefault="004C2197">
            <w:pPr>
              <w:rPr>
                <w:rFonts w:ascii="宋体"/>
              </w:rPr>
            </w:pPr>
          </w:p>
        </w:tc>
        <w:tc>
          <w:tcPr>
            <w:tcW w:w="0" w:type="auto"/>
            <w:shd w:val="clear" w:color="auto" w:fill="auto"/>
          </w:tcPr>
          <w:p w14:paraId="0D8DF45D" w14:textId="77777777" w:rsidR="004C2197" w:rsidRDefault="004C2197">
            <w:pPr>
              <w:rPr>
                <w:rFonts w:ascii="宋体"/>
              </w:rPr>
            </w:pPr>
          </w:p>
        </w:tc>
        <w:tc>
          <w:tcPr>
            <w:tcW w:w="0" w:type="auto"/>
            <w:shd w:val="clear" w:color="auto" w:fill="auto"/>
          </w:tcPr>
          <w:p w14:paraId="0D8DF45E" w14:textId="77777777" w:rsidR="004C2197" w:rsidRDefault="004C2197">
            <w:pPr>
              <w:rPr>
                <w:rFonts w:ascii="宋体"/>
              </w:rPr>
            </w:pPr>
          </w:p>
        </w:tc>
        <w:tc>
          <w:tcPr>
            <w:tcW w:w="0" w:type="auto"/>
            <w:shd w:val="clear" w:color="auto" w:fill="auto"/>
          </w:tcPr>
          <w:p w14:paraId="0D8DF45F" w14:textId="77777777" w:rsidR="004C2197" w:rsidRDefault="004C2197">
            <w:pPr>
              <w:rPr>
                <w:rFonts w:ascii="宋体"/>
              </w:rPr>
            </w:pPr>
          </w:p>
        </w:tc>
        <w:tc>
          <w:tcPr>
            <w:tcW w:w="0" w:type="auto"/>
            <w:shd w:val="clear" w:color="auto" w:fill="auto"/>
          </w:tcPr>
          <w:p w14:paraId="0D8DF460" w14:textId="77777777" w:rsidR="004C2197" w:rsidRDefault="004C2197">
            <w:pPr>
              <w:rPr>
                <w:rFonts w:ascii="宋体"/>
              </w:rPr>
            </w:pPr>
          </w:p>
        </w:tc>
        <w:tc>
          <w:tcPr>
            <w:tcW w:w="0" w:type="auto"/>
            <w:shd w:val="clear" w:color="auto" w:fill="auto"/>
          </w:tcPr>
          <w:p w14:paraId="0D8DF461" w14:textId="77777777" w:rsidR="004C2197" w:rsidRDefault="004C2197">
            <w:pPr>
              <w:rPr>
                <w:rFonts w:ascii="宋体"/>
              </w:rPr>
            </w:pPr>
          </w:p>
        </w:tc>
        <w:tc>
          <w:tcPr>
            <w:tcW w:w="0" w:type="auto"/>
            <w:shd w:val="clear" w:color="auto" w:fill="auto"/>
          </w:tcPr>
          <w:p w14:paraId="0D8DF462" w14:textId="77777777" w:rsidR="004C2197" w:rsidRDefault="004C2197">
            <w:pPr>
              <w:rPr>
                <w:rFonts w:ascii="宋体"/>
              </w:rPr>
            </w:pPr>
          </w:p>
        </w:tc>
        <w:tc>
          <w:tcPr>
            <w:tcW w:w="0" w:type="auto"/>
            <w:shd w:val="clear" w:color="auto" w:fill="auto"/>
          </w:tcPr>
          <w:p w14:paraId="0D8DF463" w14:textId="77777777" w:rsidR="004C2197" w:rsidRDefault="004C2197">
            <w:pPr>
              <w:rPr>
                <w:rFonts w:ascii="宋体"/>
              </w:rPr>
            </w:pPr>
          </w:p>
        </w:tc>
      </w:tr>
      <w:tr w:rsidR="004C2197" w14:paraId="0D8DF471" w14:textId="77777777">
        <w:tc>
          <w:tcPr>
            <w:tcW w:w="0" w:type="auto"/>
            <w:gridSpan w:val="3"/>
            <w:shd w:val="clear" w:color="auto" w:fill="auto"/>
            <w:tcMar>
              <w:top w:w="40" w:type="dxa"/>
              <w:left w:w="20" w:type="dxa"/>
              <w:bottom w:w="40" w:type="dxa"/>
              <w:right w:w="20" w:type="dxa"/>
            </w:tcMar>
            <w:vAlign w:val="bottom"/>
          </w:tcPr>
          <w:p w14:paraId="0D8DF465" w14:textId="77777777" w:rsidR="004C2197" w:rsidRDefault="00863B83">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D8DF466"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467" w14:textId="77777777" w:rsidR="004C2197" w:rsidRDefault="004C2197">
            <w:pPr>
              <w:rPr>
                <w:rFonts w:ascii="宋体"/>
                <w:vanish/>
              </w:rPr>
            </w:pPr>
          </w:p>
        </w:tc>
        <w:tc>
          <w:tcPr>
            <w:tcW w:w="0" w:type="auto"/>
            <w:gridSpan w:val="3"/>
            <w:shd w:val="clear" w:color="auto" w:fill="auto"/>
          </w:tcPr>
          <w:p w14:paraId="0D8DF468" w14:textId="77777777" w:rsidR="004C2197" w:rsidRDefault="004C2197">
            <w:pPr>
              <w:rPr>
                <w:rFonts w:ascii="宋体"/>
                <w:vanish/>
              </w:rPr>
            </w:pPr>
          </w:p>
        </w:tc>
        <w:tc>
          <w:tcPr>
            <w:tcW w:w="0" w:type="auto"/>
            <w:gridSpan w:val="3"/>
            <w:shd w:val="clear" w:color="auto" w:fill="auto"/>
          </w:tcPr>
          <w:p w14:paraId="0D8DF469" w14:textId="77777777" w:rsidR="004C2197" w:rsidRDefault="004C2197">
            <w:pPr>
              <w:rPr>
                <w:rFonts w:ascii="宋体"/>
                <w:vanish/>
              </w:rPr>
            </w:pPr>
          </w:p>
        </w:tc>
        <w:tc>
          <w:tcPr>
            <w:tcW w:w="0" w:type="auto"/>
            <w:gridSpan w:val="3"/>
            <w:shd w:val="clear" w:color="auto" w:fill="auto"/>
          </w:tcPr>
          <w:p w14:paraId="0D8DF46A" w14:textId="77777777" w:rsidR="004C2197" w:rsidRDefault="004C2197">
            <w:pPr>
              <w:rPr>
                <w:rFonts w:ascii="宋体"/>
                <w:vanish/>
              </w:rPr>
            </w:pPr>
          </w:p>
        </w:tc>
        <w:tc>
          <w:tcPr>
            <w:tcW w:w="0" w:type="auto"/>
            <w:gridSpan w:val="3"/>
            <w:shd w:val="clear" w:color="auto" w:fill="auto"/>
          </w:tcPr>
          <w:p w14:paraId="0D8DF46B" w14:textId="77777777" w:rsidR="004C2197" w:rsidRDefault="004C2197">
            <w:pPr>
              <w:rPr>
                <w:rFonts w:ascii="宋体"/>
                <w:vanish/>
              </w:rPr>
            </w:pPr>
          </w:p>
        </w:tc>
        <w:tc>
          <w:tcPr>
            <w:tcW w:w="0" w:type="auto"/>
            <w:gridSpan w:val="3"/>
            <w:shd w:val="clear" w:color="auto" w:fill="auto"/>
          </w:tcPr>
          <w:p w14:paraId="0D8DF46C" w14:textId="77777777" w:rsidR="004C2197" w:rsidRDefault="004C2197">
            <w:pPr>
              <w:rPr>
                <w:rFonts w:ascii="宋体"/>
                <w:vanish/>
              </w:rPr>
            </w:pPr>
          </w:p>
        </w:tc>
        <w:tc>
          <w:tcPr>
            <w:tcW w:w="0" w:type="auto"/>
            <w:gridSpan w:val="3"/>
            <w:shd w:val="clear" w:color="auto" w:fill="auto"/>
          </w:tcPr>
          <w:p w14:paraId="0D8DF46D" w14:textId="77777777" w:rsidR="004C2197" w:rsidRDefault="004C2197">
            <w:pPr>
              <w:rPr>
                <w:rFonts w:ascii="宋体"/>
                <w:vanish/>
              </w:rPr>
            </w:pPr>
          </w:p>
        </w:tc>
        <w:tc>
          <w:tcPr>
            <w:tcW w:w="0" w:type="auto"/>
            <w:gridSpan w:val="3"/>
            <w:shd w:val="clear" w:color="auto" w:fill="auto"/>
          </w:tcPr>
          <w:p w14:paraId="0D8DF46E" w14:textId="77777777" w:rsidR="004C2197" w:rsidRDefault="004C2197">
            <w:pPr>
              <w:rPr>
                <w:rFonts w:ascii="宋体"/>
                <w:vanish/>
              </w:rPr>
            </w:pPr>
          </w:p>
        </w:tc>
        <w:tc>
          <w:tcPr>
            <w:tcW w:w="0" w:type="auto"/>
            <w:gridSpan w:val="2"/>
            <w:shd w:val="clear" w:color="auto" w:fill="auto"/>
          </w:tcPr>
          <w:p w14:paraId="0D8DF46F" w14:textId="77777777" w:rsidR="004C2197" w:rsidRDefault="004C2197">
            <w:pPr>
              <w:rPr>
                <w:rFonts w:ascii="宋体"/>
                <w:vanish/>
              </w:rPr>
            </w:pPr>
          </w:p>
        </w:tc>
        <w:tc>
          <w:tcPr>
            <w:tcW w:w="0" w:type="auto"/>
            <w:shd w:val="clear" w:color="auto" w:fill="auto"/>
          </w:tcPr>
          <w:p w14:paraId="0D8DF470" w14:textId="77777777" w:rsidR="004C2197" w:rsidRDefault="004C2197">
            <w:pPr>
              <w:rPr>
                <w:rFonts w:ascii="宋体"/>
                <w:vanish/>
              </w:rPr>
            </w:pPr>
          </w:p>
        </w:tc>
      </w:tr>
      <w:tr w:rsidR="004C2197" w14:paraId="0D8DF4A5" w14:textId="77777777">
        <w:tc>
          <w:tcPr>
            <w:tcW w:w="0" w:type="auto"/>
            <w:gridSpan w:val="3"/>
            <w:shd w:val="clear" w:color="auto" w:fill="E2EFD9"/>
            <w:tcMar>
              <w:top w:w="40" w:type="dxa"/>
              <w:left w:w="20" w:type="dxa"/>
              <w:bottom w:w="40" w:type="dxa"/>
              <w:right w:w="20" w:type="dxa"/>
            </w:tcMar>
            <w:vAlign w:val="bottom"/>
          </w:tcPr>
          <w:p w14:paraId="0D8DF472" w14:textId="77777777" w:rsidR="004C2197" w:rsidRDefault="00863B83">
            <w:pPr>
              <w:textAlignment w:val="bottom"/>
            </w:pPr>
            <w:r>
              <w:rPr>
                <w:rFonts w:ascii="sans-serif" w:eastAsia="sans-serif" w:hAnsi="sans-serif" w:cs="sans-serif"/>
                <w:color w:val="000000"/>
                <w:sz w:val="20"/>
                <w:szCs w:val="20"/>
              </w:rPr>
              <w:t>Money market funds</w:t>
            </w:r>
          </w:p>
        </w:tc>
        <w:tc>
          <w:tcPr>
            <w:tcW w:w="0" w:type="auto"/>
            <w:shd w:val="clear" w:color="auto" w:fill="E2EFD9"/>
            <w:tcMar>
              <w:top w:w="40" w:type="dxa"/>
              <w:left w:w="20" w:type="dxa"/>
              <w:bottom w:w="40" w:type="dxa"/>
            </w:tcMar>
            <w:vAlign w:val="bottom"/>
          </w:tcPr>
          <w:p w14:paraId="0D8DF47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74" w14:textId="77777777" w:rsidR="004C2197" w:rsidRDefault="00863B83">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0D8DF47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7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47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7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7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7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47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7C"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7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7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47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80" w14:textId="77777777" w:rsidR="004C2197" w:rsidRDefault="00863B83">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0D8DF48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8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48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84" w14:textId="77777777" w:rsidR="004C2197" w:rsidRDefault="00863B83">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bottom w:w="40" w:type="dxa"/>
              <w:right w:w="20" w:type="dxa"/>
            </w:tcMar>
            <w:vAlign w:val="bottom"/>
          </w:tcPr>
          <w:p w14:paraId="0D8DF48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8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48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48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89" w14:textId="77777777" w:rsidR="004C2197" w:rsidRDefault="004C2197">
            <w:pPr>
              <w:jc w:val="right"/>
              <w:rPr>
                <w:rFonts w:ascii="宋体"/>
              </w:rPr>
            </w:pPr>
          </w:p>
        </w:tc>
        <w:tc>
          <w:tcPr>
            <w:tcW w:w="0" w:type="auto"/>
            <w:shd w:val="clear" w:color="auto" w:fill="auto"/>
          </w:tcPr>
          <w:p w14:paraId="0D8DF48A" w14:textId="77777777" w:rsidR="004C2197" w:rsidRDefault="004C2197">
            <w:pPr>
              <w:rPr>
                <w:rFonts w:ascii="宋体"/>
              </w:rPr>
            </w:pPr>
          </w:p>
        </w:tc>
        <w:tc>
          <w:tcPr>
            <w:tcW w:w="0" w:type="auto"/>
            <w:shd w:val="clear" w:color="auto" w:fill="auto"/>
          </w:tcPr>
          <w:p w14:paraId="0D8DF48B" w14:textId="77777777" w:rsidR="004C2197" w:rsidRDefault="004C2197">
            <w:pPr>
              <w:rPr>
                <w:rFonts w:ascii="宋体"/>
              </w:rPr>
            </w:pPr>
          </w:p>
        </w:tc>
        <w:tc>
          <w:tcPr>
            <w:tcW w:w="0" w:type="auto"/>
            <w:shd w:val="clear" w:color="auto" w:fill="auto"/>
          </w:tcPr>
          <w:p w14:paraId="0D8DF48C" w14:textId="77777777" w:rsidR="004C2197" w:rsidRDefault="004C2197">
            <w:pPr>
              <w:rPr>
                <w:rFonts w:ascii="宋体"/>
              </w:rPr>
            </w:pPr>
          </w:p>
        </w:tc>
        <w:tc>
          <w:tcPr>
            <w:tcW w:w="0" w:type="auto"/>
            <w:shd w:val="clear" w:color="auto" w:fill="auto"/>
          </w:tcPr>
          <w:p w14:paraId="0D8DF48D" w14:textId="77777777" w:rsidR="004C2197" w:rsidRDefault="004C2197">
            <w:pPr>
              <w:rPr>
                <w:rFonts w:ascii="宋体"/>
              </w:rPr>
            </w:pPr>
          </w:p>
        </w:tc>
        <w:tc>
          <w:tcPr>
            <w:tcW w:w="0" w:type="auto"/>
            <w:shd w:val="clear" w:color="auto" w:fill="auto"/>
          </w:tcPr>
          <w:p w14:paraId="0D8DF48E" w14:textId="77777777" w:rsidR="004C2197" w:rsidRDefault="004C2197">
            <w:pPr>
              <w:rPr>
                <w:rFonts w:ascii="宋体"/>
              </w:rPr>
            </w:pPr>
          </w:p>
        </w:tc>
        <w:tc>
          <w:tcPr>
            <w:tcW w:w="0" w:type="auto"/>
            <w:shd w:val="clear" w:color="auto" w:fill="auto"/>
          </w:tcPr>
          <w:p w14:paraId="0D8DF48F" w14:textId="77777777" w:rsidR="004C2197" w:rsidRDefault="004C2197">
            <w:pPr>
              <w:rPr>
                <w:rFonts w:ascii="宋体"/>
              </w:rPr>
            </w:pPr>
          </w:p>
        </w:tc>
        <w:tc>
          <w:tcPr>
            <w:tcW w:w="0" w:type="auto"/>
            <w:shd w:val="clear" w:color="auto" w:fill="auto"/>
          </w:tcPr>
          <w:p w14:paraId="0D8DF490" w14:textId="77777777" w:rsidR="004C2197" w:rsidRDefault="004C2197">
            <w:pPr>
              <w:rPr>
                <w:rFonts w:ascii="宋体"/>
              </w:rPr>
            </w:pPr>
          </w:p>
        </w:tc>
        <w:tc>
          <w:tcPr>
            <w:tcW w:w="0" w:type="auto"/>
            <w:shd w:val="clear" w:color="auto" w:fill="auto"/>
          </w:tcPr>
          <w:p w14:paraId="0D8DF491" w14:textId="77777777" w:rsidR="004C2197" w:rsidRDefault="004C2197">
            <w:pPr>
              <w:rPr>
                <w:rFonts w:ascii="宋体"/>
              </w:rPr>
            </w:pPr>
          </w:p>
        </w:tc>
        <w:tc>
          <w:tcPr>
            <w:tcW w:w="0" w:type="auto"/>
            <w:shd w:val="clear" w:color="auto" w:fill="auto"/>
          </w:tcPr>
          <w:p w14:paraId="0D8DF492" w14:textId="77777777" w:rsidR="004C2197" w:rsidRDefault="004C2197">
            <w:pPr>
              <w:rPr>
                <w:rFonts w:ascii="宋体"/>
              </w:rPr>
            </w:pPr>
          </w:p>
        </w:tc>
        <w:tc>
          <w:tcPr>
            <w:tcW w:w="0" w:type="auto"/>
            <w:shd w:val="clear" w:color="auto" w:fill="auto"/>
          </w:tcPr>
          <w:p w14:paraId="0D8DF493" w14:textId="77777777" w:rsidR="004C2197" w:rsidRDefault="004C2197">
            <w:pPr>
              <w:rPr>
                <w:rFonts w:ascii="宋体"/>
              </w:rPr>
            </w:pPr>
          </w:p>
        </w:tc>
        <w:tc>
          <w:tcPr>
            <w:tcW w:w="0" w:type="auto"/>
            <w:shd w:val="clear" w:color="auto" w:fill="auto"/>
          </w:tcPr>
          <w:p w14:paraId="0D8DF494" w14:textId="77777777" w:rsidR="004C2197" w:rsidRDefault="004C2197">
            <w:pPr>
              <w:rPr>
                <w:rFonts w:ascii="宋体"/>
              </w:rPr>
            </w:pPr>
          </w:p>
        </w:tc>
        <w:tc>
          <w:tcPr>
            <w:tcW w:w="0" w:type="auto"/>
            <w:shd w:val="clear" w:color="auto" w:fill="auto"/>
          </w:tcPr>
          <w:p w14:paraId="0D8DF495" w14:textId="77777777" w:rsidR="004C2197" w:rsidRDefault="004C2197">
            <w:pPr>
              <w:rPr>
                <w:rFonts w:ascii="宋体"/>
              </w:rPr>
            </w:pPr>
          </w:p>
        </w:tc>
        <w:tc>
          <w:tcPr>
            <w:tcW w:w="0" w:type="auto"/>
            <w:shd w:val="clear" w:color="auto" w:fill="auto"/>
          </w:tcPr>
          <w:p w14:paraId="0D8DF496" w14:textId="77777777" w:rsidR="004C2197" w:rsidRDefault="004C2197">
            <w:pPr>
              <w:rPr>
                <w:rFonts w:ascii="宋体"/>
              </w:rPr>
            </w:pPr>
          </w:p>
        </w:tc>
        <w:tc>
          <w:tcPr>
            <w:tcW w:w="0" w:type="auto"/>
            <w:shd w:val="clear" w:color="auto" w:fill="auto"/>
          </w:tcPr>
          <w:p w14:paraId="0D8DF497" w14:textId="77777777" w:rsidR="004C2197" w:rsidRDefault="004C2197">
            <w:pPr>
              <w:rPr>
                <w:rFonts w:ascii="宋体"/>
              </w:rPr>
            </w:pPr>
          </w:p>
        </w:tc>
        <w:tc>
          <w:tcPr>
            <w:tcW w:w="0" w:type="auto"/>
            <w:shd w:val="clear" w:color="auto" w:fill="auto"/>
          </w:tcPr>
          <w:p w14:paraId="0D8DF498" w14:textId="77777777" w:rsidR="004C2197" w:rsidRDefault="004C2197">
            <w:pPr>
              <w:rPr>
                <w:rFonts w:ascii="宋体"/>
              </w:rPr>
            </w:pPr>
          </w:p>
        </w:tc>
        <w:tc>
          <w:tcPr>
            <w:tcW w:w="0" w:type="auto"/>
            <w:shd w:val="clear" w:color="auto" w:fill="auto"/>
          </w:tcPr>
          <w:p w14:paraId="0D8DF499" w14:textId="77777777" w:rsidR="004C2197" w:rsidRDefault="004C2197">
            <w:pPr>
              <w:rPr>
                <w:rFonts w:ascii="宋体"/>
              </w:rPr>
            </w:pPr>
          </w:p>
        </w:tc>
        <w:tc>
          <w:tcPr>
            <w:tcW w:w="0" w:type="auto"/>
            <w:shd w:val="clear" w:color="auto" w:fill="auto"/>
          </w:tcPr>
          <w:p w14:paraId="0D8DF49A" w14:textId="77777777" w:rsidR="004C2197" w:rsidRDefault="004C2197">
            <w:pPr>
              <w:rPr>
                <w:rFonts w:ascii="宋体"/>
              </w:rPr>
            </w:pPr>
          </w:p>
        </w:tc>
        <w:tc>
          <w:tcPr>
            <w:tcW w:w="0" w:type="auto"/>
            <w:shd w:val="clear" w:color="auto" w:fill="auto"/>
          </w:tcPr>
          <w:p w14:paraId="0D8DF49B" w14:textId="77777777" w:rsidR="004C2197" w:rsidRDefault="004C2197">
            <w:pPr>
              <w:rPr>
                <w:rFonts w:ascii="宋体"/>
              </w:rPr>
            </w:pPr>
          </w:p>
        </w:tc>
        <w:tc>
          <w:tcPr>
            <w:tcW w:w="0" w:type="auto"/>
            <w:shd w:val="clear" w:color="auto" w:fill="auto"/>
          </w:tcPr>
          <w:p w14:paraId="0D8DF49C" w14:textId="77777777" w:rsidR="004C2197" w:rsidRDefault="004C2197">
            <w:pPr>
              <w:rPr>
                <w:rFonts w:ascii="宋体"/>
              </w:rPr>
            </w:pPr>
          </w:p>
        </w:tc>
        <w:tc>
          <w:tcPr>
            <w:tcW w:w="0" w:type="auto"/>
            <w:shd w:val="clear" w:color="auto" w:fill="auto"/>
          </w:tcPr>
          <w:p w14:paraId="0D8DF49D" w14:textId="77777777" w:rsidR="004C2197" w:rsidRDefault="004C2197">
            <w:pPr>
              <w:rPr>
                <w:rFonts w:ascii="宋体"/>
              </w:rPr>
            </w:pPr>
          </w:p>
        </w:tc>
        <w:tc>
          <w:tcPr>
            <w:tcW w:w="0" w:type="auto"/>
            <w:shd w:val="clear" w:color="auto" w:fill="auto"/>
          </w:tcPr>
          <w:p w14:paraId="0D8DF49E" w14:textId="77777777" w:rsidR="004C2197" w:rsidRDefault="004C2197">
            <w:pPr>
              <w:rPr>
                <w:rFonts w:ascii="宋体"/>
              </w:rPr>
            </w:pPr>
          </w:p>
        </w:tc>
        <w:tc>
          <w:tcPr>
            <w:tcW w:w="0" w:type="auto"/>
            <w:shd w:val="clear" w:color="auto" w:fill="auto"/>
          </w:tcPr>
          <w:p w14:paraId="0D8DF49F" w14:textId="77777777" w:rsidR="004C2197" w:rsidRDefault="004C2197">
            <w:pPr>
              <w:rPr>
                <w:rFonts w:ascii="宋体"/>
              </w:rPr>
            </w:pPr>
          </w:p>
        </w:tc>
        <w:tc>
          <w:tcPr>
            <w:tcW w:w="0" w:type="auto"/>
            <w:shd w:val="clear" w:color="auto" w:fill="auto"/>
          </w:tcPr>
          <w:p w14:paraId="0D8DF4A0" w14:textId="77777777" w:rsidR="004C2197" w:rsidRDefault="004C2197">
            <w:pPr>
              <w:rPr>
                <w:rFonts w:ascii="宋体"/>
              </w:rPr>
            </w:pPr>
          </w:p>
        </w:tc>
        <w:tc>
          <w:tcPr>
            <w:tcW w:w="0" w:type="auto"/>
            <w:shd w:val="clear" w:color="auto" w:fill="auto"/>
          </w:tcPr>
          <w:p w14:paraId="0D8DF4A1" w14:textId="77777777" w:rsidR="004C2197" w:rsidRDefault="004C2197">
            <w:pPr>
              <w:rPr>
                <w:rFonts w:ascii="宋体"/>
              </w:rPr>
            </w:pPr>
          </w:p>
        </w:tc>
        <w:tc>
          <w:tcPr>
            <w:tcW w:w="0" w:type="auto"/>
            <w:shd w:val="clear" w:color="auto" w:fill="auto"/>
          </w:tcPr>
          <w:p w14:paraId="0D8DF4A2" w14:textId="77777777" w:rsidR="004C2197" w:rsidRDefault="004C2197">
            <w:pPr>
              <w:rPr>
                <w:rFonts w:ascii="宋体"/>
              </w:rPr>
            </w:pPr>
          </w:p>
        </w:tc>
        <w:tc>
          <w:tcPr>
            <w:tcW w:w="0" w:type="auto"/>
            <w:shd w:val="clear" w:color="auto" w:fill="auto"/>
          </w:tcPr>
          <w:p w14:paraId="0D8DF4A3" w14:textId="77777777" w:rsidR="004C2197" w:rsidRDefault="004C2197">
            <w:pPr>
              <w:rPr>
                <w:rFonts w:ascii="宋体"/>
              </w:rPr>
            </w:pPr>
          </w:p>
        </w:tc>
        <w:tc>
          <w:tcPr>
            <w:tcW w:w="0" w:type="auto"/>
            <w:shd w:val="clear" w:color="auto" w:fill="auto"/>
          </w:tcPr>
          <w:p w14:paraId="0D8DF4A4" w14:textId="77777777" w:rsidR="004C2197" w:rsidRDefault="004C2197">
            <w:pPr>
              <w:rPr>
                <w:rFonts w:ascii="宋体"/>
              </w:rPr>
            </w:pPr>
          </w:p>
        </w:tc>
      </w:tr>
      <w:tr w:rsidR="004C2197" w14:paraId="0D8DF4D3" w14:textId="77777777">
        <w:tc>
          <w:tcPr>
            <w:tcW w:w="0" w:type="auto"/>
            <w:gridSpan w:val="3"/>
            <w:shd w:val="clear" w:color="auto" w:fill="FFFFFF"/>
            <w:tcMar>
              <w:top w:w="40" w:type="dxa"/>
              <w:left w:w="20" w:type="dxa"/>
              <w:bottom w:w="40" w:type="dxa"/>
              <w:right w:w="20" w:type="dxa"/>
            </w:tcMar>
            <w:vAlign w:val="bottom"/>
          </w:tcPr>
          <w:p w14:paraId="0D8DF4A6" w14:textId="77777777" w:rsidR="004C2197" w:rsidRDefault="00863B83">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FFFFFF"/>
            <w:tcMar>
              <w:top w:w="40" w:type="dxa"/>
              <w:left w:w="20" w:type="dxa"/>
              <w:bottom w:w="40" w:type="dxa"/>
              <w:right w:w="0" w:type="dxa"/>
            </w:tcMar>
            <w:vAlign w:val="bottom"/>
          </w:tcPr>
          <w:p w14:paraId="0D8DF4A7" w14:textId="77777777" w:rsidR="004C2197" w:rsidRDefault="00863B83">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0D8DF4A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4A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4AA"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4A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4A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4AD"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4A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4A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4B0" w14:textId="77777777" w:rsidR="004C2197" w:rsidRDefault="00863B83">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0D8DF4B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4B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4B3" w14:textId="77777777" w:rsidR="004C2197" w:rsidRDefault="00863B83">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bottom w:w="40" w:type="dxa"/>
              <w:right w:w="20" w:type="dxa"/>
            </w:tcMar>
            <w:vAlign w:val="bottom"/>
          </w:tcPr>
          <w:p w14:paraId="0D8DF4B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4B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4B6"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4B7" w14:textId="77777777" w:rsidR="004C2197" w:rsidRDefault="004C2197">
            <w:pPr>
              <w:jc w:val="right"/>
              <w:rPr>
                <w:rFonts w:ascii="宋体"/>
              </w:rPr>
            </w:pPr>
          </w:p>
        </w:tc>
        <w:tc>
          <w:tcPr>
            <w:tcW w:w="0" w:type="auto"/>
            <w:shd w:val="clear" w:color="auto" w:fill="auto"/>
          </w:tcPr>
          <w:p w14:paraId="0D8DF4B8" w14:textId="77777777" w:rsidR="004C2197" w:rsidRDefault="004C2197">
            <w:pPr>
              <w:rPr>
                <w:rFonts w:ascii="宋体"/>
              </w:rPr>
            </w:pPr>
          </w:p>
        </w:tc>
        <w:tc>
          <w:tcPr>
            <w:tcW w:w="0" w:type="auto"/>
            <w:shd w:val="clear" w:color="auto" w:fill="auto"/>
          </w:tcPr>
          <w:p w14:paraId="0D8DF4B9" w14:textId="77777777" w:rsidR="004C2197" w:rsidRDefault="004C2197">
            <w:pPr>
              <w:rPr>
                <w:rFonts w:ascii="宋体"/>
              </w:rPr>
            </w:pPr>
          </w:p>
        </w:tc>
        <w:tc>
          <w:tcPr>
            <w:tcW w:w="0" w:type="auto"/>
            <w:shd w:val="clear" w:color="auto" w:fill="auto"/>
          </w:tcPr>
          <w:p w14:paraId="0D8DF4BA" w14:textId="77777777" w:rsidR="004C2197" w:rsidRDefault="004C2197">
            <w:pPr>
              <w:rPr>
                <w:rFonts w:ascii="宋体"/>
              </w:rPr>
            </w:pPr>
          </w:p>
        </w:tc>
        <w:tc>
          <w:tcPr>
            <w:tcW w:w="0" w:type="auto"/>
            <w:shd w:val="clear" w:color="auto" w:fill="auto"/>
          </w:tcPr>
          <w:p w14:paraId="0D8DF4BB" w14:textId="77777777" w:rsidR="004C2197" w:rsidRDefault="004C2197">
            <w:pPr>
              <w:rPr>
                <w:rFonts w:ascii="宋体"/>
              </w:rPr>
            </w:pPr>
          </w:p>
        </w:tc>
        <w:tc>
          <w:tcPr>
            <w:tcW w:w="0" w:type="auto"/>
            <w:shd w:val="clear" w:color="auto" w:fill="auto"/>
          </w:tcPr>
          <w:p w14:paraId="0D8DF4BC" w14:textId="77777777" w:rsidR="004C2197" w:rsidRDefault="004C2197">
            <w:pPr>
              <w:rPr>
                <w:rFonts w:ascii="宋体"/>
              </w:rPr>
            </w:pPr>
          </w:p>
        </w:tc>
        <w:tc>
          <w:tcPr>
            <w:tcW w:w="0" w:type="auto"/>
            <w:shd w:val="clear" w:color="auto" w:fill="auto"/>
          </w:tcPr>
          <w:p w14:paraId="0D8DF4BD" w14:textId="77777777" w:rsidR="004C2197" w:rsidRDefault="004C2197">
            <w:pPr>
              <w:rPr>
                <w:rFonts w:ascii="宋体"/>
              </w:rPr>
            </w:pPr>
          </w:p>
        </w:tc>
        <w:tc>
          <w:tcPr>
            <w:tcW w:w="0" w:type="auto"/>
            <w:shd w:val="clear" w:color="auto" w:fill="auto"/>
          </w:tcPr>
          <w:p w14:paraId="0D8DF4BE" w14:textId="77777777" w:rsidR="004C2197" w:rsidRDefault="004C2197">
            <w:pPr>
              <w:rPr>
                <w:rFonts w:ascii="宋体"/>
              </w:rPr>
            </w:pPr>
          </w:p>
        </w:tc>
        <w:tc>
          <w:tcPr>
            <w:tcW w:w="0" w:type="auto"/>
            <w:shd w:val="clear" w:color="auto" w:fill="auto"/>
          </w:tcPr>
          <w:p w14:paraId="0D8DF4BF" w14:textId="77777777" w:rsidR="004C2197" w:rsidRDefault="004C2197">
            <w:pPr>
              <w:rPr>
                <w:rFonts w:ascii="宋体"/>
              </w:rPr>
            </w:pPr>
          </w:p>
        </w:tc>
        <w:tc>
          <w:tcPr>
            <w:tcW w:w="0" w:type="auto"/>
            <w:shd w:val="clear" w:color="auto" w:fill="auto"/>
          </w:tcPr>
          <w:p w14:paraId="0D8DF4C0" w14:textId="77777777" w:rsidR="004C2197" w:rsidRDefault="004C2197">
            <w:pPr>
              <w:rPr>
                <w:rFonts w:ascii="宋体"/>
              </w:rPr>
            </w:pPr>
          </w:p>
        </w:tc>
        <w:tc>
          <w:tcPr>
            <w:tcW w:w="0" w:type="auto"/>
            <w:shd w:val="clear" w:color="auto" w:fill="auto"/>
          </w:tcPr>
          <w:p w14:paraId="0D8DF4C1" w14:textId="77777777" w:rsidR="004C2197" w:rsidRDefault="004C2197">
            <w:pPr>
              <w:rPr>
                <w:rFonts w:ascii="宋体"/>
              </w:rPr>
            </w:pPr>
          </w:p>
        </w:tc>
        <w:tc>
          <w:tcPr>
            <w:tcW w:w="0" w:type="auto"/>
            <w:shd w:val="clear" w:color="auto" w:fill="auto"/>
          </w:tcPr>
          <w:p w14:paraId="0D8DF4C2" w14:textId="77777777" w:rsidR="004C2197" w:rsidRDefault="004C2197">
            <w:pPr>
              <w:rPr>
                <w:rFonts w:ascii="宋体"/>
              </w:rPr>
            </w:pPr>
          </w:p>
        </w:tc>
        <w:tc>
          <w:tcPr>
            <w:tcW w:w="0" w:type="auto"/>
            <w:shd w:val="clear" w:color="auto" w:fill="auto"/>
          </w:tcPr>
          <w:p w14:paraId="0D8DF4C3" w14:textId="77777777" w:rsidR="004C2197" w:rsidRDefault="004C2197">
            <w:pPr>
              <w:rPr>
                <w:rFonts w:ascii="宋体"/>
              </w:rPr>
            </w:pPr>
          </w:p>
        </w:tc>
        <w:tc>
          <w:tcPr>
            <w:tcW w:w="0" w:type="auto"/>
            <w:shd w:val="clear" w:color="auto" w:fill="auto"/>
          </w:tcPr>
          <w:p w14:paraId="0D8DF4C4" w14:textId="77777777" w:rsidR="004C2197" w:rsidRDefault="004C2197">
            <w:pPr>
              <w:rPr>
                <w:rFonts w:ascii="宋体"/>
              </w:rPr>
            </w:pPr>
          </w:p>
        </w:tc>
        <w:tc>
          <w:tcPr>
            <w:tcW w:w="0" w:type="auto"/>
            <w:shd w:val="clear" w:color="auto" w:fill="auto"/>
          </w:tcPr>
          <w:p w14:paraId="0D8DF4C5" w14:textId="77777777" w:rsidR="004C2197" w:rsidRDefault="004C2197">
            <w:pPr>
              <w:rPr>
                <w:rFonts w:ascii="宋体"/>
              </w:rPr>
            </w:pPr>
          </w:p>
        </w:tc>
        <w:tc>
          <w:tcPr>
            <w:tcW w:w="0" w:type="auto"/>
            <w:shd w:val="clear" w:color="auto" w:fill="auto"/>
          </w:tcPr>
          <w:p w14:paraId="0D8DF4C6" w14:textId="77777777" w:rsidR="004C2197" w:rsidRDefault="004C2197">
            <w:pPr>
              <w:rPr>
                <w:rFonts w:ascii="宋体"/>
              </w:rPr>
            </w:pPr>
          </w:p>
        </w:tc>
        <w:tc>
          <w:tcPr>
            <w:tcW w:w="0" w:type="auto"/>
            <w:shd w:val="clear" w:color="auto" w:fill="auto"/>
          </w:tcPr>
          <w:p w14:paraId="0D8DF4C7" w14:textId="77777777" w:rsidR="004C2197" w:rsidRDefault="004C2197">
            <w:pPr>
              <w:rPr>
                <w:rFonts w:ascii="宋体"/>
              </w:rPr>
            </w:pPr>
          </w:p>
        </w:tc>
        <w:tc>
          <w:tcPr>
            <w:tcW w:w="0" w:type="auto"/>
            <w:shd w:val="clear" w:color="auto" w:fill="auto"/>
          </w:tcPr>
          <w:p w14:paraId="0D8DF4C8" w14:textId="77777777" w:rsidR="004C2197" w:rsidRDefault="004C2197">
            <w:pPr>
              <w:rPr>
                <w:rFonts w:ascii="宋体"/>
              </w:rPr>
            </w:pPr>
          </w:p>
        </w:tc>
        <w:tc>
          <w:tcPr>
            <w:tcW w:w="0" w:type="auto"/>
            <w:shd w:val="clear" w:color="auto" w:fill="auto"/>
          </w:tcPr>
          <w:p w14:paraId="0D8DF4C9" w14:textId="77777777" w:rsidR="004C2197" w:rsidRDefault="004C2197">
            <w:pPr>
              <w:rPr>
                <w:rFonts w:ascii="宋体"/>
              </w:rPr>
            </w:pPr>
          </w:p>
        </w:tc>
        <w:tc>
          <w:tcPr>
            <w:tcW w:w="0" w:type="auto"/>
            <w:shd w:val="clear" w:color="auto" w:fill="auto"/>
          </w:tcPr>
          <w:p w14:paraId="0D8DF4CA" w14:textId="77777777" w:rsidR="004C2197" w:rsidRDefault="004C2197">
            <w:pPr>
              <w:rPr>
                <w:rFonts w:ascii="宋体"/>
              </w:rPr>
            </w:pPr>
          </w:p>
        </w:tc>
        <w:tc>
          <w:tcPr>
            <w:tcW w:w="0" w:type="auto"/>
            <w:shd w:val="clear" w:color="auto" w:fill="auto"/>
          </w:tcPr>
          <w:p w14:paraId="0D8DF4CB" w14:textId="77777777" w:rsidR="004C2197" w:rsidRDefault="004C2197">
            <w:pPr>
              <w:rPr>
                <w:rFonts w:ascii="宋体"/>
              </w:rPr>
            </w:pPr>
          </w:p>
        </w:tc>
        <w:tc>
          <w:tcPr>
            <w:tcW w:w="0" w:type="auto"/>
            <w:shd w:val="clear" w:color="auto" w:fill="auto"/>
          </w:tcPr>
          <w:p w14:paraId="0D8DF4CC" w14:textId="77777777" w:rsidR="004C2197" w:rsidRDefault="004C2197">
            <w:pPr>
              <w:rPr>
                <w:rFonts w:ascii="宋体"/>
              </w:rPr>
            </w:pPr>
          </w:p>
        </w:tc>
        <w:tc>
          <w:tcPr>
            <w:tcW w:w="0" w:type="auto"/>
            <w:shd w:val="clear" w:color="auto" w:fill="auto"/>
          </w:tcPr>
          <w:p w14:paraId="0D8DF4CD" w14:textId="77777777" w:rsidR="004C2197" w:rsidRDefault="004C2197">
            <w:pPr>
              <w:rPr>
                <w:rFonts w:ascii="宋体"/>
              </w:rPr>
            </w:pPr>
          </w:p>
        </w:tc>
        <w:tc>
          <w:tcPr>
            <w:tcW w:w="0" w:type="auto"/>
            <w:shd w:val="clear" w:color="auto" w:fill="auto"/>
          </w:tcPr>
          <w:p w14:paraId="0D8DF4CE" w14:textId="77777777" w:rsidR="004C2197" w:rsidRDefault="004C2197">
            <w:pPr>
              <w:rPr>
                <w:rFonts w:ascii="宋体"/>
              </w:rPr>
            </w:pPr>
          </w:p>
        </w:tc>
        <w:tc>
          <w:tcPr>
            <w:tcW w:w="0" w:type="auto"/>
            <w:shd w:val="clear" w:color="auto" w:fill="auto"/>
          </w:tcPr>
          <w:p w14:paraId="0D8DF4CF" w14:textId="77777777" w:rsidR="004C2197" w:rsidRDefault="004C2197">
            <w:pPr>
              <w:rPr>
                <w:rFonts w:ascii="宋体"/>
              </w:rPr>
            </w:pPr>
          </w:p>
        </w:tc>
        <w:tc>
          <w:tcPr>
            <w:tcW w:w="0" w:type="auto"/>
            <w:shd w:val="clear" w:color="auto" w:fill="auto"/>
          </w:tcPr>
          <w:p w14:paraId="0D8DF4D0" w14:textId="77777777" w:rsidR="004C2197" w:rsidRDefault="004C2197">
            <w:pPr>
              <w:rPr>
                <w:rFonts w:ascii="宋体"/>
              </w:rPr>
            </w:pPr>
          </w:p>
        </w:tc>
        <w:tc>
          <w:tcPr>
            <w:tcW w:w="0" w:type="auto"/>
            <w:shd w:val="clear" w:color="auto" w:fill="auto"/>
          </w:tcPr>
          <w:p w14:paraId="0D8DF4D1" w14:textId="77777777" w:rsidR="004C2197" w:rsidRDefault="004C2197">
            <w:pPr>
              <w:rPr>
                <w:rFonts w:ascii="宋体"/>
              </w:rPr>
            </w:pPr>
          </w:p>
        </w:tc>
        <w:tc>
          <w:tcPr>
            <w:tcW w:w="0" w:type="auto"/>
            <w:shd w:val="clear" w:color="auto" w:fill="auto"/>
          </w:tcPr>
          <w:p w14:paraId="0D8DF4D2" w14:textId="77777777" w:rsidR="004C2197" w:rsidRDefault="004C2197">
            <w:pPr>
              <w:rPr>
                <w:rFonts w:ascii="宋体"/>
              </w:rPr>
            </w:pPr>
          </w:p>
        </w:tc>
      </w:tr>
      <w:tr w:rsidR="004C2197" w14:paraId="0D8DF501" w14:textId="77777777">
        <w:tc>
          <w:tcPr>
            <w:tcW w:w="0" w:type="auto"/>
            <w:gridSpan w:val="3"/>
            <w:shd w:val="clear" w:color="auto" w:fill="E2EFD9"/>
            <w:tcMar>
              <w:top w:w="40" w:type="dxa"/>
              <w:left w:w="20" w:type="dxa"/>
              <w:bottom w:w="40" w:type="dxa"/>
              <w:right w:w="20" w:type="dxa"/>
            </w:tcMar>
            <w:vAlign w:val="bottom"/>
          </w:tcPr>
          <w:p w14:paraId="0D8DF4D4" w14:textId="77777777" w:rsidR="004C2197" w:rsidRDefault="00863B83">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0D8DF4D5" w14:textId="77777777" w:rsidR="004C2197" w:rsidRDefault="00863B83">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0D8DF4D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D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4D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D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D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4DB"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D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D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4DE" w14:textId="77777777" w:rsidR="004C2197" w:rsidRDefault="00863B83">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0D8DF4D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E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4E1" w14:textId="77777777" w:rsidR="004C2197" w:rsidRDefault="00863B83">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bottom w:w="40" w:type="dxa"/>
              <w:right w:w="20" w:type="dxa"/>
            </w:tcMar>
            <w:vAlign w:val="bottom"/>
          </w:tcPr>
          <w:p w14:paraId="0D8DF4E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4E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4E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4E5" w14:textId="77777777" w:rsidR="004C2197" w:rsidRDefault="004C2197">
            <w:pPr>
              <w:jc w:val="right"/>
              <w:rPr>
                <w:rFonts w:ascii="宋体"/>
              </w:rPr>
            </w:pPr>
          </w:p>
        </w:tc>
        <w:tc>
          <w:tcPr>
            <w:tcW w:w="0" w:type="auto"/>
            <w:shd w:val="clear" w:color="auto" w:fill="auto"/>
          </w:tcPr>
          <w:p w14:paraId="0D8DF4E6" w14:textId="77777777" w:rsidR="004C2197" w:rsidRDefault="004C2197">
            <w:pPr>
              <w:rPr>
                <w:rFonts w:ascii="宋体"/>
              </w:rPr>
            </w:pPr>
          </w:p>
        </w:tc>
        <w:tc>
          <w:tcPr>
            <w:tcW w:w="0" w:type="auto"/>
            <w:shd w:val="clear" w:color="auto" w:fill="auto"/>
          </w:tcPr>
          <w:p w14:paraId="0D8DF4E7" w14:textId="77777777" w:rsidR="004C2197" w:rsidRDefault="004C2197">
            <w:pPr>
              <w:rPr>
                <w:rFonts w:ascii="宋体"/>
              </w:rPr>
            </w:pPr>
          </w:p>
        </w:tc>
        <w:tc>
          <w:tcPr>
            <w:tcW w:w="0" w:type="auto"/>
            <w:shd w:val="clear" w:color="auto" w:fill="auto"/>
          </w:tcPr>
          <w:p w14:paraId="0D8DF4E8" w14:textId="77777777" w:rsidR="004C2197" w:rsidRDefault="004C2197">
            <w:pPr>
              <w:rPr>
                <w:rFonts w:ascii="宋体"/>
              </w:rPr>
            </w:pPr>
          </w:p>
        </w:tc>
        <w:tc>
          <w:tcPr>
            <w:tcW w:w="0" w:type="auto"/>
            <w:shd w:val="clear" w:color="auto" w:fill="auto"/>
          </w:tcPr>
          <w:p w14:paraId="0D8DF4E9" w14:textId="77777777" w:rsidR="004C2197" w:rsidRDefault="004C2197">
            <w:pPr>
              <w:rPr>
                <w:rFonts w:ascii="宋体"/>
              </w:rPr>
            </w:pPr>
          </w:p>
        </w:tc>
        <w:tc>
          <w:tcPr>
            <w:tcW w:w="0" w:type="auto"/>
            <w:shd w:val="clear" w:color="auto" w:fill="auto"/>
          </w:tcPr>
          <w:p w14:paraId="0D8DF4EA" w14:textId="77777777" w:rsidR="004C2197" w:rsidRDefault="004C2197">
            <w:pPr>
              <w:rPr>
                <w:rFonts w:ascii="宋体"/>
              </w:rPr>
            </w:pPr>
          </w:p>
        </w:tc>
        <w:tc>
          <w:tcPr>
            <w:tcW w:w="0" w:type="auto"/>
            <w:shd w:val="clear" w:color="auto" w:fill="auto"/>
          </w:tcPr>
          <w:p w14:paraId="0D8DF4EB" w14:textId="77777777" w:rsidR="004C2197" w:rsidRDefault="004C2197">
            <w:pPr>
              <w:rPr>
                <w:rFonts w:ascii="宋体"/>
              </w:rPr>
            </w:pPr>
          </w:p>
        </w:tc>
        <w:tc>
          <w:tcPr>
            <w:tcW w:w="0" w:type="auto"/>
            <w:shd w:val="clear" w:color="auto" w:fill="auto"/>
          </w:tcPr>
          <w:p w14:paraId="0D8DF4EC" w14:textId="77777777" w:rsidR="004C2197" w:rsidRDefault="004C2197">
            <w:pPr>
              <w:rPr>
                <w:rFonts w:ascii="宋体"/>
              </w:rPr>
            </w:pPr>
          </w:p>
        </w:tc>
        <w:tc>
          <w:tcPr>
            <w:tcW w:w="0" w:type="auto"/>
            <w:shd w:val="clear" w:color="auto" w:fill="auto"/>
          </w:tcPr>
          <w:p w14:paraId="0D8DF4ED" w14:textId="77777777" w:rsidR="004C2197" w:rsidRDefault="004C2197">
            <w:pPr>
              <w:rPr>
                <w:rFonts w:ascii="宋体"/>
              </w:rPr>
            </w:pPr>
          </w:p>
        </w:tc>
        <w:tc>
          <w:tcPr>
            <w:tcW w:w="0" w:type="auto"/>
            <w:shd w:val="clear" w:color="auto" w:fill="auto"/>
          </w:tcPr>
          <w:p w14:paraId="0D8DF4EE" w14:textId="77777777" w:rsidR="004C2197" w:rsidRDefault="004C2197">
            <w:pPr>
              <w:rPr>
                <w:rFonts w:ascii="宋体"/>
              </w:rPr>
            </w:pPr>
          </w:p>
        </w:tc>
        <w:tc>
          <w:tcPr>
            <w:tcW w:w="0" w:type="auto"/>
            <w:shd w:val="clear" w:color="auto" w:fill="auto"/>
          </w:tcPr>
          <w:p w14:paraId="0D8DF4EF" w14:textId="77777777" w:rsidR="004C2197" w:rsidRDefault="004C2197">
            <w:pPr>
              <w:rPr>
                <w:rFonts w:ascii="宋体"/>
              </w:rPr>
            </w:pPr>
          </w:p>
        </w:tc>
        <w:tc>
          <w:tcPr>
            <w:tcW w:w="0" w:type="auto"/>
            <w:shd w:val="clear" w:color="auto" w:fill="auto"/>
          </w:tcPr>
          <w:p w14:paraId="0D8DF4F0" w14:textId="77777777" w:rsidR="004C2197" w:rsidRDefault="004C2197">
            <w:pPr>
              <w:rPr>
                <w:rFonts w:ascii="宋体"/>
              </w:rPr>
            </w:pPr>
          </w:p>
        </w:tc>
        <w:tc>
          <w:tcPr>
            <w:tcW w:w="0" w:type="auto"/>
            <w:shd w:val="clear" w:color="auto" w:fill="auto"/>
          </w:tcPr>
          <w:p w14:paraId="0D8DF4F1" w14:textId="77777777" w:rsidR="004C2197" w:rsidRDefault="004C2197">
            <w:pPr>
              <w:rPr>
                <w:rFonts w:ascii="宋体"/>
              </w:rPr>
            </w:pPr>
          </w:p>
        </w:tc>
        <w:tc>
          <w:tcPr>
            <w:tcW w:w="0" w:type="auto"/>
            <w:shd w:val="clear" w:color="auto" w:fill="auto"/>
          </w:tcPr>
          <w:p w14:paraId="0D8DF4F2" w14:textId="77777777" w:rsidR="004C2197" w:rsidRDefault="004C2197">
            <w:pPr>
              <w:rPr>
                <w:rFonts w:ascii="宋体"/>
              </w:rPr>
            </w:pPr>
          </w:p>
        </w:tc>
        <w:tc>
          <w:tcPr>
            <w:tcW w:w="0" w:type="auto"/>
            <w:shd w:val="clear" w:color="auto" w:fill="auto"/>
          </w:tcPr>
          <w:p w14:paraId="0D8DF4F3" w14:textId="77777777" w:rsidR="004C2197" w:rsidRDefault="004C2197">
            <w:pPr>
              <w:rPr>
                <w:rFonts w:ascii="宋体"/>
              </w:rPr>
            </w:pPr>
          </w:p>
        </w:tc>
        <w:tc>
          <w:tcPr>
            <w:tcW w:w="0" w:type="auto"/>
            <w:shd w:val="clear" w:color="auto" w:fill="auto"/>
          </w:tcPr>
          <w:p w14:paraId="0D8DF4F4" w14:textId="77777777" w:rsidR="004C2197" w:rsidRDefault="004C2197">
            <w:pPr>
              <w:rPr>
                <w:rFonts w:ascii="宋体"/>
              </w:rPr>
            </w:pPr>
          </w:p>
        </w:tc>
        <w:tc>
          <w:tcPr>
            <w:tcW w:w="0" w:type="auto"/>
            <w:shd w:val="clear" w:color="auto" w:fill="auto"/>
          </w:tcPr>
          <w:p w14:paraId="0D8DF4F5" w14:textId="77777777" w:rsidR="004C2197" w:rsidRDefault="004C2197">
            <w:pPr>
              <w:rPr>
                <w:rFonts w:ascii="宋体"/>
              </w:rPr>
            </w:pPr>
          </w:p>
        </w:tc>
        <w:tc>
          <w:tcPr>
            <w:tcW w:w="0" w:type="auto"/>
            <w:shd w:val="clear" w:color="auto" w:fill="auto"/>
          </w:tcPr>
          <w:p w14:paraId="0D8DF4F6" w14:textId="77777777" w:rsidR="004C2197" w:rsidRDefault="004C2197">
            <w:pPr>
              <w:rPr>
                <w:rFonts w:ascii="宋体"/>
              </w:rPr>
            </w:pPr>
          </w:p>
        </w:tc>
        <w:tc>
          <w:tcPr>
            <w:tcW w:w="0" w:type="auto"/>
            <w:shd w:val="clear" w:color="auto" w:fill="auto"/>
          </w:tcPr>
          <w:p w14:paraId="0D8DF4F7" w14:textId="77777777" w:rsidR="004C2197" w:rsidRDefault="004C2197">
            <w:pPr>
              <w:rPr>
                <w:rFonts w:ascii="宋体"/>
              </w:rPr>
            </w:pPr>
          </w:p>
        </w:tc>
        <w:tc>
          <w:tcPr>
            <w:tcW w:w="0" w:type="auto"/>
            <w:shd w:val="clear" w:color="auto" w:fill="auto"/>
          </w:tcPr>
          <w:p w14:paraId="0D8DF4F8" w14:textId="77777777" w:rsidR="004C2197" w:rsidRDefault="004C2197">
            <w:pPr>
              <w:rPr>
                <w:rFonts w:ascii="宋体"/>
              </w:rPr>
            </w:pPr>
          </w:p>
        </w:tc>
        <w:tc>
          <w:tcPr>
            <w:tcW w:w="0" w:type="auto"/>
            <w:shd w:val="clear" w:color="auto" w:fill="auto"/>
          </w:tcPr>
          <w:p w14:paraId="0D8DF4F9" w14:textId="77777777" w:rsidR="004C2197" w:rsidRDefault="004C2197">
            <w:pPr>
              <w:rPr>
                <w:rFonts w:ascii="宋体"/>
              </w:rPr>
            </w:pPr>
          </w:p>
        </w:tc>
        <w:tc>
          <w:tcPr>
            <w:tcW w:w="0" w:type="auto"/>
            <w:shd w:val="clear" w:color="auto" w:fill="auto"/>
          </w:tcPr>
          <w:p w14:paraId="0D8DF4FA" w14:textId="77777777" w:rsidR="004C2197" w:rsidRDefault="004C2197">
            <w:pPr>
              <w:rPr>
                <w:rFonts w:ascii="宋体"/>
              </w:rPr>
            </w:pPr>
          </w:p>
        </w:tc>
        <w:tc>
          <w:tcPr>
            <w:tcW w:w="0" w:type="auto"/>
            <w:shd w:val="clear" w:color="auto" w:fill="auto"/>
          </w:tcPr>
          <w:p w14:paraId="0D8DF4FB" w14:textId="77777777" w:rsidR="004C2197" w:rsidRDefault="004C2197">
            <w:pPr>
              <w:rPr>
                <w:rFonts w:ascii="宋体"/>
              </w:rPr>
            </w:pPr>
          </w:p>
        </w:tc>
        <w:tc>
          <w:tcPr>
            <w:tcW w:w="0" w:type="auto"/>
            <w:shd w:val="clear" w:color="auto" w:fill="auto"/>
          </w:tcPr>
          <w:p w14:paraId="0D8DF4FC" w14:textId="77777777" w:rsidR="004C2197" w:rsidRDefault="004C2197">
            <w:pPr>
              <w:rPr>
                <w:rFonts w:ascii="宋体"/>
              </w:rPr>
            </w:pPr>
          </w:p>
        </w:tc>
        <w:tc>
          <w:tcPr>
            <w:tcW w:w="0" w:type="auto"/>
            <w:shd w:val="clear" w:color="auto" w:fill="auto"/>
          </w:tcPr>
          <w:p w14:paraId="0D8DF4FD" w14:textId="77777777" w:rsidR="004C2197" w:rsidRDefault="004C2197">
            <w:pPr>
              <w:rPr>
                <w:rFonts w:ascii="宋体"/>
              </w:rPr>
            </w:pPr>
          </w:p>
        </w:tc>
        <w:tc>
          <w:tcPr>
            <w:tcW w:w="0" w:type="auto"/>
            <w:shd w:val="clear" w:color="auto" w:fill="auto"/>
          </w:tcPr>
          <w:p w14:paraId="0D8DF4FE" w14:textId="77777777" w:rsidR="004C2197" w:rsidRDefault="004C2197">
            <w:pPr>
              <w:rPr>
                <w:rFonts w:ascii="宋体"/>
              </w:rPr>
            </w:pPr>
          </w:p>
        </w:tc>
        <w:tc>
          <w:tcPr>
            <w:tcW w:w="0" w:type="auto"/>
            <w:shd w:val="clear" w:color="auto" w:fill="auto"/>
          </w:tcPr>
          <w:p w14:paraId="0D8DF4FF" w14:textId="77777777" w:rsidR="004C2197" w:rsidRDefault="004C2197">
            <w:pPr>
              <w:rPr>
                <w:rFonts w:ascii="宋体"/>
              </w:rPr>
            </w:pPr>
          </w:p>
        </w:tc>
        <w:tc>
          <w:tcPr>
            <w:tcW w:w="0" w:type="auto"/>
            <w:shd w:val="clear" w:color="auto" w:fill="auto"/>
          </w:tcPr>
          <w:p w14:paraId="0D8DF500" w14:textId="77777777" w:rsidR="004C2197" w:rsidRDefault="004C2197">
            <w:pPr>
              <w:rPr>
                <w:rFonts w:ascii="宋体"/>
              </w:rPr>
            </w:pPr>
          </w:p>
        </w:tc>
      </w:tr>
      <w:tr w:rsidR="004C2197" w14:paraId="0D8DF52F" w14:textId="77777777">
        <w:tc>
          <w:tcPr>
            <w:tcW w:w="0" w:type="auto"/>
            <w:gridSpan w:val="3"/>
            <w:shd w:val="clear" w:color="auto" w:fill="FFFFFF"/>
            <w:tcMar>
              <w:top w:w="40" w:type="dxa"/>
              <w:left w:w="20" w:type="dxa"/>
              <w:bottom w:w="40" w:type="dxa"/>
              <w:right w:w="20" w:type="dxa"/>
            </w:tcMar>
            <w:vAlign w:val="bottom"/>
          </w:tcPr>
          <w:p w14:paraId="0D8DF502" w14:textId="77777777" w:rsidR="004C2197" w:rsidRDefault="00863B83">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D8DF503" w14:textId="77777777" w:rsidR="004C2197" w:rsidRDefault="00863B83">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0D8DF50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0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06"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0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0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09"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0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0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0C" w14:textId="77777777" w:rsidR="004C2197" w:rsidRDefault="00863B83">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0D8DF50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0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0F" w14:textId="77777777" w:rsidR="004C2197" w:rsidRDefault="00863B83">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bottom w:w="40" w:type="dxa"/>
              <w:right w:w="20" w:type="dxa"/>
            </w:tcMar>
            <w:vAlign w:val="bottom"/>
          </w:tcPr>
          <w:p w14:paraId="0D8DF51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1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12"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13" w14:textId="77777777" w:rsidR="004C2197" w:rsidRDefault="004C2197">
            <w:pPr>
              <w:jc w:val="right"/>
              <w:rPr>
                <w:rFonts w:ascii="宋体"/>
              </w:rPr>
            </w:pPr>
          </w:p>
        </w:tc>
        <w:tc>
          <w:tcPr>
            <w:tcW w:w="0" w:type="auto"/>
            <w:shd w:val="clear" w:color="auto" w:fill="auto"/>
          </w:tcPr>
          <w:p w14:paraId="0D8DF514" w14:textId="77777777" w:rsidR="004C2197" w:rsidRDefault="004C2197">
            <w:pPr>
              <w:rPr>
                <w:rFonts w:ascii="宋体"/>
              </w:rPr>
            </w:pPr>
          </w:p>
        </w:tc>
        <w:tc>
          <w:tcPr>
            <w:tcW w:w="0" w:type="auto"/>
            <w:shd w:val="clear" w:color="auto" w:fill="auto"/>
          </w:tcPr>
          <w:p w14:paraId="0D8DF515" w14:textId="77777777" w:rsidR="004C2197" w:rsidRDefault="004C2197">
            <w:pPr>
              <w:rPr>
                <w:rFonts w:ascii="宋体"/>
              </w:rPr>
            </w:pPr>
          </w:p>
        </w:tc>
        <w:tc>
          <w:tcPr>
            <w:tcW w:w="0" w:type="auto"/>
            <w:shd w:val="clear" w:color="auto" w:fill="auto"/>
          </w:tcPr>
          <w:p w14:paraId="0D8DF516" w14:textId="77777777" w:rsidR="004C2197" w:rsidRDefault="004C2197">
            <w:pPr>
              <w:rPr>
                <w:rFonts w:ascii="宋体"/>
              </w:rPr>
            </w:pPr>
          </w:p>
        </w:tc>
        <w:tc>
          <w:tcPr>
            <w:tcW w:w="0" w:type="auto"/>
            <w:shd w:val="clear" w:color="auto" w:fill="auto"/>
          </w:tcPr>
          <w:p w14:paraId="0D8DF517" w14:textId="77777777" w:rsidR="004C2197" w:rsidRDefault="004C2197">
            <w:pPr>
              <w:rPr>
                <w:rFonts w:ascii="宋体"/>
              </w:rPr>
            </w:pPr>
          </w:p>
        </w:tc>
        <w:tc>
          <w:tcPr>
            <w:tcW w:w="0" w:type="auto"/>
            <w:shd w:val="clear" w:color="auto" w:fill="auto"/>
          </w:tcPr>
          <w:p w14:paraId="0D8DF518" w14:textId="77777777" w:rsidR="004C2197" w:rsidRDefault="004C2197">
            <w:pPr>
              <w:rPr>
                <w:rFonts w:ascii="宋体"/>
              </w:rPr>
            </w:pPr>
          </w:p>
        </w:tc>
        <w:tc>
          <w:tcPr>
            <w:tcW w:w="0" w:type="auto"/>
            <w:shd w:val="clear" w:color="auto" w:fill="auto"/>
          </w:tcPr>
          <w:p w14:paraId="0D8DF519" w14:textId="77777777" w:rsidR="004C2197" w:rsidRDefault="004C2197">
            <w:pPr>
              <w:rPr>
                <w:rFonts w:ascii="宋体"/>
              </w:rPr>
            </w:pPr>
          </w:p>
        </w:tc>
        <w:tc>
          <w:tcPr>
            <w:tcW w:w="0" w:type="auto"/>
            <w:shd w:val="clear" w:color="auto" w:fill="auto"/>
          </w:tcPr>
          <w:p w14:paraId="0D8DF51A" w14:textId="77777777" w:rsidR="004C2197" w:rsidRDefault="004C2197">
            <w:pPr>
              <w:rPr>
                <w:rFonts w:ascii="宋体"/>
              </w:rPr>
            </w:pPr>
          </w:p>
        </w:tc>
        <w:tc>
          <w:tcPr>
            <w:tcW w:w="0" w:type="auto"/>
            <w:shd w:val="clear" w:color="auto" w:fill="auto"/>
          </w:tcPr>
          <w:p w14:paraId="0D8DF51B" w14:textId="77777777" w:rsidR="004C2197" w:rsidRDefault="004C2197">
            <w:pPr>
              <w:rPr>
                <w:rFonts w:ascii="宋体"/>
              </w:rPr>
            </w:pPr>
          </w:p>
        </w:tc>
        <w:tc>
          <w:tcPr>
            <w:tcW w:w="0" w:type="auto"/>
            <w:shd w:val="clear" w:color="auto" w:fill="auto"/>
          </w:tcPr>
          <w:p w14:paraId="0D8DF51C" w14:textId="77777777" w:rsidR="004C2197" w:rsidRDefault="004C2197">
            <w:pPr>
              <w:rPr>
                <w:rFonts w:ascii="宋体"/>
              </w:rPr>
            </w:pPr>
          </w:p>
        </w:tc>
        <w:tc>
          <w:tcPr>
            <w:tcW w:w="0" w:type="auto"/>
            <w:shd w:val="clear" w:color="auto" w:fill="auto"/>
          </w:tcPr>
          <w:p w14:paraId="0D8DF51D" w14:textId="77777777" w:rsidR="004C2197" w:rsidRDefault="004C2197">
            <w:pPr>
              <w:rPr>
                <w:rFonts w:ascii="宋体"/>
              </w:rPr>
            </w:pPr>
          </w:p>
        </w:tc>
        <w:tc>
          <w:tcPr>
            <w:tcW w:w="0" w:type="auto"/>
            <w:shd w:val="clear" w:color="auto" w:fill="auto"/>
          </w:tcPr>
          <w:p w14:paraId="0D8DF51E" w14:textId="77777777" w:rsidR="004C2197" w:rsidRDefault="004C2197">
            <w:pPr>
              <w:rPr>
                <w:rFonts w:ascii="宋体"/>
              </w:rPr>
            </w:pPr>
          </w:p>
        </w:tc>
        <w:tc>
          <w:tcPr>
            <w:tcW w:w="0" w:type="auto"/>
            <w:shd w:val="clear" w:color="auto" w:fill="auto"/>
          </w:tcPr>
          <w:p w14:paraId="0D8DF51F" w14:textId="77777777" w:rsidR="004C2197" w:rsidRDefault="004C2197">
            <w:pPr>
              <w:rPr>
                <w:rFonts w:ascii="宋体"/>
              </w:rPr>
            </w:pPr>
          </w:p>
        </w:tc>
        <w:tc>
          <w:tcPr>
            <w:tcW w:w="0" w:type="auto"/>
            <w:shd w:val="clear" w:color="auto" w:fill="auto"/>
          </w:tcPr>
          <w:p w14:paraId="0D8DF520" w14:textId="77777777" w:rsidR="004C2197" w:rsidRDefault="004C2197">
            <w:pPr>
              <w:rPr>
                <w:rFonts w:ascii="宋体"/>
              </w:rPr>
            </w:pPr>
          </w:p>
        </w:tc>
        <w:tc>
          <w:tcPr>
            <w:tcW w:w="0" w:type="auto"/>
            <w:shd w:val="clear" w:color="auto" w:fill="auto"/>
          </w:tcPr>
          <w:p w14:paraId="0D8DF521" w14:textId="77777777" w:rsidR="004C2197" w:rsidRDefault="004C2197">
            <w:pPr>
              <w:rPr>
                <w:rFonts w:ascii="宋体"/>
              </w:rPr>
            </w:pPr>
          </w:p>
        </w:tc>
        <w:tc>
          <w:tcPr>
            <w:tcW w:w="0" w:type="auto"/>
            <w:shd w:val="clear" w:color="auto" w:fill="auto"/>
          </w:tcPr>
          <w:p w14:paraId="0D8DF522" w14:textId="77777777" w:rsidR="004C2197" w:rsidRDefault="004C2197">
            <w:pPr>
              <w:rPr>
                <w:rFonts w:ascii="宋体"/>
              </w:rPr>
            </w:pPr>
          </w:p>
        </w:tc>
        <w:tc>
          <w:tcPr>
            <w:tcW w:w="0" w:type="auto"/>
            <w:shd w:val="clear" w:color="auto" w:fill="auto"/>
          </w:tcPr>
          <w:p w14:paraId="0D8DF523" w14:textId="77777777" w:rsidR="004C2197" w:rsidRDefault="004C2197">
            <w:pPr>
              <w:rPr>
                <w:rFonts w:ascii="宋体"/>
              </w:rPr>
            </w:pPr>
          </w:p>
        </w:tc>
        <w:tc>
          <w:tcPr>
            <w:tcW w:w="0" w:type="auto"/>
            <w:shd w:val="clear" w:color="auto" w:fill="auto"/>
          </w:tcPr>
          <w:p w14:paraId="0D8DF524" w14:textId="77777777" w:rsidR="004C2197" w:rsidRDefault="004C2197">
            <w:pPr>
              <w:rPr>
                <w:rFonts w:ascii="宋体"/>
              </w:rPr>
            </w:pPr>
          </w:p>
        </w:tc>
        <w:tc>
          <w:tcPr>
            <w:tcW w:w="0" w:type="auto"/>
            <w:shd w:val="clear" w:color="auto" w:fill="auto"/>
          </w:tcPr>
          <w:p w14:paraId="0D8DF525" w14:textId="77777777" w:rsidR="004C2197" w:rsidRDefault="004C2197">
            <w:pPr>
              <w:rPr>
                <w:rFonts w:ascii="宋体"/>
              </w:rPr>
            </w:pPr>
          </w:p>
        </w:tc>
        <w:tc>
          <w:tcPr>
            <w:tcW w:w="0" w:type="auto"/>
            <w:shd w:val="clear" w:color="auto" w:fill="auto"/>
          </w:tcPr>
          <w:p w14:paraId="0D8DF526" w14:textId="77777777" w:rsidR="004C2197" w:rsidRDefault="004C2197">
            <w:pPr>
              <w:rPr>
                <w:rFonts w:ascii="宋体"/>
              </w:rPr>
            </w:pPr>
          </w:p>
        </w:tc>
        <w:tc>
          <w:tcPr>
            <w:tcW w:w="0" w:type="auto"/>
            <w:shd w:val="clear" w:color="auto" w:fill="auto"/>
          </w:tcPr>
          <w:p w14:paraId="0D8DF527" w14:textId="77777777" w:rsidR="004C2197" w:rsidRDefault="004C2197">
            <w:pPr>
              <w:rPr>
                <w:rFonts w:ascii="宋体"/>
              </w:rPr>
            </w:pPr>
          </w:p>
        </w:tc>
        <w:tc>
          <w:tcPr>
            <w:tcW w:w="0" w:type="auto"/>
            <w:shd w:val="clear" w:color="auto" w:fill="auto"/>
          </w:tcPr>
          <w:p w14:paraId="0D8DF528" w14:textId="77777777" w:rsidR="004C2197" w:rsidRDefault="004C2197">
            <w:pPr>
              <w:rPr>
                <w:rFonts w:ascii="宋体"/>
              </w:rPr>
            </w:pPr>
          </w:p>
        </w:tc>
        <w:tc>
          <w:tcPr>
            <w:tcW w:w="0" w:type="auto"/>
            <w:shd w:val="clear" w:color="auto" w:fill="auto"/>
          </w:tcPr>
          <w:p w14:paraId="0D8DF529" w14:textId="77777777" w:rsidR="004C2197" w:rsidRDefault="004C2197">
            <w:pPr>
              <w:rPr>
                <w:rFonts w:ascii="宋体"/>
              </w:rPr>
            </w:pPr>
          </w:p>
        </w:tc>
        <w:tc>
          <w:tcPr>
            <w:tcW w:w="0" w:type="auto"/>
            <w:shd w:val="clear" w:color="auto" w:fill="auto"/>
          </w:tcPr>
          <w:p w14:paraId="0D8DF52A" w14:textId="77777777" w:rsidR="004C2197" w:rsidRDefault="004C2197">
            <w:pPr>
              <w:rPr>
                <w:rFonts w:ascii="宋体"/>
              </w:rPr>
            </w:pPr>
          </w:p>
        </w:tc>
        <w:tc>
          <w:tcPr>
            <w:tcW w:w="0" w:type="auto"/>
            <w:shd w:val="clear" w:color="auto" w:fill="auto"/>
          </w:tcPr>
          <w:p w14:paraId="0D8DF52B" w14:textId="77777777" w:rsidR="004C2197" w:rsidRDefault="004C2197">
            <w:pPr>
              <w:rPr>
                <w:rFonts w:ascii="宋体"/>
              </w:rPr>
            </w:pPr>
          </w:p>
        </w:tc>
        <w:tc>
          <w:tcPr>
            <w:tcW w:w="0" w:type="auto"/>
            <w:shd w:val="clear" w:color="auto" w:fill="auto"/>
          </w:tcPr>
          <w:p w14:paraId="0D8DF52C" w14:textId="77777777" w:rsidR="004C2197" w:rsidRDefault="004C2197">
            <w:pPr>
              <w:rPr>
                <w:rFonts w:ascii="宋体"/>
              </w:rPr>
            </w:pPr>
          </w:p>
        </w:tc>
        <w:tc>
          <w:tcPr>
            <w:tcW w:w="0" w:type="auto"/>
            <w:shd w:val="clear" w:color="auto" w:fill="auto"/>
          </w:tcPr>
          <w:p w14:paraId="0D8DF52D" w14:textId="77777777" w:rsidR="004C2197" w:rsidRDefault="004C2197">
            <w:pPr>
              <w:rPr>
                <w:rFonts w:ascii="宋体"/>
              </w:rPr>
            </w:pPr>
          </w:p>
        </w:tc>
        <w:tc>
          <w:tcPr>
            <w:tcW w:w="0" w:type="auto"/>
            <w:shd w:val="clear" w:color="auto" w:fill="auto"/>
          </w:tcPr>
          <w:p w14:paraId="0D8DF52E" w14:textId="77777777" w:rsidR="004C2197" w:rsidRDefault="004C2197">
            <w:pPr>
              <w:rPr>
                <w:rFonts w:ascii="宋体"/>
              </w:rPr>
            </w:pPr>
          </w:p>
        </w:tc>
      </w:tr>
      <w:tr w:rsidR="004C2197" w14:paraId="0D8DF55D" w14:textId="77777777">
        <w:tc>
          <w:tcPr>
            <w:tcW w:w="0" w:type="auto"/>
            <w:gridSpan w:val="3"/>
            <w:shd w:val="clear" w:color="auto" w:fill="E2EFD9"/>
            <w:tcMar>
              <w:top w:w="40" w:type="dxa"/>
              <w:left w:w="20" w:type="dxa"/>
              <w:bottom w:w="40" w:type="dxa"/>
              <w:right w:w="20" w:type="dxa"/>
            </w:tcMar>
            <w:vAlign w:val="bottom"/>
          </w:tcPr>
          <w:p w14:paraId="0D8DF530" w14:textId="77777777" w:rsidR="004C2197" w:rsidRDefault="00863B83">
            <w:pPr>
              <w:textAlignment w:val="bottom"/>
            </w:pPr>
            <w:r>
              <w:rPr>
                <w:rFonts w:ascii="sans-serif" w:eastAsia="sans-serif" w:hAnsi="sans-serif" w:cs="sans-serif"/>
                <w:color w:val="000000"/>
                <w:sz w:val="20"/>
                <w:szCs w:val="20"/>
              </w:rPr>
              <w:t>Foreign government bonds</w:t>
            </w:r>
          </w:p>
        </w:tc>
        <w:tc>
          <w:tcPr>
            <w:tcW w:w="0" w:type="auto"/>
            <w:gridSpan w:val="2"/>
            <w:shd w:val="clear" w:color="auto" w:fill="E2EFD9"/>
            <w:tcMar>
              <w:top w:w="40" w:type="dxa"/>
              <w:left w:w="20" w:type="dxa"/>
              <w:bottom w:w="40" w:type="dxa"/>
              <w:right w:w="0" w:type="dxa"/>
            </w:tcMar>
            <w:vAlign w:val="bottom"/>
          </w:tcPr>
          <w:p w14:paraId="0D8DF531" w14:textId="77777777" w:rsidR="004C2197" w:rsidRDefault="00863B83">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0D8DF53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3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3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3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3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37"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3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3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3A" w14:textId="77777777" w:rsidR="004C2197" w:rsidRDefault="00863B83">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0D8DF53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3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3D" w14:textId="77777777" w:rsidR="004C2197" w:rsidRDefault="00863B83">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0D8DF53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3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40"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41" w14:textId="77777777" w:rsidR="004C2197" w:rsidRDefault="004C2197">
            <w:pPr>
              <w:jc w:val="right"/>
              <w:rPr>
                <w:rFonts w:ascii="宋体"/>
              </w:rPr>
            </w:pPr>
          </w:p>
        </w:tc>
        <w:tc>
          <w:tcPr>
            <w:tcW w:w="0" w:type="auto"/>
            <w:shd w:val="clear" w:color="auto" w:fill="auto"/>
          </w:tcPr>
          <w:p w14:paraId="0D8DF542" w14:textId="77777777" w:rsidR="004C2197" w:rsidRDefault="004C2197">
            <w:pPr>
              <w:rPr>
                <w:rFonts w:ascii="宋体"/>
              </w:rPr>
            </w:pPr>
          </w:p>
        </w:tc>
        <w:tc>
          <w:tcPr>
            <w:tcW w:w="0" w:type="auto"/>
            <w:shd w:val="clear" w:color="auto" w:fill="auto"/>
          </w:tcPr>
          <w:p w14:paraId="0D8DF543" w14:textId="77777777" w:rsidR="004C2197" w:rsidRDefault="004C2197">
            <w:pPr>
              <w:rPr>
                <w:rFonts w:ascii="宋体"/>
              </w:rPr>
            </w:pPr>
          </w:p>
        </w:tc>
        <w:tc>
          <w:tcPr>
            <w:tcW w:w="0" w:type="auto"/>
            <w:shd w:val="clear" w:color="auto" w:fill="auto"/>
          </w:tcPr>
          <w:p w14:paraId="0D8DF544" w14:textId="77777777" w:rsidR="004C2197" w:rsidRDefault="004C2197">
            <w:pPr>
              <w:rPr>
                <w:rFonts w:ascii="宋体"/>
              </w:rPr>
            </w:pPr>
          </w:p>
        </w:tc>
        <w:tc>
          <w:tcPr>
            <w:tcW w:w="0" w:type="auto"/>
            <w:shd w:val="clear" w:color="auto" w:fill="auto"/>
          </w:tcPr>
          <w:p w14:paraId="0D8DF545" w14:textId="77777777" w:rsidR="004C2197" w:rsidRDefault="004C2197">
            <w:pPr>
              <w:rPr>
                <w:rFonts w:ascii="宋体"/>
              </w:rPr>
            </w:pPr>
          </w:p>
        </w:tc>
        <w:tc>
          <w:tcPr>
            <w:tcW w:w="0" w:type="auto"/>
            <w:shd w:val="clear" w:color="auto" w:fill="auto"/>
          </w:tcPr>
          <w:p w14:paraId="0D8DF546" w14:textId="77777777" w:rsidR="004C2197" w:rsidRDefault="004C2197">
            <w:pPr>
              <w:rPr>
                <w:rFonts w:ascii="宋体"/>
              </w:rPr>
            </w:pPr>
          </w:p>
        </w:tc>
        <w:tc>
          <w:tcPr>
            <w:tcW w:w="0" w:type="auto"/>
            <w:shd w:val="clear" w:color="auto" w:fill="auto"/>
          </w:tcPr>
          <w:p w14:paraId="0D8DF547" w14:textId="77777777" w:rsidR="004C2197" w:rsidRDefault="004C2197">
            <w:pPr>
              <w:rPr>
                <w:rFonts w:ascii="宋体"/>
              </w:rPr>
            </w:pPr>
          </w:p>
        </w:tc>
        <w:tc>
          <w:tcPr>
            <w:tcW w:w="0" w:type="auto"/>
            <w:shd w:val="clear" w:color="auto" w:fill="auto"/>
          </w:tcPr>
          <w:p w14:paraId="0D8DF548" w14:textId="77777777" w:rsidR="004C2197" w:rsidRDefault="004C2197">
            <w:pPr>
              <w:rPr>
                <w:rFonts w:ascii="宋体"/>
              </w:rPr>
            </w:pPr>
          </w:p>
        </w:tc>
        <w:tc>
          <w:tcPr>
            <w:tcW w:w="0" w:type="auto"/>
            <w:shd w:val="clear" w:color="auto" w:fill="auto"/>
          </w:tcPr>
          <w:p w14:paraId="0D8DF549" w14:textId="77777777" w:rsidR="004C2197" w:rsidRDefault="004C2197">
            <w:pPr>
              <w:rPr>
                <w:rFonts w:ascii="宋体"/>
              </w:rPr>
            </w:pPr>
          </w:p>
        </w:tc>
        <w:tc>
          <w:tcPr>
            <w:tcW w:w="0" w:type="auto"/>
            <w:shd w:val="clear" w:color="auto" w:fill="auto"/>
          </w:tcPr>
          <w:p w14:paraId="0D8DF54A" w14:textId="77777777" w:rsidR="004C2197" w:rsidRDefault="004C2197">
            <w:pPr>
              <w:rPr>
                <w:rFonts w:ascii="宋体"/>
              </w:rPr>
            </w:pPr>
          </w:p>
        </w:tc>
        <w:tc>
          <w:tcPr>
            <w:tcW w:w="0" w:type="auto"/>
            <w:shd w:val="clear" w:color="auto" w:fill="auto"/>
          </w:tcPr>
          <w:p w14:paraId="0D8DF54B" w14:textId="77777777" w:rsidR="004C2197" w:rsidRDefault="004C2197">
            <w:pPr>
              <w:rPr>
                <w:rFonts w:ascii="宋体"/>
              </w:rPr>
            </w:pPr>
          </w:p>
        </w:tc>
        <w:tc>
          <w:tcPr>
            <w:tcW w:w="0" w:type="auto"/>
            <w:shd w:val="clear" w:color="auto" w:fill="auto"/>
          </w:tcPr>
          <w:p w14:paraId="0D8DF54C" w14:textId="77777777" w:rsidR="004C2197" w:rsidRDefault="004C2197">
            <w:pPr>
              <w:rPr>
                <w:rFonts w:ascii="宋体"/>
              </w:rPr>
            </w:pPr>
          </w:p>
        </w:tc>
        <w:tc>
          <w:tcPr>
            <w:tcW w:w="0" w:type="auto"/>
            <w:shd w:val="clear" w:color="auto" w:fill="auto"/>
          </w:tcPr>
          <w:p w14:paraId="0D8DF54D" w14:textId="77777777" w:rsidR="004C2197" w:rsidRDefault="004C2197">
            <w:pPr>
              <w:rPr>
                <w:rFonts w:ascii="宋体"/>
              </w:rPr>
            </w:pPr>
          </w:p>
        </w:tc>
        <w:tc>
          <w:tcPr>
            <w:tcW w:w="0" w:type="auto"/>
            <w:shd w:val="clear" w:color="auto" w:fill="auto"/>
          </w:tcPr>
          <w:p w14:paraId="0D8DF54E" w14:textId="77777777" w:rsidR="004C2197" w:rsidRDefault="004C2197">
            <w:pPr>
              <w:rPr>
                <w:rFonts w:ascii="宋体"/>
              </w:rPr>
            </w:pPr>
          </w:p>
        </w:tc>
        <w:tc>
          <w:tcPr>
            <w:tcW w:w="0" w:type="auto"/>
            <w:shd w:val="clear" w:color="auto" w:fill="auto"/>
          </w:tcPr>
          <w:p w14:paraId="0D8DF54F" w14:textId="77777777" w:rsidR="004C2197" w:rsidRDefault="004C2197">
            <w:pPr>
              <w:rPr>
                <w:rFonts w:ascii="宋体"/>
              </w:rPr>
            </w:pPr>
          </w:p>
        </w:tc>
        <w:tc>
          <w:tcPr>
            <w:tcW w:w="0" w:type="auto"/>
            <w:shd w:val="clear" w:color="auto" w:fill="auto"/>
          </w:tcPr>
          <w:p w14:paraId="0D8DF550" w14:textId="77777777" w:rsidR="004C2197" w:rsidRDefault="004C2197">
            <w:pPr>
              <w:rPr>
                <w:rFonts w:ascii="宋体"/>
              </w:rPr>
            </w:pPr>
          </w:p>
        </w:tc>
        <w:tc>
          <w:tcPr>
            <w:tcW w:w="0" w:type="auto"/>
            <w:shd w:val="clear" w:color="auto" w:fill="auto"/>
          </w:tcPr>
          <w:p w14:paraId="0D8DF551" w14:textId="77777777" w:rsidR="004C2197" w:rsidRDefault="004C2197">
            <w:pPr>
              <w:rPr>
                <w:rFonts w:ascii="宋体"/>
              </w:rPr>
            </w:pPr>
          </w:p>
        </w:tc>
        <w:tc>
          <w:tcPr>
            <w:tcW w:w="0" w:type="auto"/>
            <w:shd w:val="clear" w:color="auto" w:fill="auto"/>
          </w:tcPr>
          <w:p w14:paraId="0D8DF552" w14:textId="77777777" w:rsidR="004C2197" w:rsidRDefault="004C2197">
            <w:pPr>
              <w:rPr>
                <w:rFonts w:ascii="宋体"/>
              </w:rPr>
            </w:pPr>
          </w:p>
        </w:tc>
        <w:tc>
          <w:tcPr>
            <w:tcW w:w="0" w:type="auto"/>
            <w:shd w:val="clear" w:color="auto" w:fill="auto"/>
          </w:tcPr>
          <w:p w14:paraId="0D8DF553" w14:textId="77777777" w:rsidR="004C2197" w:rsidRDefault="004C2197">
            <w:pPr>
              <w:rPr>
                <w:rFonts w:ascii="宋体"/>
              </w:rPr>
            </w:pPr>
          </w:p>
        </w:tc>
        <w:tc>
          <w:tcPr>
            <w:tcW w:w="0" w:type="auto"/>
            <w:shd w:val="clear" w:color="auto" w:fill="auto"/>
          </w:tcPr>
          <w:p w14:paraId="0D8DF554" w14:textId="77777777" w:rsidR="004C2197" w:rsidRDefault="004C2197">
            <w:pPr>
              <w:rPr>
                <w:rFonts w:ascii="宋体"/>
              </w:rPr>
            </w:pPr>
          </w:p>
        </w:tc>
        <w:tc>
          <w:tcPr>
            <w:tcW w:w="0" w:type="auto"/>
            <w:shd w:val="clear" w:color="auto" w:fill="auto"/>
          </w:tcPr>
          <w:p w14:paraId="0D8DF555" w14:textId="77777777" w:rsidR="004C2197" w:rsidRDefault="004C2197">
            <w:pPr>
              <w:rPr>
                <w:rFonts w:ascii="宋体"/>
              </w:rPr>
            </w:pPr>
          </w:p>
        </w:tc>
        <w:tc>
          <w:tcPr>
            <w:tcW w:w="0" w:type="auto"/>
            <w:shd w:val="clear" w:color="auto" w:fill="auto"/>
          </w:tcPr>
          <w:p w14:paraId="0D8DF556" w14:textId="77777777" w:rsidR="004C2197" w:rsidRDefault="004C2197">
            <w:pPr>
              <w:rPr>
                <w:rFonts w:ascii="宋体"/>
              </w:rPr>
            </w:pPr>
          </w:p>
        </w:tc>
        <w:tc>
          <w:tcPr>
            <w:tcW w:w="0" w:type="auto"/>
            <w:shd w:val="clear" w:color="auto" w:fill="auto"/>
          </w:tcPr>
          <w:p w14:paraId="0D8DF557" w14:textId="77777777" w:rsidR="004C2197" w:rsidRDefault="004C2197">
            <w:pPr>
              <w:rPr>
                <w:rFonts w:ascii="宋体"/>
              </w:rPr>
            </w:pPr>
          </w:p>
        </w:tc>
        <w:tc>
          <w:tcPr>
            <w:tcW w:w="0" w:type="auto"/>
            <w:shd w:val="clear" w:color="auto" w:fill="auto"/>
          </w:tcPr>
          <w:p w14:paraId="0D8DF558" w14:textId="77777777" w:rsidR="004C2197" w:rsidRDefault="004C2197">
            <w:pPr>
              <w:rPr>
                <w:rFonts w:ascii="宋体"/>
              </w:rPr>
            </w:pPr>
          </w:p>
        </w:tc>
        <w:tc>
          <w:tcPr>
            <w:tcW w:w="0" w:type="auto"/>
            <w:shd w:val="clear" w:color="auto" w:fill="auto"/>
          </w:tcPr>
          <w:p w14:paraId="0D8DF559" w14:textId="77777777" w:rsidR="004C2197" w:rsidRDefault="004C2197">
            <w:pPr>
              <w:rPr>
                <w:rFonts w:ascii="宋体"/>
              </w:rPr>
            </w:pPr>
          </w:p>
        </w:tc>
        <w:tc>
          <w:tcPr>
            <w:tcW w:w="0" w:type="auto"/>
            <w:shd w:val="clear" w:color="auto" w:fill="auto"/>
          </w:tcPr>
          <w:p w14:paraId="0D8DF55A" w14:textId="77777777" w:rsidR="004C2197" w:rsidRDefault="004C2197">
            <w:pPr>
              <w:rPr>
                <w:rFonts w:ascii="宋体"/>
              </w:rPr>
            </w:pPr>
          </w:p>
        </w:tc>
        <w:tc>
          <w:tcPr>
            <w:tcW w:w="0" w:type="auto"/>
            <w:shd w:val="clear" w:color="auto" w:fill="auto"/>
          </w:tcPr>
          <w:p w14:paraId="0D8DF55B" w14:textId="77777777" w:rsidR="004C2197" w:rsidRDefault="004C2197">
            <w:pPr>
              <w:rPr>
                <w:rFonts w:ascii="宋体"/>
              </w:rPr>
            </w:pPr>
          </w:p>
        </w:tc>
        <w:tc>
          <w:tcPr>
            <w:tcW w:w="0" w:type="auto"/>
            <w:shd w:val="clear" w:color="auto" w:fill="auto"/>
          </w:tcPr>
          <w:p w14:paraId="0D8DF55C" w14:textId="77777777" w:rsidR="004C2197" w:rsidRDefault="004C2197">
            <w:pPr>
              <w:rPr>
                <w:rFonts w:ascii="宋体"/>
              </w:rPr>
            </w:pPr>
          </w:p>
        </w:tc>
      </w:tr>
      <w:tr w:rsidR="004C2197" w14:paraId="0D8DF58B" w14:textId="77777777">
        <w:tc>
          <w:tcPr>
            <w:tcW w:w="0" w:type="auto"/>
            <w:gridSpan w:val="3"/>
            <w:shd w:val="clear" w:color="auto" w:fill="FFFFFF"/>
            <w:tcMar>
              <w:top w:w="40" w:type="dxa"/>
              <w:left w:w="20" w:type="dxa"/>
              <w:bottom w:w="40" w:type="dxa"/>
              <w:right w:w="20" w:type="dxa"/>
            </w:tcMar>
            <w:vAlign w:val="bottom"/>
          </w:tcPr>
          <w:p w14:paraId="0D8DF55E" w14:textId="77777777" w:rsidR="004C2197" w:rsidRDefault="00863B83">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0D8DF55F" w14:textId="77777777" w:rsidR="004C2197" w:rsidRDefault="00863B83">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0D8DF56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6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62"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6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6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65"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6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6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68" w14:textId="77777777" w:rsidR="004C2197" w:rsidRDefault="00863B83">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0D8DF56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6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6B" w14:textId="77777777" w:rsidR="004C2197" w:rsidRDefault="00863B83">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0D8DF56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6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56E"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56F" w14:textId="77777777" w:rsidR="004C2197" w:rsidRDefault="004C2197">
            <w:pPr>
              <w:jc w:val="right"/>
              <w:rPr>
                <w:rFonts w:ascii="宋体"/>
              </w:rPr>
            </w:pPr>
          </w:p>
        </w:tc>
        <w:tc>
          <w:tcPr>
            <w:tcW w:w="0" w:type="auto"/>
            <w:shd w:val="clear" w:color="auto" w:fill="auto"/>
          </w:tcPr>
          <w:p w14:paraId="0D8DF570" w14:textId="77777777" w:rsidR="004C2197" w:rsidRDefault="004C2197">
            <w:pPr>
              <w:rPr>
                <w:rFonts w:ascii="宋体"/>
              </w:rPr>
            </w:pPr>
          </w:p>
        </w:tc>
        <w:tc>
          <w:tcPr>
            <w:tcW w:w="0" w:type="auto"/>
            <w:shd w:val="clear" w:color="auto" w:fill="auto"/>
          </w:tcPr>
          <w:p w14:paraId="0D8DF571" w14:textId="77777777" w:rsidR="004C2197" w:rsidRDefault="004C2197">
            <w:pPr>
              <w:rPr>
                <w:rFonts w:ascii="宋体"/>
              </w:rPr>
            </w:pPr>
          </w:p>
        </w:tc>
        <w:tc>
          <w:tcPr>
            <w:tcW w:w="0" w:type="auto"/>
            <w:shd w:val="clear" w:color="auto" w:fill="auto"/>
          </w:tcPr>
          <w:p w14:paraId="0D8DF572" w14:textId="77777777" w:rsidR="004C2197" w:rsidRDefault="004C2197">
            <w:pPr>
              <w:rPr>
                <w:rFonts w:ascii="宋体"/>
              </w:rPr>
            </w:pPr>
          </w:p>
        </w:tc>
        <w:tc>
          <w:tcPr>
            <w:tcW w:w="0" w:type="auto"/>
            <w:shd w:val="clear" w:color="auto" w:fill="auto"/>
          </w:tcPr>
          <w:p w14:paraId="0D8DF573" w14:textId="77777777" w:rsidR="004C2197" w:rsidRDefault="004C2197">
            <w:pPr>
              <w:rPr>
                <w:rFonts w:ascii="宋体"/>
              </w:rPr>
            </w:pPr>
          </w:p>
        </w:tc>
        <w:tc>
          <w:tcPr>
            <w:tcW w:w="0" w:type="auto"/>
            <w:shd w:val="clear" w:color="auto" w:fill="auto"/>
          </w:tcPr>
          <w:p w14:paraId="0D8DF574" w14:textId="77777777" w:rsidR="004C2197" w:rsidRDefault="004C2197">
            <w:pPr>
              <w:rPr>
                <w:rFonts w:ascii="宋体"/>
              </w:rPr>
            </w:pPr>
          </w:p>
        </w:tc>
        <w:tc>
          <w:tcPr>
            <w:tcW w:w="0" w:type="auto"/>
            <w:shd w:val="clear" w:color="auto" w:fill="auto"/>
          </w:tcPr>
          <w:p w14:paraId="0D8DF575" w14:textId="77777777" w:rsidR="004C2197" w:rsidRDefault="004C2197">
            <w:pPr>
              <w:rPr>
                <w:rFonts w:ascii="宋体"/>
              </w:rPr>
            </w:pPr>
          </w:p>
        </w:tc>
        <w:tc>
          <w:tcPr>
            <w:tcW w:w="0" w:type="auto"/>
            <w:shd w:val="clear" w:color="auto" w:fill="auto"/>
          </w:tcPr>
          <w:p w14:paraId="0D8DF576" w14:textId="77777777" w:rsidR="004C2197" w:rsidRDefault="004C2197">
            <w:pPr>
              <w:rPr>
                <w:rFonts w:ascii="宋体"/>
              </w:rPr>
            </w:pPr>
          </w:p>
        </w:tc>
        <w:tc>
          <w:tcPr>
            <w:tcW w:w="0" w:type="auto"/>
            <w:shd w:val="clear" w:color="auto" w:fill="auto"/>
          </w:tcPr>
          <w:p w14:paraId="0D8DF577" w14:textId="77777777" w:rsidR="004C2197" w:rsidRDefault="004C2197">
            <w:pPr>
              <w:rPr>
                <w:rFonts w:ascii="宋体"/>
              </w:rPr>
            </w:pPr>
          </w:p>
        </w:tc>
        <w:tc>
          <w:tcPr>
            <w:tcW w:w="0" w:type="auto"/>
            <w:shd w:val="clear" w:color="auto" w:fill="auto"/>
          </w:tcPr>
          <w:p w14:paraId="0D8DF578" w14:textId="77777777" w:rsidR="004C2197" w:rsidRDefault="004C2197">
            <w:pPr>
              <w:rPr>
                <w:rFonts w:ascii="宋体"/>
              </w:rPr>
            </w:pPr>
          </w:p>
        </w:tc>
        <w:tc>
          <w:tcPr>
            <w:tcW w:w="0" w:type="auto"/>
            <w:shd w:val="clear" w:color="auto" w:fill="auto"/>
          </w:tcPr>
          <w:p w14:paraId="0D8DF579" w14:textId="77777777" w:rsidR="004C2197" w:rsidRDefault="004C2197">
            <w:pPr>
              <w:rPr>
                <w:rFonts w:ascii="宋体"/>
              </w:rPr>
            </w:pPr>
          </w:p>
        </w:tc>
        <w:tc>
          <w:tcPr>
            <w:tcW w:w="0" w:type="auto"/>
            <w:shd w:val="clear" w:color="auto" w:fill="auto"/>
          </w:tcPr>
          <w:p w14:paraId="0D8DF57A" w14:textId="77777777" w:rsidR="004C2197" w:rsidRDefault="004C2197">
            <w:pPr>
              <w:rPr>
                <w:rFonts w:ascii="宋体"/>
              </w:rPr>
            </w:pPr>
          </w:p>
        </w:tc>
        <w:tc>
          <w:tcPr>
            <w:tcW w:w="0" w:type="auto"/>
            <w:shd w:val="clear" w:color="auto" w:fill="auto"/>
          </w:tcPr>
          <w:p w14:paraId="0D8DF57B" w14:textId="77777777" w:rsidR="004C2197" w:rsidRDefault="004C2197">
            <w:pPr>
              <w:rPr>
                <w:rFonts w:ascii="宋体"/>
              </w:rPr>
            </w:pPr>
          </w:p>
        </w:tc>
        <w:tc>
          <w:tcPr>
            <w:tcW w:w="0" w:type="auto"/>
            <w:shd w:val="clear" w:color="auto" w:fill="auto"/>
          </w:tcPr>
          <w:p w14:paraId="0D8DF57C" w14:textId="77777777" w:rsidR="004C2197" w:rsidRDefault="004C2197">
            <w:pPr>
              <w:rPr>
                <w:rFonts w:ascii="宋体"/>
              </w:rPr>
            </w:pPr>
          </w:p>
        </w:tc>
        <w:tc>
          <w:tcPr>
            <w:tcW w:w="0" w:type="auto"/>
            <w:shd w:val="clear" w:color="auto" w:fill="auto"/>
          </w:tcPr>
          <w:p w14:paraId="0D8DF57D" w14:textId="77777777" w:rsidR="004C2197" w:rsidRDefault="004C2197">
            <w:pPr>
              <w:rPr>
                <w:rFonts w:ascii="宋体"/>
              </w:rPr>
            </w:pPr>
          </w:p>
        </w:tc>
        <w:tc>
          <w:tcPr>
            <w:tcW w:w="0" w:type="auto"/>
            <w:shd w:val="clear" w:color="auto" w:fill="auto"/>
          </w:tcPr>
          <w:p w14:paraId="0D8DF57E" w14:textId="77777777" w:rsidR="004C2197" w:rsidRDefault="004C2197">
            <w:pPr>
              <w:rPr>
                <w:rFonts w:ascii="宋体"/>
              </w:rPr>
            </w:pPr>
          </w:p>
        </w:tc>
        <w:tc>
          <w:tcPr>
            <w:tcW w:w="0" w:type="auto"/>
            <w:shd w:val="clear" w:color="auto" w:fill="auto"/>
          </w:tcPr>
          <w:p w14:paraId="0D8DF57F" w14:textId="77777777" w:rsidR="004C2197" w:rsidRDefault="004C2197">
            <w:pPr>
              <w:rPr>
                <w:rFonts w:ascii="宋体"/>
              </w:rPr>
            </w:pPr>
          </w:p>
        </w:tc>
        <w:tc>
          <w:tcPr>
            <w:tcW w:w="0" w:type="auto"/>
            <w:shd w:val="clear" w:color="auto" w:fill="auto"/>
          </w:tcPr>
          <w:p w14:paraId="0D8DF580" w14:textId="77777777" w:rsidR="004C2197" w:rsidRDefault="004C2197">
            <w:pPr>
              <w:rPr>
                <w:rFonts w:ascii="宋体"/>
              </w:rPr>
            </w:pPr>
          </w:p>
        </w:tc>
        <w:tc>
          <w:tcPr>
            <w:tcW w:w="0" w:type="auto"/>
            <w:shd w:val="clear" w:color="auto" w:fill="auto"/>
          </w:tcPr>
          <w:p w14:paraId="0D8DF581" w14:textId="77777777" w:rsidR="004C2197" w:rsidRDefault="004C2197">
            <w:pPr>
              <w:rPr>
                <w:rFonts w:ascii="宋体"/>
              </w:rPr>
            </w:pPr>
          </w:p>
        </w:tc>
        <w:tc>
          <w:tcPr>
            <w:tcW w:w="0" w:type="auto"/>
            <w:shd w:val="clear" w:color="auto" w:fill="auto"/>
          </w:tcPr>
          <w:p w14:paraId="0D8DF582" w14:textId="77777777" w:rsidR="004C2197" w:rsidRDefault="004C2197">
            <w:pPr>
              <w:rPr>
                <w:rFonts w:ascii="宋体"/>
              </w:rPr>
            </w:pPr>
          </w:p>
        </w:tc>
        <w:tc>
          <w:tcPr>
            <w:tcW w:w="0" w:type="auto"/>
            <w:shd w:val="clear" w:color="auto" w:fill="auto"/>
          </w:tcPr>
          <w:p w14:paraId="0D8DF583" w14:textId="77777777" w:rsidR="004C2197" w:rsidRDefault="004C2197">
            <w:pPr>
              <w:rPr>
                <w:rFonts w:ascii="宋体"/>
              </w:rPr>
            </w:pPr>
          </w:p>
        </w:tc>
        <w:tc>
          <w:tcPr>
            <w:tcW w:w="0" w:type="auto"/>
            <w:shd w:val="clear" w:color="auto" w:fill="auto"/>
          </w:tcPr>
          <w:p w14:paraId="0D8DF584" w14:textId="77777777" w:rsidR="004C2197" w:rsidRDefault="004C2197">
            <w:pPr>
              <w:rPr>
                <w:rFonts w:ascii="宋体"/>
              </w:rPr>
            </w:pPr>
          </w:p>
        </w:tc>
        <w:tc>
          <w:tcPr>
            <w:tcW w:w="0" w:type="auto"/>
            <w:shd w:val="clear" w:color="auto" w:fill="auto"/>
          </w:tcPr>
          <w:p w14:paraId="0D8DF585" w14:textId="77777777" w:rsidR="004C2197" w:rsidRDefault="004C2197">
            <w:pPr>
              <w:rPr>
                <w:rFonts w:ascii="宋体"/>
              </w:rPr>
            </w:pPr>
          </w:p>
        </w:tc>
        <w:tc>
          <w:tcPr>
            <w:tcW w:w="0" w:type="auto"/>
            <w:shd w:val="clear" w:color="auto" w:fill="auto"/>
          </w:tcPr>
          <w:p w14:paraId="0D8DF586" w14:textId="77777777" w:rsidR="004C2197" w:rsidRDefault="004C2197">
            <w:pPr>
              <w:rPr>
                <w:rFonts w:ascii="宋体"/>
              </w:rPr>
            </w:pPr>
          </w:p>
        </w:tc>
        <w:tc>
          <w:tcPr>
            <w:tcW w:w="0" w:type="auto"/>
            <w:shd w:val="clear" w:color="auto" w:fill="auto"/>
          </w:tcPr>
          <w:p w14:paraId="0D8DF587" w14:textId="77777777" w:rsidR="004C2197" w:rsidRDefault="004C2197">
            <w:pPr>
              <w:rPr>
                <w:rFonts w:ascii="宋体"/>
              </w:rPr>
            </w:pPr>
          </w:p>
        </w:tc>
        <w:tc>
          <w:tcPr>
            <w:tcW w:w="0" w:type="auto"/>
            <w:shd w:val="clear" w:color="auto" w:fill="auto"/>
          </w:tcPr>
          <w:p w14:paraId="0D8DF588" w14:textId="77777777" w:rsidR="004C2197" w:rsidRDefault="004C2197">
            <w:pPr>
              <w:rPr>
                <w:rFonts w:ascii="宋体"/>
              </w:rPr>
            </w:pPr>
          </w:p>
        </w:tc>
        <w:tc>
          <w:tcPr>
            <w:tcW w:w="0" w:type="auto"/>
            <w:shd w:val="clear" w:color="auto" w:fill="auto"/>
          </w:tcPr>
          <w:p w14:paraId="0D8DF589" w14:textId="77777777" w:rsidR="004C2197" w:rsidRDefault="004C2197">
            <w:pPr>
              <w:rPr>
                <w:rFonts w:ascii="宋体"/>
              </w:rPr>
            </w:pPr>
          </w:p>
        </w:tc>
        <w:tc>
          <w:tcPr>
            <w:tcW w:w="0" w:type="auto"/>
            <w:shd w:val="clear" w:color="auto" w:fill="auto"/>
          </w:tcPr>
          <w:p w14:paraId="0D8DF58A" w14:textId="77777777" w:rsidR="004C2197" w:rsidRDefault="004C2197">
            <w:pPr>
              <w:rPr>
                <w:rFonts w:ascii="宋体"/>
              </w:rPr>
            </w:pPr>
          </w:p>
        </w:tc>
      </w:tr>
      <w:tr w:rsidR="004C2197" w14:paraId="0D8DF5B9" w14:textId="77777777">
        <w:tc>
          <w:tcPr>
            <w:tcW w:w="0" w:type="auto"/>
            <w:gridSpan w:val="3"/>
            <w:shd w:val="clear" w:color="auto" w:fill="E2EFD9"/>
            <w:tcMar>
              <w:top w:w="40" w:type="dxa"/>
              <w:left w:w="20" w:type="dxa"/>
              <w:bottom w:w="40" w:type="dxa"/>
              <w:right w:w="20" w:type="dxa"/>
            </w:tcMar>
            <w:vAlign w:val="bottom"/>
          </w:tcPr>
          <w:p w14:paraId="0D8DF58C" w14:textId="77777777" w:rsidR="004C2197" w:rsidRDefault="00863B83">
            <w:pPr>
              <w:textAlignment w:val="bottom"/>
            </w:pPr>
            <w:r>
              <w:rPr>
                <w:rFonts w:ascii="sans-serif" w:eastAsia="sans-serif" w:hAnsi="sans-serif" w:cs="sans-serif"/>
                <w:color w:val="000000"/>
                <w:sz w:val="20"/>
                <w:szCs w:val="20"/>
              </w:rPr>
              <w:t>Asset-backed securities</w:t>
            </w:r>
          </w:p>
        </w:tc>
        <w:tc>
          <w:tcPr>
            <w:tcW w:w="0" w:type="auto"/>
            <w:gridSpan w:val="2"/>
            <w:shd w:val="clear" w:color="auto" w:fill="E2EFD9"/>
            <w:tcMar>
              <w:top w:w="40" w:type="dxa"/>
              <w:left w:w="20" w:type="dxa"/>
              <w:bottom w:w="40" w:type="dxa"/>
              <w:right w:w="0" w:type="dxa"/>
            </w:tcMar>
            <w:vAlign w:val="bottom"/>
          </w:tcPr>
          <w:p w14:paraId="0D8DF58D"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F58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8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90"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9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9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93"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9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9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96"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F59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9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99"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59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59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59C"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bottom w:w="40" w:type="dxa"/>
              <w:right w:w="20" w:type="dxa"/>
            </w:tcMar>
            <w:vAlign w:val="bottom"/>
          </w:tcPr>
          <w:p w14:paraId="0D8DF59D" w14:textId="77777777" w:rsidR="004C2197" w:rsidRDefault="004C2197">
            <w:pPr>
              <w:jc w:val="right"/>
              <w:rPr>
                <w:rFonts w:ascii="宋体"/>
              </w:rPr>
            </w:pPr>
          </w:p>
        </w:tc>
        <w:tc>
          <w:tcPr>
            <w:tcW w:w="0" w:type="auto"/>
            <w:shd w:val="clear" w:color="auto" w:fill="auto"/>
          </w:tcPr>
          <w:p w14:paraId="0D8DF59E" w14:textId="77777777" w:rsidR="004C2197" w:rsidRDefault="004C2197">
            <w:pPr>
              <w:rPr>
                <w:rFonts w:ascii="宋体"/>
              </w:rPr>
            </w:pPr>
          </w:p>
        </w:tc>
        <w:tc>
          <w:tcPr>
            <w:tcW w:w="0" w:type="auto"/>
            <w:shd w:val="clear" w:color="auto" w:fill="auto"/>
          </w:tcPr>
          <w:p w14:paraId="0D8DF59F" w14:textId="77777777" w:rsidR="004C2197" w:rsidRDefault="004C2197">
            <w:pPr>
              <w:rPr>
                <w:rFonts w:ascii="宋体"/>
              </w:rPr>
            </w:pPr>
          </w:p>
        </w:tc>
        <w:tc>
          <w:tcPr>
            <w:tcW w:w="0" w:type="auto"/>
            <w:shd w:val="clear" w:color="auto" w:fill="auto"/>
          </w:tcPr>
          <w:p w14:paraId="0D8DF5A0" w14:textId="77777777" w:rsidR="004C2197" w:rsidRDefault="004C2197">
            <w:pPr>
              <w:rPr>
                <w:rFonts w:ascii="宋体"/>
              </w:rPr>
            </w:pPr>
          </w:p>
        </w:tc>
        <w:tc>
          <w:tcPr>
            <w:tcW w:w="0" w:type="auto"/>
            <w:shd w:val="clear" w:color="auto" w:fill="auto"/>
          </w:tcPr>
          <w:p w14:paraId="0D8DF5A1" w14:textId="77777777" w:rsidR="004C2197" w:rsidRDefault="004C2197">
            <w:pPr>
              <w:rPr>
                <w:rFonts w:ascii="宋体"/>
              </w:rPr>
            </w:pPr>
          </w:p>
        </w:tc>
        <w:tc>
          <w:tcPr>
            <w:tcW w:w="0" w:type="auto"/>
            <w:shd w:val="clear" w:color="auto" w:fill="auto"/>
          </w:tcPr>
          <w:p w14:paraId="0D8DF5A2" w14:textId="77777777" w:rsidR="004C2197" w:rsidRDefault="004C2197">
            <w:pPr>
              <w:rPr>
                <w:rFonts w:ascii="宋体"/>
              </w:rPr>
            </w:pPr>
          </w:p>
        </w:tc>
        <w:tc>
          <w:tcPr>
            <w:tcW w:w="0" w:type="auto"/>
            <w:shd w:val="clear" w:color="auto" w:fill="auto"/>
          </w:tcPr>
          <w:p w14:paraId="0D8DF5A3" w14:textId="77777777" w:rsidR="004C2197" w:rsidRDefault="004C2197">
            <w:pPr>
              <w:rPr>
                <w:rFonts w:ascii="宋体"/>
              </w:rPr>
            </w:pPr>
          </w:p>
        </w:tc>
        <w:tc>
          <w:tcPr>
            <w:tcW w:w="0" w:type="auto"/>
            <w:shd w:val="clear" w:color="auto" w:fill="auto"/>
          </w:tcPr>
          <w:p w14:paraId="0D8DF5A4" w14:textId="77777777" w:rsidR="004C2197" w:rsidRDefault="004C2197">
            <w:pPr>
              <w:rPr>
                <w:rFonts w:ascii="宋体"/>
              </w:rPr>
            </w:pPr>
          </w:p>
        </w:tc>
        <w:tc>
          <w:tcPr>
            <w:tcW w:w="0" w:type="auto"/>
            <w:shd w:val="clear" w:color="auto" w:fill="auto"/>
          </w:tcPr>
          <w:p w14:paraId="0D8DF5A5" w14:textId="77777777" w:rsidR="004C2197" w:rsidRDefault="004C2197">
            <w:pPr>
              <w:rPr>
                <w:rFonts w:ascii="宋体"/>
              </w:rPr>
            </w:pPr>
          </w:p>
        </w:tc>
        <w:tc>
          <w:tcPr>
            <w:tcW w:w="0" w:type="auto"/>
            <w:shd w:val="clear" w:color="auto" w:fill="auto"/>
          </w:tcPr>
          <w:p w14:paraId="0D8DF5A6" w14:textId="77777777" w:rsidR="004C2197" w:rsidRDefault="004C2197">
            <w:pPr>
              <w:rPr>
                <w:rFonts w:ascii="宋体"/>
              </w:rPr>
            </w:pPr>
          </w:p>
        </w:tc>
        <w:tc>
          <w:tcPr>
            <w:tcW w:w="0" w:type="auto"/>
            <w:shd w:val="clear" w:color="auto" w:fill="auto"/>
          </w:tcPr>
          <w:p w14:paraId="0D8DF5A7" w14:textId="77777777" w:rsidR="004C2197" w:rsidRDefault="004C2197">
            <w:pPr>
              <w:rPr>
                <w:rFonts w:ascii="宋体"/>
              </w:rPr>
            </w:pPr>
          </w:p>
        </w:tc>
        <w:tc>
          <w:tcPr>
            <w:tcW w:w="0" w:type="auto"/>
            <w:shd w:val="clear" w:color="auto" w:fill="auto"/>
          </w:tcPr>
          <w:p w14:paraId="0D8DF5A8" w14:textId="77777777" w:rsidR="004C2197" w:rsidRDefault="004C2197">
            <w:pPr>
              <w:rPr>
                <w:rFonts w:ascii="宋体"/>
              </w:rPr>
            </w:pPr>
          </w:p>
        </w:tc>
        <w:tc>
          <w:tcPr>
            <w:tcW w:w="0" w:type="auto"/>
            <w:shd w:val="clear" w:color="auto" w:fill="auto"/>
          </w:tcPr>
          <w:p w14:paraId="0D8DF5A9" w14:textId="77777777" w:rsidR="004C2197" w:rsidRDefault="004C2197">
            <w:pPr>
              <w:rPr>
                <w:rFonts w:ascii="宋体"/>
              </w:rPr>
            </w:pPr>
          </w:p>
        </w:tc>
        <w:tc>
          <w:tcPr>
            <w:tcW w:w="0" w:type="auto"/>
            <w:shd w:val="clear" w:color="auto" w:fill="auto"/>
          </w:tcPr>
          <w:p w14:paraId="0D8DF5AA" w14:textId="77777777" w:rsidR="004C2197" w:rsidRDefault="004C2197">
            <w:pPr>
              <w:rPr>
                <w:rFonts w:ascii="宋体"/>
              </w:rPr>
            </w:pPr>
          </w:p>
        </w:tc>
        <w:tc>
          <w:tcPr>
            <w:tcW w:w="0" w:type="auto"/>
            <w:shd w:val="clear" w:color="auto" w:fill="auto"/>
          </w:tcPr>
          <w:p w14:paraId="0D8DF5AB" w14:textId="77777777" w:rsidR="004C2197" w:rsidRDefault="004C2197">
            <w:pPr>
              <w:rPr>
                <w:rFonts w:ascii="宋体"/>
              </w:rPr>
            </w:pPr>
          </w:p>
        </w:tc>
        <w:tc>
          <w:tcPr>
            <w:tcW w:w="0" w:type="auto"/>
            <w:shd w:val="clear" w:color="auto" w:fill="auto"/>
          </w:tcPr>
          <w:p w14:paraId="0D8DF5AC" w14:textId="77777777" w:rsidR="004C2197" w:rsidRDefault="004C2197">
            <w:pPr>
              <w:rPr>
                <w:rFonts w:ascii="宋体"/>
              </w:rPr>
            </w:pPr>
          </w:p>
        </w:tc>
        <w:tc>
          <w:tcPr>
            <w:tcW w:w="0" w:type="auto"/>
            <w:shd w:val="clear" w:color="auto" w:fill="auto"/>
          </w:tcPr>
          <w:p w14:paraId="0D8DF5AD" w14:textId="77777777" w:rsidR="004C2197" w:rsidRDefault="004C2197">
            <w:pPr>
              <w:rPr>
                <w:rFonts w:ascii="宋体"/>
              </w:rPr>
            </w:pPr>
          </w:p>
        </w:tc>
        <w:tc>
          <w:tcPr>
            <w:tcW w:w="0" w:type="auto"/>
            <w:shd w:val="clear" w:color="auto" w:fill="auto"/>
          </w:tcPr>
          <w:p w14:paraId="0D8DF5AE" w14:textId="77777777" w:rsidR="004C2197" w:rsidRDefault="004C2197">
            <w:pPr>
              <w:rPr>
                <w:rFonts w:ascii="宋体"/>
              </w:rPr>
            </w:pPr>
          </w:p>
        </w:tc>
        <w:tc>
          <w:tcPr>
            <w:tcW w:w="0" w:type="auto"/>
            <w:shd w:val="clear" w:color="auto" w:fill="auto"/>
          </w:tcPr>
          <w:p w14:paraId="0D8DF5AF" w14:textId="77777777" w:rsidR="004C2197" w:rsidRDefault="004C2197">
            <w:pPr>
              <w:rPr>
                <w:rFonts w:ascii="宋体"/>
              </w:rPr>
            </w:pPr>
          </w:p>
        </w:tc>
        <w:tc>
          <w:tcPr>
            <w:tcW w:w="0" w:type="auto"/>
            <w:shd w:val="clear" w:color="auto" w:fill="auto"/>
          </w:tcPr>
          <w:p w14:paraId="0D8DF5B0" w14:textId="77777777" w:rsidR="004C2197" w:rsidRDefault="004C2197">
            <w:pPr>
              <w:rPr>
                <w:rFonts w:ascii="宋体"/>
              </w:rPr>
            </w:pPr>
          </w:p>
        </w:tc>
        <w:tc>
          <w:tcPr>
            <w:tcW w:w="0" w:type="auto"/>
            <w:shd w:val="clear" w:color="auto" w:fill="auto"/>
          </w:tcPr>
          <w:p w14:paraId="0D8DF5B1" w14:textId="77777777" w:rsidR="004C2197" w:rsidRDefault="004C2197">
            <w:pPr>
              <w:rPr>
                <w:rFonts w:ascii="宋体"/>
              </w:rPr>
            </w:pPr>
          </w:p>
        </w:tc>
        <w:tc>
          <w:tcPr>
            <w:tcW w:w="0" w:type="auto"/>
            <w:shd w:val="clear" w:color="auto" w:fill="auto"/>
          </w:tcPr>
          <w:p w14:paraId="0D8DF5B2" w14:textId="77777777" w:rsidR="004C2197" w:rsidRDefault="004C2197">
            <w:pPr>
              <w:rPr>
                <w:rFonts w:ascii="宋体"/>
              </w:rPr>
            </w:pPr>
          </w:p>
        </w:tc>
        <w:tc>
          <w:tcPr>
            <w:tcW w:w="0" w:type="auto"/>
            <w:shd w:val="clear" w:color="auto" w:fill="auto"/>
          </w:tcPr>
          <w:p w14:paraId="0D8DF5B3" w14:textId="77777777" w:rsidR="004C2197" w:rsidRDefault="004C2197">
            <w:pPr>
              <w:rPr>
                <w:rFonts w:ascii="宋体"/>
              </w:rPr>
            </w:pPr>
          </w:p>
        </w:tc>
        <w:tc>
          <w:tcPr>
            <w:tcW w:w="0" w:type="auto"/>
            <w:shd w:val="clear" w:color="auto" w:fill="auto"/>
          </w:tcPr>
          <w:p w14:paraId="0D8DF5B4" w14:textId="77777777" w:rsidR="004C2197" w:rsidRDefault="004C2197">
            <w:pPr>
              <w:rPr>
                <w:rFonts w:ascii="宋体"/>
              </w:rPr>
            </w:pPr>
          </w:p>
        </w:tc>
        <w:tc>
          <w:tcPr>
            <w:tcW w:w="0" w:type="auto"/>
            <w:shd w:val="clear" w:color="auto" w:fill="auto"/>
          </w:tcPr>
          <w:p w14:paraId="0D8DF5B5" w14:textId="77777777" w:rsidR="004C2197" w:rsidRDefault="004C2197">
            <w:pPr>
              <w:rPr>
                <w:rFonts w:ascii="宋体"/>
              </w:rPr>
            </w:pPr>
          </w:p>
        </w:tc>
        <w:tc>
          <w:tcPr>
            <w:tcW w:w="0" w:type="auto"/>
            <w:shd w:val="clear" w:color="auto" w:fill="auto"/>
          </w:tcPr>
          <w:p w14:paraId="0D8DF5B6" w14:textId="77777777" w:rsidR="004C2197" w:rsidRDefault="004C2197">
            <w:pPr>
              <w:rPr>
                <w:rFonts w:ascii="宋体"/>
              </w:rPr>
            </w:pPr>
          </w:p>
        </w:tc>
        <w:tc>
          <w:tcPr>
            <w:tcW w:w="0" w:type="auto"/>
            <w:shd w:val="clear" w:color="auto" w:fill="auto"/>
          </w:tcPr>
          <w:p w14:paraId="0D8DF5B7" w14:textId="77777777" w:rsidR="004C2197" w:rsidRDefault="004C2197">
            <w:pPr>
              <w:rPr>
                <w:rFonts w:ascii="宋体"/>
              </w:rPr>
            </w:pPr>
          </w:p>
        </w:tc>
        <w:tc>
          <w:tcPr>
            <w:tcW w:w="0" w:type="auto"/>
            <w:shd w:val="clear" w:color="auto" w:fill="auto"/>
          </w:tcPr>
          <w:p w14:paraId="0D8DF5B8" w14:textId="77777777" w:rsidR="004C2197" w:rsidRDefault="004C2197">
            <w:pPr>
              <w:rPr>
                <w:rFonts w:ascii="宋体"/>
              </w:rPr>
            </w:pPr>
          </w:p>
        </w:tc>
      </w:tr>
      <w:tr w:rsidR="004C2197" w14:paraId="0D8DF5E1" w14:textId="77777777">
        <w:trPr>
          <w:hidden/>
        </w:trPr>
        <w:tc>
          <w:tcPr>
            <w:tcW w:w="0" w:type="auto"/>
            <w:gridSpan w:val="3"/>
            <w:shd w:val="clear" w:color="auto" w:fill="auto"/>
          </w:tcPr>
          <w:p w14:paraId="0D8DF5BA" w14:textId="77777777" w:rsidR="004C2197" w:rsidRDefault="004C2197">
            <w:pPr>
              <w:rPr>
                <w:rFonts w:ascii="宋体"/>
                <w:vanish/>
              </w:rPr>
            </w:pPr>
          </w:p>
        </w:tc>
        <w:tc>
          <w:tcPr>
            <w:tcW w:w="0" w:type="auto"/>
            <w:gridSpan w:val="3"/>
            <w:shd w:val="clear" w:color="auto" w:fill="auto"/>
          </w:tcPr>
          <w:p w14:paraId="0D8DF5BB" w14:textId="77777777" w:rsidR="004C2197" w:rsidRDefault="004C2197">
            <w:pPr>
              <w:rPr>
                <w:rFonts w:ascii="宋体"/>
                <w:vanish/>
              </w:rPr>
            </w:pPr>
          </w:p>
        </w:tc>
        <w:tc>
          <w:tcPr>
            <w:tcW w:w="0" w:type="auto"/>
            <w:gridSpan w:val="3"/>
            <w:shd w:val="clear" w:color="auto" w:fill="auto"/>
          </w:tcPr>
          <w:p w14:paraId="0D8DF5BC" w14:textId="77777777" w:rsidR="004C2197" w:rsidRDefault="004C2197">
            <w:pPr>
              <w:rPr>
                <w:rFonts w:ascii="宋体"/>
                <w:vanish/>
              </w:rPr>
            </w:pPr>
          </w:p>
        </w:tc>
        <w:tc>
          <w:tcPr>
            <w:tcW w:w="0" w:type="auto"/>
            <w:gridSpan w:val="3"/>
            <w:shd w:val="clear" w:color="auto" w:fill="auto"/>
          </w:tcPr>
          <w:p w14:paraId="0D8DF5BD" w14:textId="77777777" w:rsidR="004C2197" w:rsidRDefault="004C2197">
            <w:pPr>
              <w:rPr>
                <w:rFonts w:ascii="宋体"/>
                <w:vanish/>
              </w:rPr>
            </w:pPr>
          </w:p>
        </w:tc>
        <w:tc>
          <w:tcPr>
            <w:tcW w:w="0" w:type="auto"/>
            <w:gridSpan w:val="3"/>
            <w:shd w:val="clear" w:color="auto" w:fill="auto"/>
          </w:tcPr>
          <w:p w14:paraId="0D8DF5BE" w14:textId="77777777" w:rsidR="004C2197" w:rsidRDefault="004C2197">
            <w:pPr>
              <w:rPr>
                <w:rFonts w:ascii="宋体"/>
                <w:vanish/>
              </w:rPr>
            </w:pPr>
          </w:p>
        </w:tc>
        <w:tc>
          <w:tcPr>
            <w:tcW w:w="0" w:type="auto"/>
            <w:gridSpan w:val="3"/>
            <w:shd w:val="clear" w:color="auto" w:fill="auto"/>
          </w:tcPr>
          <w:p w14:paraId="0D8DF5BF" w14:textId="77777777" w:rsidR="004C2197" w:rsidRDefault="004C2197">
            <w:pPr>
              <w:rPr>
                <w:rFonts w:ascii="宋体"/>
                <w:vanish/>
              </w:rPr>
            </w:pPr>
          </w:p>
        </w:tc>
        <w:tc>
          <w:tcPr>
            <w:tcW w:w="0" w:type="auto"/>
            <w:gridSpan w:val="3"/>
            <w:shd w:val="clear" w:color="auto" w:fill="auto"/>
          </w:tcPr>
          <w:p w14:paraId="0D8DF5C0" w14:textId="77777777" w:rsidR="004C2197" w:rsidRDefault="004C2197">
            <w:pPr>
              <w:rPr>
                <w:rFonts w:ascii="宋体"/>
                <w:vanish/>
              </w:rPr>
            </w:pPr>
          </w:p>
        </w:tc>
        <w:tc>
          <w:tcPr>
            <w:tcW w:w="0" w:type="auto"/>
            <w:gridSpan w:val="3"/>
            <w:shd w:val="clear" w:color="auto" w:fill="auto"/>
          </w:tcPr>
          <w:p w14:paraId="0D8DF5C1" w14:textId="77777777" w:rsidR="004C2197" w:rsidRDefault="004C2197">
            <w:pPr>
              <w:rPr>
                <w:rFonts w:ascii="宋体"/>
                <w:vanish/>
              </w:rPr>
            </w:pPr>
          </w:p>
        </w:tc>
        <w:tc>
          <w:tcPr>
            <w:tcW w:w="0" w:type="auto"/>
            <w:gridSpan w:val="3"/>
            <w:shd w:val="clear" w:color="auto" w:fill="auto"/>
          </w:tcPr>
          <w:p w14:paraId="0D8DF5C2" w14:textId="77777777" w:rsidR="004C2197" w:rsidRDefault="004C2197">
            <w:pPr>
              <w:rPr>
                <w:rFonts w:ascii="宋体"/>
                <w:vanish/>
              </w:rPr>
            </w:pPr>
          </w:p>
        </w:tc>
        <w:tc>
          <w:tcPr>
            <w:tcW w:w="0" w:type="auto"/>
            <w:gridSpan w:val="3"/>
            <w:shd w:val="clear" w:color="auto" w:fill="auto"/>
          </w:tcPr>
          <w:p w14:paraId="0D8DF5C3" w14:textId="77777777" w:rsidR="004C2197" w:rsidRDefault="004C2197">
            <w:pPr>
              <w:rPr>
                <w:rFonts w:ascii="宋体"/>
                <w:vanish/>
              </w:rPr>
            </w:pPr>
          </w:p>
        </w:tc>
        <w:tc>
          <w:tcPr>
            <w:tcW w:w="0" w:type="auto"/>
            <w:gridSpan w:val="3"/>
            <w:shd w:val="clear" w:color="auto" w:fill="auto"/>
          </w:tcPr>
          <w:p w14:paraId="0D8DF5C4" w14:textId="77777777" w:rsidR="004C2197" w:rsidRDefault="004C2197">
            <w:pPr>
              <w:rPr>
                <w:rFonts w:ascii="宋体"/>
                <w:vanish/>
              </w:rPr>
            </w:pPr>
          </w:p>
        </w:tc>
        <w:tc>
          <w:tcPr>
            <w:tcW w:w="0" w:type="auto"/>
            <w:gridSpan w:val="3"/>
            <w:shd w:val="clear" w:color="auto" w:fill="auto"/>
          </w:tcPr>
          <w:p w14:paraId="0D8DF5C5" w14:textId="77777777" w:rsidR="004C2197" w:rsidRDefault="004C2197">
            <w:pPr>
              <w:rPr>
                <w:rFonts w:ascii="宋体"/>
                <w:vanish/>
              </w:rPr>
            </w:pPr>
          </w:p>
        </w:tc>
        <w:tc>
          <w:tcPr>
            <w:tcW w:w="0" w:type="auto"/>
            <w:shd w:val="clear" w:color="auto" w:fill="auto"/>
          </w:tcPr>
          <w:p w14:paraId="0D8DF5C6" w14:textId="77777777" w:rsidR="004C2197" w:rsidRDefault="004C2197">
            <w:pPr>
              <w:rPr>
                <w:rFonts w:ascii="宋体"/>
              </w:rPr>
            </w:pPr>
          </w:p>
        </w:tc>
        <w:tc>
          <w:tcPr>
            <w:tcW w:w="0" w:type="auto"/>
            <w:shd w:val="clear" w:color="auto" w:fill="auto"/>
          </w:tcPr>
          <w:p w14:paraId="0D8DF5C7" w14:textId="77777777" w:rsidR="004C2197" w:rsidRDefault="004C2197">
            <w:pPr>
              <w:rPr>
                <w:rFonts w:ascii="宋体"/>
              </w:rPr>
            </w:pPr>
          </w:p>
        </w:tc>
        <w:tc>
          <w:tcPr>
            <w:tcW w:w="0" w:type="auto"/>
            <w:shd w:val="clear" w:color="auto" w:fill="auto"/>
          </w:tcPr>
          <w:p w14:paraId="0D8DF5C8" w14:textId="77777777" w:rsidR="004C2197" w:rsidRDefault="004C2197">
            <w:pPr>
              <w:rPr>
                <w:rFonts w:ascii="宋体"/>
              </w:rPr>
            </w:pPr>
          </w:p>
        </w:tc>
        <w:tc>
          <w:tcPr>
            <w:tcW w:w="0" w:type="auto"/>
            <w:shd w:val="clear" w:color="auto" w:fill="auto"/>
          </w:tcPr>
          <w:p w14:paraId="0D8DF5C9" w14:textId="77777777" w:rsidR="004C2197" w:rsidRDefault="004C2197">
            <w:pPr>
              <w:rPr>
                <w:rFonts w:ascii="宋体"/>
              </w:rPr>
            </w:pPr>
          </w:p>
        </w:tc>
        <w:tc>
          <w:tcPr>
            <w:tcW w:w="0" w:type="auto"/>
            <w:shd w:val="clear" w:color="auto" w:fill="auto"/>
          </w:tcPr>
          <w:p w14:paraId="0D8DF5CA" w14:textId="77777777" w:rsidR="004C2197" w:rsidRDefault="004C2197">
            <w:pPr>
              <w:rPr>
                <w:rFonts w:ascii="宋体"/>
              </w:rPr>
            </w:pPr>
          </w:p>
        </w:tc>
        <w:tc>
          <w:tcPr>
            <w:tcW w:w="0" w:type="auto"/>
            <w:shd w:val="clear" w:color="auto" w:fill="auto"/>
          </w:tcPr>
          <w:p w14:paraId="0D8DF5CB" w14:textId="77777777" w:rsidR="004C2197" w:rsidRDefault="004C2197">
            <w:pPr>
              <w:rPr>
                <w:rFonts w:ascii="宋体"/>
              </w:rPr>
            </w:pPr>
          </w:p>
        </w:tc>
        <w:tc>
          <w:tcPr>
            <w:tcW w:w="0" w:type="auto"/>
            <w:shd w:val="clear" w:color="auto" w:fill="auto"/>
          </w:tcPr>
          <w:p w14:paraId="0D8DF5CC" w14:textId="77777777" w:rsidR="004C2197" w:rsidRDefault="004C2197">
            <w:pPr>
              <w:rPr>
                <w:rFonts w:ascii="宋体"/>
              </w:rPr>
            </w:pPr>
          </w:p>
        </w:tc>
        <w:tc>
          <w:tcPr>
            <w:tcW w:w="0" w:type="auto"/>
            <w:shd w:val="clear" w:color="auto" w:fill="auto"/>
          </w:tcPr>
          <w:p w14:paraId="0D8DF5CD" w14:textId="77777777" w:rsidR="004C2197" w:rsidRDefault="004C2197">
            <w:pPr>
              <w:rPr>
                <w:rFonts w:ascii="宋体"/>
              </w:rPr>
            </w:pPr>
          </w:p>
        </w:tc>
        <w:tc>
          <w:tcPr>
            <w:tcW w:w="0" w:type="auto"/>
            <w:shd w:val="clear" w:color="auto" w:fill="auto"/>
          </w:tcPr>
          <w:p w14:paraId="0D8DF5CE" w14:textId="77777777" w:rsidR="004C2197" w:rsidRDefault="004C2197">
            <w:pPr>
              <w:rPr>
                <w:rFonts w:ascii="宋体"/>
              </w:rPr>
            </w:pPr>
          </w:p>
        </w:tc>
        <w:tc>
          <w:tcPr>
            <w:tcW w:w="0" w:type="auto"/>
            <w:shd w:val="clear" w:color="auto" w:fill="auto"/>
          </w:tcPr>
          <w:p w14:paraId="0D8DF5CF" w14:textId="77777777" w:rsidR="004C2197" w:rsidRDefault="004C2197">
            <w:pPr>
              <w:rPr>
                <w:rFonts w:ascii="宋体"/>
              </w:rPr>
            </w:pPr>
          </w:p>
        </w:tc>
        <w:tc>
          <w:tcPr>
            <w:tcW w:w="0" w:type="auto"/>
            <w:shd w:val="clear" w:color="auto" w:fill="auto"/>
          </w:tcPr>
          <w:p w14:paraId="0D8DF5D0" w14:textId="77777777" w:rsidR="004C2197" w:rsidRDefault="004C2197">
            <w:pPr>
              <w:rPr>
                <w:rFonts w:ascii="宋体"/>
              </w:rPr>
            </w:pPr>
          </w:p>
        </w:tc>
        <w:tc>
          <w:tcPr>
            <w:tcW w:w="0" w:type="auto"/>
            <w:shd w:val="clear" w:color="auto" w:fill="auto"/>
          </w:tcPr>
          <w:p w14:paraId="0D8DF5D1" w14:textId="77777777" w:rsidR="004C2197" w:rsidRDefault="004C2197">
            <w:pPr>
              <w:rPr>
                <w:rFonts w:ascii="宋体"/>
              </w:rPr>
            </w:pPr>
          </w:p>
        </w:tc>
        <w:tc>
          <w:tcPr>
            <w:tcW w:w="0" w:type="auto"/>
            <w:shd w:val="clear" w:color="auto" w:fill="auto"/>
          </w:tcPr>
          <w:p w14:paraId="0D8DF5D2" w14:textId="77777777" w:rsidR="004C2197" w:rsidRDefault="004C2197">
            <w:pPr>
              <w:rPr>
                <w:rFonts w:ascii="宋体"/>
              </w:rPr>
            </w:pPr>
          </w:p>
        </w:tc>
        <w:tc>
          <w:tcPr>
            <w:tcW w:w="0" w:type="auto"/>
            <w:shd w:val="clear" w:color="auto" w:fill="auto"/>
          </w:tcPr>
          <w:p w14:paraId="0D8DF5D3" w14:textId="77777777" w:rsidR="004C2197" w:rsidRDefault="004C2197">
            <w:pPr>
              <w:rPr>
                <w:rFonts w:ascii="宋体"/>
              </w:rPr>
            </w:pPr>
          </w:p>
        </w:tc>
        <w:tc>
          <w:tcPr>
            <w:tcW w:w="0" w:type="auto"/>
            <w:shd w:val="clear" w:color="auto" w:fill="auto"/>
          </w:tcPr>
          <w:p w14:paraId="0D8DF5D4" w14:textId="77777777" w:rsidR="004C2197" w:rsidRDefault="004C2197">
            <w:pPr>
              <w:rPr>
                <w:rFonts w:ascii="宋体"/>
              </w:rPr>
            </w:pPr>
          </w:p>
        </w:tc>
        <w:tc>
          <w:tcPr>
            <w:tcW w:w="0" w:type="auto"/>
            <w:shd w:val="clear" w:color="auto" w:fill="auto"/>
          </w:tcPr>
          <w:p w14:paraId="0D8DF5D5" w14:textId="77777777" w:rsidR="004C2197" w:rsidRDefault="004C2197">
            <w:pPr>
              <w:rPr>
                <w:rFonts w:ascii="宋体"/>
              </w:rPr>
            </w:pPr>
          </w:p>
        </w:tc>
        <w:tc>
          <w:tcPr>
            <w:tcW w:w="0" w:type="auto"/>
            <w:shd w:val="clear" w:color="auto" w:fill="auto"/>
          </w:tcPr>
          <w:p w14:paraId="0D8DF5D6" w14:textId="77777777" w:rsidR="004C2197" w:rsidRDefault="004C2197">
            <w:pPr>
              <w:rPr>
                <w:rFonts w:ascii="宋体"/>
              </w:rPr>
            </w:pPr>
          </w:p>
        </w:tc>
        <w:tc>
          <w:tcPr>
            <w:tcW w:w="0" w:type="auto"/>
            <w:shd w:val="clear" w:color="auto" w:fill="auto"/>
          </w:tcPr>
          <w:p w14:paraId="0D8DF5D7" w14:textId="77777777" w:rsidR="004C2197" w:rsidRDefault="004C2197">
            <w:pPr>
              <w:rPr>
                <w:rFonts w:ascii="宋体"/>
              </w:rPr>
            </w:pPr>
          </w:p>
        </w:tc>
        <w:tc>
          <w:tcPr>
            <w:tcW w:w="0" w:type="auto"/>
            <w:shd w:val="clear" w:color="auto" w:fill="auto"/>
          </w:tcPr>
          <w:p w14:paraId="0D8DF5D8" w14:textId="77777777" w:rsidR="004C2197" w:rsidRDefault="004C2197">
            <w:pPr>
              <w:rPr>
                <w:rFonts w:ascii="宋体"/>
              </w:rPr>
            </w:pPr>
          </w:p>
        </w:tc>
        <w:tc>
          <w:tcPr>
            <w:tcW w:w="0" w:type="auto"/>
            <w:shd w:val="clear" w:color="auto" w:fill="auto"/>
          </w:tcPr>
          <w:p w14:paraId="0D8DF5D9" w14:textId="77777777" w:rsidR="004C2197" w:rsidRDefault="004C2197">
            <w:pPr>
              <w:rPr>
                <w:rFonts w:ascii="宋体"/>
              </w:rPr>
            </w:pPr>
          </w:p>
        </w:tc>
        <w:tc>
          <w:tcPr>
            <w:tcW w:w="0" w:type="auto"/>
            <w:shd w:val="clear" w:color="auto" w:fill="auto"/>
          </w:tcPr>
          <w:p w14:paraId="0D8DF5DA" w14:textId="77777777" w:rsidR="004C2197" w:rsidRDefault="004C2197">
            <w:pPr>
              <w:rPr>
                <w:rFonts w:ascii="宋体"/>
              </w:rPr>
            </w:pPr>
          </w:p>
        </w:tc>
        <w:tc>
          <w:tcPr>
            <w:tcW w:w="0" w:type="auto"/>
            <w:shd w:val="clear" w:color="auto" w:fill="auto"/>
          </w:tcPr>
          <w:p w14:paraId="0D8DF5DB" w14:textId="77777777" w:rsidR="004C2197" w:rsidRDefault="004C2197">
            <w:pPr>
              <w:rPr>
                <w:rFonts w:ascii="宋体"/>
              </w:rPr>
            </w:pPr>
          </w:p>
        </w:tc>
        <w:tc>
          <w:tcPr>
            <w:tcW w:w="0" w:type="auto"/>
            <w:shd w:val="clear" w:color="auto" w:fill="auto"/>
          </w:tcPr>
          <w:p w14:paraId="0D8DF5DC" w14:textId="77777777" w:rsidR="004C2197" w:rsidRDefault="004C2197">
            <w:pPr>
              <w:rPr>
                <w:rFonts w:ascii="宋体"/>
              </w:rPr>
            </w:pPr>
          </w:p>
        </w:tc>
        <w:tc>
          <w:tcPr>
            <w:tcW w:w="0" w:type="auto"/>
            <w:shd w:val="clear" w:color="auto" w:fill="auto"/>
          </w:tcPr>
          <w:p w14:paraId="0D8DF5DD" w14:textId="77777777" w:rsidR="004C2197" w:rsidRDefault="004C2197">
            <w:pPr>
              <w:rPr>
                <w:rFonts w:ascii="宋体"/>
              </w:rPr>
            </w:pPr>
          </w:p>
        </w:tc>
        <w:tc>
          <w:tcPr>
            <w:tcW w:w="0" w:type="auto"/>
            <w:shd w:val="clear" w:color="auto" w:fill="auto"/>
          </w:tcPr>
          <w:p w14:paraId="0D8DF5DE" w14:textId="77777777" w:rsidR="004C2197" w:rsidRDefault="004C2197">
            <w:pPr>
              <w:rPr>
                <w:rFonts w:ascii="宋体"/>
              </w:rPr>
            </w:pPr>
          </w:p>
        </w:tc>
        <w:tc>
          <w:tcPr>
            <w:tcW w:w="0" w:type="auto"/>
            <w:shd w:val="clear" w:color="auto" w:fill="auto"/>
          </w:tcPr>
          <w:p w14:paraId="0D8DF5DF" w14:textId="77777777" w:rsidR="004C2197" w:rsidRDefault="004C2197">
            <w:pPr>
              <w:rPr>
                <w:rFonts w:ascii="宋体"/>
              </w:rPr>
            </w:pPr>
          </w:p>
        </w:tc>
        <w:tc>
          <w:tcPr>
            <w:tcW w:w="0" w:type="auto"/>
            <w:shd w:val="clear" w:color="auto" w:fill="auto"/>
          </w:tcPr>
          <w:p w14:paraId="0D8DF5E0" w14:textId="77777777" w:rsidR="004C2197" w:rsidRDefault="004C2197">
            <w:pPr>
              <w:rPr>
                <w:rFonts w:ascii="宋体"/>
              </w:rPr>
            </w:pPr>
          </w:p>
        </w:tc>
      </w:tr>
      <w:tr w:rsidR="004C2197" w14:paraId="0D8DF615" w14:textId="77777777">
        <w:tc>
          <w:tcPr>
            <w:tcW w:w="0" w:type="auto"/>
            <w:gridSpan w:val="3"/>
            <w:shd w:val="clear" w:color="auto" w:fill="FFFFFF"/>
            <w:tcMar>
              <w:top w:w="40" w:type="dxa"/>
              <w:left w:w="20" w:type="dxa"/>
              <w:bottom w:w="40" w:type="dxa"/>
              <w:right w:w="20" w:type="dxa"/>
            </w:tcMar>
            <w:vAlign w:val="bottom"/>
          </w:tcPr>
          <w:p w14:paraId="0D8DF5E2"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E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E4"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E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E6"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E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E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E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EA"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E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EC" w14:textId="77777777" w:rsidR="004C2197" w:rsidRDefault="00863B83">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E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EE"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E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F0"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F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F2"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F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F4" w14:textId="77777777" w:rsidR="004C2197" w:rsidRDefault="00863B83">
            <w:pPr>
              <w:jc w:val="right"/>
              <w:textAlignment w:val="bottom"/>
            </w:pPr>
            <w:r>
              <w:rPr>
                <w:rFonts w:ascii="sans-serif" w:eastAsia="sans-serif" w:hAnsi="sans-serif" w:cs="sans-serif"/>
                <w:color w:val="000000"/>
                <w:sz w:val="20"/>
                <w:szCs w:val="20"/>
              </w:rPr>
              <w:t>10,780 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F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5F6"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5F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5F8"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5F9" w14:textId="77777777" w:rsidR="004C2197" w:rsidRDefault="004C2197">
            <w:pPr>
              <w:jc w:val="right"/>
              <w:rPr>
                <w:rFonts w:ascii="宋体"/>
              </w:rPr>
            </w:pPr>
          </w:p>
        </w:tc>
        <w:tc>
          <w:tcPr>
            <w:tcW w:w="0" w:type="auto"/>
            <w:shd w:val="clear" w:color="auto" w:fill="auto"/>
          </w:tcPr>
          <w:p w14:paraId="0D8DF5FA" w14:textId="77777777" w:rsidR="004C2197" w:rsidRDefault="004C2197">
            <w:pPr>
              <w:rPr>
                <w:rFonts w:ascii="宋体"/>
              </w:rPr>
            </w:pPr>
          </w:p>
        </w:tc>
        <w:tc>
          <w:tcPr>
            <w:tcW w:w="0" w:type="auto"/>
            <w:shd w:val="clear" w:color="auto" w:fill="auto"/>
          </w:tcPr>
          <w:p w14:paraId="0D8DF5FB" w14:textId="77777777" w:rsidR="004C2197" w:rsidRDefault="004C2197">
            <w:pPr>
              <w:rPr>
                <w:rFonts w:ascii="宋体"/>
              </w:rPr>
            </w:pPr>
          </w:p>
        </w:tc>
        <w:tc>
          <w:tcPr>
            <w:tcW w:w="0" w:type="auto"/>
            <w:shd w:val="clear" w:color="auto" w:fill="auto"/>
          </w:tcPr>
          <w:p w14:paraId="0D8DF5FC" w14:textId="77777777" w:rsidR="004C2197" w:rsidRDefault="004C2197">
            <w:pPr>
              <w:rPr>
                <w:rFonts w:ascii="宋体"/>
              </w:rPr>
            </w:pPr>
          </w:p>
        </w:tc>
        <w:tc>
          <w:tcPr>
            <w:tcW w:w="0" w:type="auto"/>
            <w:shd w:val="clear" w:color="auto" w:fill="auto"/>
          </w:tcPr>
          <w:p w14:paraId="0D8DF5FD" w14:textId="77777777" w:rsidR="004C2197" w:rsidRDefault="004C2197">
            <w:pPr>
              <w:rPr>
                <w:rFonts w:ascii="宋体"/>
              </w:rPr>
            </w:pPr>
          </w:p>
        </w:tc>
        <w:tc>
          <w:tcPr>
            <w:tcW w:w="0" w:type="auto"/>
            <w:shd w:val="clear" w:color="auto" w:fill="auto"/>
          </w:tcPr>
          <w:p w14:paraId="0D8DF5FE" w14:textId="77777777" w:rsidR="004C2197" w:rsidRDefault="004C2197">
            <w:pPr>
              <w:rPr>
                <w:rFonts w:ascii="宋体"/>
              </w:rPr>
            </w:pPr>
          </w:p>
        </w:tc>
        <w:tc>
          <w:tcPr>
            <w:tcW w:w="0" w:type="auto"/>
            <w:shd w:val="clear" w:color="auto" w:fill="auto"/>
          </w:tcPr>
          <w:p w14:paraId="0D8DF5FF" w14:textId="77777777" w:rsidR="004C2197" w:rsidRDefault="004C2197">
            <w:pPr>
              <w:rPr>
                <w:rFonts w:ascii="宋体"/>
              </w:rPr>
            </w:pPr>
          </w:p>
        </w:tc>
        <w:tc>
          <w:tcPr>
            <w:tcW w:w="0" w:type="auto"/>
            <w:shd w:val="clear" w:color="auto" w:fill="auto"/>
          </w:tcPr>
          <w:p w14:paraId="0D8DF600" w14:textId="77777777" w:rsidR="004C2197" w:rsidRDefault="004C2197">
            <w:pPr>
              <w:rPr>
                <w:rFonts w:ascii="宋体"/>
              </w:rPr>
            </w:pPr>
          </w:p>
        </w:tc>
        <w:tc>
          <w:tcPr>
            <w:tcW w:w="0" w:type="auto"/>
            <w:shd w:val="clear" w:color="auto" w:fill="auto"/>
          </w:tcPr>
          <w:p w14:paraId="0D8DF601" w14:textId="77777777" w:rsidR="004C2197" w:rsidRDefault="004C2197">
            <w:pPr>
              <w:rPr>
                <w:rFonts w:ascii="宋体"/>
              </w:rPr>
            </w:pPr>
          </w:p>
        </w:tc>
        <w:tc>
          <w:tcPr>
            <w:tcW w:w="0" w:type="auto"/>
            <w:shd w:val="clear" w:color="auto" w:fill="auto"/>
          </w:tcPr>
          <w:p w14:paraId="0D8DF602" w14:textId="77777777" w:rsidR="004C2197" w:rsidRDefault="004C2197">
            <w:pPr>
              <w:rPr>
                <w:rFonts w:ascii="宋体"/>
              </w:rPr>
            </w:pPr>
          </w:p>
        </w:tc>
        <w:tc>
          <w:tcPr>
            <w:tcW w:w="0" w:type="auto"/>
            <w:shd w:val="clear" w:color="auto" w:fill="auto"/>
          </w:tcPr>
          <w:p w14:paraId="0D8DF603" w14:textId="77777777" w:rsidR="004C2197" w:rsidRDefault="004C2197">
            <w:pPr>
              <w:rPr>
                <w:rFonts w:ascii="宋体"/>
              </w:rPr>
            </w:pPr>
          </w:p>
        </w:tc>
        <w:tc>
          <w:tcPr>
            <w:tcW w:w="0" w:type="auto"/>
            <w:shd w:val="clear" w:color="auto" w:fill="auto"/>
          </w:tcPr>
          <w:p w14:paraId="0D8DF604" w14:textId="77777777" w:rsidR="004C2197" w:rsidRDefault="004C2197">
            <w:pPr>
              <w:rPr>
                <w:rFonts w:ascii="宋体"/>
              </w:rPr>
            </w:pPr>
          </w:p>
        </w:tc>
        <w:tc>
          <w:tcPr>
            <w:tcW w:w="0" w:type="auto"/>
            <w:shd w:val="clear" w:color="auto" w:fill="auto"/>
          </w:tcPr>
          <w:p w14:paraId="0D8DF605" w14:textId="77777777" w:rsidR="004C2197" w:rsidRDefault="004C2197">
            <w:pPr>
              <w:rPr>
                <w:rFonts w:ascii="宋体"/>
              </w:rPr>
            </w:pPr>
          </w:p>
        </w:tc>
        <w:tc>
          <w:tcPr>
            <w:tcW w:w="0" w:type="auto"/>
            <w:shd w:val="clear" w:color="auto" w:fill="auto"/>
          </w:tcPr>
          <w:p w14:paraId="0D8DF606" w14:textId="77777777" w:rsidR="004C2197" w:rsidRDefault="004C2197">
            <w:pPr>
              <w:rPr>
                <w:rFonts w:ascii="宋体"/>
              </w:rPr>
            </w:pPr>
          </w:p>
        </w:tc>
        <w:tc>
          <w:tcPr>
            <w:tcW w:w="0" w:type="auto"/>
            <w:shd w:val="clear" w:color="auto" w:fill="auto"/>
          </w:tcPr>
          <w:p w14:paraId="0D8DF607" w14:textId="77777777" w:rsidR="004C2197" w:rsidRDefault="004C2197">
            <w:pPr>
              <w:rPr>
                <w:rFonts w:ascii="宋体"/>
              </w:rPr>
            </w:pPr>
          </w:p>
        </w:tc>
        <w:tc>
          <w:tcPr>
            <w:tcW w:w="0" w:type="auto"/>
            <w:shd w:val="clear" w:color="auto" w:fill="auto"/>
          </w:tcPr>
          <w:p w14:paraId="0D8DF608" w14:textId="77777777" w:rsidR="004C2197" w:rsidRDefault="004C2197">
            <w:pPr>
              <w:rPr>
                <w:rFonts w:ascii="宋体"/>
              </w:rPr>
            </w:pPr>
          </w:p>
        </w:tc>
        <w:tc>
          <w:tcPr>
            <w:tcW w:w="0" w:type="auto"/>
            <w:shd w:val="clear" w:color="auto" w:fill="auto"/>
          </w:tcPr>
          <w:p w14:paraId="0D8DF609" w14:textId="77777777" w:rsidR="004C2197" w:rsidRDefault="004C2197">
            <w:pPr>
              <w:rPr>
                <w:rFonts w:ascii="宋体"/>
              </w:rPr>
            </w:pPr>
          </w:p>
        </w:tc>
        <w:tc>
          <w:tcPr>
            <w:tcW w:w="0" w:type="auto"/>
            <w:shd w:val="clear" w:color="auto" w:fill="auto"/>
          </w:tcPr>
          <w:p w14:paraId="0D8DF60A" w14:textId="77777777" w:rsidR="004C2197" w:rsidRDefault="004C2197">
            <w:pPr>
              <w:rPr>
                <w:rFonts w:ascii="宋体"/>
              </w:rPr>
            </w:pPr>
          </w:p>
        </w:tc>
        <w:tc>
          <w:tcPr>
            <w:tcW w:w="0" w:type="auto"/>
            <w:shd w:val="clear" w:color="auto" w:fill="auto"/>
          </w:tcPr>
          <w:p w14:paraId="0D8DF60B" w14:textId="77777777" w:rsidR="004C2197" w:rsidRDefault="004C2197">
            <w:pPr>
              <w:rPr>
                <w:rFonts w:ascii="宋体"/>
              </w:rPr>
            </w:pPr>
          </w:p>
        </w:tc>
        <w:tc>
          <w:tcPr>
            <w:tcW w:w="0" w:type="auto"/>
            <w:shd w:val="clear" w:color="auto" w:fill="auto"/>
          </w:tcPr>
          <w:p w14:paraId="0D8DF60C" w14:textId="77777777" w:rsidR="004C2197" w:rsidRDefault="004C2197">
            <w:pPr>
              <w:rPr>
                <w:rFonts w:ascii="宋体"/>
              </w:rPr>
            </w:pPr>
          </w:p>
        </w:tc>
        <w:tc>
          <w:tcPr>
            <w:tcW w:w="0" w:type="auto"/>
            <w:shd w:val="clear" w:color="auto" w:fill="auto"/>
          </w:tcPr>
          <w:p w14:paraId="0D8DF60D" w14:textId="77777777" w:rsidR="004C2197" w:rsidRDefault="004C2197">
            <w:pPr>
              <w:rPr>
                <w:rFonts w:ascii="宋体"/>
              </w:rPr>
            </w:pPr>
          </w:p>
        </w:tc>
        <w:tc>
          <w:tcPr>
            <w:tcW w:w="0" w:type="auto"/>
            <w:shd w:val="clear" w:color="auto" w:fill="auto"/>
          </w:tcPr>
          <w:p w14:paraId="0D8DF60E" w14:textId="77777777" w:rsidR="004C2197" w:rsidRDefault="004C2197">
            <w:pPr>
              <w:rPr>
                <w:rFonts w:ascii="宋体"/>
              </w:rPr>
            </w:pPr>
          </w:p>
        </w:tc>
        <w:tc>
          <w:tcPr>
            <w:tcW w:w="0" w:type="auto"/>
            <w:shd w:val="clear" w:color="auto" w:fill="auto"/>
          </w:tcPr>
          <w:p w14:paraId="0D8DF60F" w14:textId="77777777" w:rsidR="004C2197" w:rsidRDefault="004C2197">
            <w:pPr>
              <w:rPr>
                <w:rFonts w:ascii="宋体"/>
              </w:rPr>
            </w:pPr>
          </w:p>
        </w:tc>
        <w:tc>
          <w:tcPr>
            <w:tcW w:w="0" w:type="auto"/>
            <w:shd w:val="clear" w:color="auto" w:fill="auto"/>
          </w:tcPr>
          <w:p w14:paraId="0D8DF610" w14:textId="77777777" w:rsidR="004C2197" w:rsidRDefault="004C2197">
            <w:pPr>
              <w:rPr>
                <w:rFonts w:ascii="宋体"/>
              </w:rPr>
            </w:pPr>
          </w:p>
        </w:tc>
        <w:tc>
          <w:tcPr>
            <w:tcW w:w="0" w:type="auto"/>
            <w:shd w:val="clear" w:color="auto" w:fill="auto"/>
          </w:tcPr>
          <w:p w14:paraId="0D8DF611" w14:textId="77777777" w:rsidR="004C2197" w:rsidRDefault="004C2197">
            <w:pPr>
              <w:rPr>
                <w:rFonts w:ascii="宋体"/>
              </w:rPr>
            </w:pPr>
          </w:p>
        </w:tc>
        <w:tc>
          <w:tcPr>
            <w:tcW w:w="0" w:type="auto"/>
            <w:shd w:val="clear" w:color="auto" w:fill="auto"/>
          </w:tcPr>
          <w:p w14:paraId="0D8DF612" w14:textId="77777777" w:rsidR="004C2197" w:rsidRDefault="004C2197">
            <w:pPr>
              <w:rPr>
                <w:rFonts w:ascii="宋体"/>
              </w:rPr>
            </w:pPr>
          </w:p>
        </w:tc>
        <w:tc>
          <w:tcPr>
            <w:tcW w:w="0" w:type="auto"/>
            <w:shd w:val="clear" w:color="auto" w:fill="auto"/>
          </w:tcPr>
          <w:p w14:paraId="0D8DF613" w14:textId="77777777" w:rsidR="004C2197" w:rsidRDefault="004C2197">
            <w:pPr>
              <w:rPr>
                <w:rFonts w:ascii="宋体"/>
              </w:rPr>
            </w:pPr>
          </w:p>
        </w:tc>
        <w:tc>
          <w:tcPr>
            <w:tcW w:w="0" w:type="auto"/>
            <w:shd w:val="clear" w:color="auto" w:fill="auto"/>
          </w:tcPr>
          <w:p w14:paraId="0D8DF614" w14:textId="77777777" w:rsidR="004C2197" w:rsidRDefault="004C2197">
            <w:pPr>
              <w:rPr>
                <w:rFonts w:ascii="宋体"/>
              </w:rPr>
            </w:pPr>
          </w:p>
        </w:tc>
      </w:tr>
    </w:tbl>
    <w:p w14:paraId="0D8DF616" w14:textId="77777777" w:rsidR="004C2197" w:rsidRDefault="00863B83">
      <w:pPr>
        <w:spacing w:before="180" w:after="180"/>
        <w:jc w:val="both"/>
      </w:pPr>
      <w:r>
        <w:rPr>
          <w:rFonts w:ascii="sans-serif" w:eastAsia="sans-serif" w:hAnsi="sans-serif" w:cs="sans-serif"/>
          <w:color w:val="000000"/>
          <w:sz w:val="20"/>
          <w:szCs w:val="20"/>
        </w:rPr>
        <w:t>Net realized gains and unrealized gains and losses were not significant for all periods prese</w:t>
      </w:r>
      <w:r>
        <w:rPr>
          <w:rFonts w:ascii="sans-serif" w:eastAsia="sans-serif" w:hAnsi="sans-serif" w:cs="sans-serif"/>
          <w:color w:val="000000"/>
          <w:sz w:val="20"/>
          <w:szCs w:val="20"/>
        </w:rPr>
        <w:t xml:space="preserve">nted. </w:t>
      </w:r>
    </w:p>
    <w:p w14:paraId="0D8DF617" w14:textId="77777777" w:rsidR="004C2197" w:rsidRDefault="00863B83">
      <w:pPr>
        <w:spacing w:before="180" w:after="180"/>
        <w:jc w:val="both"/>
      </w:pPr>
      <w:r>
        <w:rPr>
          <w:rFonts w:ascii="sans-serif" w:eastAsia="sans-serif" w:hAnsi="sans-serif" w:cs="sans-serif"/>
          <w:color w:val="000000"/>
          <w:sz w:val="20"/>
          <w:szCs w:val="20"/>
        </w:rPr>
        <w:t>The amortized cost and estimated fair value of cash equivalents and marketable securities as of July 26, 2020 and January 26, 2020 are shown below by contractual maturity.</w:t>
      </w:r>
    </w:p>
    <w:p w14:paraId="0D8DF618" w14:textId="77777777" w:rsidR="004C2197" w:rsidRDefault="004C2197">
      <w:pPr>
        <w:spacing w:before="180"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37"/>
        <w:gridCol w:w="3238"/>
        <w:gridCol w:w="36"/>
        <w:gridCol w:w="138"/>
        <w:gridCol w:w="854"/>
        <w:gridCol w:w="41"/>
        <w:gridCol w:w="36"/>
        <w:gridCol w:w="36"/>
        <w:gridCol w:w="36"/>
        <w:gridCol w:w="138"/>
        <w:gridCol w:w="803"/>
        <w:gridCol w:w="41"/>
        <w:gridCol w:w="36"/>
        <w:gridCol w:w="36"/>
        <w:gridCol w:w="36"/>
        <w:gridCol w:w="138"/>
        <w:gridCol w:w="834"/>
        <w:gridCol w:w="41"/>
        <w:gridCol w:w="36"/>
        <w:gridCol w:w="36"/>
        <w:gridCol w:w="36"/>
        <w:gridCol w:w="138"/>
        <w:gridCol w:w="845"/>
        <w:gridCol w:w="42"/>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DF631" w14:textId="77777777">
        <w:trPr>
          <w:gridAfter w:val="18"/>
        </w:trPr>
        <w:tc>
          <w:tcPr>
            <w:tcW w:w="50" w:type="pct"/>
            <w:shd w:val="clear" w:color="auto" w:fill="auto"/>
          </w:tcPr>
          <w:p w14:paraId="0D8DF619" w14:textId="77777777" w:rsidR="004C2197" w:rsidRDefault="004C2197">
            <w:pPr>
              <w:rPr>
                <w:rFonts w:ascii="宋体"/>
              </w:rPr>
            </w:pPr>
          </w:p>
        </w:tc>
        <w:tc>
          <w:tcPr>
            <w:tcW w:w="2189" w:type="pct"/>
            <w:shd w:val="clear" w:color="auto" w:fill="auto"/>
          </w:tcPr>
          <w:p w14:paraId="0D8DF61A" w14:textId="77777777" w:rsidR="004C2197" w:rsidRDefault="004C2197">
            <w:pPr>
              <w:rPr>
                <w:rFonts w:ascii="宋体"/>
              </w:rPr>
            </w:pPr>
          </w:p>
        </w:tc>
        <w:tc>
          <w:tcPr>
            <w:tcW w:w="5" w:type="pct"/>
            <w:shd w:val="clear" w:color="auto" w:fill="auto"/>
          </w:tcPr>
          <w:p w14:paraId="0D8DF61B" w14:textId="77777777" w:rsidR="004C2197" w:rsidRDefault="004C2197">
            <w:pPr>
              <w:rPr>
                <w:rFonts w:ascii="宋体"/>
              </w:rPr>
            </w:pPr>
          </w:p>
        </w:tc>
        <w:tc>
          <w:tcPr>
            <w:tcW w:w="50" w:type="pct"/>
            <w:shd w:val="clear" w:color="auto" w:fill="auto"/>
          </w:tcPr>
          <w:p w14:paraId="0D8DF61C" w14:textId="77777777" w:rsidR="004C2197" w:rsidRDefault="004C2197">
            <w:pPr>
              <w:rPr>
                <w:rFonts w:ascii="宋体"/>
              </w:rPr>
            </w:pPr>
          </w:p>
        </w:tc>
        <w:tc>
          <w:tcPr>
            <w:tcW w:w="610" w:type="pct"/>
            <w:shd w:val="clear" w:color="auto" w:fill="auto"/>
          </w:tcPr>
          <w:p w14:paraId="0D8DF61D" w14:textId="77777777" w:rsidR="004C2197" w:rsidRDefault="004C2197">
            <w:pPr>
              <w:rPr>
                <w:rFonts w:ascii="宋体"/>
              </w:rPr>
            </w:pPr>
          </w:p>
        </w:tc>
        <w:tc>
          <w:tcPr>
            <w:tcW w:w="5" w:type="pct"/>
            <w:shd w:val="clear" w:color="auto" w:fill="auto"/>
          </w:tcPr>
          <w:p w14:paraId="0D8DF61E" w14:textId="77777777" w:rsidR="004C2197" w:rsidRDefault="004C2197">
            <w:pPr>
              <w:rPr>
                <w:rFonts w:ascii="宋体"/>
              </w:rPr>
            </w:pPr>
          </w:p>
        </w:tc>
        <w:tc>
          <w:tcPr>
            <w:tcW w:w="5" w:type="pct"/>
            <w:shd w:val="clear" w:color="auto" w:fill="auto"/>
          </w:tcPr>
          <w:p w14:paraId="0D8DF61F" w14:textId="77777777" w:rsidR="004C2197" w:rsidRDefault="004C2197">
            <w:pPr>
              <w:rPr>
                <w:rFonts w:ascii="宋体"/>
              </w:rPr>
            </w:pPr>
          </w:p>
        </w:tc>
        <w:tc>
          <w:tcPr>
            <w:tcW w:w="26" w:type="pct"/>
            <w:shd w:val="clear" w:color="auto" w:fill="auto"/>
          </w:tcPr>
          <w:p w14:paraId="0D8DF620" w14:textId="77777777" w:rsidR="004C2197" w:rsidRDefault="004C2197">
            <w:pPr>
              <w:rPr>
                <w:rFonts w:ascii="宋体"/>
              </w:rPr>
            </w:pPr>
          </w:p>
        </w:tc>
        <w:tc>
          <w:tcPr>
            <w:tcW w:w="5" w:type="pct"/>
            <w:shd w:val="clear" w:color="auto" w:fill="auto"/>
          </w:tcPr>
          <w:p w14:paraId="0D8DF621" w14:textId="77777777" w:rsidR="004C2197" w:rsidRDefault="004C2197">
            <w:pPr>
              <w:rPr>
                <w:rFonts w:ascii="宋体"/>
              </w:rPr>
            </w:pPr>
          </w:p>
        </w:tc>
        <w:tc>
          <w:tcPr>
            <w:tcW w:w="50" w:type="pct"/>
            <w:shd w:val="clear" w:color="auto" w:fill="auto"/>
          </w:tcPr>
          <w:p w14:paraId="0D8DF622" w14:textId="77777777" w:rsidR="004C2197" w:rsidRDefault="004C2197">
            <w:pPr>
              <w:rPr>
                <w:rFonts w:ascii="宋体"/>
              </w:rPr>
            </w:pPr>
          </w:p>
        </w:tc>
        <w:tc>
          <w:tcPr>
            <w:tcW w:w="610" w:type="pct"/>
            <w:shd w:val="clear" w:color="auto" w:fill="auto"/>
          </w:tcPr>
          <w:p w14:paraId="0D8DF623" w14:textId="77777777" w:rsidR="004C2197" w:rsidRDefault="004C2197">
            <w:pPr>
              <w:rPr>
                <w:rFonts w:ascii="宋体"/>
              </w:rPr>
            </w:pPr>
          </w:p>
        </w:tc>
        <w:tc>
          <w:tcPr>
            <w:tcW w:w="5" w:type="pct"/>
            <w:shd w:val="clear" w:color="auto" w:fill="auto"/>
          </w:tcPr>
          <w:p w14:paraId="0D8DF624" w14:textId="77777777" w:rsidR="004C2197" w:rsidRDefault="004C2197">
            <w:pPr>
              <w:rPr>
                <w:rFonts w:ascii="宋体"/>
              </w:rPr>
            </w:pPr>
          </w:p>
        </w:tc>
        <w:tc>
          <w:tcPr>
            <w:tcW w:w="5" w:type="pct"/>
            <w:shd w:val="clear" w:color="auto" w:fill="auto"/>
          </w:tcPr>
          <w:p w14:paraId="0D8DF625" w14:textId="77777777" w:rsidR="004C2197" w:rsidRDefault="004C2197">
            <w:pPr>
              <w:rPr>
                <w:rFonts w:ascii="宋体"/>
              </w:rPr>
            </w:pPr>
          </w:p>
        </w:tc>
        <w:tc>
          <w:tcPr>
            <w:tcW w:w="19" w:type="pct"/>
            <w:shd w:val="clear" w:color="auto" w:fill="auto"/>
          </w:tcPr>
          <w:p w14:paraId="0D8DF626" w14:textId="77777777" w:rsidR="004C2197" w:rsidRDefault="004C2197">
            <w:pPr>
              <w:rPr>
                <w:rFonts w:ascii="宋体"/>
              </w:rPr>
            </w:pPr>
          </w:p>
        </w:tc>
        <w:tc>
          <w:tcPr>
            <w:tcW w:w="5" w:type="pct"/>
            <w:shd w:val="clear" w:color="auto" w:fill="auto"/>
          </w:tcPr>
          <w:p w14:paraId="0D8DF627" w14:textId="77777777" w:rsidR="004C2197" w:rsidRDefault="004C2197">
            <w:pPr>
              <w:rPr>
                <w:rFonts w:ascii="宋体"/>
              </w:rPr>
            </w:pPr>
          </w:p>
        </w:tc>
        <w:tc>
          <w:tcPr>
            <w:tcW w:w="50" w:type="pct"/>
            <w:shd w:val="clear" w:color="auto" w:fill="auto"/>
          </w:tcPr>
          <w:p w14:paraId="0D8DF628" w14:textId="77777777" w:rsidR="004C2197" w:rsidRDefault="004C2197">
            <w:pPr>
              <w:rPr>
                <w:rFonts w:ascii="宋体"/>
              </w:rPr>
            </w:pPr>
          </w:p>
        </w:tc>
        <w:tc>
          <w:tcPr>
            <w:tcW w:w="610" w:type="pct"/>
            <w:shd w:val="clear" w:color="auto" w:fill="auto"/>
          </w:tcPr>
          <w:p w14:paraId="0D8DF629" w14:textId="77777777" w:rsidR="004C2197" w:rsidRDefault="004C2197">
            <w:pPr>
              <w:rPr>
                <w:rFonts w:ascii="宋体"/>
              </w:rPr>
            </w:pPr>
          </w:p>
        </w:tc>
        <w:tc>
          <w:tcPr>
            <w:tcW w:w="5" w:type="pct"/>
            <w:shd w:val="clear" w:color="auto" w:fill="auto"/>
          </w:tcPr>
          <w:p w14:paraId="0D8DF62A" w14:textId="77777777" w:rsidR="004C2197" w:rsidRDefault="004C2197">
            <w:pPr>
              <w:rPr>
                <w:rFonts w:ascii="宋体"/>
              </w:rPr>
            </w:pPr>
          </w:p>
        </w:tc>
        <w:tc>
          <w:tcPr>
            <w:tcW w:w="5" w:type="pct"/>
            <w:shd w:val="clear" w:color="auto" w:fill="auto"/>
          </w:tcPr>
          <w:p w14:paraId="0D8DF62B" w14:textId="77777777" w:rsidR="004C2197" w:rsidRDefault="004C2197">
            <w:pPr>
              <w:rPr>
                <w:rFonts w:ascii="宋体"/>
              </w:rPr>
            </w:pPr>
          </w:p>
        </w:tc>
        <w:tc>
          <w:tcPr>
            <w:tcW w:w="19" w:type="pct"/>
            <w:shd w:val="clear" w:color="auto" w:fill="auto"/>
          </w:tcPr>
          <w:p w14:paraId="0D8DF62C" w14:textId="77777777" w:rsidR="004C2197" w:rsidRDefault="004C2197">
            <w:pPr>
              <w:rPr>
                <w:rFonts w:ascii="宋体"/>
              </w:rPr>
            </w:pPr>
          </w:p>
        </w:tc>
        <w:tc>
          <w:tcPr>
            <w:tcW w:w="5" w:type="pct"/>
            <w:shd w:val="clear" w:color="auto" w:fill="auto"/>
          </w:tcPr>
          <w:p w14:paraId="0D8DF62D" w14:textId="77777777" w:rsidR="004C2197" w:rsidRDefault="004C2197">
            <w:pPr>
              <w:rPr>
                <w:rFonts w:ascii="宋体"/>
              </w:rPr>
            </w:pPr>
          </w:p>
        </w:tc>
        <w:tc>
          <w:tcPr>
            <w:tcW w:w="50" w:type="pct"/>
            <w:shd w:val="clear" w:color="auto" w:fill="auto"/>
          </w:tcPr>
          <w:p w14:paraId="0D8DF62E" w14:textId="77777777" w:rsidR="004C2197" w:rsidRDefault="004C2197">
            <w:pPr>
              <w:rPr>
                <w:rFonts w:ascii="宋体"/>
              </w:rPr>
            </w:pPr>
          </w:p>
        </w:tc>
        <w:tc>
          <w:tcPr>
            <w:tcW w:w="610" w:type="pct"/>
            <w:shd w:val="clear" w:color="auto" w:fill="auto"/>
          </w:tcPr>
          <w:p w14:paraId="0D8DF62F" w14:textId="77777777" w:rsidR="004C2197" w:rsidRDefault="004C2197">
            <w:pPr>
              <w:rPr>
                <w:rFonts w:ascii="宋体"/>
              </w:rPr>
            </w:pPr>
          </w:p>
        </w:tc>
        <w:tc>
          <w:tcPr>
            <w:tcW w:w="5" w:type="pct"/>
            <w:shd w:val="clear" w:color="auto" w:fill="auto"/>
          </w:tcPr>
          <w:p w14:paraId="0D8DF630" w14:textId="77777777" w:rsidR="004C2197" w:rsidRDefault="004C2197">
            <w:pPr>
              <w:rPr>
                <w:rFonts w:ascii="宋体"/>
              </w:rPr>
            </w:pPr>
          </w:p>
        </w:tc>
      </w:tr>
      <w:tr w:rsidR="004C2197" w14:paraId="0D8DF63A" w14:textId="77777777">
        <w:trPr>
          <w:gridAfter w:val="6"/>
        </w:trPr>
        <w:tc>
          <w:tcPr>
            <w:tcW w:w="0" w:type="auto"/>
            <w:gridSpan w:val="3"/>
            <w:shd w:val="clear" w:color="auto" w:fill="auto"/>
            <w:tcMar>
              <w:left w:w="20" w:type="dxa"/>
              <w:right w:w="20" w:type="dxa"/>
            </w:tcMar>
            <w:vAlign w:val="bottom"/>
          </w:tcPr>
          <w:p w14:paraId="0D8DF632"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633"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Pr>
          <w:p w14:paraId="0D8DF634" w14:textId="77777777" w:rsidR="004C2197" w:rsidRDefault="004C2197">
            <w:pPr>
              <w:rPr>
                <w:rFonts w:ascii="宋体"/>
                <w:vanish/>
              </w:rPr>
            </w:pPr>
          </w:p>
        </w:tc>
        <w:tc>
          <w:tcPr>
            <w:tcW w:w="0" w:type="auto"/>
            <w:gridSpan w:val="3"/>
            <w:shd w:val="clear" w:color="auto" w:fill="auto"/>
          </w:tcPr>
          <w:p w14:paraId="0D8DF635"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636"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637" w14:textId="77777777" w:rsidR="004C2197" w:rsidRDefault="00863B83">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tcPr>
          <w:p w14:paraId="0D8DF638" w14:textId="77777777" w:rsidR="004C2197" w:rsidRDefault="004C2197">
            <w:pPr>
              <w:rPr>
                <w:rFonts w:ascii="宋体"/>
                <w:vanish/>
              </w:rPr>
            </w:pPr>
          </w:p>
        </w:tc>
        <w:tc>
          <w:tcPr>
            <w:tcW w:w="0" w:type="auto"/>
            <w:gridSpan w:val="3"/>
            <w:shd w:val="clear" w:color="auto" w:fill="auto"/>
          </w:tcPr>
          <w:p w14:paraId="0D8DF639" w14:textId="77777777" w:rsidR="004C2197" w:rsidRDefault="004C2197">
            <w:pPr>
              <w:rPr>
                <w:rFonts w:ascii="宋体"/>
                <w:vanish/>
              </w:rPr>
            </w:pPr>
          </w:p>
        </w:tc>
      </w:tr>
      <w:tr w:rsidR="004C2197" w14:paraId="0D8DF64F" w14:textId="77777777">
        <w:trPr>
          <w:gridAfter w:val="6"/>
        </w:trPr>
        <w:tc>
          <w:tcPr>
            <w:tcW w:w="0" w:type="auto"/>
            <w:gridSpan w:val="3"/>
            <w:shd w:val="clear" w:color="auto" w:fill="auto"/>
            <w:tcMar>
              <w:left w:w="20" w:type="dxa"/>
              <w:right w:w="20" w:type="dxa"/>
            </w:tcMar>
            <w:vAlign w:val="bottom"/>
          </w:tcPr>
          <w:p w14:paraId="0D8DF63B"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63C" w14:textId="77777777" w:rsidR="004C2197" w:rsidRDefault="00863B83">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left w:w="20" w:type="dxa"/>
              <w:right w:w="20" w:type="dxa"/>
            </w:tcMar>
            <w:vAlign w:val="bottom"/>
          </w:tcPr>
          <w:p w14:paraId="0D8DF63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63E" w14:textId="77777777" w:rsidR="004C2197" w:rsidRDefault="00863B83">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left w:w="20" w:type="dxa"/>
              <w:right w:w="20" w:type="dxa"/>
            </w:tcMar>
            <w:vAlign w:val="bottom"/>
          </w:tcPr>
          <w:p w14:paraId="0D8DF63F"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640" w14:textId="77777777" w:rsidR="004C2197" w:rsidRDefault="00863B83">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left w:w="20" w:type="dxa"/>
              <w:right w:w="20" w:type="dxa"/>
            </w:tcMar>
            <w:vAlign w:val="bottom"/>
          </w:tcPr>
          <w:p w14:paraId="0D8DF641"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642" w14:textId="77777777" w:rsidR="004C2197" w:rsidRDefault="00863B83">
            <w:pPr>
              <w:jc w:val="center"/>
              <w:textAlignment w:val="bottom"/>
            </w:pPr>
            <w:r>
              <w:rPr>
                <w:rFonts w:ascii="sans-serif" w:eastAsia="sans-serif" w:hAnsi="sans-serif" w:cs="sans-serif"/>
                <w:b/>
                <w:bCs/>
                <w:color w:val="000000"/>
                <w:sz w:val="20"/>
                <w:szCs w:val="20"/>
              </w:rPr>
              <w:t>Estimated Fair Value</w:t>
            </w:r>
          </w:p>
        </w:tc>
        <w:tc>
          <w:tcPr>
            <w:tcW w:w="0" w:type="auto"/>
            <w:shd w:val="clear" w:color="auto" w:fill="auto"/>
          </w:tcPr>
          <w:p w14:paraId="0D8DF643" w14:textId="77777777" w:rsidR="004C2197" w:rsidRDefault="004C2197">
            <w:pPr>
              <w:rPr>
                <w:rFonts w:ascii="宋体"/>
              </w:rPr>
            </w:pPr>
          </w:p>
        </w:tc>
        <w:tc>
          <w:tcPr>
            <w:tcW w:w="0" w:type="auto"/>
            <w:shd w:val="clear" w:color="auto" w:fill="auto"/>
          </w:tcPr>
          <w:p w14:paraId="0D8DF644" w14:textId="77777777" w:rsidR="004C2197" w:rsidRDefault="004C2197">
            <w:pPr>
              <w:rPr>
                <w:rFonts w:ascii="宋体"/>
              </w:rPr>
            </w:pPr>
          </w:p>
        </w:tc>
        <w:tc>
          <w:tcPr>
            <w:tcW w:w="0" w:type="auto"/>
            <w:shd w:val="clear" w:color="auto" w:fill="auto"/>
          </w:tcPr>
          <w:p w14:paraId="0D8DF645" w14:textId="77777777" w:rsidR="004C2197" w:rsidRDefault="004C2197">
            <w:pPr>
              <w:rPr>
                <w:rFonts w:ascii="宋体"/>
              </w:rPr>
            </w:pPr>
          </w:p>
        </w:tc>
        <w:tc>
          <w:tcPr>
            <w:tcW w:w="0" w:type="auto"/>
            <w:shd w:val="clear" w:color="auto" w:fill="auto"/>
          </w:tcPr>
          <w:p w14:paraId="0D8DF646" w14:textId="77777777" w:rsidR="004C2197" w:rsidRDefault="004C2197">
            <w:pPr>
              <w:rPr>
                <w:rFonts w:ascii="宋体"/>
              </w:rPr>
            </w:pPr>
          </w:p>
        </w:tc>
        <w:tc>
          <w:tcPr>
            <w:tcW w:w="0" w:type="auto"/>
            <w:shd w:val="clear" w:color="auto" w:fill="auto"/>
          </w:tcPr>
          <w:p w14:paraId="0D8DF647" w14:textId="77777777" w:rsidR="004C2197" w:rsidRDefault="004C2197">
            <w:pPr>
              <w:rPr>
                <w:rFonts w:ascii="宋体"/>
              </w:rPr>
            </w:pPr>
          </w:p>
        </w:tc>
        <w:tc>
          <w:tcPr>
            <w:tcW w:w="0" w:type="auto"/>
            <w:shd w:val="clear" w:color="auto" w:fill="auto"/>
          </w:tcPr>
          <w:p w14:paraId="0D8DF648" w14:textId="77777777" w:rsidR="004C2197" w:rsidRDefault="004C2197">
            <w:pPr>
              <w:rPr>
                <w:rFonts w:ascii="宋体"/>
              </w:rPr>
            </w:pPr>
          </w:p>
        </w:tc>
        <w:tc>
          <w:tcPr>
            <w:tcW w:w="0" w:type="auto"/>
            <w:shd w:val="clear" w:color="auto" w:fill="auto"/>
          </w:tcPr>
          <w:p w14:paraId="0D8DF649" w14:textId="77777777" w:rsidR="004C2197" w:rsidRDefault="004C2197">
            <w:pPr>
              <w:rPr>
                <w:rFonts w:ascii="宋体"/>
              </w:rPr>
            </w:pPr>
          </w:p>
        </w:tc>
        <w:tc>
          <w:tcPr>
            <w:tcW w:w="0" w:type="auto"/>
            <w:shd w:val="clear" w:color="auto" w:fill="auto"/>
          </w:tcPr>
          <w:p w14:paraId="0D8DF64A" w14:textId="77777777" w:rsidR="004C2197" w:rsidRDefault="004C2197">
            <w:pPr>
              <w:rPr>
                <w:rFonts w:ascii="宋体"/>
              </w:rPr>
            </w:pPr>
          </w:p>
        </w:tc>
        <w:tc>
          <w:tcPr>
            <w:tcW w:w="0" w:type="auto"/>
            <w:shd w:val="clear" w:color="auto" w:fill="auto"/>
          </w:tcPr>
          <w:p w14:paraId="0D8DF64B" w14:textId="77777777" w:rsidR="004C2197" w:rsidRDefault="004C2197">
            <w:pPr>
              <w:rPr>
                <w:rFonts w:ascii="宋体"/>
              </w:rPr>
            </w:pPr>
          </w:p>
        </w:tc>
        <w:tc>
          <w:tcPr>
            <w:tcW w:w="0" w:type="auto"/>
            <w:shd w:val="clear" w:color="auto" w:fill="auto"/>
          </w:tcPr>
          <w:p w14:paraId="0D8DF64C" w14:textId="77777777" w:rsidR="004C2197" w:rsidRDefault="004C2197">
            <w:pPr>
              <w:rPr>
                <w:rFonts w:ascii="宋体"/>
              </w:rPr>
            </w:pPr>
          </w:p>
        </w:tc>
        <w:tc>
          <w:tcPr>
            <w:tcW w:w="0" w:type="auto"/>
            <w:shd w:val="clear" w:color="auto" w:fill="auto"/>
          </w:tcPr>
          <w:p w14:paraId="0D8DF64D" w14:textId="77777777" w:rsidR="004C2197" w:rsidRDefault="004C2197">
            <w:pPr>
              <w:rPr>
                <w:rFonts w:ascii="宋体"/>
              </w:rPr>
            </w:pPr>
          </w:p>
        </w:tc>
        <w:tc>
          <w:tcPr>
            <w:tcW w:w="0" w:type="auto"/>
            <w:shd w:val="clear" w:color="auto" w:fill="auto"/>
          </w:tcPr>
          <w:p w14:paraId="0D8DF64E" w14:textId="77777777" w:rsidR="004C2197" w:rsidRDefault="004C2197">
            <w:pPr>
              <w:rPr>
                <w:rFonts w:ascii="宋体"/>
              </w:rPr>
            </w:pPr>
          </w:p>
        </w:tc>
      </w:tr>
      <w:tr w:rsidR="004C2197" w14:paraId="0D8DF664" w14:textId="77777777">
        <w:trPr>
          <w:gridAfter w:val="6"/>
          <w:trHeight w:val="60"/>
        </w:trPr>
        <w:tc>
          <w:tcPr>
            <w:tcW w:w="0" w:type="auto"/>
            <w:gridSpan w:val="3"/>
            <w:shd w:val="clear" w:color="auto" w:fill="auto"/>
            <w:tcMar>
              <w:left w:w="20" w:type="dxa"/>
              <w:right w:w="20" w:type="dxa"/>
            </w:tcMar>
            <w:vAlign w:val="bottom"/>
          </w:tcPr>
          <w:p w14:paraId="0D8DF65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65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65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65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65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65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65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657" w14:textId="77777777" w:rsidR="004C2197" w:rsidRDefault="004C2197">
            <w:pPr>
              <w:rPr>
                <w:rFonts w:ascii="宋体"/>
              </w:rPr>
            </w:pPr>
          </w:p>
        </w:tc>
        <w:tc>
          <w:tcPr>
            <w:tcW w:w="0" w:type="auto"/>
            <w:shd w:val="clear" w:color="auto" w:fill="auto"/>
          </w:tcPr>
          <w:p w14:paraId="0D8DF658" w14:textId="77777777" w:rsidR="004C2197" w:rsidRDefault="004C2197">
            <w:pPr>
              <w:rPr>
                <w:rFonts w:ascii="宋体"/>
              </w:rPr>
            </w:pPr>
          </w:p>
        </w:tc>
        <w:tc>
          <w:tcPr>
            <w:tcW w:w="0" w:type="auto"/>
            <w:shd w:val="clear" w:color="auto" w:fill="auto"/>
          </w:tcPr>
          <w:p w14:paraId="0D8DF659" w14:textId="77777777" w:rsidR="004C2197" w:rsidRDefault="004C2197">
            <w:pPr>
              <w:rPr>
                <w:rFonts w:ascii="宋体"/>
              </w:rPr>
            </w:pPr>
          </w:p>
        </w:tc>
        <w:tc>
          <w:tcPr>
            <w:tcW w:w="0" w:type="auto"/>
            <w:shd w:val="clear" w:color="auto" w:fill="auto"/>
          </w:tcPr>
          <w:p w14:paraId="0D8DF65A" w14:textId="77777777" w:rsidR="004C2197" w:rsidRDefault="004C2197">
            <w:pPr>
              <w:rPr>
                <w:rFonts w:ascii="宋体"/>
              </w:rPr>
            </w:pPr>
          </w:p>
        </w:tc>
        <w:tc>
          <w:tcPr>
            <w:tcW w:w="0" w:type="auto"/>
            <w:shd w:val="clear" w:color="auto" w:fill="auto"/>
          </w:tcPr>
          <w:p w14:paraId="0D8DF65B" w14:textId="77777777" w:rsidR="004C2197" w:rsidRDefault="004C2197">
            <w:pPr>
              <w:rPr>
                <w:rFonts w:ascii="宋体"/>
              </w:rPr>
            </w:pPr>
          </w:p>
        </w:tc>
        <w:tc>
          <w:tcPr>
            <w:tcW w:w="0" w:type="auto"/>
            <w:shd w:val="clear" w:color="auto" w:fill="auto"/>
          </w:tcPr>
          <w:p w14:paraId="0D8DF65C" w14:textId="77777777" w:rsidR="004C2197" w:rsidRDefault="004C2197">
            <w:pPr>
              <w:rPr>
                <w:rFonts w:ascii="宋体"/>
              </w:rPr>
            </w:pPr>
          </w:p>
        </w:tc>
        <w:tc>
          <w:tcPr>
            <w:tcW w:w="0" w:type="auto"/>
            <w:shd w:val="clear" w:color="auto" w:fill="auto"/>
          </w:tcPr>
          <w:p w14:paraId="0D8DF65D" w14:textId="77777777" w:rsidR="004C2197" w:rsidRDefault="004C2197">
            <w:pPr>
              <w:rPr>
                <w:rFonts w:ascii="宋体"/>
              </w:rPr>
            </w:pPr>
          </w:p>
        </w:tc>
        <w:tc>
          <w:tcPr>
            <w:tcW w:w="0" w:type="auto"/>
            <w:shd w:val="clear" w:color="auto" w:fill="auto"/>
          </w:tcPr>
          <w:p w14:paraId="0D8DF65E" w14:textId="77777777" w:rsidR="004C2197" w:rsidRDefault="004C2197">
            <w:pPr>
              <w:rPr>
                <w:rFonts w:ascii="宋体"/>
              </w:rPr>
            </w:pPr>
          </w:p>
        </w:tc>
        <w:tc>
          <w:tcPr>
            <w:tcW w:w="0" w:type="auto"/>
            <w:shd w:val="clear" w:color="auto" w:fill="auto"/>
          </w:tcPr>
          <w:p w14:paraId="0D8DF65F" w14:textId="77777777" w:rsidR="004C2197" w:rsidRDefault="004C2197">
            <w:pPr>
              <w:rPr>
                <w:rFonts w:ascii="宋体"/>
              </w:rPr>
            </w:pPr>
          </w:p>
        </w:tc>
        <w:tc>
          <w:tcPr>
            <w:tcW w:w="0" w:type="auto"/>
            <w:shd w:val="clear" w:color="auto" w:fill="auto"/>
          </w:tcPr>
          <w:p w14:paraId="0D8DF660" w14:textId="77777777" w:rsidR="004C2197" w:rsidRDefault="004C2197">
            <w:pPr>
              <w:rPr>
                <w:rFonts w:ascii="宋体"/>
              </w:rPr>
            </w:pPr>
          </w:p>
        </w:tc>
        <w:tc>
          <w:tcPr>
            <w:tcW w:w="0" w:type="auto"/>
            <w:shd w:val="clear" w:color="auto" w:fill="auto"/>
          </w:tcPr>
          <w:p w14:paraId="0D8DF661" w14:textId="77777777" w:rsidR="004C2197" w:rsidRDefault="004C2197">
            <w:pPr>
              <w:rPr>
                <w:rFonts w:ascii="宋体"/>
              </w:rPr>
            </w:pPr>
          </w:p>
        </w:tc>
        <w:tc>
          <w:tcPr>
            <w:tcW w:w="0" w:type="auto"/>
            <w:shd w:val="clear" w:color="auto" w:fill="auto"/>
          </w:tcPr>
          <w:p w14:paraId="0D8DF662" w14:textId="77777777" w:rsidR="004C2197" w:rsidRDefault="004C2197">
            <w:pPr>
              <w:rPr>
                <w:rFonts w:ascii="宋体"/>
              </w:rPr>
            </w:pPr>
          </w:p>
        </w:tc>
        <w:tc>
          <w:tcPr>
            <w:tcW w:w="0" w:type="auto"/>
            <w:shd w:val="clear" w:color="auto" w:fill="auto"/>
          </w:tcPr>
          <w:p w14:paraId="0D8DF663" w14:textId="77777777" w:rsidR="004C2197" w:rsidRDefault="004C2197">
            <w:pPr>
              <w:rPr>
                <w:rFonts w:ascii="宋体"/>
              </w:rPr>
            </w:pPr>
          </w:p>
        </w:tc>
      </w:tr>
      <w:tr w:rsidR="004C2197" w14:paraId="0D8DF66D" w14:textId="77777777">
        <w:tc>
          <w:tcPr>
            <w:tcW w:w="0" w:type="auto"/>
            <w:gridSpan w:val="3"/>
            <w:shd w:val="clear" w:color="auto" w:fill="auto"/>
            <w:tcMar>
              <w:left w:w="20" w:type="dxa"/>
              <w:right w:w="20" w:type="dxa"/>
            </w:tcMar>
            <w:vAlign w:val="bottom"/>
          </w:tcPr>
          <w:p w14:paraId="0D8DF665" w14:textId="77777777" w:rsidR="004C2197" w:rsidRDefault="004C2197">
            <w:pPr>
              <w:rPr>
                <w:rFonts w:ascii="宋体"/>
              </w:rPr>
            </w:pPr>
          </w:p>
        </w:tc>
        <w:tc>
          <w:tcPr>
            <w:tcW w:w="0" w:type="auto"/>
            <w:gridSpan w:val="21"/>
            <w:shd w:val="clear" w:color="auto" w:fill="auto"/>
            <w:tcMar>
              <w:top w:w="40" w:type="dxa"/>
              <w:left w:w="20" w:type="dxa"/>
              <w:bottom w:w="40" w:type="dxa"/>
              <w:right w:w="20" w:type="dxa"/>
            </w:tcMar>
            <w:vAlign w:val="bottom"/>
          </w:tcPr>
          <w:p w14:paraId="0D8DF666" w14:textId="77777777" w:rsidR="004C2197" w:rsidRDefault="00863B83">
            <w:pPr>
              <w:jc w:val="center"/>
              <w:textAlignment w:val="bottom"/>
            </w:pPr>
            <w:r>
              <w:rPr>
                <w:rFonts w:ascii="sans-serif" w:eastAsia="sans-serif" w:hAnsi="sans-serif" w:cs="sans-serif"/>
                <w:color w:val="000000"/>
                <w:sz w:val="20"/>
                <w:szCs w:val="20"/>
              </w:rPr>
              <w:t>(In millions)</w:t>
            </w:r>
          </w:p>
        </w:tc>
        <w:tc>
          <w:tcPr>
            <w:tcW w:w="0" w:type="auto"/>
            <w:gridSpan w:val="3"/>
            <w:shd w:val="clear" w:color="auto" w:fill="auto"/>
          </w:tcPr>
          <w:p w14:paraId="0D8DF667" w14:textId="77777777" w:rsidR="004C2197" w:rsidRDefault="004C2197">
            <w:pPr>
              <w:rPr>
                <w:rFonts w:ascii="宋体"/>
                <w:vanish/>
              </w:rPr>
            </w:pPr>
          </w:p>
        </w:tc>
        <w:tc>
          <w:tcPr>
            <w:tcW w:w="0" w:type="auto"/>
            <w:gridSpan w:val="3"/>
            <w:shd w:val="clear" w:color="auto" w:fill="auto"/>
          </w:tcPr>
          <w:p w14:paraId="0D8DF668" w14:textId="77777777" w:rsidR="004C2197" w:rsidRDefault="004C2197">
            <w:pPr>
              <w:rPr>
                <w:rFonts w:ascii="宋体"/>
                <w:vanish/>
              </w:rPr>
            </w:pPr>
          </w:p>
        </w:tc>
        <w:tc>
          <w:tcPr>
            <w:tcW w:w="0" w:type="auto"/>
            <w:gridSpan w:val="3"/>
            <w:shd w:val="clear" w:color="auto" w:fill="auto"/>
          </w:tcPr>
          <w:p w14:paraId="0D8DF669" w14:textId="77777777" w:rsidR="004C2197" w:rsidRDefault="004C2197">
            <w:pPr>
              <w:rPr>
                <w:rFonts w:ascii="宋体"/>
                <w:vanish/>
              </w:rPr>
            </w:pPr>
          </w:p>
        </w:tc>
        <w:tc>
          <w:tcPr>
            <w:tcW w:w="0" w:type="auto"/>
            <w:gridSpan w:val="3"/>
            <w:shd w:val="clear" w:color="auto" w:fill="auto"/>
          </w:tcPr>
          <w:p w14:paraId="0D8DF66A" w14:textId="77777777" w:rsidR="004C2197" w:rsidRDefault="004C2197">
            <w:pPr>
              <w:rPr>
                <w:rFonts w:ascii="宋体"/>
                <w:vanish/>
              </w:rPr>
            </w:pPr>
          </w:p>
        </w:tc>
        <w:tc>
          <w:tcPr>
            <w:tcW w:w="0" w:type="auto"/>
            <w:gridSpan w:val="3"/>
            <w:shd w:val="clear" w:color="auto" w:fill="auto"/>
          </w:tcPr>
          <w:p w14:paraId="0D8DF66B" w14:textId="77777777" w:rsidR="004C2197" w:rsidRDefault="004C2197">
            <w:pPr>
              <w:rPr>
                <w:rFonts w:ascii="宋体"/>
                <w:vanish/>
              </w:rPr>
            </w:pPr>
          </w:p>
        </w:tc>
        <w:tc>
          <w:tcPr>
            <w:tcW w:w="0" w:type="auto"/>
            <w:gridSpan w:val="3"/>
            <w:shd w:val="clear" w:color="auto" w:fill="auto"/>
          </w:tcPr>
          <w:p w14:paraId="0D8DF66C" w14:textId="77777777" w:rsidR="004C2197" w:rsidRDefault="004C2197">
            <w:pPr>
              <w:rPr>
                <w:rFonts w:ascii="宋体"/>
                <w:vanish/>
              </w:rPr>
            </w:pPr>
          </w:p>
        </w:tc>
      </w:tr>
      <w:tr w:rsidR="004C2197" w14:paraId="0D8DF690" w14:textId="77777777">
        <w:tc>
          <w:tcPr>
            <w:tcW w:w="0" w:type="auto"/>
            <w:gridSpan w:val="3"/>
            <w:shd w:val="clear" w:color="auto" w:fill="E2EFD9"/>
            <w:tcMar>
              <w:top w:w="40" w:type="dxa"/>
              <w:left w:w="20" w:type="dxa"/>
              <w:bottom w:w="40" w:type="dxa"/>
              <w:right w:w="20" w:type="dxa"/>
            </w:tcMar>
            <w:vAlign w:val="bottom"/>
          </w:tcPr>
          <w:p w14:paraId="0D8DF66E" w14:textId="77777777" w:rsidR="004C2197" w:rsidRDefault="00863B83">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tcMar>
            <w:vAlign w:val="bottom"/>
          </w:tcPr>
          <w:p w14:paraId="0D8DF66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670" w14:textId="77777777" w:rsidR="004C2197" w:rsidRDefault="00863B83">
            <w:pPr>
              <w:jc w:val="right"/>
              <w:textAlignment w:val="bottom"/>
            </w:pPr>
            <w:r>
              <w:rPr>
                <w:rFonts w:ascii="sans-serif" w:eastAsia="sans-serif" w:hAnsi="sans-serif" w:cs="sans-serif"/>
                <w:color w:val="000000"/>
                <w:sz w:val="20"/>
                <w:szCs w:val="20"/>
              </w:rPr>
              <w:t>10,027 </w:t>
            </w:r>
          </w:p>
        </w:tc>
        <w:tc>
          <w:tcPr>
            <w:tcW w:w="0" w:type="auto"/>
            <w:shd w:val="clear" w:color="auto" w:fill="E2EFD9"/>
            <w:tcMar>
              <w:top w:w="40" w:type="dxa"/>
              <w:bottom w:w="40" w:type="dxa"/>
              <w:right w:w="20" w:type="dxa"/>
            </w:tcMar>
            <w:vAlign w:val="bottom"/>
          </w:tcPr>
          <w:p w14:paraId="0D8DF67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72"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67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674" w14:textId="77777777" w:rsidR="004C2197" w:rsidRDefault="00863B83">
            <w:pPr>
              <w:jc w:val="right"/>
              <w:textAlignment w:val="bottom"/>
            </w:pPr>
            <w:r>
              <w:rPr>
                <w:rFonts w:ascii="sans-serif" w:eastAsia="sans-serif" w:hAnsi="sans-serif" w:cs="sans-serif"/>
                <w:color w:val="000000"/>
                <w:sz w:val="20"/>
                <w:szCs w:val="20"/>
              </w:rPr>
              <w:t>10,028 </w:t>
            </w:r>
          </w:p>
        </w:tc>
        <w:tc>
          <w:tcPr>
            <w:tcW w:w="0" w:type="auto"/>
            <w:shd w:val="clear" w:color="auto" w:fill="E2EFD9"/>
            <w:tcMar>
              <w:top w:w="40" w:type="dxa"/>
              <w:bottom w:w="40" w:type="dxa"/>
              <w:right w:w="20" w:type="dxa"/>
            </w:tcMar>
            <w:vAlign w:val="bottom"/>
          </w:tcPr>
          <w:p w14:paraId="0D8DF67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76"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67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678"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bottom w:w="40" w:type="dxa"/>
              <w:right w:w="20" w:type="dxa"/>
            </w:tcMar>
            <w:vAlign w:val="bottom"/>
          </w:tcPr>
          <w:p w14:paraId="0D8DF67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7A"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DF67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67C"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bottom w:w="40" w:type="dxa"/>
              <w:right w:w="20" w:type="dxa"/>
            </w:tcMar>
            <w:vAlign w:val="bottom"/>
          </w:tcPr>
          <w:p w14:paraId="0D8DF67D" w14:textId="77777777" w:rsidR="004C2197" w:rsidRDefault="004C2197">
            <w:pPr>
              <w:jc w:val="right"/>
              <w:rPr>
                <w:rFonts w:ascii="宋体"/>
              </w:rPr>
            </w:pPr>
          </w:p>
        </w:tc>
        <w:tc>
          <w:tcPr>
            <w:tcW w:w="0" w:type="auto"/>
            <w:shd w:val="clear" w:color="auto" w:fill="auto"/>
          </w:tcPr>
          <w:p w14:paraId="0D8DF67E" w14:textId="77777777" w:rsidR="004C2197" w:rsidRDefault="004C2197">
            <w:pPr>
              <w:rPr>
                <w:rFonts w:ascii="宋体"/>
              </w:rPr>
            </w:pPr>
          </w:p>
        </w:tc>
        <w:tc>
          <w:tcPr>
            <w:tcW w:w="0" w:type="auto"/>
            <w:shd w:val="clear" w:color="auto" w:fill="auto"/>
          </w:tcPr>
          <w:p w14:paraId="0D8DF67F" w14:textId="77777777" w:rsidR="004C2197" w:rsidRDefault="004C2197">
            <w:pPr>
              <w:rPr>
                <w:rFonts w:ascii="宋体"/>
              </w:rPr>
            </w:pPr>
          </w:p>
        </w:tc>
        <w:tc>
          <w:tcPr>
            <w:tcW w:w="0" w:type="auto"/>
            <w:shd w:val="clear" w:color="auto" w:fill="auto"/>
          </w:tcPr>
          <w:p w14:paraId="0D8DF680" w14:textId="77777777" w:rsidR="004C2197" w:rsidRDefault="004C2197">
            <w:pPr>
              <w:rPr>
                <w:rFonts w:ascii="宋体"/>
              </w:rPr>
            </w:pPr>
          </w:p>
        </w:tc>
        <w:tc>
          <w:tcPr>
            <w:tcW w:w="0" w:type="auto"/>
            <w:shd w:val="clear" w:color="auto" w:fill="auto"/>
          </w:tcPr>
          <w:p w14:paraId="0D8DF681" w14:textId="77777777" w:rsidR="004C2197" w:rsidRDefault="004C2197">
            <w:pPr>
              <w:rPr>
                <w:rFonts w:ascii="宋体"/>
              </w:rPr>
            </w:pPr>
          </w:p>
        </w:tc>
        <w:tc>
          <w:tcPr>
            <w:tcW w:w="0" w:type="auto"/>
            <w:shd w:val="clear" w:color="auto" w:fill="auto"/>
          </w:tcPr>
          <w:p w14:paraId="0D8DF682" w14:textId="77777777" w:rsidR="004C2197" w:rsidRDefault="004C2197">
            <w:pPr>
              <w:rPr>
                <w:rFonts w:ascii="宋体"/>
              </w:rPr>
            </w:pPr>
          </w:p>
        </w:tc>
        <w:tc>
          <w:tcPr>
            <w:tcW w:w="0" w:type="auto"/>
            <w:shd w:val="clear" w:color="auto" w:fill="auto"/>
          </w:tcPr>
          <w:p w14:paraId="0D8DF683" w14:textId="77777777" w:rsidR="004C2197" w:rsidRDefault="004C2197">
            <w:pPr>
              <w:rPr>
                <w:rFonts w:ascii="宋体"/>
              </w:rPr>
            </w:pPr>
          </w:p>
        </w:tc>
        <w:tc>
          <w:tcPr>
            <w:tcW w:w="0" w:type="auto"/>
            <w:shd w:val="clear" w:color="auto" w:fill="auto"/>
          </w:tcPr>
          <w:p w14:paraId="0D8DF684" w14:textId="77777777" w:rsidR="004C2197" w:rsidRDefault="004C2197">
            <w:pPr>
              <w:rPr>
                <w:rFonts w:ascii="宋体"/>
              </w:rPr>
            </w:pPr>
          </w:p>
        </w:tc>
        <w:tc>
          <w:tcPr>
            <w:tcW w:w="0" w:type="auto"/>
            <w:shd w:val="clear" w:color="auto" w:fill="auto"/>
          </w:tcPr>
          <w:p w14:paraId="0D8DF685" w14:textId="77777777" w:rsidR="004C2197" w:rsidRDefault="004C2197">
            <w:pPr>
              <w:rPr>
                <w:rFonts w:ascii="宋体"/>
              </w:rPr>
            </w:pPr>
          </w:p>
        </w:tc>
        <w:tc>
          <w:tcPr>
            <w:tcW w:w="0" w:type="auto"/>
            <w:shd w:val="clear" w:color="auto" w:fill="auto"/>
          </w:tcPr>
          <w:p w14:paraId="0D8DF686" w14:textId="77777777" w:rsidR="004C2197" w:rsidRDefault="004C2197">
            <w:pPr>
              <w:rPr>
                <w:rFonts w:ascii="宋体"/>
              </w:rPr>
            </w:pPr>
          </w:p>
        </w:tc>
        <w:tc>
          <w:tcPr>
            <w:tcW w:w="0" w:type="auto"/>
            <w:shd w:val="clear" w:color="auto" w:fill="auto"/>
          </w:tcPr>
          <w:p w14:paraId="0D8DF687" w14:textId="77777777" w:rsidR="004C2197" w:rsidRDefault="004C2197">
            <w:pPr>
              <w:rPr>
                <w:rFonts w:ascii="宋体"/>
              </w:rPr>
            </w:pPr>
          </w:p>
        </w:tc>
        <w:tc>
          <w:tcPr>
            <w:tcW w:w="0" w:type="auto"/>
            <w:shd w:val="clear" w:color="auto" w:fill="auto"/>
          </w:tcPr>
          <w:p w14:paraId="0D8DF688" w14:textId="77777777" w:rsidR="004C2197" w:rsidRDefault="004C2197">
            <w:pPr>
              <w:rPr>
                <w:rFonts w:ascii="宋体"/>
              </w:rPr>
            </w:pPr>
          </w:p>
        </w:tc>
        <w:tc>
          <w:tcPr>
            <w:tcW w:w="0" w:type="auto"/>
            <w:shd w:val="clear" w:color="auto" w:fill="auto"/>
          </w:tcPr>
          <w:p w14:paraId="0D8DF689" w14:textId="77777777" w:rsidR="004C2197" w:rsidRDefault="004C2197">
            <w:pPr>
              <w:rPr>
                <w:rFonts w:ascii="宋体"/>
              </w:rPr>
            </w:pPr>
          </w:p>
        </w:tc>
        <w:tc>
          <w:tcPr>
            <w:tcW w:w="0" w:type="auto"/>
            <w:shd w:val="clear" w:color="auto" w:fill="auto"/>
          </w:tcPr>
          <w:p w14:paraId="0D8DF68A" w14:textId="77777777" w:rsidR="004C2197" w:rsidRDefault="004C2197">
            <w:pPr>
              <w:rPr>
                <w:rFonts w:ascii="宋体"/>
              </w:rPr>
            </w:pPr>
          </w:p>
        </w:tc>
        <w:tc>
          <w:tcPr>
            <w:tcW w:w="0" w:type="auto"/>
            <w:shd w:val="clear" w:color="auto" w:fill="auto"/>
          </w:tcPr>
          <w:p w14:paraId="0D8DF68B" w14:textId="77777777" w:rsidR="004C2197" w:rsidRDefault="004C2197">
            <w:pPr>
              <w:rPr>
                <w:rFonts w:ascii="宋体"/>
              </w:rPr>
            </w:pPr>
          </w:p>
        </w:tc>
        <w:tc>
          <w:tcPr>
            <w:tcW w:w="0" w:type="auto"/>
            <w:shd w:val="clear" w:color="auto" w:fill="auto"/>
          </w:tcPr>
          <w:p w14:paraId="0D8DF68C" w14:textId="77777777" w:rsidR="004C2197" w:rsidRDefault="004C2197">
            <w:pPr>
              <w:rPr>
                <w:rFonts w:ascii="宋体"/>
              </w:rPr>
            </w:pPr>
          </w:p>
        </w:tc>
        <w:tc>
          <w:tcPr>
            <w:tcW w:w="0" w:type="auto"/>
            <w:shd w:val="clear" w:color="auto" w:fill="auto"/>
          </w:tcPr>
          <w:p w14:paraId="0D8DF68D" w14:textId="77777777" w:rsidR="004C2197" w:rsidRDefault="004C2197">
            <w:pPr>
              <w:rPr>
                <w:rFonts w:ascii="宋体"/>
              </w:rPr>
            </w:pPr>
          </w:p>
        </w:tc>
        <w:tc>
          <w:tcPr>
            <w:tcW w:w="0" w:type="auto"/>
            <w:shd w:val="clear" w:color="auto" w:fill="auto"/>
          </w:tcPr>
          <w:p w14:paraId="0D8DF68E" w14:textId="77777777" w:rsidR="004C2197" w:rsidRDefault="004C2197">
            <w:pPr>
              <w:rPr>
                <w:rFonts w:ascii="宋体"/>
              </w:rPr>
            </w:pPr>
          </w:p>
        </w:tc>
        <w:tc>
          <w:tcPr>
            <w:tcW w:w="0" w:type="auto"/>
            <w:shd w:val="clear" w:color="auto" w:fill="auto"/>
          </w:tcPr>
          <w:p w14:paraId="0D8DF68F" w14:textId="77777777" w:rsidR="004C2197" w:rsidRDefault="004C2197">
            <w:pPr>
              <w:rPr>
                <w:rFonts w:ascii="宋体"/>
              </w:rPr>
            </w:pPr>
          </w:p>
        </w:tc>
      </w:tr>
      <w:tr w:rsidR="004C2197" w14:paraId="0D8DF6AF" w14:textId="77777777">
        <w:tc>
          <w:tcPr>
            <w:tcW w:w="0" w:type="auto"/>
            <w:gridSpan w:val="3"/>
            <w:shd w:val="clear" w:color="auto" w:fill="FFFFFF"/>
            <w:tcMar>
              <w:top w:w="40" w:type="dxa"/>
              <w:left w:w="20" w:type="dxa"/>
              <w:bottom w:w="40" w:type="dxa"/>
              <w:right w:w="20" w:type="dxa"/>
            </w:tcMar>
            <w:vAlign w:val="bottom"/>
          </w:tcPr>
          <w:p w14:paraId="0D8DF691" w14:textId="77777777" w:rsidR="004C2197" w:rsidRDefault="00863B83">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0D8DF692" w14:textId="77777777" w:rsidR="004C2197" w:rsidRDefault="00863B83">
            <w:pPr>
              <w:jc w:val="right"/>
              <w:textAlignment w:val="bottom"/>
            </w:pPr>
            <w:r>
              <w:rPr>
                <w:rFonts w:ascii="sans-serif" w:eastAsia="sans-serif" w:hAnsi="sans-serif" w:cs="sans-serif"/>
                <w:color w:val="000000"/>
                <w:sz w:val="20"/>
                <w:szCs w:val="20"/>
              </w:rPr>
              <w:t>726 </w:t>
            </w:r>
          </w:p>
        </w:tc>
        <w:tc>
          <w:tcPr>
            <w:tcW w:w="0" w:type="auto"/>
            <w:shd w:val="clear" w:color="auto" w:fill="FFFFFF"/>
            <w:tcMar>
              <w:top w:w="40" w:type="dxa"/>
              <w:bottom w:w="40" w:type="dxa"/>
              <w:right w:w="20" w:type="dxa"/>
            </w:tcMar>
            <w:vAlign w:val="bottom"/>
          </w:tcPr>
          <w:p w14:paraId="0D8DF69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694"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695" w14:textId="77777777" w:rsidR="004C2197" w:rsidRDefault="00863B83">
            <w:pPr>
              <w:jc w:val="right"/>
              <w:textAlignment w:val="bottom"/>
            </w:pPr>
            <w:r>
              <w:rPr>
                <w:rFonts w:ascii="sans-serif" w:eastAsia="sans-serif" w:hAnsi="sans-serif" w:cs="sans-serif"/>
                <w:color w:val="000000"/>
                <w:sz w:val="20"/>
                <w:szCs w:val="20"/>
              </w:rPr>
              <w:t>729 </w:t>
            </w:r>
          </w:p>
        </w:tc>
        <w:tc>
          <w:tcPr>
            <w:tcW w:w="0" w:type="auto"/>
            <w:shd w:val="clear" w:color="auto" w:fill="FFFFFF"/>
            <w:tcMar>
              <w:top w:w="40" w:type="dxa"/>
              <w:bottom w:w="40" w:type="dxa"/>
              <w:right w:w="20" w:type="dxa"/>
            </w:tcMar>
            <w:vAlign w:val="bottom"/>
          </w:tcPr>
          <w:p w14:paraId="0D8DF69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697"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69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69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69A"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69B"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69C" w14:textId="77777777" w:rsidR="004C2197" w:rsidRDefault="004C2197">
            <w:pPr>
              <w:jc w:val="right"/>
              <w:rPr>
                <w:rFonts w:ascii="宋体"/>
              </w:rPr>
            </w:pPr>
          </w:p>
        </w:tc>
        <w:tc>
          <w:tcPr>
            <w:tcW w:w="0" w:type="auto"/>
            <w:shd w:val="clear" w:color="auto" w:fill="auto"/>
          </w:tcPr>
          <w:p w14:paraId="0D8DF69D" w14:textId="77777777" w:rsidR="004C2197" w:rsidRDefault="004C2197">
            <w:pPr>
              <w:rPr>
                <w:rFonts w:ascii="宋体"/>
              </w:rPr>
            </w:pPr>
          </w:p>
        </w:tc>
        <w:tc>
          <w:tcPr>
            <w:tcW w:w="0" w:type="auto"/>
            <w:shd w:val="clear" w:color="auto" w:fill="auto"/>
          </w:tcPr>
          <w:p w14:paraId="0D8DF69E" w14:textId="77777777" w:rsidR="004C2197" w:rsidRDefault="004C2197">
            <w:pPr>
              <w:rPr>
                <w:rFonts w:ascii="宋体"/>
              </w:rPr>
            </w:pPr>
          </w:p>
        </w:tc>
        <w:tc>
          <w:tcPr>
            <w:tcW w:w="0" w:type="auto"/>
            <w:shd w:val="clear" w:color="auto" w:fill="auto"/>
          </w:tcPr>
          <w:p w14:paraId="0D8DF69F" w14:textId="77777777" w:rsidR="004C2197" w:rsidRDefault="004C2197">
            <w:pPr>
              <w:rPr>
                <w:rFonts w:ascii="宋体"/>
              </w:rPr>
            </w:pPr>
          </w:p>
        </w:tc>
        <w:tc>
          <w:tcPr>
            <w:tcW w:w="0" w:type="auto"/>
            <w:shd w:val="clear" w:color="auto" w:fill="auto"/>
          </w:tcPr>
          <w:p w14:paraId="0D8DF6A0" w14:textId="77777777" w:rsidR="004C2197" w:rsidRDefault="004C2197">
            <w:pPr>
              <w:rPr>
                <w:rFonts w:ascii="宋体"/>
              </w:rPr>
            </w:pPr>
          </w:p>
        </w:tc>
        <w:tc>
          <w:tcPr>
            <w:tcW w:w="0" w:type="auto"/>
            <w:shd w:val="clear" w:color="auto" w:fill="auto"/>
          </w:tcPr>
          <w:p w14:paraId="0D8DF6A1" w14:textId="77777777" w:rsidR="004C2197" w:rsidRDefault="004C2197">
            <w:pPr>
              <w:rPr>
                <w:rFonts w:ascii="宋体"/>
              </w:rPr>
            </w:pPr>
          </w:p>
        </w:tc>
        <w:tc>
          <w:tcPr>
            <w:tcW w:w="0" w:type="auto"/>
            <w:shd w:val="clear" w:color="auto" w:fill="auto"/>
          </w:tcPr>
          <w:p w14:paraId="0D8DF6A2" w14:textId="77777777" w:rsidR="004C2197" w:rsidRDefault="004C2197">
            <w:pPr>
              <w:rPr>
                <w:rFonts w:ascii="宋体"/>
              </w:rPr>
            </w:pPr>
          </w:p>
        </w:tc>
        <w:tc>
          <w:tcPr>
            <w:tcW w:w="0" w:type="auto"/>
            <w:shd w:val="clear" w:color="auto" w:fill="auto"/>
          </w:tcPr>
          <w:p w14:paraId="0D8DF6A3" w14:textId="77777777" w:rsidR="004C2197" w:rsidRDefault="004C2197">
            <w:pPr>
              <w:rPr>
                <w:rFonts w:ascii="宋体"/>
              </w:rPr>
            </w:pPr>
          </w:p>
        </w:tc>
        <w:tc>
          <w:tcPr>
            <w:tcW w:w="0" w:type="auto"/>
            <w:shd w:val="clear" w:color="auto" w:fill="auto"/>
          </w:tcPr>
          <w:p w14:paraId="0D8DF6A4" w14:textId="77777777" w:rsidR="004C2197" w:rsidRDefault="004C2197">
            <w:pPr>
              <w:rPr>
                <w:rFonts w:ascii="宋体"/>
              </w:rPr>
            </w:pPr>
          </w:p>
        </w:tc>
        <w:tc>
          <w:tcPr>
            <w:tcW w:w="0" w:type="auto"/>
            <w:shd w:val="clear" w:color="auto" w:fill="auto"/>
          </w:tcPr>
          <w:p w14:paraId="0D8DF6A5" w14:textId="77777777" w:rsidR="004C2197" w:rsidRDefault="004C2197">
            <w:pPr>
              <w:rPr>
                <w:rFonts w:ascii="宋体"/>
              </w:rPr>
            </w:pPr>
          </w:p>
        </w:tc>
        <w:tc>
          <w:tcPr>
            <w:tcW w:w="0" w:type="auto"/>
            <w:shd w:val="clear" w:color="auto" w:fill="auto"/>
          </w:tcPr>
          <w:p w14:paraId="0D8DF6A6" w14:textId="77777777" w:rsidR="004C2197" w:rsidRDefault="004C2197">
            <w:pPr>
              <w:rPr>
                <w:rFonts w:ascii="宋体"/>
              </w:rPr>
            </w:pPr>
          </w:p>
        </w:tc>
        <w:tc>
          <w:tcPr>
            <w:tcW w:w="0" w:type="auto"/>
            <w:shd w:val="clear" w:color="auto" w:fill="auto"/>
          </w:tcPr>
          <w:p w14:paraId="0D8DF6A7" w14:textId="77777777" w:rsidR="004C2197" w:rsidRDefault="004C2197">
            <w:pPr>
              <w:rPr>
                <w:rFonts w:ascii="宋体"/>
              </w:rPr>
            </w:pPr>
          </w:p>
        </w:tc>
        <w:tc>
          <w:tcPr>
            <w:tcW w:w="0" w:type="auto"/>
            <w:shd w:val="clear" w:color="auto" w:fill="auto"/>
          </w:tcPr>
          <w:p w14:paraId="0D8DF6A8" w14:textId="77777777" w:rsidR="004C2197" w:rsidRDefault="004C2197">
            <w:pPr>
              <w:rPr>
                <w:rFonts w:ascii="宋体"/>
              </w:rPr>
            </w:pPr>
          </w:p>
        </w:tc>
        <w:tc>
          <w:tcPr>
            <w:tcW w:w="0" w:type="auto"/>
            <w:shd w:val="clear" w:color="auto" w:fill="auto"/>
          </w:tcPr>
          <w:p w14:paraId="0D8DF6A9" w14:textId="77777777" w:rsidR="004C2197" w:rsidRDefault="004C2197">
            <w:pPr>
              <w:rPr>
                <w:rFonts w:ascii="宋体"/>
              </w:rPr>
            </w:pPr>
          </w:p>
        </w:tc>
        <w:tc>
          <w:tcPr>
            <w:tcW w:w="0" w:type="auto"/>
            <w:shd w:val="clear" w:color="auto" w:fill="auto"/>
          </w:tcPr>
          <w:p w14:paraId="0D8DF6AA" w14:textId="77777777" w:rsidR="004C2197" w:rsidRDefault="004C2197">
            <w:pPr>
              <w:rPr>
                <w:rFonts w:ascii="宋体"/>
              </w:rPr>
            </w:pPr>
          </w:p>
        </w:tc>
        <w:tc>
          <w:tcPr>
            <w:tcW w:w="0" w:type="auto"/>
            <w:shd w:val="clear" w:color="auto" w:fill="auto"/>
          </w:tcPr>
          <w:p w14:paraId="0D8DF6AB" w14:textId="77777777" w:rsidR="004C2197" w:rsidRDefault="004C2197">
            <w:pPr>
              <w:rPr>
                <w:rFonts w:ascii="宋体"/>
              </w:rPr>
            </w:pPr>
          </w:p>
        </w:tc>
        <w:tc>
          <w:tcPr>
            <w:tcW w:w="0" w:type="auto"/>
            <w:shd w:val="clear" w:color="auto" w:fill="auto"/>
          </w:tcPr>
          <w:p w14:paraId="0D8DF6AC" w14:textId="77777777" w:rsidR="004C2197" w:rsidRDefault="004C2197">
            <w:pPr>
              <w:rPr>
                <w:rFonts w:ascii="宋体"/>
              </w:rPr>
            </w:pPr>
          </w:p>
        </w:tc>
        <w:tc>
          <w:tcPr>
            <w:tcW w:w="0" w:type="auto"/>
            <w:shd w:val="clear" w:color="auto" w:fill="auto"/>
          </w:tcPr>
          <w:p w14:paraId="0D8DF6AD" w14:textId="77777777" w:rsidR="004C2197" w:rsidRDefault="004C2197">
            <w:pPr>
              <w:rPr>
                <w:rFonts w:ascii="宋体"/>
              </w:rPr>
            </w:pPr>
          </w:p>
        </w:tc>
        <w:tc>
          <w:tcPr>
            <w:tcW w:w="0" w:type="auto"/>
            <w:shd w:val="clear" w:color="auto" w:fill="auto"/>
          </w:tcPr>
          <w:p w14:paraId="0D8DF6AE" w14:textId="77777777" w:rsidR="004C2197" w:rsidRDefault="004C2197">
            <w:pPr>
              <w:rPr>
                <w:rFonts w:ascii="宋体"/>
              </w:rPr>
            </w:pPr>
          </w:p>
        </w:tc>
      </w:tr>
      <w:tr w:rsidR="004C2197" w14:paraId="0D8DF6CA" w14:textId="77777777">
        <w:trPr>
          <w:hidden/>
        </w:trPr>
        <w:tc>
          <w:tcPr>
            <w:tcW w:w="0" w:type="auto"/>
            <w:gridSpan w:val="3"/>
            <w:shd w:val="clear" w:color="auto" w:fill="auto"/>
          </w:tcPr>
          <w:p w14:paraId="0D8DF6B0" w14:textId="77777777" w:rsidR="004C2197" w:rsidRDefault="004C2197">
            <w:pPr>
              <w:rPr>
                <w:rFonts w:ascii="宋体"/>
                <w:vanish/>
              </w:rPr>
            </w:pPr>
          </w:p>
        </w:tc>
        <w:tc>
          <w:tcPr>
            <w:tcW w:w="0" w:type="auto"/>
            <w:gridSpan w:val="3"/>
            <w:shd w:val="clear" w:color="auto" w:fill="auto"/>
          </w:tcPr>
          <w:p w14:paraId="0D8DF6B1" w14:textId="77777777" w:rsidR="004C2197" w:rsidRDefault="004C2197">
            <w:pPr>
              <w:rPr>
                <w:rFonts w:ascii="宋体"/>
                <w:vanish/>
              </w:rPr>
            </w:pPr>
          </w:p>
        </w:tc>
        <w:tc>
          <w:tcPr>
            <w:tcW w:w="0" w:type="auto"/>
            <w:gridSpan w:val="3"/>
            <w:shd w:val="clear" w:color="auto" w:fill="auto"/>
          </w:tcPr>
          <w:p w14:paraId="0D8DF6B2" w14:textId="77777777" w:rsidR="004C2197" w:rsidRDefault="004C2197">
            <w:pPr>
              <w:rPr>
                <w:rFonts w:ascii="宋体"/>
                <w:vanish/>
              </w:rPr>
            </w:pPr>
          </w:p>
        </w:tc>
        <w:tc>
          <w:tcPr>
            <w:tcW w:w="0" w:type="auto"/>
            <w:gridSpan w:val="3"/>
            <w:shd w:val="clear" w:color="auto" w:fill="auto"/>
          </w:tcPr>
          <w:p w14:paraId="0D8DF6B3" w14:textId="77777777" w:rsidR="004C2197" w:rsidRDefault="004C2197">
            <w:pPr>
              <w:rPr>
                <w:rFonts w:ascii="宋体"/>
                <w:vanish/>
              </w:rPr>
            </w:pPr>
          </w:p>
        </w:tc>
        <w:tc>
          <w:tcPr>
            <w:tcW w:w="0" w:type="auto"/>
            <w:gridSpan w:val="3"/>
            <w:shd w:val="clear" w:color="auto" w:fill="auto"/>
          </w:tcPr>
          <w:p w14:paraId="0D8DF6B4" w14:textId="77777777" w:rsidR="004C2197" w:rsidRDefault="004C2197">
            <w:pPr>
              <w:rPr>
                <w:rFonts w:ascii="宋体"/>
                <w:vanish/>
              </w:rPr>
            </w:pPr>
          </w:p>
        </w:tc>
        <w:tc>
          <w:tcPr>
            <w:tcW w:w="0" w:type="auto"/>
            <w:gridSpan w:val="3"/>
            <w:shd w:val="clear" w:color="auto" w:fill="auto"/>
          </w:tcPr>
          <w:p w14:paraId="0D8DF6B5" w14:textId="77777777" w:rsidR="004C2197" w:rsidRDefault="004C2197">
            <w:pPr>
              <w:rPr>
                <w:rFonts w:ascii="宋体"/>
                <w:vanish/>
              </w:rPr>
            </w:pPr>
          </w:p>
        </w:tc>
        <w:tc>
          <w:tcPr>
            <w:tcW w:w="0" w:type="auto"/>
            <w:gridSpan w:val="3"/>
            <w:shd w:val="clear" w:color="auto" w:fill="auto"/>
          </w:tcPr>
          <w:p w14:paraId="0D8DF6B6" w14:textId="77777777" w:rsidR="004C2197" w:rsidRDefault="004C2197">
            <w:pPr>
              <w:rPr>
                <w:rFonts w:ascii="宋体"/>
                <w:vanish/>
              </w:rPr>
            </w:pPr>
          </w:p>
        </w:tc>
        <w:tc>
          <w:tcPr>
            <w:tcW w:w="0" w:type="auto"/>
            <w:gridSpan w:val="3"/>
            <w:shd w:val="clear" w:color="auto" w:fill="auto"/>
          </w:tcPr>
          <w:p w14:paraId="0D8DF6B7" w14:textId="77777777" w:rsidR="004C2197" w:rsidRDefault="004C2197">
            <w:pPr>
              <w:rPr>
                <w:rFonts w:ascii="宋体"/>
                <w:vanish/>
              </w:rPr>
            </w:pPr>
          </w:p>
        </w:tc>
        <w:tc>
          <w:tcPr>
            <w:tcW w:w="0" w:type="auto"/>
            <w:shd w:val="clear" w:color="auto" w:fill="auto"/>
          </w:tcPr>
          <w:p w14:paraId="0D8DF6B8" w14:textId="77777777" w:rsidR="004C2197" w:rsidRDefault="004C2197">
            <w:pPr>
              <w:rPr>
                <w:rFonts w:ascii="宋体"/>
              </w:rPr>
            </w:pPr>
          </w:p>
        </w:tc>
        <w:tc>
          <w:tcPr>
            <w:tcW w:w="0" w:type="auto"/>
            <w:shd w:val="clear" w:color="auto" w:fill="auto"/>
          </w:tcPr>
          <w:p w14:paraId="0D8DF6B9" w14:textId="77777777" w:rsidR="004C2197" w:rsidRDefault="004C2197">
            <w:pPr>
              <w:rPr>
                <w:rFonts w:ascii="宋体"/>
              </w:rPr>
            </w:pPr>
          </w:p>
        </w:tc>
        <w:tc>
          <w:tcPr>
            <w:tcW w:w="0" w:type="auto"/>
            <w:shd w:val="clear" w:color="auto" w:fill="auto"/>
          </w:tcPr>
          <w:p w14:paraId="0D8DF6BA" w14:textId="77777777" w:rsidR="004C2197" w:rsidRDefault="004C2197">
            <w:pPr>
              <w:rPr>
                <w:rFonts w:ascii="宋体"/>
              </w:rPr>
            </w:pPr>
          </w:p>
        </w:tc>
        <w:tc>
          <w:tcPr>
            <w:tcW w:w="0" w:type="auto"/>
            <w:shd w:val="clear" w:color="auto" w:fill="auto"/>
          </w:tcPr>
          <w:p w14:paraId="0D8DF6BB" w14:textId="77777777" w:rsidR="004C2197" w:rsidRDefault="004C2197">
            <w:pPr>
              <w:rPr>
                <w:rFonts w:ascii="宋体"/>
              </w:rPr>
            </w:pPr>
          </w:p>
        </w:tc>
        <w:tc>
          <w:tcPr>
            <w:tcW w:w="0" w:type="auto"/>
            <w:shd w:val="clear" w:color="auto" w:fill="auto"/>
          </w:tcPr>
          <w:p w14:paraId="0D8DF6BC" w14:textId="77777777" w:rsidR="004C2197" w:rsidRDefault="004C2197">
            <w:pPr>
              <w:rPr>
                <w:rFonts w:ascii="宋体"/>
              </w:rPr>
            </w:pPr>
          </w:p>
        </w:tc>
        <w:tc>
          <w:tcPr>
            <w:tcW w:w="0" w:type="auto"/>
            <w:shd w:val="clear" w:color="auto" w:fill="auto"/>
          </w:tcPr>
          <w:p w14:paraId="0D8DF6BD" w14:textId="77777777" w:rsidR="004C2197" w:rsidRDefault="004C2197">
            <w:pPr>
              <w:rPr>
                <w:rFonts w:ascii="宋体"/>
              </w:rPr>
            </w:pPr>
          </w:p>
        </w:tc>
        <w:tc>
          <w:tcPr>
            <w:tcW w:w="0" w:type="auto"/>
            <w:shd w:val="clear" w:color="auto" w:fill="auto"/>
          </w:tcPr>
          <w:p w14:paraId="0D8DF6BE" w14:textId="77777777" w:rsidR="004C2197" w:rsidRDefault="004C2197">
            <w:pPr>
              <w:rPr>
                <w:rFonts w:ascii="宋体"/>
              </w:rPr>
            </w:pPr>
          </w:p>
        </w:tc>
        <w:tc>
          <w:tcPr>
            <w:tcW w:w="0" w:type="auto"/>
            <w:shd w:val="clear" w:color="auto" w:fill="auto"/>
          </w:tcPr>
          <w:p w14:paraId="0D8DF6BF" w14:textId="77777777" w:rsidR="004C2197" w:rsidRDefault="004C2197">
            <w:pPr>
              <w:rPr>
                <w:rFonts w:ascii="宋体"/>
              </w:rPr>
            </w:pPr>
          </w:p>
        </w:tc>
        <w:tc>
          <w:tcPr>
            <w:tcW w:w="0" w:type="auto"/>
            <w:shd w:val="clear" w:color="auto" w:fill="auto"/>
          </w:tcPr>
          <w:p w14:paraId="0D8DF6C0" w14:textId="77777777" w:rsidR="004C2197" w:rsidRDefault="004C2197">
            <w:pPr>
              <w:rPr>
                <w:rFonts w:ascii="宋体"/>
              </w:rPr>
            </w:pPr>
          </w:p>
        </w:tc>
        <w:tc>
          <w:tcPr>
            <w:tcW w:w="0" w:type="auto"/>
            <w:shd w:val="clear" w:color="auto" w:fill="auto"/>
          </w:tcPr>
          <w:p w14:paraId="0D8DF6C1" w14:textId="77777777" w:rsidR="004C2197" w:rsidRDefault="004C2197">
            <w:pPr>
              <w:rPr>
                <w:rFonts w:ascii="宋体"/>
              </w:rPr>
            </w:pPr>
          </w:p>
        </w:tc>
        <w:tc>
          <w:tcPr>
            <w:tcW w:w="0" w:type="auto"/>
            <w:shd w:val="clear" w:color="auto" w:fill="auto"/>
          </w:tcPr>
          <w:p w14:paraId="0D8DF6C2" w14:textId="77777777" w:rsidR="004C2197" w:rsidRDefault="004C2197">
            <w:pPr>
              <w:rPr>
                <w:rFonts w:ascii="宋体"/>
              </w:rPr>
            </w:pPr>
          </w:p>
        </w:tc>
        <w:tc>
          <w:tcPr>
            <w:tcW w:w="0" w:type="auto"/>
            <w:shd w:val="clear" w:color="auto" w:fill="auto"/>
          </w:tcPr>
          <w:p w14:paraId="0D8DF6C3" w14:textId="77777777" w:rsidR="004C2197" w:rsidRDefault="004C2197">
            <w:pPr>
              <w:rPr>
                <w:rFonts w:ascii="宋体"/>
              </w:rPr>
            </w:pPr>
          </w:p>
        </w:tc>
        <w:tc>
          <w:tcPr>
            <w:tcW w:w="0" w:type="auto"/>
            <w:shd w:val="clear" w:color="auto" w:fill="auto"/>
          </w:tcPr>
          <w:p w14:paraId="0D8DF6C4" w14:textId="77777777" w:rsidR="004C2197" w:rsidRDefault="004C2197">
            <w:pPr>
              <w:rPr>
                <w:rFonts w:ascii="宋体"/>
              </w:rPr>
            </w:pPr>
          </w:p>
        </w:tc>
        <w:tc>
          <w:tcPr>
            <w:tcW w:w="0" w:type="auto"/>
            <w:shd w:val="clear" w:color="auto" w:fill="auto"/>
          </w:tcPr>
          <w:p w14:paraId="0D8DF6C5" w14:textId="77777777" w:rsidR="004C2197" w:rsidRDefault="004C2197">
            <w:pPr>
              <w:rPr>
                <w:rFonts w:ascii="宋体"/>
              </w:rPr>
            </w:pPr>
          </w:p>
        </w:tc>
        <w:tc>
          <w:tcPr>
            <w:tcW w:w="0" w:type="auto"/>
            <w:shd w:val="clear" w:color="auto" w:fill="auto"/>
          </w:tcPr>
          <w:p w14:paraId="0D8DF6C6" w14:textId="77777777" w:rsidR="004C2197" w:rsidRDefault="004C2197">
            <w:pPr>
              <w:rPr>
                <w:rFonts w:ascii="宋体"/>
              </w:rPr>
            </w:pPr>
          </w:p>
        </w:tc>
        <w:tc>
          <w:tcPr>
            <w:tcW w:w="0" w:type="auto"/>
            <w:shd w:val="clear" w:color="auto" w:fill="auto"/>
          </w:tcPr>
          <w:p w14:paraId="0D8DF6C7" w14:textId="77777777" w:rsidR="004C2197" w:rsidRDefault="004C2197">
            <w:pPr>
              <w:rPr>
                <w:rFonts w:ascii="宋体"/>
              </w:rPr>
            </w:pPr>
          </w:p>
        </w:tc>
        <w:tc>
          <w:tcPr>
            <w:tcW w:w="0" w:type="auto"/>
            <w:shd w:val="clear" w:color="auto" w:fill="auto"/>
          </w:tcPr>
          <w:p w14:paraId="0D8DF6C8" w14:textId="77777777" w:rsidR="004C2197" w:rsidRDefault="004C2197">
            <w:pPr>
              <w:rPr>
                <w:rFonts w:ascii="宋体"/>
              </w:rPr>
            </w:pPr>
          </w:p>
        </w:tc>
        <w:tc>
          <w:tcPr>
            <w:tcW w:w="0" w:type="auto"/>
            <w:shd w:val="clear" w:color="auto" w:fill="auto"/>
          </w:tcPr>
          <w:p w14:paraId="0D8DF6C9" w14:textId="77777777" w:rsidR="004C2197" w:rsidRDefault="004C2197">
            <w:pPr>
              <w:rPr>
                <w:rFonts w:ascii="宋体"/>
              </w:rPr>
            </w:pPr>
          </w:p>
        </w:tc>
      </w:tr>
      <w:tr w:rsidR="004C2197" w14:paraId="0D8DF6ED" w14:textId="77777777">
        <w:tc>
          <w:tcPr>
            <w:tcW w:w="0" w:type="auto"/>
            <w:gridSpan w:val="3"/>
            <w:shd w:val="clear" w:color="auto" w:fill="E2EFD9"/>
            <w:tcMar>
              <w:top w:w="40" w:type="dxa"/>
              <w:left w:w="20" w:type="dxa"/>
              <w:bottom w:w="40" w:type="dxa"/>
              <w:right w:w="20" w:type="dxa"/>
            </w:tcMar>
            <w:vAlign w:val="bottom"/>
          </w:tcPr>
          <w:p w14:paraId="0D8DF6CB"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6C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6CD" w14:textId="77777777" w:rsidR="004C2197" w:rsidRDefault="00863B83">
            <w:pPr>
              <w:jc w:val="right"/>
              <w:textAlignment w:val="bottom"/>
            </w:pPr>
            <w:r>
              <w:rPr>
                <w:rFonts w:ascii="sans-serif" w:eastAsia="sans-serif" w:hAnsi="sans-serif" w:cs="sans-serif"/>
                <w:color w:val="000000"/>
                <w:sz w:val="20"/>
                <w:szCs w:val="20"/>
              </w:rPr>
              <w:t>10,753 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6C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CF"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6D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6D1" w14:textId="77777777" w:rsidR="004C2197" w:rsidRDefault="00863B83">
            <w:pPr>
              <w:jc w:val="right"/>
              <w:textAlignment w:val="bottom"/>
            </w:pPr>
            <w:r>
              <w:rPr>
                <w:rFonts w:ascii="sans-serif" w:eastAsia="sans-serif" w:hAnsi="sans-serif" w:cs="sans-serif"/>
                <w:color w:val="000000"/>
                <w:sz w:val="20"/>
                <w:szCs w:val="20"/>
              </w:rPr>
              <w:t>10,757 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6D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D3"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6D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6D5"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6D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6D7" w14:textId="77777777" w:rsidR="004C2197" w:rsidRDefault="004C2197">
            <w:pPr>
              <w:jc w:val="right"/>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6D8"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6D9" w14:textId="77777777" w:rsidR="004C2197" w:rsidRDefault="00863B83">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6DA" w14:textId="77777777" w:rsidR="004C2197" w:rsidRDefault="004C2197">
            <w:pPr>
              <w:jc w:val="right"/>
              <w:rPr>
                <w:rFonts w:ascii="宋体"/>
              </w:rPr>
            </w:pPr>
          </w:p>
        </w:tc>
        <w:tc>
          <w:tcPr>
            <w:tcW w:w="0" w:type="auto"/>
            <w:shd w:val="clear" w:color="auto" w:fill="auto"/>
          </w:tcPr>
          <w:p w14:paraId="0D8DF6DB" w14:textId="77777777" w:rsidR="004C2197" w:rsidRDefault="004C2197">
            <w:pPr>
              <w:rPr>
                <w:rFonts w:ascii="宋体"/>
              </w:rPr>
            </w:pPr>
          </w:p>
        </w:tc>
        <w:tc>
          <w:tcPr>
            <w:tcW w:w="0" w:type="auto"/>
            <w:shd w:val="clear" w:color="auto" w:fill="auto"/>
          </w:tcPr>
          <w:p w14:paraId="0D8DF6DC" w14:textId="77777777" w:rsidR="004C2197" w:rsidRDefault="004C2197">
            <w:pPr>
              <w:rPr>
                <w:rFonts w:ascii="宋体"/>
              </w:rPr>
            </w:pPr>
          </w:p>
        </w:tc>
        <w:tc>
          <w:tcPr>
            <w:tcW w:w="0" w:type="auto"/>
            <w:shd w:val="clear" w:color="auto" w:fill="auto"/>
          </w:tcPr>
          <w:p w14:paraId="0D8DF6DD" w14:textId="77777777" w:rsidR="004C2197" w:rsidRDefault="004C2197">
            <w:pPr>
              <w:rPr>
                <w:rFonts w:ascii="宋体"/>
              </w:rPr>
            </w:pPr>
          </w:p>
        </w:tc>
        <w:tc>
          <w:tcPr>
            <w:tcW w:w="0" w:type="auto"/>
            <w:shd w:val="clear" w:color="auto" w:fill="auto"/>
          </w:tcPr>
          <w:p w14:paraId="0D8DF6DE" w14:textId="77777777" w:rsidR="004C2197" w:rsidRDefault="004C2197">
            <w:pPr>
              <w:rPr>
                <w:rFonts w:ascii="宋体"/>
              </w:rPr>
            </w:pPr>
          </w:p>
        </w:tc>
        <w:tc>
          <w:tcPr>
            <w:tcW w:w="0" w:type="auto"/>
            <w:shd w:val="clear" w:color="auto" w:fill="auto"/>
          </w:tcPr>
          <w:p w14:paraId="0D8DF6DF" w14:textId="77777777" w:rsidR="004C2197" w:rsidRDefault="004C2197">
            <w:pPr>
              <w:rPr>
                <w:rFonts w:ascii="宋体"/>
              </w:rPr>
            </w:pPr>
          </w:p>
        </w:tc>
        <w:tc>
          <w:tcPr>
            <w:tcW w:w="0" w:type="auto"/>
            <w:shd w:val="clear" w:color="auto" w:fill="auto"/>
          </w:tcPr>
          <w:p w14:paraId="0D8DF6E0" w14:textId="77777777" w:rsidR="004C2197" w:rsidRDefault="004C2197">
            <w:pPr>
              <w:rPr>
                <w:rFonts w:ascii="宋体"/>
              </w:rPr>
            </w:pPr>
          </w:p>
        </w:tc>
        <w:tc>
          <w:tcPr>
            <w:tcW w:w="0" w:type="auto"/>
            <w:shd w:val="clear" w:color="auto" w:fill="auto"/>
          </w:tcPr>
          <w:p w14:paraId="0D8DF6E1" w14:textId="77777777" w:rsidR="004C2197" w:rsidRDefault="004C2197">
            <w:pPr>
              <w:rPr>
                <w:rFonts w:ascii="宋体"/>
              </w:rPr>
            </w:pPr>
          </w:p>
        </w:tc>
        <w:tc>
          <w:tcPr>
            <w:tcW w:w="0" w:type="auto"/>
            <w:shd w:val="clear" w:color="auto" w:fill="auto"/>
          </w:tcPr>
          <w:p w14:paraId="0D8DF6E2" w14:textId="77777777" w:rsidR="004C2197" w:rsidRDefault="004C2197">
            <w:pPr>
              <w:rPr>
                <w:rFonts w:ascii="宋体"/>
              </w:rPr>
            </w:pPr>
          </w:p>
        </w:tc>
        <w:tc>
          <w:tcPr>
            <w:tcW w:w="0" w:type="auto"/>
            <w:shd w:val="clear" w:color="auto" w:fill="auto"/>
          </w:tcPr>
          <w:p w14:paraId="0D8DF6E3" w14:textId="77777777" w:rsidR="004C2197" w:rsidRDefault="004C2197">
            <w:pPr>
              <w:rPr>
                <w:rFonts w:ascii="宋体"/>
              </w:rPr>
            </w:pPr>
          </w:p>
        </w:tc>
        <w:tc>
          <w:tcPr>
            <w:tcW w:w="0" w:type="auto"/>
            <w:shd w:val="clear" w:color="auto" w:fill="auto"/>
          </w:tcPr>
          <w:p w14:paraId="0D8DF6E4" w14:textId="77777777" w:rsidR="004C2197" w:rsidRDefault="004C2197">
            <w:pPr>
              <w:rPr>
                <w:rFonts w:ascii="宋体"/>
              </w:rPr>
            </w:pPr>
          </w:p>
        </w:tc>
        <w:tc>
          <w:tcPr>
            <w:tcW w:w="0" w:type="auto"/>
            <w:shd w:val="clear" w:color="auto" w:fill="auto"/>
          </w:tcPr>
          <w:p w14:paraId="0D8DF6E5" w14:textId="77777777" w:rsidR="004C2197" w:rsidRDefault="004C2197">
            <w:pPr>
              <w:rPr>
                <w:rFonts w:ascii="宋体"/>
              </w:rPr>
            </w:pPr>
          </w:p>
        </w:tc>
        <w:tc>
          <w:tcPr>
            <w:tcW w:w="0" w:type="auto"/>
            <w:shd w:val="clear" w:color="auto" w:fill="auto"/>
          </w:tcPr>
          <w:p w14:paraId="0D8DF6E6" w14:textId="77777777" w:rsidR="004C2197" w:rsidRDefault="004C2197">
            <w:pPr>
              <w:rPr>
                <w:rFonts w:ascii="宋体"/>
              </w:rPr>
            </w:pPr>
          </w:p>
        </w:tc>
        <w:tc>
          <w:tcPr>
            <w:tcW w:w="0" w:type="auto"/>
            <w:shd w:val="clear" w:color="auto" w:fill="auto"/>
          </w:tcPr>
          <w:p w14:paraId="0D8DF6E7" w14:textId="77777777" w:rsidR="004C2197" w:rsidRDefault="004C2197">
            <w:pPr>
              <w:rPr>
                <w:rFonts w:ascii="宋体"/>
              </w:rPr>
            </w:pPr>
          </w:p>
        </w:tc>
        <w:tc>
          <w:tcPr>
            <w:tcW w:w="0" w:type="auto"/>
            <w:shd w:val="clear" w:color="auto" w:fill="auto"/>
          </w:tcPr>
          <w:p w14:paraId="0D8DF6E8" w14:textId="77777777" w:rsidR="004C2197" w:rsidRDefault="004C2197">
            <w:pPr>
              <w:rPr>
                <w:rFonts w:ascii="宋体"/>
              </w:rPr>
            </w:pPr>
          </w:p>
        </w:tc>
        <w:tc>
          <w:tcPr>
            <w:tcW w:w="0" w:type="auto"/>
            <w:shd w:val="clear" w:color="auto" w:fill="auto"/>
          </w:tcPr>
          <w:p w14:paraId="0D8DF6E9" w14:textId="77777777" w:rsidR="004C2197" w:rsidRDefault="004C2197">
            <w:pPr>
              <w:rPr>
                <w:rFonts w:ascii="宋体"/>
              </w:rPr>
            </w:pPr>
          </w:p>
        </w:tc>
        <w:tc>
          <w:tcPr>
            <w:tcW w:w="0" w:type="auto"/>
            <w:shd w:val="clear" w:color="auto" w:fill="auto"/>
          </w:tcPr>
          <w:p w14:paraId="0D8DF6EA" w14:textId="77777777" w:rsidR="004C2197" w:rsidRDefault="004C2197">
            <w:pPr>
              <w:rPr>
                <w:rFonts w:ascii="宋体"/>
              </w:rPr>
            </w:pPr>
          </w:p>
        </w:tc>
        <w:tc>
          <w:tcPr>
            <w:tcW w:w="0" w:type="auto"/>
            <w:shd w:val="clear" w:color="auto" w:fill="auto"/>
          </w:tcPr>
          <w:p w14:paraId="0D8DF6EB" w14:textId="77777777" w:rsidR="004C2197" w:rsidRDefault="004C2197">
            <w:pPr>
              <w:rPr>
                <w:rFonts w:ascii="宋体"/>
              </w:rPr>
            </w:pPr>
          </w:p>
        </w:tc>
        <w:tc>
          <w:tcPr>
            <w:tcW w:w="0" w:type="auto"/>
            <w:shd w:val="clear" w:color="auto" w:fill="auto"/>
          </w:tcPr>
          <w:p w14:paraId="0D8DF6EC" w14:textId="77777777" w:rsidR="004C2197" w:rsidRDefault="004C2197">
            <w:pPr>
              <w:rPr>
                <w:rFonts w:ascii="宋体"/>
              </w:rPr>
            </w:pPr>
          </w:p>
        </w:tc>
      </w:tr>
    </w:tbl>
    <w:p w14:paraId="0D8DF6EE" w14:textId="77777777" w:rsidR="004C2197" w:rsidRDefault="004C2197">
      <w:pPr>
        <w:spacing w:before="180" w:after="180"/>
        <w:jc w:val="both"/>
      </w:pPr>
    </w:p>
    <w:p w14:paraId="0D8DF6EF" w14:textId="77777777" w:rsidR="004C2197" w:rsidRDefault="00863B83">
      <w:pPr>
        <w:spacing w:before="240" w:after="120"/>
        <w:jc w:val="both"/>
      </w:pPr>
      <w:r>
        <w:rPr>
          <w:rFonts w:ascii="sans-serif" w:eastAsia="sans-serif" w:hAnsi="sans-serif" w:cs="sans-serif"/>
          <w:b/>
          <w:bCs/>
          <w:color w:val="76B900"/>
          <w:sz w:val="22"/>
          <w:szCs w:val="22"/>
        </w:rPr>
        <w:t>Note 8 – Fair Value of Financial Assets and Liabilities</w:t>
      </w:r>
    </w:p>
    <w:p w14:paraId="0D8DF6F0" w14:textId="77777777" w:rsidR="004C2197" w:rsidRDefault="00863B83">
      <w:pPr>
        <w:spacing w:after="180"/>
        <w:jc w:val="both"/>
      </w:pPr>
      <w:r>
        <w:rPr>
          <w:rFonts w:ascii="sans-serif" w:eastAsia="sans-serif" w:hAnsi="sans-serif" w:cs="sans-serif"/>
          <w:color w:val="000000"/>
          <w:sz w:val="20"/>
          <w:szCs w:val="20"/>
        </w:rPr>
        <w:t xml:space="preserve">The fair </w:t>
      </w:r>
      <w:r>
        <w:rPr>
          <w:rFonts w:ascii="sans-serif" w:eastAsia="sans-serif" w:hAnsi="sans-serif" w:cs="sans-serif"/>
          <w:color w:val="000000"/>
          <w:sz w:val="20"/>
          <w:szCs w:val="20"/>
        </w:rPr>
        <w:t xml:space="preserve">values of our financial assets and liabilities are determined using quoted market prices of identical assets or quoted market prices of similar assets from active markets. We review fair value hierarchy classification on a quarterly basis. </w:t>
      </w:r>
    </w:p>
    <w:p w14:paraId="0D8DF6F1" w14:textId="77777777" w:rsidR="004C2197" w:rsidRDefault="00863B83">
      <w:pPr>
        <w:spacing w:after="180"/>
        <w:jc w:val="center"/>
      </w:pPr>
      <w:r>
        <w:rPr>
          <w:rFonts w:ascii="sans-serif" w:eastAsia="sans-serif" w:hAnsi="sans-serif" w:cs="sans-serif"/>
          <w:color w:val="000000"/>
          <w:sz w:val="20"/>
          <w:szCs w:val="20"/>
        </w:rPr>
        <w:t>16</w:t>
      </w:r>
    </w:p>
    <w:p w14:paraId="0D8DF6F2" w14:textId="77777777" w:rsidR="004C2197" w:rsidRDefault="00863B83">
      <w:r>
        <w:pict w14:anchorId="0D8E0CB4">
          <v:rect id="_x0000_i1040" style="width:415.3pt;height:1.5pt" o:hralign="center" o:hrstd="t" o:hr="t" fillcolor="#a0a0a0" stroked="f"/>
        </w:pict>
      </w:r>
    </w:p>
    <w:p w14:paraId="0D8DF6F3" w14:textId="77777777" w:rsidR="004C2197" w:rsidRDefault="00863B83">
      <w:pPr>
        <w:jc w:val="center"/>
      </w:pPr>
      <w:r>
        <w:rPr>
          <w:rFonts w:ascii="sans-serif" w:eastAsia="sans-serif" w:hAnsi="sans-serif" w:cs="sans-serif"/>
          <w:b/>
          <w:bCs/>
          <w:color w:val="000000"/>
          <w:sz w:val="20"/>
          <w:szCs w:val="20"/>
        </w:rPr>
        <w:t>NVIDIA COR</w:t>
      </w:r>
      <w:r>
        <w:rPr>
          <w:rFonts w:ascii="sans-serif" w:eastAsia="sans-serif" w:hAnsi="sans-serif" w:cs="sans-serif"/>
          <w:b/>
          <w:bCs/>
          <w:color w:val="000000"/>
          <w:sz w:val="20"/>
          <w:szCs w:val="20"/>
        </w:rPr>
        <w:t>PORATION AND SUBSIDIARIES</w:t>
      </w:r>
    </w:p>
    <w:p w14:paraId="0D8DF6F4"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6F5" w14:textId="77777777" w:rsidR="004C2197" w:rsidRDefault="00863B83">
      <w:pPr>
        <w:jc w:val="center"/>
      </w:pPr>
      <w:r>
        <w:rPr>
          <w:rFonts w:ascii="sans-serif" w:eastAsia="sans-serif" w:hAnsi="sans-serif" w:cs="sans-serif"/>
          <w:b/>
          <w:bCs/>
          <w:color w:val="000000"/>
          <w:sz w:val="20"/>
          <w:szCs w:val="20"/>
        </w:rPr>
        <w:t>(Unaudited)</w:t>
      </w:r>
    </w:p>
    <w:p w14:paraId="0D8DF6F6" w14:textId="77777777" w:rsidR="004C2197" w:rsidRDefault="004C2197">
      <w:pPr>
        <w:spacing w:after="180"/>
        <w:jc w:val="both"/>
      </w:pPr>
    </w:p>
    <w:p w14:paraId="0D8DF6F7" w14:textId="77777777" w:rsidR="004C2197" w:rsidRDefault="004C2197">
      <w:pPr>
        <w:spacing w:after="18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3531"/>
        <w:gridCol w:w="38"/>
        <w:gridCol w:w="56"/>
        <w:gridCol w:w="985"/>
        <w:gridCol w:w="36"/>
        <w:gridCol w:w="36"/>
        <w:gridCol w:w="36"/>
        <w:gridCol w:w="36"/>
        <w:gridCol w:w="137"/>
        <w:gridCol w:w="1365"/>
        <w:gridCol w:w="41"/>
        <w:gridCol w:w="36"/>
        <w:gridCol w:w="36"/>
        <w:gridCol w:w="36"/>
        <w:gridCol w:w="137"/>
        <w:gridCol w:w="1389"/>
        <w:gridCol w:w="41"/>
        <w:gridCol w:w="36"/>
        <w:gridCol w:w="36"/>
        <w:gridCol w:w="36"/>
        <w:gridCol w:w="36"/>
        <w:gridCol w:w="36"/>
        <w:gridCol w:w="36"/>
        <w:gridCol w:w="36"/>
        <w:gridCol w:w="36"/>
        <w:gridCol w:w="36"/>
      </w:tblGrid>
      <w:tr w:rsidR="004C2197" w14:paraId="0D8DF70A" w14:textId="77777777">
        <w:trPr>
          <w:gridAfter w:val="9"/>
        </w:trPr>
        <w:tc>
          <w:tcPr>
            <w:tcW w:w="50" w:type="pct"/>
            <w:shd w:val="clear" w:color="auto" w:fill="auto"/>
          </w:tcPr>
          <w:p w14:paraId="0D8DF6F8" w14:textId="77777777" w:rsidR="004C2197" w:rsidRDefault="004C2197">
            <w:pPr>
              <w:rPr>
                <w:rFonts w:ascii="宋体"/>
              </w:rPr>
            </w:pPr>
          </w:p>
        </w:tc>
        <w:tc>
          <w:tcPr>
            <w:tcW w:w="2232" w:type="pct"/>
            <w:shd w:val="clear" w:color="auto" w:fill="auto"/>
          </w:tcPr>
          <w:p w14:paraId="0D8DF6F9" w14:textId="77777777" w:rsidR="004C2197" w:rsidRDefault="004C2197">
            <w:pPr>
              <w:rPr>
                <w:rFonts w:ascii="宋体"/>
              </w:rPr>
            </w:pPr>
          </w:p>
        </w:tc>
        <w:tc>
          <w:tcPr>
            <w:tcW w:w="5" w:type="pct"/>
            <w:shd w:val="clear" w:color="auto" w:fill="auto"/>
          </w:tcPr>
          <w:p w14:paraId="0D8DF6FA" w14:textId="77777777" w:rsidR="004C2197" w:rsidRDefault="004C2197">
            <w:pPr>
              <w:rPr>
                <w:rFonts w:ascii="宋体"/>
              </w:rPr>
            </w:pPr>
          </w:p>
        </w:tc>
        <w:tc>
          <w:tcPr>
            <w:tcW w:w="50" w:type="pct"/>
            <w:shd w:val="clear" w:color="auto" w:fill="auto"/>
          </w:tcPr>
          <w:p w14:paraId="0D8DF6FB" w14:textId="77777777" w:rsidR="004C2197" w:rsidRDefault="004C2197">
            <w:pPr>
              <w:rPr>
                <w:rFonts w:ascii="宋体"/>
              </w:rPr>
            </w:pPr>
          </w:p>
        </w:tc>
        <w:tc>
          <w:tcPr>
            <w:tcW w:w="654" w:type="pct"/>
            <w:shd w:val="clear" w:color="auto" w:fill="auto"/>
          </w:tcPr>
          <w:p w14:paraId="0D8DF6FC" w14:textId="77777777" w:rsidR="004C2197" w:rsidRDefault="004C2197">
            <w:pPr>
              <w:rPr>
                <w:rFonts w:ascii="宋体"/>
              </w:rPr>
            </w:pPr>
          </w:p>
        </w:tc>
        <w:tc>
          <w:tcPr>
            <w:tcW w:w="5" w:type="pct"/>
            <w:shd w:val="clear" w:color="auto" w:fill="auto"/>
          </w:tcPr>
          <w:p w14:paraId="0D8DF6FD" w14:textId="77777777" w:rsidR="004C2197" w:rsidRDefault="004C2197">
            <w:pPr>
              <w:rPr>
                <w:rFonts w:ascii="宋体"/>
              </w:rPr>
            </w:pPr>
          </w:p>
        </w:tc>
        <w:tc>
          <w:tcPr>
            <w:tcW w:w="5" w:type="pct"/>
            <w:shd w:val="clear" w:color="auto" w:fill="auto"/>
          </w:tcPr>
          <w:p w14:paraId="0D8DF6FE" w14:textId="77777777" w:rsidR="004C2197" w:rsidRDefault="004C2197">
            <w:pPr>
              <w:rPr>
                <w:rFonts w:ascii="宋体"/>
              </w:rPr>
            </w:pPr>
          </w:p>
        </w:tc>
        <w:tc>
          <w:tcPr>
            <w:tcW w:w="26" w:type="pct"/>
            <w:shd w:val="clear" w:color="auto" w:fill="auto"/>
          </w:tcPr>
          <w:p w14:paraId="0D8DF6FF" w14:textId="77777777" w:rsidR="004C2197" w:rsidRDefault="004C2197">
            <w:pPr>
              <w:rPr>
                <w:rFonts w:ascii="宋体"/>
              </w:rPr>
            </w:pPr>
          </w:p>
        </w:tc>
        <w:tc>
          <w:tcPr>
            <w:tcW w:w="5" w:type="pct"/>
            <w:shd w:val="clear" w:color="auto" w:fill="auto"/>
          </w:tcPr>
          <w:p w14:paraId="0D8DF700" w14:textId="77777777" w:rsidR="004C2197" w:rsidRDefault="004C2197">
            <w:pPr>
              <w:rPr>
                <w:rFonts w:ascii="宋体"/>
              </w:rPr>
            </w:pPr>
          </w:p>
        </w:tc>
        <w:tc>
          <w:tcPr>
            <w:tcW w:w="50" w:type="pct"/>
            <w:shd w:val="clear" w:color="auto" w:fill="auto"/>
          </w:tcPr>
          <w:p w14:paraId="0D8DF701" w14:textId="77777777" w:rsidR="004C2197" w:rsidRDefault="004C2197">
            <w:pPr>
              <w:rPr>
                <w:rFonts w:ascii="宋体"/>
              </w:rPr>
            </w:pPr>
          </w:p>
        </w:tc>
        <w:tc>
          <w:tcPr>
            <w:tcW w:w="902" w:type="pct"/>
            <w:shd w:val="clear" w:color="auto" w:fill="auto"/>
          </w:tcPr>
          <w:p w14:paraId="0D8DF702" w14:textId="77777777" w:rsidR="004C2197" w:rsidRDefault="004C2197">
            <w:pPr>
              <w:rPr>
                <w:rFonts w:ascii="宋体"/>
              </w:rPr>
            </w:pPr>
          </w:p>
        </w:tc>
        <w:tc>
          <w:tcPr>
            <w:tcW w:w="5" w:type="pct"/>
            <w:shd w:val="clear" w:color="auto" w:fill="auto"/>
          </w:tcPr>
          <w:p w14:paraId="0D8DF703" w14:textId="77777777" w:rsidR="004C2197" w:rsidRDefault="004C2197">
            <w:pPr>
              <w:rPr>
                <w:rFonts w:ascii="宋体"/>
              </w:rPr>
            </w:pPr>
          </w:p>
        </w:tc>
        <w:tc>
          <w:tcPr>
            <w:tcW w:w="5" w:type="pct"/>
            <w:shd w:val="clear" w:color="auto" w:fill="auto"/>
          </w:tcPr>
          <w:p w14:paraId="0D8DF704" w14:textId="77777777" w:rsidR="004C2197" w:rsidRDefault="004C2197">
            <w:pPr>
              <w:rPr>
                <w:rFonts w:ascii="宋体"/>
              </w:rPr>
            </w:pPr>
          </w:p>
        </w:tc>
        <w:tc>
          <w:tcPr>
            <w:tcW w:w="41" w:type="pct"/>
            <w:shd w:val="clear" w:color="auto" w:fill="auto"/>
          </w:tcPr>
          <w:p w14:paraId="0D8DF705" w14:textId="77777777" w:rsidR="004C2197" w:rsidRDefault="004C2197">
            <w:pPr>
              <w:rPr>
                <w:rFonts w:ascii="宋体"/>
              </w:rPr>
            </w:pPr>
          </w:p>
        </w:tc>
        <w:tc>
          <w:tcPr>
            <w:tcW w:w="5" w:type="pct"/>
            <w:shd w:val="clear" w:color="auto" w:fill="auto"/>
          </w:tcPr>
          <w:p w14:paraId="0D8DF706" w14:textId="77777777" w:rsidR="004C2197" w:rsidRDefault="004C2197">
            <w:pPr>
              <w:rPr>
                <w:rFonts w:ascii="宋体"/>
              </w:rPr>
            </w:pPr>
          </w:p>
        </w:tc>
        <w:tc>
          <w:tcPr>
            <w:tcW w:w="50" w:type="pct"/>
            <w:shd w:val="clear" w:color="auto" w:fill="auto"/>
          </w:tcPr>
          <w:p w14:paraId="0D8DF707" w14:textId="77777777" w:rsidR="004C2197" w:rsidRDefault="004C2197">
            <w:pPr>
              <w:rPr>
                <w:rFonts w:ascii="宋体"/>
              </w:rPr>
            </w:pPr>
          </w:p>
        </w:tc>
        <w:tc>
          <w:tcPr>
            <w:tcW w:w="902" w:type="pct"/>
            <w:shd w:val="clear" w:color="auto" w:fill="auto"/>
          </w:tcPr>
          <w:p w14:paraId="0D8DF708" w14:textId="77777777" w:rsidR="004C2197" w:rsidRDefault="004C2197">
            <w:pPr>
              <w:rPr>
                <w:rFonts w:ascii="宋体"/>
              </w:rPr>
            </w:pPr>
          </w:p>
        </w:tc>
        <w:tc>
          <w:tcPr>
            <w:tcW w:w="5" w:type="pct"/>
            <w:shd w:val="clear" w:color="auto" w:fill="auto"/>
          </w:tcPr>
          <w:p w14:paraId="0D8DF709" w14:textId="77777777" w:rsidR="004C2197" w:rsidRDefault="004C2197">
            <w:pPr>
              <w:rPr>
                <w:rFonts w:ascii="宋体"/>
              </w:rPr>
            </w:pPr>
          </w:p>
        </w:tc>
      </w:tr>
      <w:tr w:rsidR="004C2197" w14:paraId="0D8DF711" w14:textId="77777777">
        <w:tc>
          <w:tcPr>
            <w:tcW w:w="0" w:type="auto"/>
            <w:gridSpan w:val="6"/>
            <w:shd w:val="clear" w:color="auto" w:fill="auto"/>
            <w:tcMar>
              <w:left w:w="20" w:type="dxa"/>
              <w:right w:w="20" w:type="dxa"/>
            </w:tcMar>
            <w:vAlign w:val="bottom"/>
          </w:tcPr>
          <w:p w14:paraId="0D8DF70B" w14:textId="77777777" w:rsidR="004C2197" w:rsidRDefault="004C2197">
            <w:pPr>
              <w:rPr>
                <w:rFonts w:ascii="宋体"/>
              </w:rPr>
            </w:pPr>
          </w:p>
        </w:tc>
        <w:tc>
          <w:tcPr>
            <w:tcW w:w="0" w:type="auto"/>
            <w:gridSpan w:val="3"/>
            <w:shd w:val="clear" w:color="auto" w:fill="auto"/>
          </w:tcPr>
          <w:p w14:paraId="0D8DF70C"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70D"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70E" w14:textId="77777777" w:rsidR="004C2197" w:rsidRDefault="00863B83">
            <w:pPr>
              <w:jc w:val="center"/>
              <w:textAlignment w:val="bottom"/>
            </w:pPr>
            <w:r>
              <w:rPr>
                <w:rFonts w:ascii="sans-serif" w:eastAsia="sans-serif" w:hAnsi="sans-serif" w:cs="sans-serif"/>
                <w:b/>
                <w:bCs/>
                <w:color w:val="000000"/>
                <w:sz w:val="20"/>
                <w:szCs w:val="20"/>
              </w:rPr>
              <w:t>Fair Value at</w:t>
            </w:r>
          </w:p>
        </w:tc>
        <w:tc>
          <w:tcPr>
            <w:tcW w:w="0" w:type="auto"/>
            <w:gridSpan w:val="3"/>
            <w:shd w:val="clear" w:color="auto" w:fill="auto"/>
          </w:tcPr>
          <w:p w14:paraId="0D8DF70F" w14:textId="77777777" w:rsidR="004C2197" w:rsidRDefault="004C2197">
            <w:pPr>
              <w:rPr>
                <w:rFonts w:ascii="宋体"/>
                <w:vanish/>
              </w:rPr>
            </w:pPr>
          </w:p>
        </w:tc>
        <w:tc>
          <w:tcPr>
            <w:tcW w:w="0" w:type="auto"/>
            <w:gridSpan w:val="3"/>
            <w:shd w:val="clear" w:color="auto" w:fill="auto"/>
          </w:tcPr>
          <w:p w14:paraId="0D8DF710" w14:textId="77777777" w:rsidR="004C2197" w:rsidRDefault="004C2197">
            <w:pPr>
              <w:rPr>
                <w:rFonts w:ascii="宋体"/>
                <w:vanish/>
              </w:rPr>
            </w:pPr>
          </w:p>
        </w:tc>
      </w:tr>
      <w:tr w:rsidR="004C2197" w14:paraId="0D8DF721" w14:textId="77777777">
        <w:tc>
          <w:tcPr>
            <w:tcW w:w="0" w:type="auto"/>
            <w:gridSpan w:val="3"/>
            <w:shd w:val="clear" w:color="auto" w:fill="auto"/>
            <w:tcMar>
              <w:left w:w="20" w:type="dxa"/>
              <w:right w:w="20" w:type="dxa"/>
            </w:tcMar>
            <w:vAlign w:val="bottom"/>
          </w:tcPr>
          <w:p w14:paraId="0D8DF71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713" w14:textId="77777777" w:rsidR="004C2197" w:rsidRDefault="00863B83">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left w:w="20" w:type="dxa"/>
              <w:right w:w="20" w:type="dxa"/>
            </w:tcMar>
            <w:vAlign w:val="bottom"/>
          </w:tcPr>
          <w:p w14:paraId="0D8DF714"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715"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tcBorders>
              <w:top w:val="single" w:sz="8" w:space="0" w:color="000000"/>
            </w:tcBorders>
            <w:shd w:val="clear" w:color="auto" w:fill="auto"/>
            <w:tcMar>
              <w:left w:w="20" w:type="dxa"/>
              <w:right w:w="20" w:type="dxa"/>
            </w:tcMar>
            <w:vAlign w:val="bottom"/>
          </w:tcPr>
          <w:p w14:paraId="0D8DF716"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717" w14:textId="77777777" w:rsidR="004C2197" w:rsidRDefault="00863B83">
            <w:pPr>
              <w:jc w:val="center"/>
              <w:textAlignment w:val="bottom"/>
            </w:pPr>
            <w:r>
              <w:rPr>
                <w:rFonts w:ascii="sans-serif" w:eastAsia="sans-serif" w:hAnsi="sans-serif" w:cs="sans-serif"/>
                <w:b/>
                <w:bCs/>
                <w:color w:val="000000"/>
                <w:sz w:val="20"/>
                <w:szCs w:val="20"/>
              </w:rPr>
              <w:t>January 26, 2020</w:t>
            </w:r>
          </w:p>
        </w:tc>
        <w:tc>
          <w:tcPr>
            <w:tcW w:w="0" w:type="auto"/>
            <w:shd w:val="clear" w:color="auto" w:fill="auto"/>
          </w:tcPr>
          <w:p w14:paraId="0D8DF718" w14:textId="77777777" w:rsidR="004C2197" w:rsidRDefault="004C2197">
            <w:pPr>
              <w:rPr>
                <w:rFonts w:ascii="宋体"/>
              </w:rPr>
            </w:pPr>
          </w:p>
        </w:tc>
        <w:tc>
          <w:tcPr>
            <w:tcW w:w="0" w:type="auto"/>
            <w:shd w:val="clear" w:color="auto" w:fill="auto"/>
          </w:tcPr>
          <w:p w14:paraId="0D8DF719" w14:textId="77777777" w:rsidR="004C2197" w:rsidRDefault="004C2197">
            <w:pPr>
              <w:rPr>
                <w:rFonts w:ascii="宋体"/>
              </w:rPr>
            </w:pPr>
          </w:p>
        </w:tc>
        <w:tc>
          <w:tcPr>
            <w:tcW w:w="0" w:type="auto"/>
            <w:shd w:val="clear" w:color="auto" w:fill="auto"/>
          </w:tcPr>
          <w:p w14:paraId="0D8DF71A" w14:textId="77777777" w:rsidR="004C2197" w:rsidRDefault="004C2197">
            <w:pPr>
              <w:rPr>
                <w:rFonts w:ascii="宋体"/>
              </w:rPr>
            </w:pPr>
          </w:p>
        </w:tc>
        <w:tc>
          <w:tcPr>
            <w:tcW w:w="0" w:type="auto"/>
            <w:shd w:val="clear" w:color="auto" w:fill="auto"/>
          </w:tcPr>
          <w:p w14:paraId="0D8DF71B" w14:textId="77777777" w:rsidR="004C2197" w:rsidRDefault="004C2197">
            <w:pPr>
              <w:rPr>
                <w:rFonts w:ascii="宋体"/>
              </w:rPr>
            </w:pPr>
          </w:p>
        </w:tc>
        <w:tc>
          <w:tcPr>
            <w:tcW w:w="0" w:type="auto"/>
            <w:shd w:val="clear" w:color="auto" w:fill="auto"/>
          </w:tcPr>
          <w:p w14:paraId="0D8DF71C" w14:textId="77777777" w:rsidR="004C2197" w:rsidRDefault="004C2197">
            <w:pPr>
              <w:rPr>
                <w:rFonts w:ascii="宋体"/>
              </w:rPr>
            </w:pPr>
          </w:p>
        </w:tc>
        <w:tc>
          <w:tcPr>
            <w:tcW w:w="0" w:type="auto"/>
            <w:shd w:val="clear" w:color="auto" w:fill="auto"/>
          </w:tcPr>
          <w:p w14:paraId="0D8DF71D" w14:textId="77777777" w:rsidR="004C2197" w:rsidRDefault="004C2197">
            <w:pPr>
              <w:rPr>
                <w:rFonts w:ascii="宋体"/>
              </w:rPr>
            </w:pPr>
          </w:p>
        </w:tc>
        <w:tc>
          <w:tcPr>
            <w:tcW w:w="0" w:type="auto"/>
            <w:shd w:val="clear" w:color="auto" w:fill="auto"/>
          </w:tcPr>
          <w:p w14:paraId="0D8DF71E" w14:textId="77777777" w:rsidR="004C2197" w:rsidRDefault="004C2197">
            <w:pPr>
              <w:rPr>
                <w:rFonts w:ascii="宋体"/>
              </w:rPr>
            </w:pPr>
          </w:p>
        </w:tc>
        <w:tc>
          <w:tcPr>
            <w:tcW w:w="0" w:type="auto"/>
            <w:shd w:val="clear" w:color="auto" w:fill="auto"/>
          </w:tcPr>
          <w:p w14:paraId="0D8DF71F" w14:textId="77777777" w:rsidR="004C2197" w:rsidRDefault="004C2197">
            <w:pPr>
              <w:rPr>
                <w:rFonts w:ascii="宋体"/>
              </w:rPr>
            </w:pPr>
          </w:p>
        </w:tc>
        <w:tc>
          <w:tcPr>
            <w:tcW w:w="0" w:type="auto"/>
            <w:shd w:val="clear" w:color="auto" w:fill="auto"/>
          </w:tcPr>
          <w:p w14:paraId="0D8DF720" w14:textId="77777777" w:rsidR="004C2197" w:rsidRDefault="004C2197">
            <w:pPr>
              <w:rPr>
                <w:rFonts w:ascii="宋体"/>
              </w:rPr>
            </w:pPr>
          </w:p>
        </w:tc>
      </w:tr>
      <w:tr w:rsidR="004C2197" w14:paraId="0D8DF731" w14:textId="77777777">
        <w:trPr>
          <w:trHeight w:val="60"/>
        </w:trPr>
        <w:tc>
          <w:tcPr>
            <w:tcW w:w="0" w:type="auto"/>
            <w:gridSpan w:val="3"/>
            <w:shd w:val="clear" w:color="auto" w:fill="auto"/>
            <w:tcMar>
              <w:left w:w="20" w:type="dxa"/>
              <w:right w:w="20" w:type="dxa"/>
            </w:tcMar>
            <w:vAlign w:val="bottom"/>
          </w:tcPr>
          <w:p w14:paraId="0D8DF72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72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72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72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72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727" w14:textId="77777777" w:rsidR="004C2197" w:rsidRDefault="004C2197">
            <w:pPr>
              <w:rPr>
                <w:rFonts w:ascii="宋体"/>
              </w:rPr>
            </w:pPr>
          </w:p>
        </w:tc>
        <w:tc>
          <w:tcPr>
            <w:tcW w:w="0" w:type="auto"/>
            <w:shd w:val="clear" w:color="auto" w:fill="auto"/>
          </w:tcPr>
          <w:p w14:paraId="0D8DF728" w14:textId="77777777" w:rsidR="004C2197" w:rsidRDefault="004C2197">
            <w:pPr>
              <w:rPr>
                <w:rFonts w:ascii="宋体"/>
              </w:rPr>
            </w:pPr>
          </w:p>
        </w:tc>
        <w:tc>
          <w:tcPr>
            <w:tcW w:w="0" w:type="auto"/>
            <w:shd w:val="clear" w:color="auto" w:fill="auto"/>
          </w:tcPr>
          <w:p w14:paraId="0D8DF729" w14:textId="77777777" w:rsidR="004C2197" w:rsidRDefault="004C2197">
            <w:pPr>
              <w:rPr>
                <w:rFonts w:ascii="宋体"/>
              </w:rPr>
            </w:pPr>
          </w:p>
        </w:tc>
        <w:tc>
          <w:tcPr>
            <w:tcW w:w="0" w:type="auto"/>
            <w:shd w:val="clear" w:color="auto" w:fill="auto"/>
          </w:tcPr>
          <w:p w14:paraId="0D8DF72A" w14:textId="77777777" w:rsidR="004C2197" w:rsidRDefault="004C2197">
            <w:pPr>
              <w:rPr>
                <w:rFonts w:ascii="宋体"/>
              </w:rPr>
            </w:pPr>
          </w:p>
        </w:tc>
        <w:tc>
          <w:tcPr>
            <w:tcW w:w="0" w:type="auto"/>
            <w:shd w:val="clear" w:color="auto" w:fill="auto"/>
          </w:tcPr>
          <w:p w14:paraId="0D8DF72B" w14:textId="77777777" w:rsidR="004C2197" w:rsidRDefault="004C2197">
            <w:pPr>
              <w:rPr>
                <w:rFonts w:ascii="宋体"/>
              </w:rPr>
            </w:pPr>
          </w:p>
        </w:tc>
        <w:tc>
          <w:tcPr>
            <w:tcW w:w="0" w:type="auto"/>
            <w:shd w:val="clear" w:color="auto" w:fill="auto"/>
          </w:tcPr>
          <w:p w14:paraId="0D8DF72C" w14:textId="77777777" w:rsidR="004C2197" w:rsidRDefault="004C2197">
            <w:pPr>
              <w:rPr>
                <w:rFonts w:ascii="宋体"/>
              </w:rPr>
            </w:pPr>
          </w:p>
        </w:tc>
        <w:tc>
          <w:tcPr>
            <w:tcW w:w="0" w:type="auto"/>
            <w:shd w:val="clear" w:color="auto" w:fill="auto"/>
          </w:tcPr>
          <w:p w14:paraId="0D8DF72D" w14:textId="77777777" w:rsidR="004C2197" w:rsidRDefault="004C2197">
            <w:pPr>
              <w:rPr>
                <w:rFonts w:ascii="宋体"/>
              </w:rPr>
            </w:pPr>
          </w:p>
        </w:tc>
        <w:tc>
          <w:tcPr>
            <w:tcW w:w="0" w:type="auto"/>
            <w:shd w:val="clear" w:color="auto" w:fill="auto"/>
          </w:tcPr>
          <w:p w14:paraId="0D8DF72E" w14:textId="77777777" w:rsidR="004C2197" w:rsidRDefault="004C2197">
            <w:pPr>
              <w:rPr>
                <w:rFonts w:ascii="宋体"/>
              </w:rPr>
            </w:pPr>
          </w:p>
        </w:tc>
        <w:tc>
          <w:tcPr>
            <w:tcW w:w="0" w:type="auto"/>
            <w:shd w:val="clear" w:color="auto" w:fill="auto"/>
          </w:tcPr>
          <w:p w14:paraId="0D8DF72F" w14:textId="77777777" w:rsidR="004C2197" w:rsidRDefault="004C2197">
            <w:pPr>
              <w:rPr>
                <w:rFonts w:ascii="宋体"/>
              </w:rPr>
            </w:pPr>
          </w:p>
        </w:tc>
        <w:tc>
          <w:tcPr>
            <w:tcW w:w="0" w:type="auto"/>
            <w:shd w:val="clear" w:color="auto" w:fill="auto"/>
          </w:tcPr>
          <w:p w14:paraId="0D8DF730" w14:textId="77777777" w:rsidR="004C2197" w:rsidRDefault="004C2197">
            <w:pPr>
              <w:rPr>
                <w:rFonts w:ascii="宋体"/>
              </w:rPr>
            </w:pPr>
          </w:p>
        </w:tc>
      </w:tr>
      <w:tr w:rsidR="004C2197" w14:paraId="0D8DF73B" w14:textId="77777777">
        <w:tc>
          <w:tcPr>
            <w:tcW w:w="0" w:type="auto"/>
            <w:gridSpan w:val="3"/>
            <w:shd w:val="clear" w:color="auto" w:fill="auto"/>
            <w:tcMar>
              <w:left w:w="20" w:type="dxa"/>
              <w:right w:w="20" w:type="dxa"/>
            </w:tcMar>
            <w:vAlign w:val="bottom"/>
          </w:tcPr>
          <w:p w14:paraId="0D8DF73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73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734"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735"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736" w14:textId="77777777" w:rsidR="004C2197" w:rsidRDefault="004C2197">
            <w:pPr>
              <w:rPr>
                <w:rFonts w:ascii="宋体"/>
                <w:vanish/>
              </w:rPr>
            </w:pPr>
          </w:p>
        </w:tc>
        <w:tc>
          <w:tcPr>
            <w:tcW w:w="0" w:type="auto"/>
            <w:gridSpan w:val="3"/>
            <w:shd w:val="clear" w:color="auto" w:fill="auto"/>
          </w:tcPr>
          <w:p w14:paraId="0D8DF737" w14:textId="77777777" w:rsidR="004C2197" w:rsidRDefault="004C2197">
            <w:pPr>
              <w:rPr>
                <w:rFonts w:ascii="宋体"/>
                <w:vanish/>
              </w:rPr>
            </w:pPr>
          </w:p>
        </w:tc>
        <w:tc>
          <w:tcPr>
            <w:tcW w:w="0" w:type="auto"/>
            <w:shd w:val="clear" w:color="auto" w:fill="auto"/>
          </w:tcPr>
          <w:p w14:paraId="0D8DF738" w14:textId="77777777" w:rsidR="004C2197" w:rsidRDefault="004C2197">
            <w:pPr>
              <w:rPr>
                <w:rFonts w:ascii="宋体"/>
              </w:rPr>
            </w:pPr>
          </w:p>
        </w:tc>
        <w:tc>
          <w:tcPr>
            <w:tcW w:w="0" w:type="auto"/>
            <w:shd w:val="clear" w:color="auto" w:fill="auto"/>
          </w:tcPr>
          <w:p w14:paraId="0D8DF739" w14:textId="77777777" w:rsidR="004C2197" w:rsidRDefault="004C2197">
            <w:pPr>
              <w:rPr>
                <w:rFonts w:ascii="宋体"/>
              </w:rPr>
            </w:pPr>
          </w:p>
        </w:tc>
        <w:tc>
          <w:tcPr>
            <w:tcW w:w="0" w:type="auto"/>
            <w:shd w:val="clear" w:color="auto" w:fill="auto"/>
          </w:tcPr>
          <w:p w14:paraId="0D8DF73A" w14:textId="77777777" w:rsidR="004C2197" w:rsidRDefault="004C2197">
            <w:pPr>
              <w:rPr>
                <w:rFonts w:ascii="宋体"/>
              </w:rPr>
            </w:pPr>
          </w:p>
        </w:tc>
      </w:tr>
      <w:tr w:rsidR="004C2197" w14:paraId="0D8DF74B" w14:textId="77777777">
        <w:tc>
          <w:tcPr>
            <w:tcW w:w="0" w:type="auto"/>
            <w:gridSpan w:val="3"/>
            <w:shd w:val="clear" w:color="auto" w:fill="FFFFFF"/>
            <w:tcMar>
              <w:top w:w="40" w:type="dxa"/>
              <w:left w:w="20" w:type="dxa"/>
              <w:bottom w:w="40" w:type="dxa"/>
              <w:right w:w="20" w:type="dxa"/>
            </w:tcMar>
            <w:vAlign w:val="bottom"/>
          </w:tcPr>
          <w:p w14:paraId="0D8DF73C" w14:textId="77777777" w:rsidR="004C2197" w:rsidRDefault="00863B83">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left w:w="20" w:type="dxa"/>
              <w:right w:w="20" w:type="dxa"/>
            </w:tcMar>
            <w:vAlign w:val="bottom"/>
          </w:tcPr>
          <w:p w14:paraId="0D8DF73D"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3E"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3F"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40"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41" w14:textId="77777777" w:rsidR="004C2197" w:rsidRDefault="004C2197">
            <w:pPr>
              <w:rPr>
                <w:rFonts w:ascii="宋体"/>
              </w:rPr>
            </w:pPr>
          </w:p>
        </w:tc>
        <w:tc>
          <w:tcPr>
            <w:tcW w:w="0" w:type="auto"/>
            <w:shd w:val="clear" w:color="auto" w:fill="auto"/>
          </w:tcPr>
          <w:p w14:paraId="0D8DF742" w14:textId="77777777" w:rsidR="004C2197" w:rsidRDefault="004C2197">
            <w:pPr>
              <w:rPr>
                <w:rFonts w:ascii="宋体"/>
              </w:rPr>
            </w:pPr>
          </w:p>
        </w:tc>
        <w:tc>
          <w:tcPr>
            <w:tcW w:w="0" w:type="auto"/>
            <w:shd w:val="clear" w:color="auto" w:fill="auto"/>
          </w:tcPr>
          <w:p w14:paraId="0D8DF743" w14:textId="77777777" w:rsidR="004C2197" w:rsidRDefault="004C2197">
            <w:pPr>
              <w:rPr>
                <w:rFonts w:ascii="宋体"/>
              </w:rPr>
            </w:pPr>
          </w:p>
        </w:tc>
        <w:tc>
          <w:tcPr>
            <w:tcW w:w="0" w:type="auto"/>
            <w:shd w:val="clear" w:color="auto" w:fill="auto"/>
          </w:tcPr>
          <w:p w14:paraId="0D8DF744" w14:textId="77777777" w:rsidR="004C2197" w:rsidRDefault="004C2197">
            <w:pPr>
              <w:rPr>
                <w:rFonts w:ascii="宋体"/>
              </w:rPr>
            </w:pPr>
          </w:p>
        </w:tc>
        <w:tc>
          <w:tcPr>
            <w:tcW w:w="0" w:type="auto"/>
            <w:shd w:val="clear" w:color="auto" w:fill="auto"/>
          </w:tcPr>
          <w:p w14:paraId="0D8DF745" w14:textId="77777777" w:rsidR="004C2197" w:rsidRDefault="004C2197">
            <w:pPr>
              <w:rPr>
                <w:rFonts w:ascii="宋体"/>
              </w:rPr>
            </w:pPr>
          </w:p>
        </w:tc>
        <w:tc>
          <w:tcPr>
            <w:tcW w:w="0" w:type="auto"/>
            <w:shd w:val="clear" w:color="auto" w:fill="auto"/>
          </w:tcPr>
          <w:p w14:paraId="0D8DF746" w14:textId="77777777" w:rsidR="004C2197" w:rsidRDefault="004C2197">
            <w:pPr>
              <w:rPr>
                <w:rFonts w:ascii="宋体"/>
              </w:rPr>
            </w:pPr>
          </w:p>
        </w:tc>
        <w:tc>
          <w:tcPr>
            <w:tcW w:w="0" w:type="auto"/>
            <w:shd w:val="clear" w:color="auto" w:fill="auto"/>
          </w:tcPr>
          <w:p w14:paraId="0D8DF747" w14:textId="77777777" w:rsidR="004C2197" w:rsidRDefault="004C2197">
            <w:pPr>
              <w:rPr>
                <w:rFonts w:ascii="宋体"/>
              </w:rPr>
            </w:pPr>
          </w:p>
        </w:tc>
        <w:tc>
          <w:tcPr>
            <w:tcW w:w="0" w:type="auto"/>
            <w:shd w:val="clear" w:color="auto" w:fill="auto"/>
          </w:tcPr>
          <w:p w14:paraId="0D8DF748" w14:textId="77777777" w:rsidR="004C2197" w:rsidRDefault="004C2197">
            <w:pPr>
              <w:rPr>
                <w:rFonts w:ascii="宋体"/>
              </w:rPr>
            </w:pPr>
          </w:p>
        </w:tc>
        <w:tc>
          <w:tcPr>
            <w:tcW w:w="0" w:type="auto"/>
            <w:shd w:val="clear" w:color="auto" w:fill="auto"/>
          </w:tcPr>
          <w:p w14:paraId="0D8DF749" w14:textId="77777777" w:rsidR="004C2197" w:rsidRDefault="004C2197">
            <w:pPr>
              <w:rPr>
                <w:rFonts w:ascii="宋体"/>
              </w:rPr>
            </w:pPr>
          </w:p>
        </w:tc>
        <w:tc>
          <w:tcPr>
            <w:tcW w:w="0" w:type="auto"/>
            <w:shd w:val="clear" w:color="auto" w:fill="auto"/>
          </w:tcPr>
          <w:p w14:paraId="0D8DF74A" w14:textId="77777777" w:rsidR="004C2197" w:rsidRDefault="004C2197">
            <w:pPr>
              <w:rPr>
                <w:rFonts w:ascii="宋体"/>
              </w:rPr>
            </w:pPr>
          </w:p>
        </w:tc>
      </w:tr>
      <w:tr w:rsidR="004C2197" w14:paraId="0D8DF75B" w14:textId="77777777">
        <w:tc>
          <w:tcPr>
            <w:tcW w:w="0" w:type="auto"/>
            <w:gridSpan w:val="3"/>
            <w:shd w:val="clear" w:color="auto" w:fill="E2EFD9"/>
            <w:tcMar>
              <w:top w:w="40" w:type="dxa"/>
              <w:left w:w="20" w:type="dxa"/>
              <w:bottom w:w="40" w:type="dxa"/>
              <w:right w:w="20" w:type="dxa"/>
            </w:tcMar>
            <w:vAlign w:val="bottom"/>
          </w:tcPr>
          <w:p w14:paraId="0D8DF74C" w14:textId="77777777" w:rsidR="004C2197" w:rsidRDefault="00863B83">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left w:w="20" w:type="dxa"/>
              <w:right w:w="20" w:type="dxa"/>
            </w:tcMar>
            <w:vAlign w:val="bottom"/>
          </w:tcPr>
          <w:p w14:paraId="0D8DF74D"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74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74F"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75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751" w14:textId="77777777" w:rsidR="004C2197" w:rsidRDefault="004C2197">
            <w:pPr>
              <w:rPr>
                <w:rFonts w:ascii="宋体"/>
              </w:rPr>
            </w:pPr>
          </w:p>
        </w:tc>
        <w:tc>
          <w:tcPr>
            <w:tcW w:w="0" w:type="auto"/>
            <w:shd w:val="clear" w:color="auto" w:fill="auto"/>
          </w:tcPr>
          <w:p w14:paraId="0D8DF752" w14:textId="77777777" w:rsidR="004C2197" w:rsidRDefault="004C2197">
            <w:pPr>
              <w:rPr>
                <w:rFonts w:ascii="宋体"/>
              </w:rPr>
            </w:pPr>
          </w:p>
        </w:tc>
        <w:tc>
          <w:tcPr>
            <w:tcW w:w="0" w:type="auto"/>
            <w:shd w:val="clear" w:color="auto" w:fill="auto"/>
          </w:tcPr>
          <w:p w14:paraId="0D8DF753" w14:textId="77777777" w:rsidR="004C2197" w:rsidRDefault="004C2197">
            <w:pPr>
              <w:rPr>
                <w:rFonts w:ascii="宋体"/>
              </w:rPr>
            </w:pPr>
          </w:p>
        </w:tc>
        <w:tc>
          <w:tcPr>
            <w:tcW w:w="0" w:type="auto"/>
            <w:shd w:val="clear" w:color="auto" w:fill="auto"/>
          </w:tcPr>
          <w:p w14:paraId="0D8DF754" w14:textId="77777777" w:rsidR="004C2197" w:rsidRDefault="004C2197">
            <w:pPr>
              <w:rPr>
                <w:rFonts w:ascii="宋体"/>
              </w:rPr>
            </w:pPr>
          </w:p>
        </w:tc>
        <w:tc>
          <w:tcPr>
            <w:tcW w:w="0" w:type="auto"/>
            <w:shd w:val="clear" w:color="auto" w:fill="auto"/>
          </w:tcPr>
          <w:p w14:paraId="0D8DF755" w14:textId="77777777" w:rsidR="004C2197" w:rsidRDefault="004C2197">
            <w:pPr>
              <w:rPr>
                <w:rFonts w:ascii="宋体"/>
              </w:rPr>
            </w:pPr>
          </w:p>
        </w:tc>
        <w:tc>
          <w:tcPr>
            <w:tcW w:w="0" w:type="auto"/>
            <w:shd w:val="clear" w:color="auto" w:fill="auto"/>
          </w:tcPr>
          <w:p w14:paraId="0D8DF756" w14:textId="77777777" w:rsidR="004C2197" w:rsidRDefault="004C2197">
            <w:pPr>
              <w:rPr>
                <w:rFonts w:ascii="宋体"/>
              </w:rPr>
            </w:pPr>
          </w:p>
        </w:tc>
        <w:tc>
          <w:tcPr>
            <w:tcW w:w="0" w:type="auto"/>
            <w:shd w:val="clear" w:color="auto" w:fill="auto"/>
          </w:tcPr>
          <w:p w14:paraId="0D8DF757" w14:textId="77777777" w:rsidR="004C2197" w:rsidRDefault="004C2197">
            <w:pPr>
              <w:rPr>
                <w:rFonts w:ascii="宋体"/>
              </w:rPr>
            </w:pPr>
          </w:p>
        </w:tc>
        <w:tc>
          <w:tcPr>
            <w:tcW w:w="0" w:type="auto"/>
            <w:shd w:val="clear" w:color="auto" w:fill="auto"/>
          </w:tcPr>
          <w:p w14:paraId="0D8DF758" w14:textId="77777777" w:rsidR="004C2197" w:rsidRDefault="004C2197">
            <w:pPr>
              <w:rPr>
                <w:rFonts w:ascii="宋体"/>
              </w:rPr>
            </w:pPr>
          </w:p>
        </w:tc>
        <w:tc>
          <w:tcPr>
            <w:tcW w:w="0" w:type="auto"/>
            <w:shd w:val="clear" w:color="auto" w:fill="auto"/>
          </w:tcPr>
          <w:p w14:paraId="0D8DF759" w14:textId="77777777" w:rsidR="004C2197" w:rsidRDefault="004C2197">
            <w:pPr>
              <w:rPr>
                <w:rFonts w:ascii="宋体"/>
              </w:rPr>
            </w:pPr>
          </w:p>
        </w:tc>
        <w:tc>
          <w:tcPr>
            <w:tcW w:w="0" w:type="auto"/>
            <w:shd w:val="clear" w:color="auto" w:fill="auto"/>
          </w:tcPr>
          <w:p w14:paraId="0D8DF75A" w14:textId="77777777" w:rsidR="004C2197" w:rsidRDefault="004C2197">
            <w:pPr>
              <w:rPr>
                <w:rFonts w:ascii="宋体"/>
              </w:rPr>
            </w:pPr>
          </w:p>
        </w:tc>
      </w:tr>
      <w:tr w:rsidR="004C2197" w14:paraId="0D8DF76F" w14:textId="77777777">
        <w:tc>
          <w:tcPr>
            <w:tcW w:w="0" w:type="auto"/>
            <w:gridSpan w:val="3"/>
            <w:shd w:val="clear" w:color="auto" w:fill="FFFFFF"/>
            <w:tcMar>
              <w:top w:w="40" w:type="dxa"/>
              <w:left w:w="180" w:type="dxa"/>
              <w:bottom w:w="40" w:type="dxa"/>
              <w:right w:w="20" w:type="dxa"/>
            </w:tcMar>
            <w:vAlign w:val="bottom"/>
          </w:tcPr>
          <w:p w14:paraId="0D8DF75C" w14:textId="77777777" w:rsidR="004C2197" w:rsidRDefault="00863B83">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0D8DF75D" w14:textId="77777777" w:rsidR="004C2197" w:rsidRDefault="00863B83">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left w:w="20" w:type="dxa"/>
              <w:right w:w="20" w:type="dxa"/>
            </w:tcMar>
            <w:vAlign w:val="bottom"/>
          </w:tcPr>
          <w:p w14:paraId="0D8DF75E" w14:textId="77777777" w:rsidR="004C2197" w:rsidRDefault="004C2197">
            <w:pPr>
              <w:jc w:val="center"/>
              <w:rPr>
                <w:rFonts w:ascii="宋体"/>
              </w:rPr>
            </w:pPr>
          </w:p>
        </w:tc>
        <w:tc>
          <w:tcPr>
            <w:tcW w:w="0" w:type="auto"/>
            <w:shd w:val="clear" w:color="auto" w:fill="FFFFFF"/>
            <w:tcMar>
              <w:top w:w="40" w:type="dxa"/>
              <w:left w:w="20" w:type="dxa"/>
              <w:bottom w:w="40" w:type="dxa"/>
            </w:tcMar>
            <w:vAlign w:val="bottom"/>
          </w:tcPr>
          <w:p w14:paraId="0D8DF75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60" w14:textId="77777777" w:rsidR="004C2197" w:rsidRDefault="00863B83">
            <w:pPr>
              <w:jc w:val="right"/>
              <w:textAlignment w:val="bottom"/>
            </w:pPr>
            <w:r>
              <w:rPr>
                <w:rFonts w:ascii="sans-serif" w:eastAsia="sans-serif" w:hAnsi="sans-serif" w:cs="sans-serif"/>
                <w:color w:val="000000"/>
                <w:sz w:val="20"/>
                <w:szCs w:val="20"/>
              </w:rPr>
              <w:t>2,053 </w:t>
            </w:r>
          </w:p>
        </w:tc>
        <w:tc>
          <w:tcPr>
            <w:tcW w:w="0" w:type="auto"/>
            <w:shd w:val="clear" w:color="auto" w:fill="FFFFFF"/>
            <w:tcMar>
              <w:top w:w="40" w:type="dxa"/>
              <w:bottom w:w="40" w:type="dxa"/>
              <w:right w:w="20" w:type="dxa"/>
            </w:tcMar>
            <w:vAlign w:val="bottom"/>
          </w:tcPr>
          <w:p w14:paraId="0D8DF76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762" w14:textId="77777777" w:rsidR="004C2197" w:rsidRDefault="004C2197">
            <w:pPr>
              <w:jc w:val="center"/>
              <w:rPr>
                <w:rFonts w:ascii="宋体"/>
              </w:rPr>
            </w:pPr>
          </w:p>
        </w:tc>
        <w:tc>
          <w:tcPr>
            <w:tcW w:w="0" w:type="auto"/>
            <w:shd w:val="clear" w:color="auto" w:fill="FFFFFF"/>
            <w:tcMar>
              <w:top w:w="40" w:type="dxa"/>
              <w:left w:w="20" w:type="dxa"/>
              <w:bottom w:w="40" w:type="dxa"/>
            </w:tcMar>
            <w:vAlign w:val="bottom"/>
          </w:tcPr>
          <w:p w14:paraId="0D8DF76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64" w14:textId="77777777" w:rsidR="004C2197" w:rsidRDefault="00863B83">
            <w:pPr>
              <w:jc w:val="right"/>
              <w:textAlignment w:val="bottom"/>
            </w:pPr>
            <w:r>
              <w:rPr>
                <w:rFonts w:ascii="sans-serif" w:eastAsia="sans-serif" w:hAnsi="sans-serif" w:cs="sans-serif"/>
                <w:color w:val="000000"/>
                <w:sz w:val="20"/>
                <w:szCs w:val="20"/>
              </w:rPr>
              <w:t>7,507 </w:t>
            </w:r>
          </w:p>
        </w:tc>
        <w:tc>
          <w:tcPr>
            <w:tcW w:w="0" w:type="auto"/>
            <w:shd w:val="clear" w:color="auto" w:fill="FFFFFF"/>
            <w:tcMar>
              <w:top w:w="40" w:type="dxa"/>
              <w:bottom w:w="40" w:type="dxa"/>
              <w:right w:w="20" w:type="dxa"/>
            </w:tcMar>
            <w:vAlign w:val="bottom"/>
          </w:tcPr>
          <w:p w14:paraId="0D8DF765" w14:textId="77777777" w:rsidR="004C2197" w:rsidRDefault="004C2197">
            <w:pPr>
              <w:jc w:val="right"/>
              <w:rPr>
                <w:rFonts w:ascii="宋体"/>
              </w:rPr>
            </w:pPr>
          </w:p>
        </w:tc>
        <w:tc>
          <w:tcPr>
            <w:tcW w:w="0" w:type="auto"/>
            <w:shd w:val="clear" w:color="auto" w:fill="auto"/>
          </w:tcPr>
          <w:p w14:paraId="0D8DF766" w14:textId="77777777" w:rsidR="004C2197" w:rsidRDefault="004C2197">
            <w:pPr>
              <w:rPr>
                <w:rFonts w:ascii="宋体"/>
              </w:rPr>
            </w:pPr>
          </w:p>
        </w:tc>
        <w:tc>
          <w:tcPr>
            <w:tcW w:w="0" w:type="auto"/>
            <w:shd w:val="clear" w:color="auto" w:fill="auto"/>
          </w:tcPr>
          <w:p w14:paraId="0D8DF767" w14:textId="77777777" w:rsidR="004C2197" w:rsidRDefault="004C2197">
            <w:pPr>
              <w:rPr>
                <w:rFonts w:ascii="宋体"/>
              </w:rPr>
            </w:pPr>
          </w:p>
        </w:tc>
        <w:tc>
          <w:tcPr>
            <w:tcW w:w="0" w:type="auto"/>
            <w:shd w:val="clear" w:color="auto" w:fill="auto"/>
          </w:tcPr>
          <w:p w14:paraId="0D8DF768" w14:textId="77777777" w:rsidR="004C2197" w:rsidRDefault="004C2197">
            <w:pPr>
              <w:rPr>
                <w:rFonts w:ascii="宋体"/>
              </w:rPr>
            </w:pPr>
          </w:p>
        </w:tc>
        <w:tc>
          <w:tcPr>
            <w:tcW w:w="0" w:type="auto"/>
            <w:shd w:val="clear" w:color="auto" w:fill="auto"/>
          </w:tcPr>
          <w:p w14:paraId="0D8DF769" w14:textId="77777777" w:rsidR="004C2197" w:rsidRDefault="004C2197">
            <w:pPr>
              <w:rPr>
                <w:rFonts w:ascii="宋体"/>
              </w:rPr>
            </w:pPr>
          </w:p>
        </w:tc>
        <w:tc>
          <w:tcPr>
            <w:tcW w:w="0" w:type="auto"/>
            <w:shd w:val="clear" w:color="auto" w:fill="auto"/>
          </w:tcPr>
          <w:p w14:paraId="0D8DF76A" w14:textId="77777777" w:rsidR="004C2197" w:rsidRDefault="004C2197">
            <w:pPr>
              <w:rPr>
                <w:rFonts w:ascii="宋体"/>
              </w:rPr>
            </w:pPr>
          </w:p>
        </w:tc>
        <w:tc>
          <w:tcPr>
            <w:tcW w:w="0" w:type="auto"/>
            <w:shd w:val="clear" w:color="auto" w:fill="auto"/>
          </w:tcPr>
          <w:p w14:paraId="0D8DF76B" w14:textId="77777777" w:rsidR="004C2197" w:rsidRDefault="004C2197">
            <w:pPr>
              <w:rPr>
                <w:rFonts w:ascii="宋体"/>
              </w:rPr>
            </w:pPr>
          </w:p>
        </w:tc>
        <w:tc>
          <w:tcPr>
            <w:tcW w:w="0" w:type="auto"/>
            <w:shd w:val="clear" w:color="auto" w:fill="auto"/>
          </w:tcPr>
          <w:p w14:paraId="0D8DF76C" w14:textId="77777777" w:rsidR="004C2197" w:rsidRDefault="004C2197">
            <w:pPr>
              <w:rPr>
                <w:rFonts w:ascii="宋体"/>
              </w:rPr>
            </w:pPr>
          </w:p>
        </w:tc>
        <w:tc>
          <w:tcPr>
            <w:tcW w:w="0" w:type="auto"/>
            <w:shd w:val="clear" w:color="auto" w:fill="auto"/>
          </w:tcPr>
          <w:p w14:paraId="0D8DF76D" w14:textId="77777777" w:rsidR="004C2197" w:rsidRDefault="004C2197">
            <w:pPr>
              <w:rPr>
                <w:rFonts w:ascii="宋体"/>
              </w:rPr>
            </w:pPr>
          </w:p>
        </w:tc>
        <w:tc>
          <w:tcPr>
            <w:tcW w:w="0" w:type="auto"/>
            <w:shd w:val="clear" w:color="auto" w:fill="auto"/>
          </w:tcPr>
          <w:p w14:paraId="0D8DF76E" w14:textId="77777777" w:rsidR="004C2197" w:rsidRDefault="004C2197">
            <w:pPr>
              <w:rPr>
                <w:rFonts w:ascii="宋体"/>
              </w:rPr>
            </w:pPr>
          </w:p>
        </w:tc>
      </w:tr>
      <w:tr w:rsidR="004C2197" w14:paraId="0D8DF783" w14:textId="77777777">
        <w:tc>
          <w:tcPr>
            <w:tcW w:w="0" w:type="auto"/>
            <w:gridSpan w:val="3"/>
            <w:shd w:val="clear" w:color="auto" w:fill="E2EFD9"/>
            <w:tcMar>
              <w:top w:w="40" w:type="dxa"/>
              <w:left w:w="180" w:type="dxa"/>
              <w:bottom w:w="40" w:type="dxa"/>
              <w:right w:w="20" w:type="dxa"/>
            </w:tcMar>
            <w:vAlign w:val="bottom"/>
          </w:tcPr>
          <w:p w14:paraId="0D8DF770" w14:textId="77777777" w:rsidR="004C2197" w:rsidRDefault="00863B83">
            <w:pPr>
              <w:textAlignment w:val="bottom"/>
            </w:pPr>
            <w:r>
              <w:rPr>
                <w:rFonts w:ascii="sans-serif" w:eastAsia="sans-serif" w:hAnsi="sans-serif" w:cs="sans-serif"/>
                <w:color w:val="000000"/>
                <w:sz w:val="20"/>
                <w:szCs w:val="20"/>
              </w:rPr>
              <w:t>Corpo</w:t>
            </w:r>
            <w:r>
              <w:rPr>
                <w:rFonts w:ascii="sans-serif" w:eastAsia="sans-serif" w:hAnsi="sans-serif" w:cs="sans-serif"/>
                <w:color w:val="000000"/>
                <w:sz w:val="20"/>
                <w:szCs w:val="20"/>
              </w:rPr>
              <w:t>rate debt securities</w:t>
            </w:r>
          </w:p>
        </w:tc>
        <w:tc>
          <w:tcPr>
            <w:tcW w:w="0" w:type="auto"/>
            <w:gridSpan w:val="3"/>
            <w:shd w:val="clear" w:color="auto" w:fill="E2EFD9"/>
            <w:tcMar>
              <w:top w:w="40" w:type="dxa"/>
              <w:left w:w="20" w:type="dxa"/>
              <w:bottom w:w="40" w:type="dxa"/>
              <w:right w:w="20" w:type="dxa"/>
            </w:tcMar>
            <w:vAlign w:val="bottom"/>
          </w:tcPr>
          <w:p w14:paraId="0D8DF771"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772"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7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74" w14:textId="77777777" w:rsidR="004C2197" w:rsidRDefault="00863B83">
            <w:pPr>
              <w:jc w:val="right"/>
              <w:textAlignment w:val="bottom"/>
            </w:pPr>
            <w:r>
              <w:rPr>
                <w:rFonts w:ascii="sans-serif" w:eastAsia="sans-serif" w:hAnsi="sans-serif" w:cs="sans-serif"/>
                <w:color w:val="000000"/>
                <w:sz w:val="20"/>
                <w:szCs w:val="20"/>
              </w:rPr>
              <w:t>3,497 </w:t>
            </w:r>
          </w:p>
        </w:tc>
        <w:tc>
          <w:tcPr>
            <w:tcW w:w="0" w:type="auto"/>
            <w:shd w:val="clear" w:color="auto" w:fill="E2EFD9"/>
            <w:tcMar>
              <w:top w:w="40" w:type="dxa"/>
              <w:bottom w:w="40" w:type="dxa"/>
              <w:right w:w="20" w:type="dxa"/>
            </w:tcMar>
            <w:vAlign w:val="bottom"/>
          </w:tcPr>
          <w:p w14:paraId="0D8DF77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776"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7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78" w14:textId="77777777" w:rsidR="004C2197" w:rsidRDefault="00863B83">
            <w:pPr>
              <w:jc w:val="right"/>
              <w:textAlignment w:val="bottom"/>
            </w:pPr>
            <w:r>
              <w:rPr>
                <w:rFonts w:ascii="sans-serif" w:eastAsia="sans-serif" w:hAnsi="sans-serif" w:cs="sans-serif"/>
                <w:color w:val="000000"/>
                <w:sz w:val="20"/>
                <w:szCs w:val="20"/>
              </w:rPr>
              <w:t>592 </w:t>
            </w:r>
          </w:p>
        </w:tc>
        <w:tc>
          <w:tcPr>
            <w:tcW w:w="0" w:type="auto"/>
            <w:shd w:val="clear" w:color="auto" w:fill="E2EFD9"/>
            <w:tcMar>
              <w:top w:w="40" w:type="dxa"/>
              <w:bottom w:w="40" w:type="dxa"/>
              <w:right w:w="20" w:type="dxa"/>
            </w:tcMar>
            <w:vAlign w:val="bottom"/>
          </w:tcPr>
          <w:p w14:paraId="0D8DF779" w14:textId="77777777" w:rsidR="004C2197" w:rsidRDefault="004C2197">
            <w:pPr>
              <w:jc w:val="right"/>
              <w:rPr>
                <w:rFonts w:ascii="宋体"/>
              </w:rPr>
            </w:pPr>
          </w:p>
        </w:tc>
        <w:tc>
          <w:tcPr>
            <w:tcW w:w="0" w:type="auto"/>
            <w:shd w:val="clear" w:color="auto" w:fill="auto"/>
          </w:tcPr>
          <w:p w14:paraId="0D8DF77A" w14:textId="77777777" w:rsidR="004C2197" w:rsidRDefault="004C2197">
            <w:pPr>
              <w:rPr>
                <w:rFonts w:ascii="宋体"/>
              </w:rPr>
            </w:pPr>
          </w:p>
        </w:tc>
        <w:tc>
          <w:tcPr>
            <w:tcW w:w="0" w:type="auto"/>
            <w:shd w:val="clear" w:color="auto" w:fill="auto"/>
          </w:tcPr>
          <w:p w14:paraId="0D8DF77B" w14:textId="77777777" w:rsidR="004C2197" w:rsidRDefault="004C2197">
            <w:pPr>
              <w:rPr>
                <w:rFonts w:ascii="宋体"/>
              </w:rPr>
            </w:pPr>
          </w:p>
        </w:tc>
        <w:tc>
          <w:tcPr>
            <w:tcW w:w="0" w:type="auto"/>
            <w:shd w:val="clear" w:color="auto" w:fill="auto"/>
          </w:tcPr>
          <w:p w14:paraId="0D8DF77C" w14:textId="77777777" w:rsidR="004C2197" w:rsidRDefault="004C2197">
            <w:pPr>
              <w:rPr>
                <w:rFonts w:ascii="宋体"/>
              </w:rPr>
            </w:pPr>
          </w:p>
        </w:tc>
        <w:tc>
          <w:tcPr>
            <w:tcW w:w="0" w:type="auto"/>
            <w:shd w:val="clear" w:color="auto" w:fill="auto"/>
          </w:tcPr>
          <w:p w14:paraId="0D8DF77D" w14:textId="77777777" w:rsidR="004C2197" w:rsidRDefault="004C2197">
            <w:pPr>
              <w:rPr>
                <w:rFonts w:ascii="宋体"/>
              </w:rPr>
            </w:pPr>
          </w:p>
        </w:tc>
        <w:tc>
          <w:tcPr>
            <w:tcW w:w="0" w:type="auto"/>
            <w:shd w:val="clear" w:color="auto" w:fill="auto"/>
          </w:tcPr>
          <w:p w14:paraId="0D8DF77E" w14:textId="77777777" w:rsidR="004C2197" w:rsidRDefault="004C2197">
            <w:pPr>
              <w:rPr>
                <w:rFonts w:ascii="宋体"/>
              </w:rPr>
            </w:pPr>
          </w:p>
        </w:tc>
        <w:tc>
          <w:tcPr>
            <w:tcW w:w="0" w:type="auto"/>
            <w:shd w:val="clear" w:color="auto" w:fill="auto"/>
          </w:tcPr>
          <w:p w14:paraId="0D8DF77F" w14:textId="77777777" w:rsidR="004C2197" w:rsidRDefault="004C2197">
            <w:pPr>
              <w:rPr>
                <w:rFonts w:ascii="宋体"/>
              </w:rPr>
            </w:pPr>
          </w:p>
        </w:tc>
        <w:tc>
          <w:tcPr>
            <w:tcW w:w="0" w:type="auto"/>
            <w:shd w:val="clear" w:color="auto" w:fill="auto"/>
          </w:tcPr>
          <w:p w14:paraId="0D8DF780" w14:textId="77777777" w:rsidR="004C2197" w:rsidRDefault="004C2197">
            <w:pPr>
              <w:rPr>
                <w:rFonts w:ascii="宋体"/>
              </w:rPr>
            </w:pPr>
          </w:p>
        </w:tc>
        <w:tc>
          <w:tcPr>
            <w:tcW w:w="0" w:type="auto"/>
            <w:shd w:val="clear" w:color="auto" w:fill="auto"/>
          </w:tcPr>
          <w:p w14:paraId="0D8DF781" w14:textId="77777777" w:rsidR="004C2197" w:rsidRDefault="004C2197">
            <w:pPr>
              <w:rPr>
                <w:rFonts w:ascii="宋体"/>
              </w:rPr>
            </w:pPr>
          </w:p>
        </w:tc>
        <w:tc>
          <w:tcPr>
            <w:tcW w:w="0" w:type="auto"/>
            <w:shd w:val="clear" w:color="auto" w:fill="auto"/>
          </w:tcPr>
          <w:p w14:paraId="0D8DF782" w14:textId="77777777" w:rsidR="004C2197" w:rsidRDefault="004C2197">
            <w:pPr>
              <w:rPr>
                <w:rFonts w:ascii="宋体"/>
              </w:rPr>
            </w:pPr>
          </w:p>
        </w:tc>
      </w:tr>
      <w:tr w:rsidR="004C2197" w14:paraId="0D8DF797" w14:textId="77777777">
        <w:tc>
          <w:tcPr>
            <w:tcW w:w="0" w:type="auto"/>
            <w:gridSpan w:val="3"/>
            <w:shd w:val="clear" w:color="auto" w:fill="FFFFFF"/>
            <w:tcMar>
              <w:top w:w="40" w:type="dxa"/>
              <w:left w:w="180" w:type="dxa"/>
              <w:bottom w:w="40" w:type="dxa"/>
              <w:right w:w="20" w:type="dxa"/>
            </w:tcMar>
            <w:vAlign w:val="bottom"/>
          </w:tcPr>
          <w:p w14:paraId="0D8DF784" w14:textId="77777777" w:rsidR="004C2197" w:rsidRDefault="00863B83">
            <w:pPr>
              <w:textAlignment w:val="bottom"/>
            </w:pPr>
            <w:r>
              <w:rPr>
                <w:rFonts w:ascii="sans-serif" w:eastAsia="sans-serif" w:hAnsi="sans-serif" w:cs="sans-serif"/>
                <w:color w:val="000000"/>
                <w:sz w:val="20"/>
                <w:szCs w:val="20"/>
              </w:rPr>
              <w:t xml:space="preserve">Debt </w:t>
            </w:r>
            <w:r>
              <w:rPr>
                <w:rFonts w:ascii="sans-serif" w:eastAsia="sans-serif" w:hAnsi="sans-serif" w:cs="sans-serif"/>
                <w:color w:val="000000"/>
                <w:sz w:val="20"/>
                <w:szCs w:val="20"/>
              </w:rPr>
              <w:t>securities issued by United States government agencies</w:t>
            </w:r>
          </w:p>
        </w:tc>
        <w:tc>
          <w:tcPr>
            <w:tcW w:w="0" w:type="auto"/>
            <w:gridSpan w:val="3"/>
            <w:shd w:val="clear" w:color="auto" w:fill="FFFFFF"/>
            <w:tcMar>
              <w:top w:w="40" w:type="dxa"/>
              <w:left w:w="20" w:type="dxa"/>
              <w:bottom w:w="40" w:type="dxa"/>
              <w:right w:w="20" w:type="dxa"/>
            </w:tcMar>
            <w:vAlign w:val="bottom"/>
          </w:tcPr>
          <w:p w14:paraId="0D8DF785"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0D8DF786" w14:textId="77777777" w:rsidR="004C2197" w:rsidRDefault="004C2197">
            <w:pPr>
              <w:jc w:val="center"/>
              <w:rPr>
                <w:rFonts w:ascii="宋体"/>
              </w:rPr>
            </w:pPr>
          </w:p>
        </w:tc>
        <w:tc>
          <w:tcPr>
            <w:tcW w:w="0" w:type="auto"/>
            <w:shd w:val="clear" w:color="auto" w:fill="FFFFFF"/>
            <w:tcMar>
              <w:top w:w="40" w:type="dxa"/>
              <w:left w:w="20" w:type="dxa"/>
              <w:bottom w:w="40" w:type="dxa"/>
            </w:tcMar>
            <w:vAlign w:val="bottom"/>
          </w:tcPr>
          <w:p w14:paraId="0D8DF78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88" w14:textId="77777777" w:rsidR="004C2197" w:rsidRDefault="00863B83">
            <w:pPr>
              <w:jc w:val="right"/>
              <w:textAlignment w:val="bottom"/>
            </w:pPr>
            <w:r>
              <w:rPr>
                <w:rFonts w:ascii="sans-serif" w:eastAsia="sans-serif" w:hAnsi="sans-serif" w:cs="sans-serif"/>
                <w:color w:val="000000"/>
                <w:sz w:val="20"/>
                <w:szCs w:val="20"/>
              </w:rPr>
              <w:t>2,102 </w:t>
            </w:r>
          </w:p>
        </w:tc>
        <w:tc>
          <w:tcPr>
            <w:tcW w:w="0" w:type="auto"/>
            <w:shd w:val="clear" w:color="auto" w:fill="FFFFFF"/>
            <w:tcMar>
              <w:top w:w="40" w:type="dxa"/>
              <w:bottom w:w="40" w:type="dxa"/>
              <w:right w:w="20" w:type="dxa"/>
            </w:tcMar>
            <w:vAlign w:val="bottom"/>
          </w:tcPr>
          <w:p w14:paraId="0D8DF78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78A" w14:textId="77777777" w:rsidR="004C2197" w:rsidRDefault="004C2197">
            <w:pPr>
              <w:jc w:val="center"/>
              <w:rPr>
                <w:rFonts w:ascii="宋体"/>
              </w:rPr>
            </w:pPr>
          </w:p>
        </w:tc>
        <w:tc>
          <w:tcPr>
            <w:tcW w:w="0" w:type="auto"/>
            <w:shd w:val="clear" w:color="auto" w:fill="FFFFFF"/>
            <w:tcMar>
              <w:top w:w="40" w:type="dxa"/>
              <w:left w:w="20" w:type="dxa"/>
              <w:bottom w:w="40" w:type="dxa"/>
            </w:tcMar>
            <w:vAlign w:val="bottom"/>
          </w:tcPr>
          <w:p w14:paraId="0D8DF78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8C" w14:textId="77777777" w:rsidR="004C2197" w:rsidRDefault="00863B83">
            <w:pPr>
              <w:jc w:val="right"/>
              <w:textAlignment w:val="bottom"/>
            </w:pPr>
            <w:r>
              <w:rPr>
                <w:rFonts w:ascii="sans-serif" w:eastAsia="sans-serif" w:hAnsi="sans-serif" w:cs="sans-serif"/>
                <w:color w:val="000000"/>
                <w:sz w:val="20"/>
                <w:szCs w:val="20"/>
              </w:rPr>
              <w:t>1,096 </w:t>
            </w:r>
          </w:p>
        </w:tc>
        <w:tc>
          <w:tcPr>
            <w:tcW w:w="0" w:type="auto"/>
            <w:shd w:val="clear" w:color="auto" w:fill="FFFFFF"/>
            <w:tcMar>
              <w:top w:w="40" w:type="dxa"/>
              <w:bottom w:w="40" w:type="dxa"/>
              <w:right w:w="20" w:type="dxa"/>
            </w:tcMar>
            <w:vAlign w:val="bottom"/>
          </w:tcPr>
          <w:p w14:paraId="0D8DF78D" w14:textId="77777777" w:rsidR="004C2197" w:rsidRDefault="004C2197">
            <w:pPr>
              <w:jc w:val="right"/>
              <w:rPr>
                <w:rFonts w:ascii="宋体"/>
              </w:rPr>
            </w:pPr>
          </w:p>
        </w:tc>
        <w:tc>
          <w:tcPr>
            <w:tcW w:w="0" w:type="auto"/>
            <w:shd w:val="clear" w:color="auto" w:fill="auto"/>
          </w:tcPr>
          <w:p w14:paraId="0D8DF78E" w14:textId="77777777" w:rsidR="004C2197" w:rsidRDefault="004C2197">
            <w:pPr>
              <w:rPr>
                <w:rFonts w:ascii="宋体"/>
              </w:rPr>
            </w:pPr>
          </w:p>
        </w:tc>
        <w:tc>
          <w:tcPr>
            <w:tcW w:w="0" w:type="auto"/>
            <w:shd w:val="clear" w:color="auto" w:fill="auto"/>
          </w:tcPr>
          <w:p w14:paraId="0D8DF78F" w14:textId="77777777" w:rsidR="004C2197" w:rsidRDefault="004C2197">
            <w:pPr>
              <w:rPr>
                <w:rFonts w:ascii="宋体"/>
              </w:rPr>
            </w:pPr>
          </w:p>
        </w:tc>
        <w:tc>
          <w:tcPr>
            <w:tcW w:w="0" w:type="auto"/>
            <w:shd w:val="clear" w:color="auto" w:fill="auto"/>
          </w:tcPr>
          <w:p w14:paraId="0D8DF790" w14:textId="77777777" w:rsidR="004C2197" w:rsidRDefault="004C2197">
            <w:pPr>
              <w:rPr>
                <w:rFonts w:ascii="宋体"/>
              </w:rPr>
            </w:pPr>
          </w:p>
        </w:tc>
        <w:tc>
          <w:tcPr>
            <w:tcW w:w="0" w:type="auto"/>
            <w:shd w:val="clear" w:color="auto" w:fill="auto"/>
          </w:tcPr>
          <w:p w14:paraId="0D8DF791" w14:textId="77777777" w:rsidR="004C2197" w:rsidRDefault="004C2197">
            <w:pPr>
              <w:rPr>
                <w:rFonts w:ascii="宋体"/>
              </w:rPr>
            </w:pPr>
          </w:p>
        </w:tc>
        <w:tc>
          <w:tcPr>
            <w:tcW w:w="0" w:type="auto"/>
            <w:shd w:val="clear" w:color="auto" w:fill="auto"/>
          </w:tcPr>
          <w:p w14:paraId="0D8DF792" w14:textId="77777777" w:rsidR="004C2197" w:rsidRDefault="004C2197">
            <w:pPr>
              <w:rPr>
                <w:rFonts w:ascii="宋体"/>
              </w:rPr>
            </w:pPr>
          </w:p>
        </w:tc>
        <w:tc>
          <w:tcPr>
            <w:tcW w:w="0" w:type="auto"/>
            <w:shd w:val="clear" w:color="auto" w:fill="auto"/>
          </w:tcPr>
          <w:p w14:paraId="0D8DF793" w14:textId="77777777" w:rsidR="004C2197" w:rsidRDefault="004C2197">
            <w:pPr>
              <w:rPr>
                <w:rFonts w:ascii="宋体"/>
              </w:rPr>
            </w:pPr>
          </w:p>
        </w:tc>
        <w:tc>
          <w:tcPr>
            <w:tcW w:w="0" w:type="auto"/>
            <w:shd w:val="clear" w:color="auto" w:fill="auto"/>
          </w:tcPr>
          <w:p w14:paraId="0D8DF794" w14:textId="77777777" w:rsidR="004C2197" w:rsidRDefault="004C2197">
            <w:pPr>
              <w:rPr>
                <w:rFonts w:ascii="宋体"/>
              </w:rPr>
            </w:pPr>
          </w:p>
        </w:tc>
        <w:tc>
          <w:tcPr>
            <w:tcW w:w="0" w:type="auto"/>
            <w:shd w:val="clear" w:color="auto" w:fill="auto"/>
          </w:tcPr>
          <w:p w14:paraId="0D8DF795" w14:textId="77777777" w:rsidR="004C2197" w:rsidRDefault="004C2197">
            <w:pPr>
              <w:rPr>
                <w:rFonts w:ascii="宋体"/>
              </w:rPr>
            </w:pPr>
          </w:p>
        </w:tc>
        <w:tc>
          <w:tcPr>
            <w:tcW w:w="0" w:type="auto"/>
            <w:shd w:val="clear" w:color="auto" w:fill="auto"/>
          </w:tcPr>
          <w:p w14:paraId="0D8DF796" w14:textId="77777777" w:rsidR="004C2197" w:rsidRDefault="004C2197">
            <w:pPr>
              <w:rPr>
                <w:rFonts w:ascii="宋体"/>
              </w:rPr>
            </w:pPr>
          </w:p>
        </w:tc>
      </w:tr>
      <w:tr w:rsidR="004C2197" w14:paraId="0D8DF7AB" w14:textId="77777777">
        <w:tc>
          <w:tcPr>
            <w:tcW w:w="0" w:type="auto"/>
            <w:gridSpan w:val="3"/>
            <w:shd w:val="clear" w:color="auto" w:fill="E2EFD9"/>
            <w:tcMar>
              <w:top w:w="40" w:type="dxa"/>
              <w:left w:w="180" w:type="dxa"/>
              <w:bottom w:w="40" w:type="dxa"/>
              <w:right w:w="20" w:type="dxa"/>
            </w:tcMar>
            <w:vAlign w:val="bottom"/>
          </w:tcPr>
          <w:p w14:paraId="0D8DF798" w14:textId="77777777" w:rsidR="004C2197" w:rsidRDefault="00863B83">
            <w:pPr>
              <w:textAlignment w:val="bottom"/>
            </w:pPr>
            <w:r>
              <w:rPr>
                <w:rFonts w:ascii="sans-serif" w:eastAsia="sans-serif" w:hAnsi="sans-serif" w:cs="sans-serif"/>
                <w:color w:val="000000"/>
                <w:sz w:val="20"/>
                <w:szCs w:val="20"/>
              </w:rPr>
              <w:t xml:space="preserve">Debt </w:t>
            </w:r>
            <w:r>
              <w:rPr>
                <w:rFonts w:ascii="sans-serif" w:eastAsia="sans-serif" w:hAnsi="sans-serif" w:cs="sans-serif"/>
                <w:color w:val="000000"/>
                <w:sz w:val="20"/>
                <w:szCs w:val="20"/>
              </w:rPr>
              <w:t>securities issued by the United States Treasury</w:t>
            </w:r>
          </w:p>
        </w:tc>
        <w:tc>
          <w:tcPr>
            <w:tcW w:w="0" w:type="auto"/>
            <w:gridSpan w:val="3"/>
            <w:shd w:val="clear" w:color="auto" w:fill="E2EFD9"/>
            <w:tcMar>
              <w:top w:w="40" w:type="dxa"/>
              <w:left w:w="20" w:type="dxa"/>
              <w:bottom w:w="40" w:type="dxa"/>
              <w:right w:w="20" w:type="dxa"/>
            </w:tcMar>
            <w:vAlign w:val="bottom"/>
          </w:tcPr>
          <w:p w14:paraId="0D8DF799"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79A"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9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9C" w14:textId="77777777" w:rsidR="004C2197" w:rsidRDefault="00863B83">
            <w:pPr>
              <w:jc w:val="right"/>
              <w:textAlignment w:val="bottom"/>
            </w:pPr>
            <w:r>
              <w:rPr>
                <w:rFonts w:ascii="sans-serif" w:eastAsia="sans-serif" w:hAnsi="sans-serif" w:cs="sans-serif"/>
                <w:color w:val="000000"/>
                <w:sz w:val="20"/>
                <w:szCs w:val="20"/>
              </w:rPr>
              <w:t>1,956 </w:t>
            </w:r>
          </w:p>
        </w:tc>
        <w:tc>
          <w:tcPr>
            <w:tcW w:w="0" w:type="auto"/>
            <w:shd w:val="clear" w:color="auto" w:fill="E2EFD9"/>
            <w:tcMar>
              <w:top w:w="40" w:type="dxa"/>
              <w:bottom w:w="40" w:type="dxa"/>
              <w:right w:w="20" w:type="dxa"/>
            </w:tcMar>
            <w:vAlign w:val="bottom"/>
          </w:tcPr>
          <w:p w14:paraId="0D8DF79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79E"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9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A0" w14:textId="77777777" w:rsidR="004C2197" w:rsidRDefault="00863B83">
            <w:pPr>
              <w:jc w:val="right"/>
              <w:textAlignment w:val="bottom"/>
            </w:pPr>
            <w:r>
              <w:rPr>
                <w:rFonts w:ascii="sans-serif" w:eastAsia="sans-serif" w:hAnsi="sans-serif" w:cs="sans-serif"/>
                <w:color w:val="000000"/>
                <w:sz w:val="20"/>
                <w:szCs w:val="20"/>
              </w:rPr>
              <w:t>1,358 </w:t>
            </w:r>
          </w:p>
        </w:tc>
        <w:tc>
          <w:tcPr>
            <w:tcW w:w="0" w:type="auto"/>
            <w:shd w:val="clear" w:color="auto" w:fill="E2EFD9"/>
            <w:tcMar>
              <w:top w:w="40" w:type="dxa"/>
              <w:bottom w:w="40" w:type="dxa"/>
              <w:right w:w="20" w:type="dxa"/>
            </w:tcMar>
            <w:vAlign w:val="bottom"/>
          </w:tcPr>
          <w:p w14:paraId="0D8DF7A1" w14:textId="77777777" w:rsidR="004C2197" w:rsidRDefault="004C2197">
            <w:pPr>
              <w:jc w:val="right"/>
              <w:rPr>
                <w:rFonts w:ascii="宋体"/>
              </w:rPr>
            </w:pPr>
          </w:p>
        </w:tc>
        <w:tc>
          <w:tcPr>
            <w:tcW w:w="0" w:type="auto"/>
            <w:shd w:val="clear" w:color="auto" w:fill="auto"/>
          </w:tcPr>
          <w:p w14:paraId="0D8DF7A2" w14:textId="77777777" w:rsidR="004C2197" w:rsidRDefault="004C2197">
            <w:pPr>
              <w:rPr>
                <w:rFonts w:ascii="宋体"/>
              </w:rPr>
            </w:pPr>
          </w:p>
        </w:tc>
        <w:tc>
          <w:tcPr>
            <w:tcW w:w="0" w:type="auto"/>
            <w:shd w:val="clear" w:color="auto" w:fill="auto"/>
          </w:tcPr>
          <w:p w14:paraId="0D8DF7A3" w14:textId="77777777" w:rsidR="004C2197" w:rsidRDefault="004C2197">
            <w:pPr>
              <w:rPr>
                <w:rFonts w:ascii="宋体"/>
              </w:rPr>
            </w:pPr>
          </w:p>
        </w:tc>
        <w:tc>
          <w:tcPr>
            <w:tcW w:w="0" w:type="auto"/>
            <w:shd w:val="clear" w:color="auto" w:fill="auto"/>
          </w:tcPr>
          <w:p w14:paraId="0D8DF7A4" w14:textId="77777777" w:rsidR="004C2197" w:rsidRDefault="004C2197">
            <w:pPr>
              <w:rPr>
                <w:rFonts w:ascii="宋体"/>
              </w:rPr>
            </w:pPr>
          </w:p>
        </w:tc>
        <w:tc>
          <w:tcPr>
            <w:tcW w:w="0" w:type="auto"/>
            <w:shd w:val="clear" w:color="auto" w:fill="auto"/>
          </w:tcPr>
          <w:p w14:paraId="0D8DF7A5" w14:textId="77777777" w:rsidR="004C2197" w:rsidRDefault="004C2197">
            <w:pPr>
              <w:rPr>
                <w:rFonts w:ascii="宋体"/>
              </w:rPr>
            </w:pPr>
          </w:p>
        </w:tc>
        <w:tc>
          <w:tcPr>
            <w:tcW w:w="0" w:type="auto"/>
            <w:shd w:val="clear" w:color="auto" w:fill="auto"/>
          </w:tcPr>
          <w:p w14:paraId="0D8DF7A6" w14:textId="77777777" w:rsidR="004C2197" w:rsidRDefault="004C2197">
            <w:pPr>
              <w:rPr>
                <w:rFonts w:ascii="宋体"/>
              </w:rPr>
            </w:pPr>
          </w:p>
        </w:tc>
        <w:tc>
          <w:tcPr>
            <w:tcW w:w="0" w:type="auto"/>
            <w:shd w:val="clear" w:color="auto" w:fill="auto"/>
          </w:tcPr>
          <w:p w14:paraId="0D8DF7A7" w14:textId="77777777" w:rsidR="004C2197" w:rsidRDefault="004C2197">
            <w:pPr>
              <w:rPr>
                <w:rFonts w:ascii="宋体"/>
              </w:rPr>
            </w:pPr>
          </w:p>
        </w:tc>
        <w:tc>
          <w:tcPr>
            <w:tcW w:w="0" w:type="auto"/>
            <w:shd w:val="clear" w:color="auto" w:fill="auto"/>
          </w:tcPr>
          <w:p w14:paraId="0D8DF7A8" w14:textId="77777777" w:rsidR="004C2197" w:rsidRDefault="004C2197">
            <w:pPr>
              <w:rPr>
                <w:rFonts w:ascii="宋体"/>
              </w:rPr>
            </w:pPr>
          </w:p>
        </w:tc>
        <w:tc>
          <w:tcPr>
            <w:tcW w:w="0" w:type="auto"/>
            <w:shd w:val="clear" w:color="auto" w:fill="auto"/>
          </w:tcPr>
          <w:p w14:paraId="0D8DF7A9" w14:textId="77777777" w:rsidR="004C2197" w:rsidRDefault="004C2197">
            <w:pPr>
              <w:rPr>
                <w:rFonts w:ascii="宋体"/>
              </w:rPr>
            </w:pPr>
          </w:p>
        </w:tc>
        <w:tc>
          <w:tcPr>
            <w:tcW w:w="0" w:type="auto"/>
            <w:shd w:val="clear" w:color="auto" w:fill="auto"/>
          </w:tcPr>
          <w:p w14:paraId="0D8DF7AA" w14:textId="77777777" w:rsidR="004C2197" w:rsidRDefault="004C2197">
            <w:pPr>
              <w:rPr>
                <w:rFonts w:ascii="宋体"/>
              </w:rPr>
            </w:pPr>
          </w:p>
        </w:tc>
      </w:tr>
      <w:tr w:rsidR="004C2197" w14:paraId="0D8DF7BF" w14:textId="77777777">
        <w:tc>
          <w:tcPr>
            <w:tcW w:w="0" w:type="auto"/>
            <w:gridSpan w:val="3"/>
            <w:shd w:val="clear" w:color="auto" w:fill="FFFFFF"/>
            <w:tcMar>
              <w:top w:w="40" w:type="dxa"/>
              <w:left w:w="180" w:type="dxa"/>
              <w:bottom w:w="40" w:type="dxa"/>
              <w:right w:w="20" w:type="dxa"/>
            </w:tcMar>
            <w:vAlign w:val="bottom"/>
          </w:tcPr>
          <w:p w14:paraId="0D8DF7AC" w14:textId="77777777" w:rsidR="004C2197" w:rsidRDefault="00863B83">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0D8DF7AD"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0D8DF7A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7A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B0" w14:textId="77777777" w:rsidR="004C2197" w:rsidRDefault="00863B83">
            <w:pPr>
              <w:jc w:val="right"/>
              <w:textAlignment w:val="bottom"/>
            </w:pPr>
            <w:r>
              <w:rPr>
                <w:rFonts w:ascii="sans-serif" w:eastAsia="sans-serif" w:hAnsi="sans-serif" w:cs="sans-serif"/>
                <w:color w:val="000000"/>
                <w:sz w:val="20"/>
                <w:szCs w:val="20"/>
              </w:rPr>
              <w:t>893 </w:t>
            </w:r>
          </w:p>
        </w:tc>
        <w:tc>
          <w:tcPr>
            <w:tcW w:w="0" w:type="auto"/>
            <w:shd w:val="clear" w:color="auto" w:fill="FFFFFF"/>
            <w:tcMar>
              <w:top w:w="40" w:type="dxa"/>
              <w:bottom w:w="40" w:type="dxa"/>
              <w:right w:w="20" w:type="dxa"/>
            </w:tcMar>
            <w:vAlign w:val="bottom"/>
          </w:tcPr>
          <w:p w14:paraId="0D8DF7B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7B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7B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7B4" w14:textId="77777777" w:rsidR="004C2197" w:rsidRDefault="00863B83">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bottom w:w="40" w:type="dxa"/>
              <w:right w:w="20" w:type="dxa"/>
            </w:tcMar>
            <w:vAlign w:val="bottom"/>
          </w:tcPr>
          <w:p w14:paraId="0D8DF7B5" w14:textId="77777777" w:rsidR="004C2197" w:rsidRDefault="004C2197">
            <w:pPr>
              <w:jc w:val="right"/>
              <w:rPr>
                <w:rFonts w:ascii="宋体"/>
              </w:rPr>
            </w:pPr>
          </w:p>
        </w:tc>
        <w:tc>
          <w:tcPr>
            <w:tcW w:w="0" w:type="auto"/>
            <w:shd w:val="clear" w:color="auto" w:fill="auto"/>
          </w:tcPr>
          <w:p w14:paraId="0D8DF7B6" w14:textId="77777777" w:rsidR="004C2197" w:rsidRDefault="004C2197">
            <w:pPr>
              <w:rPr>
                <w:rFonts w:ascii="宋体"/>
              </w:rPr>
            </w:pPr>
          </w:p>
        </w:tc>
        <w:tc>
          <w:tcPr>
            <w:tcW w:w="0" w:type="auto"/>
            <w:shd w:val="clear" w:color="auto" w:fill="auto"/>
          </w:tcPr>
          <w:p w14:paraId="0D8DF7B7" w14:textId="77777777" w:rsidR="004C2197" w:rsidRDefault="004C2197">
            <w:pPr>
              <w:rPr>
                <w:rFonts w:ascii="宋体"/>
              </w:rPr>
            </w:pPr>
          </w:p>
        </w:tc>
        <w:tc>
          <w:tcPr>
            <w:tcW w:w="0" w:type="auto"/>
            <w:shd w:val="clear" w:color="auto" w:fill="auto"/>
          </w:tcPr>
          <w:p w14:paraId="0D8DF7B8" w14:textId="77777777" w:rsidR="004C2197" w:rsidRDefault="004C2197">
            <w:pPr>
              <w:rPr>
                <w:rFonts w:ascii="宋体"/>
              </w:rPr>
            </w:pPr>
          </w:p>
        </w:tc>
        <w:tc>
          <w:tcPr>
            <w:tcW w:w="0" w:type="auto"/>
            <w:shd w:val="clear" w:color="auto" w:fill="auto"/>
          </w:tcPr>
          <w:p w14:paraId="0D8DF7B9" w14:textId="77777777" w:rsidR="004C2197" w:rsidRDefault="004C2197">
            <w:pPr>
              <w:rPr>
                <w:rFonts w:ascii="宋体"/>
              </w:rPr>
            </w:pPr>
          </w:p>
        </w:tc>
        <w:tc>
          <w:tcPr>
            <w:tcW w:w="0" w:type="auto"/>
            <w:shd w:val="clear" w:color="auto" w:fill="auto"/>
          </w:tcPr>
          <w:p w14:paraId="0D8DF7BA" w14:textId="77777777" w:rsidR="004C2197" w:rsidRDefault="004C2197">
            <w:pPr>
              <w:rPr>
                <w:rFonts w:ascii="宋体"/>
              </w:rPr>
            </w:pPr>
          </w:p>
        </w:tc>
        <w:tc>
          <w:tcPr>
            <w:tcW w:w="0" w:type="auto"/>
            <w:shd w:val="clear" w:color="auto" w:fill="auto"/>
          </w:tcPr>
          <w:p w14:paraId="0D8DF7BB" w14:textId="77777777" w:rsidR="004C2197" w:rsidRDefault="004C2197">
            <w:pPr>
              <w:rPr>
                <w:rFonts w:ascii="宋体"/>
              </w:rPr>
            </w:pPr>
          </w:p>
        </w:tc>
        <w:tc>
          <w:tcPr>
            <w:tcW w:w="0" w:type="auto"/>
            <w:shd w:val="clear" w:color="auto" w:fill="auto"/>
          </w:tcPr>
          <w:p w14:paraId="0D8DF7BC" w14:textId="77777777" w:rsidR="004C2197" w:rsidRDefault="004C2197">
            <w:pPr>
              <w:rPr>
                <w:rFonts w:ascii="宋体"/>
              </w:rPr>
            </w:pPr>
          </w:p>
        </w:tc>
        <w:tc>
          <w:tcPr>
            <w:tcW w:w="0" w:type="auto"/>
            <w:shd w:val="clear" w:color="auto" w:fill="auto"/>
          </w:tcPr>
          <w:p w14:paraId="0D8DF7BD" w14:textId="77777777" w:rsidR="004C2197" w:rsidRDefault="004C2197">
            <w:pPr>
              <w:rPr>
                <w:rFonts w:ascii="宋体"/>
              </w:rPr>
            </w:pPr>
          </w:p>
        </w:tc>
        <w:tc>
          <w:tcPr>
            <w:tcW w:w="0" w:type="auto"/>
            <w:shd w:val="clear" w:color="auto" w:fill="auto"/>
          </w:tcPr>
          <w:p w14:paraId="0D8DF7BE" w14:textId="77777777" w:rsidR="004C2197" w:rsidRDefault="004C2197">
            <w:pPr>
              <w:rPr>
                <w:rFonts w:ascii="宋体"/>
              </w:rPr>
            </w:pPr>
          </w:p>
        </w:tc>
      </w:tr>
      <w:tr w:rsidR="004C2197" w14:paraId="0D8DF7D3" w14:textId="77777777">
        <w:tc>
          <w:tcPr>
            <w:tcW w:w="0" w:type="auto"/>
            <w:gridSpan w:val="3"/>
            <w:shd w:val="clear" w:color="auto" w:fill="E2EFD9"/>
            <w:tcMar>
              <w:top w:w="40" w:type="dxa"/>
              <w:left w:w="180" w:type="dxa"/>
              <w:bottom w:w="40" w:type="dxa"/>
              <w:right w:w="20" w:type="dxa"/>
            </w:tcMar>
            <w:vAlign w:val="bottom"/>
          </w:tcPr>
          <w:p w14:paraId="0D8DF7C0" w14:textId="77777777" w:rsidR="004C2197" w:rsidRDefault="00863B83">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0D8DF7C1"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7C2"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C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C4" w14:textId="77777777" w:rsidR="004C2197" w:rsidRDefault="00863B83">
            <w:pPr>
              <w:jc w:val="right"/>
              <w:textAlignment w:val="bottom"/>
            </w:pPr>
            <w:r>
              <w:rPr>
                <w:rFonts w:ascii="sans-serif" w:eastAsia="sans-serif" w:hAnsi="sans-serif" w:cs="sans-serif"/>
                <w:color w:val="000000"/>
                <w:sz w:val="20"/>
                <w:szCs w:val="20"/>
              </w:rPr>
              <w:t>256 </w:t>
            </w:r>
          </w:p>
        </w:tc>
        <w:tc>
          <w:tcPr>
            <w:tcW w:w="0" w:type="auto"/>
            <w:shd w:val="clear" w:color="auto" w:fill="E2EFD9"/>
            <w:tcMar>
              <w:top w:w="40" w:type="dxa"/>
              <w:bottom w:w="40" w:type="dxa"/>
              <w:right w:w="20" w:type="dxa"/>
            </w:tcMar>
            <w:vAlign w:val="bottom"/>
          </w:tcPr>
          <w:p w14:paraId="0D8DF7C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7C6"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7C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7C8" w14:textId="77777777" w:rsidR="004C2197" w:rsidRDefault="00863B83">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bottom w:w="40" w:type="dxa"/>
              <w:right w:w="20" w:type="dxa"/>
            </w:tcMar>
            <w:vAlign w:val="bottom"/>
          </w:tcPr>
          <w:p w14:paraId="0D8DF7C9" w14:textId="77777777" w:rsidR="004C2197" w:rsidRDefault="004C2197">
            <w:pPr>
              <w:jc w:val="right"/>
              <w:rPr>
                <w:rFonts w:ascii="宋体"/>
              </w:rPr>
            </w:pPr>
          </w:p>
        </w:tc>
        <w:tc>
          <w:tcPr>
            <w:tcW w:w="0" w:type="auto"/>
            <w:shd w:val="clear" w:color="auto" w:fill="auto"/>
          </w:tcPr>
          <w:p w14:paraId="0D8DF7CA" w14:textId="77777777" w:rsidR="004C2197" w:rsidRDefault="004C2197">
            <w:pPr>
              <w:rPr>
                <w:rFonts w:ascii="宋体"/>
              </w:rPr>
            </w:pPr>
          </w:p>
        </w:tc>
        <w:tc>
          <w:tcPr>
            <w:tcW w:w="0" w:type="auto"/>
            <w:shd w:val="clear" w:color="auto" w:fill="auto"/>
          </w:tcPr>
          <w:p w14:paraId="0D8DF7CB" w14:textId="77777777" w:rsidR="004C2197" w:rsidRDefault="004C2197">
            <w:pPr>
              <w:rPr>
                <w:rFonts w:ascii="宋体"/>
              </w:rPr>
            </w:pPr>
          </w:p>
        </w:tc>
        <w:tc>
          <w:tcPr>
            <w:tcW w:w="0" w:type="auto"/>
            <w:shd w:val="clear" w:color="auto" w:fill="auto"/>
          </w:tcPr>
          <w:p w14:paraId="0D8DF7CC" w14:textId="77777777" w:rsidR="004C2197" w:rsidRDefault="004C2197">
            <w:pPr>
              <w:rPr>
                <w:rFonts w:ascii="宋体"/>
              </w:rPr>
            </w:pPr>
          </w:p>
        </w:tc>
        <w:tc>
          <w:tcPr>
            <w:tcW w:w="0" w:type="auto"/>
            <w:shd w:val="clear" w:color="auto" w:fill="auto"/>
          </w:tcPr>
          <w:p w14:paraId="0D8DF7CD" w14:textId="77777777" w:rsidR="004C2197" w:rsidRDefault="004C2197">
            <w:pPr>
              <w:rPr>
                <w:rFonts w:ascii="宋体"/>
              </w:rPr>
            </w:pPr>
          </w:p>
        </w:tc>
        <w:tc>
          <w:tcPr>
            <w:tcW w:w="0" w:type="auto"/>
            <w:shd w:val="clear" w:color="auto" w:fill="auto"/>
          </w:tcPr>
          <w:p w14:paraId="0D8DF7CE" w14:textId="77777777" w:rsidR="004C2197" w:rsidRDefault="004C2197">
            <w:pPr>
              <w:rPr>
                <w:rFonts w:ascii="宋体"/>
              </w:rPr>
            </w:pPr>
          </w:p>
        </w:tc>
        <w:tc>
          <w:tcPr>
            <w:tcW w:w="0" w:type="auto"/>
            <w:shd w:val="clear" w:color="auto" w:fill="auto"/>
          </w:tcPr>
          <w:p w14:paraId="0D8DF7CF" w14:textId="77777777" w:rsidR="004C2197" w:rsidRDefault="004C2197">
            <w:pPr>
              <w:rPr>
                <w:rFonts w:ascii="宋体"/>
              </w:rPr>
            </w:pPr>
          </w:p>
        </w:tc>
        <w:tc>
          <w:tcPr>
            <w:tcW w:w="0" w:type="auto"/>
            <w:shd w:val="clear" w:color="auto" w:fill="auto"/>
          </w:tcPr>
          <w:p w14:paraId="0D8DF7D0" w14:textId="77777777" w:rsidR="004C2197" w:rsidRDefault="004C2197">
            <w:pPr>
              <w:rPr>
                <w:rFonts w:ascii="宋体"/>
              </w:rPr>
            </w:pPr>
          </w:p>
        </w:tc>
        <w:tc>
          <w:tcPr>
            <w:tcW w:w="0" w:type="auto"/>
            <w:shd w:val="clear" w:color="auto" w:fill="auto"/>
          </w:tcPr>
          <w:p w14:paraId="0D8DF7D1" w14:textId="77777777" w:rsidR="004C2197" w:rsidRDefault="004C2197">
            <w:pPr>
              <w:rPr>
                <w:rFonts w:ascii="宋体"/>
              </w:rPr>
            </w:pPr>
          </w:p>
        </w:tc>
        <w:tc>
          <w:tcPr>
            <w:tcW w:w="0" w:type="auto"/>
            <w:shd w:val="clear" w:color="auto" w:fill="auto"/>
          </w:tcPr>
          <w:p w14:paraId="0D8DF7D2" w14:textId="77777777" w:rsidR="004C2197" w:rsidRDefault="004C2197">
            <w:pPr>
              <w:rPr>
                <w:rFonts w:ascii="宋体"/>
              </w:rPr>
            </w:pPr>
          </w:p>
        </w:tc>
      </w:tr>
      <w:tr w:rsidR="004C2197" w14:paraId="0D8DF7E3" w14:textId="77777777">
        <w:trPr>
          <w:hidden/>
        </w:trPr>
        <w:tc>
          <w:tcPr>
            <w:tcW w:w="0" w:type="auto"/>
            <w:gridSpan w:val="3"/>
            <w:shd w:val="clear" w:color="auto" w:fill="auto"/>
          </w:tcPr>
          <w:p w14:paraId="0D8DF7D4" w14:textId="77777777" w:rsidR="004C2197" w:rsidRDefault="004C2197">
            <w:pPr>
              <w:rPr>
                <w:rFonts w:ascii="宋体"/>
                <w:vanish/>
              </w:rPr>
            </w:pPr>
          </w:p>
        </w:tc>
        <w:tc>
          <w:tcPr>
            <w:tcW w:w="0" w:type="auto"/>
            <w:gridSpan w:val="3"/>
            <w:shd w:val="clear" w:color="auto" w:fill="auto"/>
          </w:tcPr>
          <w:p w14:paraId="0D8DF7D5" w14:textId="77777777" w:rsidR="004C2197" w:rsidRDefault="004C2197">
            <w:pPr>
              <w:rPr>
                <w:rFonts w:ascii="宋体"/>
                <w:vanish/>
              </w:rPr>
            </w:pPr>
          </w:p>
        </w:tc>
        <w:tc>
          <w:tcPr>
            <w:tcW w:w="0" w:type="auto"/>
            <w:gridSpan w:val="3"/>
            <w:shd w:val="clear" w:color="auto" w:fill="auto"/>
          </w:tcPr>
          <w:p w14:paraId="0D8DF7D6" w14:textId="77777777" w:rsidR="004C2197" w:rsidRDefault="004C2197">
            <w:pPr>
              <w:rPr>
                <w:rFonts w:ascii="宋体"/>
                <w:vanish/>
              </w:rPr>
            </w:pPr>
          </w:p>
        </w:tc>
        <w:tc>
          <w:tcPr>
            <w:tcW w:w="0" w:type="auto"/>
            <w:gridSpan w:val="3"/>
            <w:shd w:val="clear" w:color="auto" w:fill="auto"/>
          </w:tcPr>
          <w:p w14:paraId="0D8DF7D7" w14:textId="77777777" w:rsidR="004C2197" w:rsidRDefault="004C2197">
            <w:pPr>
              <w:rPr>
                <w:rFonts w:ascii="宋体"/>
                <w:vanish/>
              </w:rPr>
            </w:pPr>
          </w:p>
        </w:tc>
        <w:tc>
          <w:tcPr>
            <w:tcW w:w="0" w:type="auto"/>
            <w:gridSpan w:val="3"/>
            <w:shd w:val="clear" w:color="auto" w:fill="auto"/>
          </w:tcPr>
          <w:p w14:paraId="0D8DF7D8" w14:textId="77777777" w:rsidR="004C2197" w:rsidRDefault="004C2197">
            <w:pPr>
              <w:rPr>
                <w:rFonts w:ascii="宋体"/>
                <w:vanish/>
              </w:rPr>
            </w:pPr>
          </w:p>
        </w:tc>
        <w:tc>
          <w:tcPr>
            <w:tcW w:w="0" w:type="auto"/>
            <w:gridSpan w:val="3"/>
            <w:shd w:val="clear" w:color="auto" w:fill="auto"/>
          </w:tcPr>
          <w:p w14:paraId="0D8DF7D9" w14:textId="77777777" w:rsidR="004C2197" w:rsidRDefault="004C2197">
            <w:pPr>
              <w:rPr>
                <w:rFonts w:ascii="宋体"/>
                <w:vanish/>
              </w:rPr>
            </w:pPr>
          </w:p>
        </w:tc>
        <w:tc>
          <w:tcPr>
            <w:tcW w:w="0" w:type="auto"/>
            <w:shd w:val="clear" w:color="auto" w:fill="auto"/>
          </w:tcPr>
          <w:p w14:paraId="0D8DF7DA" w14:textId="77777777" w:rsidR="004C2197" w:rsidRDefault="004C2197">
            <w:pPr>
              <w:rPr>
                <w:rFonts w:ascii="宋体"/>
              </w:rPr>
            </w:pPr>
          </w:p>
        </w:tc>
        <w:tc>
          <w:tcPr>
            <w:tcW w:w="0" w:type="auto"/>
            <w:shd w:val="clear" w:color="auto" w:fill="auto"/>
          </w:tcPr>
          <w:p w14:paraId="0D8DF7DB" w14:textId="77777777" w:rsidR="004C2197" w:rsidRDefault="004C2197">
            <w:pPr>
              <w:rPr>
                <w:rFonts w:ascii="宋体"/>
              </w:rPr>
            </w:pPr>
          </w:p>
        </w:tc>
        <w:tc>
          <w:tcPr>
            <w:tcW w:w="0" w:type="auto"/>
            <w:shd w:val="clear" w:color="auto" w:fill="auto"/>
          </w:tcPr>
          <w:p w14:paraId="0D8DF7DC" w14:textId="77777777" w:rsidR="004C2197" w:rsidRDefault="004C2197">
            <w:pPr>
              <w:rPr>
                <w:rFonts w:ascii="宋体"/>
              </w:rPr>
            </w:pPr>
          </w:p>
        </w:tc>
        <w:tc>
          <w:tcPr>
            <w:tcW w:w="0" w:type="auto"/>
            <w:shd w:val="clear" w:color="auto" w:fill="auto"/>
          </w:tcPr>
          <w:p w14:paraId="0D8DF7DD" w14:textId="77777777" w:rsidR="004C2197" w:rsidRDefault="004C2197">
            <w:pPr>
              <w:rPr>
                <w:rFonts w:ascii="宋体"/>
              </w:rPr>
            </w:pPr>
          </w:p>
        </w:tc>
        <w:tc>
          <w:tcPr>
            <w:tcW w:w="0" w:type="auto"/>
            <w:shd w:val="clear" w:color="auto" w:fill="auto"/>
          </w:tcPr>
          <w:p w14:paraId="0D8DF7DE" w14:textId="77777777" w:rsidR="004C2197" w:rsidRDefault="004C2197">
            <w:pPr>
              <w:rPr>
                <w:rFonts w:ascii="宋体"/>
              </w:rPr>
            </w:pPr>
          </w:p>
        </w:tc>
        <w:tc>
          <w:tcPr>
            <w:tcW w:w="0" w:type="auto"/>
            <w:shd w:val="clear" w:color="auto" w:fill="auto"/>
          </w:tcPr>
          <w:p w14:paraId="0D8DF7DF" w14:textId="77777777" w:rsidR="004C2197" w:rsidRDefault="004C2197">
            <w:pPr>
              <w:rPr>
                <w:rFonts w:ascii="宋体"/>
              </w:rPr>
            </w:pPr>
          </w:p>
        </w:tc>
        <w:tc>
          <w:tcPr>
            <w:tcW w:w="0" w:type="auto"/>
            <w:shd w:val="clear" w:color="auto" w:fill="auto"/>
          </w:tcPr>
          <w:p w14:paraId="0D8DF7E0" w14:textId="77777777" w:rsidR="004C2197" w:rsidRDefault="004C2197">
            <w:pPr>
              <w:rPr>
                <w:rFonts w:ascii="宋体"/>
              </w:rPr>
            </w:pPr>
          </w:p>
        </w:tc>
        <w:tc>
          <w:tcPr>
            <w:tcW w:w="0" w:type="auto"/>
            <w:shd w:val="clear" w:color="auto" w:fill="auto"/>
          </w:tcPr>
          <w:p w14:paraId="0D8DF7E1" w14:textId="77777777" w:rsidR="004C2197" w:rsidRDefault="004C2197">
            <w:pPr>
              <w:rPr>
                <w:rFonts w:ascii="宋体"/>
              </w:rPr>
            </w:pPr>
          </w:p>
        </w:tc>
        <w:tc>
          <w:tcPr>
            <w:tcW w:w="0" w:type="auto"/>
            <w:shd w:val="clear" w:color="auto" w:fill="auto"/>
          </w:tcPr>
          <w:p w14:paraId="0D8DF7E2" w14:textId="77777777" w:rsidR="004C2197" w:rsidRDefault="004C2197">
            <w:pPr>
              <w:rPr>
                <w:rFonts w:ascii="宋体"/>
              </w:rPr>
            </w:pPr>
          </w:p>
        </w:tc>
      </w:tr>
      <w:tr w:rsidR="004C2197" w14:paraId="0D8DF7F3" w14:textId="77777777">
        <w:trPr>
          <w:hidden/>
        </w:trPr>
        <w:tc>
          <w:tcPr>
            <w:tcW w:w="0" w:type="auto"/>
            <w:gridSpan w:val="3"/>
            <w:shd w:val="clear" w:color="auto" w:fill="auto"/>
          </w:tcPr>
          <w:p w14:paraId="0D8DF7E4" w14:textId="77777777" w:rsidR="004C2197" w:rsidRDefault="004C2197">
            <w:pPr>
              <w:rPr>
                <w:rFonts w:ascii="宋体"/>
                <w:vanish/>
              </w:rPr>
            </w:pPr>
          </w:p>
        </w:tc>
        <w:tc>
          <w:tcPr>
            <w:tcW w:w="0" w:type="auto"/>
            <w:gridSpan w:val="3"/>
            <w:shd w:val="clear" w:color="auto" w:fill="auto"/>
          </w:tcPr>
          <w:p w14:paraId="0D8DF7E5" w14:textId="77777777" w:rsidR="004C2197" w:rsidRDefault="004C2197">
            <w:pPr>
              <w:rPr>
                <w:rFonts w:ascii="宋体"/>
                <w:vanish/>
              </w:rPr>
            </w:pPr>
          </w:p>
        </w:tc>
        <w:tc>
          <w:tcPr>
            <w:tcW w:w="0" w:type="auto"/>
            <w:gridSpan w:val="3"/>
            <w:shd w:val="clear" w:color="auto" w:fill="auto"/>
          </w:tcPr>
          <w:p w14:paraId="0D8DF7E6" w14:textId="77777777" w:rsidR="004C2197" w:rsidRDefault="004C2197">
            <w:pPr>
              <w:rPr>
                <w:rFonts w:ascii="宋体"/>
                <w:vanish/>
              </w:rPr>
            </w:pPr>
          </w:p>
        </w:tc>
        <w:tc>
          <w:tcPr>
            <w:tcW w:w="0" w:type="auto"/>
            <w:gridSpan w:val="3"/>
            <w:shd w:val="clear" w:color="auto" w:fill="auto"/>
          </w:tcPr>
          <w:p w14:paraId="0D8DF7E7" w14:textId="77777777" w:rsidR="004C2197" w:rsidRDefault="004C2197">
            <w:pPr>
              <w:rPr>
                <w:rFonts w:ascii="宋体"/>
                <w:vanish/>
              </w:rPr>
            </w:pPr>
          </w:p>
        </w:tc>
        <w:tc>
          <w:tcPr>
            <w:tcW w:w="0" w:type="auto"/>
            <w:gridSpan w:val="3"/>
            <w:shd w:val="clear" w:color="auto" w:fill="auto"/>
          </w:tcPr>
          <w:p w14:paraId="0D8DF7E8" w14:textId="77777777" w:rsidR="004C2197" w:rsidRDefault="004C2197">
            <w:pPr>
              <w:rPr>
                <w:rFonts w:ascii="宋体"/>
                <w:vanish/>
              </w:rPr>
            </w:pPr>
          </w:p>
        </w:tc>
        <w:tc>
          <w:tcPr>
            <w:tcW w:w="0" w:type="auto"/>
            <w:gridSpan w:val="3"/>
            <w:shd w:val="clear" w:color="auto" w:fill="auto"/>
          </w:tcPr>
          <w:p w14:paraId="0D8DF7E9" w14:textId="77777777" w:rsidR="004C2197" w:rsidRDefault="004C2197">
            <w:pPr>
              <w:rPr>
                <w:rFonts w:ascii="宋体"/>
                <w:vanish/>
              </w:rPr>
            </w:pPr>
          </w:p>
        </w:tc>
        <w:tc>
          <w:tcPr>
            <w:tcW w:w="0" w:type="auto"/>
            <w:shd w:val="clear" w:color="auto" w:fill="auto"/>
          </w:tcPr>
          <w:p w14:paraId="0D8DF7EA" w14:textId="77777777" w:rsidR="004C2197" w:rsidRDefault="004C2197">
            <w:pPr>
              <w:rPr>
                <w:rFonts w:ascii="宋体"/>
              </w:rPr>
            </w:pPr>
          </w:p>
        </w:tc>
        <w:tc>
          <w:tcPr>
            <w:tcW w:w="0" w:type="auto"/>
            <w:shd w:val="clear" w:color="auto" w:fill="auto"/>
          </w:tcPr>
          <w:p w14:paraId="0D8DF7EB" w14:textId="77777777" w:rsidR="004C2197" w:rsidRDefault="004C2197">
            <w:pPr>
              <w:rPr>
                <w:rFonts w:ascii="宋体"/>
              </w:rPr>
            </w:pPr>
          </w:p>
        </w:tc>
        <w:tc>
          <w:tcPr>
            <w:tcW w:w="0" w:type="auto"/>
            <w:shd w:val="clear" w:color="auto" w:fill="auto"/>
          </w:tcPr>
          <w:p w14:paraId="0D8DF7EC" w14:textId="77777777" w:rsidR="004C2197" w:rsidRDefault="004C2197">
            <w:pPr>
              <w:rPr>
                <w:rFonts w:ascii="宋体"/>
              </w:rPr>
            </w:pPr>
          </w:p>
        </w:tc>
        <w:tc>
          <w:tcPr>
            <w:tcW w:w="0" w:type="auto"/>
            <w:shd w:val="clear" w:color="auto" w:fill="auto"/>
          </w:tcPr>
          <w:p w14:paraId="0D8DF7ED" w14:textId="77777777" w:rsidR="004C2197" w:rsidRDefault="004C2197">
            <w:pPr>
              <w:rPr>
                <w:rFonts w:ascii="宋体"/>
              </w:rPr>
            </w:pPr>
          </w:p>
        </w:tc>
        <w:tc>
          <w:tcPr>
            <w:tcW w:w="0" w:type="auto"/>
            <w:shd w:val="clear" w:color="auto" w:fill="auto"/>
          </w:tcPr>
          <w:p w14:paraId="0D8DF7EE" w14:textId="77777777" w:rsidR="004C2197" w:rsidRDefault="004C2197">
            <w:pPr>
              <w:rPr>
                <w:rFonts w:ascii="宋体"/>
              </w:rPr>
            </w:pPr>
          </w:p>
        </w:tc>
        <w:tc>
          <w:tcPr>
            <w:tcW w:w="0" w:type="auto"/>
            <w:shd w:val="clear" w:color="auto" w:fill="auto"/>
          </w:tcPr>
          <w:p w14:paraId="0D8DF7EF" w14:textId="77777777" w:rsidR="004C2197" w:rsidRDefault="004C2197">
            <w:pPr>
              <w:rPr>
                <w:rFonts w:ascii="宋体"/>
              </w:rPr>
            </w:pPr>
          </w:p>
        </w:tc>
        <w:tc>
          <w:tcPr>
            <w:tcW w:w="0" w:type="auto"/>
            <w:shd w:val="clear" w:color="auto" w:fill="auto"/>
          </w:tcPr>
          <w:p w14:paraId="0D8DF7F0" w14:textId="77777777" w:rsidR="004C2197" w:rsidRDefault="004C2197">
            <w:pPr>
              <w:rPr>
                <w:rFonts w:ascii="宋体"/>
              </w:rPr>
            </w:pPr>
          </w:p>
        </w:tc>
        <w:tc>
          <w:tcPr>
            <w:tcW w:w="0" w:type="auto"/>
            <w:shd w:val="clear" w:color="auto" w:fill="auto"/>
          </w:tcPr>
          <w:p w14:paraId="0D8DF7F1" w14:textId="77777777" w:rsidR="004C2197" w:rsidRDefault="004C2197">
            <w:pPr>
              <w:rPr>
                <w:rFonts w:ascii="宋体"/>
              </w:rPr>
            </w:pPr>
          </w:p>
        </w:tc>
        <w:tc>
          <w:tcPr>
            <w:tcW w:w="0" w:type="auto"/>
            <w:shd w:val="clear" w:color="auto" w:fill="auto"/>
          </w:tcPr>
          <w:p w14:paraId="0D8DF7F2" w14:textId="77777777" w:rsidR="004C2197" w:rsidRDefault="004C2197">
            <w:pPr>
              <w:rPr>
                <w:rFonts w:ascii="宋体"/>
              </w:rPr>
            </w:pPr>
          </w:p>
        </w:tc>
      </w:tr>
      <w:tr w:rsidR="004C2197" w14:paraId="0D8DF803" w14:textId="77777777">
        <w:tc>
          <w:tcPr>
            <w:tcW w:w="0" w:type="auto"/>
            <w:gridSpan w:val="3"/>
            <w:shd w:val="clear" w:color="auto" w:fill="FFFFFF"/>
            <w:tcMar>
              <w:top w:w="40" w:type="dxa"/>
              <w:left w:w="60" w:type="dxa"/>
              <w:bottom w:w="40" w:type="dxa"/>
              <w:right w:w="20" w:type="dxa"/>
            </w:tcMar>
            <w:vAlign w:val="bottom"/>
          </w:tcPr>
          <w:p w14:paraId="0D8DF7F4" w14:textId="77777777" w:rsidR="004C2197" w:rsidRDefault="00863B83">
            <w:pPr>
              <w:textAlignment w:val="bottom"/>
            </w:pPr>
            <w:r>
              <w:rPr>
                <w:rFonts w:ascii="sans-serif" w:eastAsia="sans-serif" w:hAnsi="sans-serif" w:cs="sans-serif"/>
                <w:color w:val="000000"/>
                <w:sz w:val="20"/>
                <w:szCs w:val="20"/>
              </w:rPr>
              <w:t>Other asset:</w:t>
            </w:r>
          </w:p>
        </w:tc>
        <w:tc>
          <w:tcPr>
            <w:tcW w:w="0" w:type="auto"/>
            <w:gridSpan w:val="3"/>
            <w:shd w:val="clear" w:color="auto" w:fill="FFFFFF"/>
            <w:tcMar>
              <w:left w:w="20" w:type="dxa"/>
              <w:right w:w="20" w:type="dxa"/>
            </w:tcMar>
            <w:vAlign w:val="bottom"/>
          </w:tcPr>
          <w:p w14:paraId="0D8DF7F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F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F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F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7F9" w14:textId="77777777" w:rsidR="004C2197" w:rsidRDefault="004C2197">
            <w:pPr>
              <w:rPr>
                <w:rFonts w:ascii="宋体"/>
              </w:rPr>
            </w:pPr>
          </w:p>
        </w:tc>
        <w:tc>
          <w:tcPr>
            <w:tcW w:w="0" w:type="auto"/>
            <w:shd w:val="clear" w:color="auto" w:fill="auto"/>
          </w:tcPr>
          <w:p w14:paraId="0D8DF7FA" w14:textId="77777777" w:rsidR="004C2197" w:rsidRDefault="004C2197">
            <w:pPr>
              <w:rPr>
                <w:rFonts w:ascii="宋体"/>
              </w:rPr>
            </w:pPr>
          </w:p>
        </w:tc>
        <w:tc>
          <w:tcPr>
            <w:tcW w:w="0" w:type="auto"/>
            <w:shd w:val="clear" w:color="auto" w:fill="auto"/>
          </w:tcPr>
          <w:p w14:paraId="0D8DF7FB" w14:textId="77777777" w:rsidR="004C2197" w:rsidRDefault="004C2197">
            <w:pPr>
              <w:rPr>
                <w:rFonts w:ascii="宋体"/>
              </w:rPr>
            </w:pPr>
          </w:p>
        </w:tc>
        <w:tc>
          <w:tcPr>
            <w:tcW w:w="0" w:type="auto"/>
            <w:shd w:val="clear" w:color="auto" w:fill="auto"/>
          </w:tcPr>
          <w:p w14:paraId="0D8DF7FC" w14:textId="77777777" w:rsidR="004C2197" w:rsidRDefault="004C2197">
            <w:pPr>
              <w:rPr>
                <w:rFonts w:ascii="宋体"/>
              </w:rPr>
            </w:pPr>
          </w:p>
        </w:tc>
        <w:tc>
          <w:tcPr>
            <w:tcW w:w="0" w:type="auto"/>
            <w:shd w:val="clear" w:color="auto" w:fill="auto"/>
          </w:tcPr>
          <w:p w14:paraId="0D8DF7FD" w14:textId="77777777" w:rsidR="004C2197" w:rsidRDefault="004C2197">
            <w:pPr>
              <w:rPr>
                <w:rFonts w:ascii="宋体"/>
              </w:rPr>
            </w:pPr>
          </w:p>
        </w:tc>
        <w:tc>
          <w:tcPr>
            <w:tcW w:w="0" w:type="auto"/>
            <w:shd w:val="clear" w:color="auto" w:fill="auto"/>
          </w:tcPr>
          <w:p w14:paraId="0D8DF7FE" w14:textId="77777777" w:rsidR="004C2197" w:rsidRDefault="004C2197">
            <w:pPr>
              <w:rPr>
                <w:rFonts w:ascii="宋体"/>
              </w:rPr>
            </w:pPr>
          </w:p>
        </w:tc>
        <w:tc>
          <w:tcPr>
            <w:tcW w:w="0" w:type="auto"/>
            <w:shd w:val="clear" w:color="auto" w:fill="auto"/>
          </w:tcPr>
          <w:p w14:paraId="0D8DF7FF" w14:textId="77777777" w:rsidR="004C2197" w:rsidRDefault="004C2197">
            <w:pPr>
              <w:rPr>
                <w:rFonts w:ascii="宋体"/>
              </w:rPr>
            </w:pPr>
          </w:p>
        </w:tc>
        <w:tc>
          <w:tcPr>
            <w:tcW w:w="0" w:type="auto"/>
            <w:shd w:val="clear" w:color="auto" w:fill="auto"/>
          </w:tcPr>
          <w:p w14:paraId="0D8DF800" w14:textId="77777777" w:rsidR="004C2197" w:rsidRDefault="004C2197">
            <w:pPr>
              <w:rPr>
                <w:rFonts w:ascii="宋体"/>
              </w:rPr>
            </w:pPr>
          </w:p>
        </w:tc>
        <w:tc>
          <w:tcPr>
            <w:tcW w:w="0" w:type="auto"/>
            <w:shd w:val="clear" w:color="auto" w:fill="auto"/>
          </w:tcPr>
          <w:p w14:paraId="0D8DF801" w14:textId="77777777" w:rsidR="004C2197" w:rsidRDefault="004C2197">
            <w:pPr>
              <w:rPr>
                <w:rFonts w:ascii="宋体"/>
              </w:rPr>
            </w:pPr>
          </w:p>
        </w:tc>
        <w:tc>
          <w:tcPr>
            <w:tcW w:w="0" w:type="auto"/>
            <w:shd w:val="clear" w:color="auto" w:fill="auto"/>
          </w:tcPr>
          <w:p w14:paraId="0D8DF802" w14:textId="77777777" w:rsidR="004C2197" w:rsidRDefault="004C2197">
            <w:pPr>
              <w:rPr>
                <w:rFonts w:ascii="宋体"/>
              </w:rPr>
            </w:pPr>
          </w:p>
        </w:tc>
      </w:tr>
      <w:tr w:rsidR="004C2197" w14:paraId="0D8DF817" w14:textId="77777777">
        <w:tc>
          <w:tcPr>
            <w:tcW w:w="0" w:type="auto"/>
            <w:gridSpan w:val="3"/>
            <w:shd w:val="clear" w:color="auto" w:fill="E2EFD9"/>
            <w:tcMar>
              <w:top w:w="40" w:type="dxa"/>
              <w:left w:w="180" w:type="dxa"/>
              <w:bottom w:w="40" w:type="dxa"/>
              <w:right w:w="20" w:type="dxa"/>
            </w:tcMar>
            <w:vAlign w:val="bottom"/>
          </w:tcPr>
          <w:p w14:paraId="0D8DF804" w14:textId="77777777" w:rsidR="004C2197" w:rsidRDefault="00863B83">
            <w:pPr>
              <w:textAlignment w:val="bottom"/>
            </w:pPr>
            <w:r>
              <w:rPr>
                <w:rFonts w:ascii="sans-serif" w:eastAsia="sans-serif" w:hAnsi="sans-serif" w:cs="sans-serif"/>
                <w:color w:val="000000"/>
                <w:sz w:val="20"/>
                <w:szCs w:val="20"/>
              </w:rPr>
              <w:t>Investment in non-affiliated entities (1)</w:t>
            </w:r>
          </w:p>
        </w:tc>
        <w:tc>
          <w:tcPr>
            <w:tcW w:w="0" w:type="auto"/>
            <w:gridSpan w:val="3"/>
            <w:shd w:val="clear" w:color="auto" w:fill="E2EFD9"/>
            <w:tcMar>
              <w:top w:w="40" w:type="dxa"/>
              <w:left w:w="20" w:type="dxa"/>
              <w:bottom w:w="40" w:type="dxa"/>
              <w:right w:w="20" w:type="dxa"/>
            </w:tcMar>
            <w:vAlign w:val="bottom"/>
          </w:tcPr>
          <w:p w14:paraId="0D8DF805" w14:textId="77777777" w:rsidR="004C2197" w:rsidRDefault="00863B83">
            <w:pPr>
              <w:jc w:val="center"/>
              <w:textAlignment w:val="bottom"/>
            </w:pPr>
            <w:r>
              <w:rPr>
                <w:rFonts w:ascii="sans-serif" w:eastAsia="sans-serif" w:hAnsi="sans-serif" w:cs="sans-serif"/>
                <w:color w:val="000000"/>
                <w:sz w:val="20"/>
                <w:szCs w:val="20"/>
              </w:rPr>
              <w:t>Level 3</w:t>
            </w:r>
          </w:p>
        </w:tc>
        <w:tc>
          <w:tcPr>
            <w:tcW w:w="0" w:type="auto"/>
            <w:gridSpan w:val="3"/>
            <w:shd w:val="clear" w:color="auto" w:fill="E2EFD9"/>
            <w:tcMar>
              <w:left w:w="20" w:type="dxa"/>
              <w:right w:w="20" w:type="dxa"/>
            </w:tcMar>
            <w:vAlign w:val="bottom"/>
          </w:tcPr>
          <w:p w14:paraId="0D8DF80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0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08" w14:textId="77777777" w:rsidR="004C2197" w:rsidRDefault="00863B83">
            <w:pPr>
              <w:jc w:val="right"/>
              <w:textAlignment w:val="bottom"/>
            </w:pPr>
            <w:r>
              <w:rPr>
                <w:rFonts w:ascii="sans-serif" w:eastAsia="sans-serif" w:hAnsi="sans-serif" w:cs="sans-serif"/>
                <w:color w:val="000000"/>
                <w:sz w:val="20"/>
                <w:szCs w:val="20"/>
              </w:rPr>
              <w:t>110 </w:t>
            </w:r>
          </w:p>
        </w:tc>
        <w:tc>
          <w:tcPr>
            <w:tcW w:w="0" w:type="auto"/>
            <w:shd w:val="clear" w:color="auto" w:fill="E2EFD9"/>
            <w:tcMar>
              <w:top w:w="40" w:type="dxa"/>
              <w:bottom w:w="40" w:type="dxa"/>
              <w:right w:w="20" w:type="dxa"/>
            </w:tcMar>
            <w:vAlign w:val="bottom"/>
          </w:tcPr>
          <w:p w14:paraId="0D8DF80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80A" w14:textId="77777777" w:rsidR="004C2197" w:rsidRDefault="004C2197">
            <w:pPr>
              <w:jc w:val="center"/>
              <w:rPr>
                <w:rFonts w:ascii="宋体"/>
              </w:rPr>
            </w:pPr>
          </w:p>
        </w:tc>
        <w:tc>
          <w:tcPr>
            <w:tcW w:w="0" w:type="auto"/>
            <w:shd w:val="clear" w:color="auto" w:fill="E2EFD9"/>
            <w:tcMar>
              <w:top w:w="40" w:type="dxa"/>
              <w:left w:w="20" w:type="dxa"/>
              <w:bottom w:w="40" w:type="dxa"/>
            </w:tcMar>
            <w:vAlign w:val="bottom"/>
          </w:tcPr>
          <w:p w14:paraId="0D8DF80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0C" w14:textId="77777777" w:rsidR="004C2197" w:rsidRDefault="00863B83">
            <w:pPr>
              <w:jc w:val="right"/>
              <w:textAlignment w:val="bottom"/>
            </w:pPr>
            <w:r>
              <w:rPr>
                <w:rFonts w:ascii="sans-serif" w:eastAsia="sans-serif" w:hAnsi="sans-serif" w:cs="sans-serif"/>
                <w:color w:val="000000"/>
                <w:sz w:val="20"/>
                <w:szCs w:val="20"/>
              </w:rPr>
              <w:t>77 </w:t>
            </w:r>
          </w:p>
        </w:tc>
        <w:tc>
          <w:tcPr>
            <w:tcW w:w="0" w:type="auto"/>
            <w:shd w:val="clear" w:color="auto" w:fill="E2EFD9"/>
            <w:tcMar>
              <w:top w:w="40" w:type="dxa"/>
              <w:bottom w:w="40" w:type="dxa"/>
              <w:right w:w="20" w:type="dxa"/>
            </w:tcMar>
            <w:vAlign w:val="bottom"/>
          </w:tcPr>
          <w:p w14:paraId="0D8DF80D" w14:textId="77777777" w:rsidR="004C2197" w:rsidRDefault="004C2197">
            <w:pPr>
              <w:jc w:val="right"/>
              <w:rPr>
                <w:rFonts w:ascii="宋体"/>
              </w:rPr>
            </w:pPr>
          </w:p>
        </w:tc>
        <w:tc>
          <w:tcPr>
            <w:tcW w:w="0" w:type="auto"/>
            <w:shd w:val="clear" w:color="auto" w:fill="auto"/>
          </w:tcPr>
          <w:p w14:paraId="0D8DF80E" w14:textId="77777777" w:rsidR="004C2197" w:rsidRDefault="004C2197">
            <w:pPr>
              <w:rPr>
                <w:rFonts w:ascii="宋体"/>
              </w:rPr>
            </w:pPr>
          </w:p>
        </w:tc>
        <w:tc>
          <w:tcPr>
            <w:tcW w:w="0" w:type="auto"/>
            <w:shd w:val="clear" w:color="auto" w:fill="auto"/>
          </w:tcPr>
          <w:p w14:paraId="0D8DF80F" w14:textId="77777777" w:rsidR="004C2197" w:rsidRDefault="004C2197">
            <w:pPr>
              <w:rPr>
                <w:rFonts w:ascii="宋体"/>
              </w:rPr>
            </w:pPr>
          </w:p>
        </w:tc>
        <w:tc>
          <w:tcPr>
            <w:tcW w:w="0" w:type="auto"/>
            <w:shd w:val="clear" w:color="auto" w:fill="auto"/>
          </w:tcPr>
          <w:p w14:paraId="0D8DF810" w14:textId="77777777" w:rsidR="004C2197" w:rsidRDefault="004C2197">
            <w:pPr>
              <w:rPr>
                <w:rFonts w:ascii="宋体"/>
              </w:rPr>
            </w:pPr>
          </w:p>
        </w:tc>
        <w:tc>
          <w:tcPr>
            <w:tcW w:w="0" w:type="auto"/>
            <w:shd w:val="clear" w:color="auto" w:fill="auto"/>
          </w:tcPr>
          <w:p w14:paraId="0D8DF811" w14:textId="77777777" w:rsidR="004C2197" w:rsidRDefault="004C2197">
            <w:pPr>
              <w:rPr>
                <w:rFonts w:ascii="宋体"/>
              </w:rPr>
            </w:pPr>
          </w:p>
        </w:tc>
        <w:tc>
          <w:tcPr>
            <w:tcW w:w="0" w:type="auto"/>
            <w:shd w:val="clear" w:color="auto" w:fill="auto"/>
          </w:tcPr>
          <w:p w14:paraId="0D8DF812" w14:textId="77777777" w:rsidR="004C2197" w:rsidRDefault="004C2197">
            <w:pPr>
              <w:rPr>
                <w:rFonts w:ascii="宋体"/>
              </w:rPr>
            </w:pPr>
          </w:p>
        </w:tc>
        <w:tc>
          <w:tcPr>
            <w:tcW w:w="0" w:type="auto"/>
            <w:shd w:val="clear" w:color="auto" w:fill="auto"/>
          </w:tcPr>
          <w:p w14:paraId="0D8DF813" w14:textId="77777777" w:rsidR="004C2197" w:rsidRDefault="004C2197">
            <w:pPr>
              <w:rPr>
                <w:rFonts w:ascii="宋体"/>
              </w:rPr>
            </w:pPr>
          </w:p>
        </w:tc>
        <w:tc>
          <w:tcPr>
            <w:tcW w:w="0" w:type="auto"/>
            <w:shd w:val="clear" w:color="auto" w:fill="auto"/>
          </w:tcPr>
          <w:p w14:paraId="0D8DF814" w14:textId="77777777" w:rsidR="004C2197" w:rsidRDefault="004C2197">
            <w:pPr>
              <w:rPr>
                <w:rFonts w:ascii="宋体"/>
              </w:rPr>
            </w:pPr>
          </w:p>
        </w:tc>
        <w:tc>
          <w:tcPr>
            <w:tcW w:w="0" w:type="auto"/>
            <w:shd w:val="clear" w:color="auto" w:fill="auto"/>
          </w:tcPr>
          <w:p w14:paraId="0D8DF815" w14:textId="77777777" w:rsidR="004C2197" w:rsidRDefault="004C2197">
            <w:pPr>
              <w:rPr>
                <w:rFonts w:ascii="宋体"/>
              </w:rPr>
            </w:pPr>
          </w:p>
        </w:tc>
        <w:tc>
          <w:tcPr>
            <w:tcW w:w="0" w:type="auto"/>
            <w:shd w:val="clear" w:color="auto" w:fill="auto"/>
          </w:tcPr>
          <w:p w14:paraId="0D8DF816" w14:textId="77777777" w:rsidR="004C2197" w:rsidRDefault="004C2197">
            <w:pPr>
              <w:rPr>
                <w:rFonts w:ascii="宋体"/>
              </w:rPr>
            </w:pPr>
          </w:p>
        </w:tc>
      </w:tr>
      <w:tr w:rsidR="004C2197" w14:paraId="0D8DF827" w14:textId="77777777">
        <w:trPr>
          <w:trHeight w:val="300"/>
        </w:trPr>
        <w:tc>
          <w:tcPr>
            <w:tcW w:w="0" w:type="auto"/>
            <w:gridSpan w:val="3"/>
            <w:shd w:val="clear" w:color="auto" w:fill="FFFFFF"/>
            <w:tcMar>
              <w:left w:w="20" w:type="dxa"/>
              <w:right w:w="20" w:type="dxa"/>
            </w:tcMar>
            <w:vAlign w:val="bottom"/>
          </w:tcPr>
          <w:p w14:paraId="0D8DF81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1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1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1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1C"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1D" w14:textId="77777777" w:rsidR="004C2197" w:rsidRDefault="004C2197">
            <w:pPr>
              <w:rPr>
                <w:rFonts w:ascii="宋体"/>
              </w:rPr>
            </w:pPr>
          </w:p>
        </w:tc>
        <w:tc>
          <w:tcPr>
            <w:tcW w:w="0" w:type="auto"/>
            <w:shd w:val="clear" w:color="auto" w:fill="auto"/>
          </w:tcPr>
          <w:p w14:paraId="0D8DF81E" w14:textId="77777777" w:rsidR="004C2197" w:rsidRDefault="004C2197">
            <w:pPr>
              <w:rPr>
                <w:rFonts w:ascii="宋体"/>
              </w:rPr>
            </w:pPr>
          </w:p>
        </w:tc>
        <w:tc>
          <w:tcPr>
            <w:tcW w:w="0" w:type="auto"/>
            <w:shd w:val="clear" w:color="auto" w:fill="auto"/>
          </w:tcPr>
          <w:p w14:paraId="0D8DF81F" w14:textId="77777777" w:rsidR="004C2197" w:rsidRDefault="004C2197">
            <w:pPr>
              <w:rPr>
                <w:rFonts w:ascii="宋体"/>
              </w:rPr>
            </w:pPr>
          </w:p>
        </w:tc>
        <w:tc>
          <w:tcPr>
            <w:tcW w:w="0" w:type="auto"/>
            <w:shd w:val="clear" w:color="auto" w:fill="auto"/>
          </w:tcPr>
          <w:p w14:paraId="0D8DF820" w14:textId="77777777" w:rsidR="004C2197" w:rsidRDefault="004C2197">
            <w:pPr>
              <w:rPr>
                <w:rFonts w:ascii="宋体"/>
              </w:rPr>
            </w:pPr>
          </w:p>
        </w:tc>
        <w:tc>
          <w:tcPr>
            <w:tcW w:w="0" w:type="auto"/>
            <w:shd w:val="clear" w:color="auto" w:fill="auto"/>
          </w:tcPr>
          <w:p w14:paraId="0D8DF821" w14:textId="77777777" w:rsidR="004C2197" w:rsidRDefault="004C2197">
            <w:pPr>
              <w:rPr>
                <w:rFonts w:ascii="宋体"/>
              </w:rPr>
            </w:pPr>
          </w:p>
        </w:tc>
        <w:tc>
          <w:tcPr>
            <w:tcW w:w="0" w:type="auto"/>
            <w:shd w:val="clear" w:color="auto" w:fill="auto"/>
          </w:tcPr>
          <w:p w14:paraId="0D8DF822" w14:textId="77777777" w:rsidR="004C2197" w:rsidRDefault="004C2197">
            <w:pPr>
              <w:rPr>
                <w:rFonts w:ascii="宋体"/>
              </w:rPr>
            </w:pPr>
          </w:p>
        </w:tc>
        <w:tc>
          <w:tcPr>
            <w:tcW w:w="0" w:type="auto"/>
            <w:shd w:val="clear" w:color="auto" w:fill="auto"/>
          </w:tcPr>
          <w:p w14:paraId="0D8DF823" w14:textId="77777777" w:rsidR="004C2197" w:rsidRDefault="004C2197">
            <w:pPr>
              <w:rPr>
                <w:rFonts w:ascii="宋体"/>
              </w:rPr>
            </w:pPr>
          </w:p>
        </w:tc>
        <w:tc>
          <w:tcPr>
            <w:tcW w:w="0" w:type="auto"/>
            <w:shd w:val="clear" w:color="auto" w:fill="auto"/>
          </w:tcPr>
          <w:p w14:paraId="0D8DF824" w14:textId="77777777" w:rsidR="004C2197" w:rsidRDefault="004C2197">
            <w:pPr>
              <w:rPr>
                <w:rFonts w:ascii="宋体"/>
              </w:rPr>
            </w:pPr>
          </w:p>
        </w:tc>
        <w:tc>
          <w:tcPr>
            <w:tcW w:w="0" w:type="auto"/>
            <w:shd w:val="clear" w:color="auto" w:fill="auto"/>
          </w:tcPr>
          <w:p w14:paraId="0D8DF825" w14:textId="77777777" w:rsidR="004C2197" w:rsidRDefault="004C2197">
            <w:pPr>
              <w:rPr>
                <w:rFonts w:ascii="宋体"/>
              </w:rPr>
            </w:pPr>
          </w:p>
        </w:tc>
        <w:tc>
          <w:tcPr>
            <w:tcW w:w="0" w:type="auto"/>
            <w:shd w:val="clear" w:color="auto" w:fill="auto"/>
          </w:tcPr>
          <w:p w14:paraId="0D8DF826" w14:textId="77777777" w:rsidR="004C2197" w:rsidRDefault="004C2197">
            <w:pPr>
              <w:rPr>
                <w:rFonts w:ascii="宋体"/>
              </w:rPr>
            </w:pPr>
          </w:p>
        </w:tc>
      </w:tr>
      <w:tr w:rsidR="004C2197" w14:paraId="0D8DF837" w14:textId="77777777">
        <w:trPr>
          <w:hidden/>
        </w:trPr>
        <w:tc>
          <w:tcPr>
            <w:tcW w:w="0" w:type="auto"/>
            <w:gridSpan w:val="3"/>
            <w:shd w:val="clear" w:color="auto" w:fill="auto"/>
          </w:tcPr>
          <w:p w14:paraId="0D8DF828" w14:textId="77777777" w:rsidR="004C2197" w:rsidRDefault="004C2197">
            <w:pPr>
              <w:rPr>
                <w:rFonts w:ascii="宋体"/>
                <w:vanish/>
              </w:rPr>
            </w:pPr>
          </w:p>
        </w:tc>
        <w:tc>
          <w:tcPr>
            <w:tcW w:w="0" w:type="auto"/>
            <w:gridSpan w:val="3"/>
            <w:shd w:val="clear" w:color="auto" w:fill="auto"/>
          </w:tcPr>
          <w:p w14:paraId="0D8DF829" w14:textId="77777777" w:rsidR="004C2197" w:rsidRDefault="004C2197">
            <w:pPr>
              <w:rPr>
                <w:rFonts w:ascii="宋体"/>
                <w:vanish/>
              </w:rPr>
            </w:pPr>
          </w:p>
        </w:tc>
        <w:tc>
          <w:tcPr>
            <w:tcW w:w="0" w:type="auto"/>
            <w:gridSpan w:val="3"/>
            <w:shd w:val="clear" w:color="auto" w:fill="auto"/>
          </w:tcPr>
          <w:p w14:paraId="0D8DF82A" w14:textId="77777777" w:rsidR="004C2197" w:rsidRDefault="004C2197">
            <w:pPr>
              <w:rPr>
                <w:rFonts w:ascii="宋体"/>
                <w:vanish/>
              </w:rPr>
            </w:pPr>
          </w:p>
        </w:tc>
        <w:tc>
          <w:tcPr>
            <w:tcW w:w="0" w:type="auto"/>
            <w:gridSpan w:val="3"/>
            <w:shd w:val="clear" w:color="auto" w:fill="auto"/>
          </w:tcPr>
          <w:p w14:paraId="0D8DF82B" w14:textId="77777777" w:rsidR="004C2197" w:rsidRDefault="004C2197">
            <w:pPr>
              <w:rPr>
                <w:rFonts w:ascii="宋体"/>
                <w:vanish/>
              </w:rPr>
            </w:pPr>
          </w:p>
        </w:tc>
        <w:tc>
          <w:tcPr>
            <w:tcW w:w="0" w:type="auto"/>
            <w:gridSpan w:val="3"/>
            <w:shd w:val="clear" w:color="auto" w:fill="auto"/>
          </w:tcPr>
          <w:p w14:paraId="0D8DF82C" w14:textId="77777777" w:rsidR="004C2197" w:rsidRDefault="004C2197">
            <w:pPr>
              <w:rPr>
                <w:rFonts w:ascii="宋体"/>
                <w:vanish/>
              </w:rPr>
            </w:pPr>
          </w:p>
        </w:tc>
        <w:tc>
          <w:tcPr>
            <w:tcW w:w="0" w:type="auto"/>
            <w:gridSpan w:val="3"/>
            <w:shd w:val="clear" w:color="auto" w:fill="auto"/>
          </w:tcPr>
          <w:p w14:paraId="0D8DF82D" w14:textId="77777777" w:rsidR="004C2197" w:rsidRDefault="004C2197">
            <w:pPr>
              <w:rPr>
                <w:rFonts w:ascii="宋体"/>
                <w:vanish/>
              </w:rPr>
            </w:pPr>
          </w:p>
        </w:tc>
        <w:tc>
          <w:tcPr>
            <w:tcW w:w="0" w:type="auto"/>
            <w:shd w:val="clear" w:color="auto" w:fill="auto"/>
          </w:tcPr>
          <w:p w14:paraId="0D8DF82E" w14:textId="77777777" w:rsidR="004C2197" w:rsidRDefault="004C2197">
            <w:pPr>
              <w:rPr>
                <w:rFonts w:ascii="宋体"/>
              </w:rPr>
            </w:pPr>
          </w:p>
        </w:tc>
        <w:tc>
          <w:tcPr>
            <w:tcW w:w="0" w:type="auto"/>
            <w:shd w:val="clear" w:color="auto" w:fill="auto"/>
          </w:tcPr>
          <w:p w14:paraId="0D8DF82F" w14:textId="77777777" w:rsidR="004C2197" w:rsidRDefault="004C2197">
            <w:pPr>
              <w:rPr>
                <w:rFonts w:ascii="宋体"/>
              </w:rPr>
            </w:pPr>
          </w:p>
        </w:tc>
        <w:tc>
          <w:tcPr>
            <w:tcW w:w="0" w:type="auto"/>
            <w:shd w:val="clear" w:color="auto" w:fill="auto"/>
          </w:tcPr>
          <w:p w14:paraId="0D8DF830" w14:textId="77777777" w:rsidR="004C2197" w:rsidRDefault="004C2197">
            <w:pPr>
              <w:rPr>
                <w:rFonts w:ascii="宋体"/>
              </w:rPr>
            </w:pPr>
          </w:p>
        </w:tc>
        <w:tc>
          <w:tcPr>
            <w:tcW w:w="0" w:type="auto"/>
            <w:shd w:val="clear" w:color="auto" w:fill="auto"/>
          </w:tcPr>
          <w:p w14:paraId="0D8DF831" w14:textId="77777777" w:rsidR="004C2197" w:rsidRDefault="004C2197">
            <w:pPr>
              <w:rPr>
                <w:rFonts w:ascii="宋体"/>
              </w:rPr>
            </w:pPr>
          </w:p>
        </w:tc>
        <w:tc>
          <w:tcPr>
            <w:tcW w:w="0" w:type="auto"/>
            <w:shd w:val="clear" w:color="auto" w:fill="auto"/>
          </w:tcPr>
          <w:p w14:paraId="0D8DF832" w14:textId="77777777" w:rsidR="004C2197" w:rsidRDefault="004C2197">
            <w:pPr>
              <w:rPr>
                <w:rFonts w:ascii="宋体"/>
              </w:rPr>
            </w:pPr>
          </w:p>
        </w:tc>
        <w:tc>
          <w:tcPr>
            <w:tcW w:w="0" w:type="auto"/>
            <w:shd w:val="clear" w:color="auto" w:fill="auto"/>
          </w:tcPr>
          <w:p w14:paraId="0D8DF833" w14:textId="77777777" w:rsidR="004C2197" w:rsidRDefault="004C2197">
            <w:pPr>
              <w:rPr>
                <w:rFonts w:ascii="宋体"/>
              </w:rPr>
            </w:pPr>
          </w:p>
        </w:tc>
        <w:tc>
          <w:tcPr>
            <w:tcW w:w="0" w:type="auto"/>
            <w:shd w:val="clear" w:color="auto" w:fill="auto"/>
          </w:tcPr>
          <w:p w14:paraId="0D8DF834" w14:textId="77777777" w:rsidR="004C2197" w:rsidRDefault="004C2197">
            <w:pPr>
              <w:rPr>
                <w:rFonts w:ascii="宋体"/>
              </w:rPr>
            </w:pPr>
          </w:p>
        </w:tc>
        <w:tc>
          <w:tcPr>
            <w:tcW w:w="0" w:type="auto"/>
            <w:shd w:val="clear" w:color="auto" w:fill="auto"/>
          </w:tcPr>
          <w:p w14:paraId="0D8DF835" w14:textId="77777777" w:rsidR="004C2197" w:rsidRDefault="004C2197">
            <w:pPr>
              <w:rPr>
                <w:rFonts w:ascii="宋体"/>
              </w:rPr>
            </w:pPr>
          </w:p>
        </w:tc>
        <w:tc>
          <w:tcPr>
            <w:tcW w:w="0" w:type="auto"/>
            <w:shd w:val="clear" w:color="auto" w:fill="auto"/>
          </w:tcPr>
          <w:p w14:paraId="0D8DF836" w14:textId="77777777" w:rsidR="004C2197" w:rsidRDefault="004C2197">
            <w:pPr>
              <w:rPr>
                <w:rFonts w:ascii="宋体"/>
              </w:rPr>
            </w:pPr>
          </w:p>
        </w:tc>
      </w:tr>
      <w:tr w:rsidR="004C2197" w14:paraId="0D8DF847" w14:textId="77777777">
        <w:trPr>
          <w:hidden/>
        </w:trPr>
        <w:tc>
          <w:tcPr>
            <w:tcW w:w="0" w:type="auto"/>
            <w:gridSpan w:val="3"/>
            <w:shd w:val="clear" w:color="auto" w:fill="auto"/>
          </w:tcPr>
          <w:p w14:paraId="0D8DF838" w14:textId="77777777" w:rsidR="004C2197" w:rsidRDefault="004C2197">
            <w:pPr>
              <w:rPr>
                <w:rFonts w:ascii="宋体"/>
                <w:vanish/>
              </w:rPr>
            </w:pPr>
          </w:p>
        </w:tc>
        <w:tc>
          <w:tcPr>
            <w:tcW w:w="0" w:type="auto"/>
            <w:gridSpan w:val="3"/>
            <w:shd w:val="clear" w:color="auto" w:fill="auto"/>
          </w:tcPr>
          <w:p w14:paraId="0D8DF839" w14:textId="77777777" w:rsidR="004C2197" w:rsidRDefault="004C2197">
            <w:pPr>
              <w:rPr>
                <w:rFonts w:ascii="宋体"/>
                <w:vanish/>
              </w:rPr>
            </w:pPr>
          </w:p>
        </w:tc>
        <w:tc>
          <w:tcPr>
            <w:tcW w:w="0" w:type="auto"/>
            <w:gridSpan w:val="3"/>
            <w:shd w:val="clear" w:color="auto" w:fill="auto"/>
          </w:tcPr>
          <w:p w14:paraId="0D8DF83A" w14:textId="77777777" w:rsidR="004C2197" w:rsidRDefault="004C2197">
            <w:pPr>
              <w:rPr>
                <w:rFonts w:ascii="宋体"/>
                <w:vanish/>
              </w:rPr>
            </w:pPr>
          </w:p>
        </w:tc>
        <w:tc>
          <w:tcPr>
            <w:tcW w:w="0" w:type="auto"/>
            <w:gridSpan w:val="3"/>
            <w:shd w:val="clear" w:color="auto" w:fill="auto"/>
          </w:tcPr>
          <w:p w14:paraId="0D8DF83B" w14:textId="77777777" w:rsidR="004C2197" w:rsidRDefault="004C2197">
            <w:pPr>
              <w:rPr>
                <w:rFonts w:ascii="宋体"/>
                <w:vanish/>
              </w:rPr>
            </w:pPr>
          </w:p>
        </w:tc>
        <w:tc>
          <w:tcPr>
            <w:tcW w:w="0" w:type="auto"/>
            <w:gridSpan w:val="3"/>
            <w:shd w:val="clear" w:color="auto" w:fill="auto"/>
          </w:tcPr>
          <w:p w14:paraId="0D8DF83C" w14:textId="77777777" w:rsidR="004C2197" w:rsidRDefault="004C2197">
            <w:pPr>
              <w:rPr>
                <w:rFonts w:ascii="宋体"/>
                <w:vanish/>
              </w:rPr>
            </w:pPr>
          </w:p>
        </w:tc>
        <w:tc>
          <w:tcPr>
            <w:tcW w:w="0" w:type="auto"/>
            <w:gridSpan w:val="3"/>
            <w:shd w:val="clear" w:color="auto" w:fill="auto"/>
          </w:tcPr>
          <w:p w14:paraId="0D8DF83D" w14:textId="77777777" w:rsidR="004C2197" w:rsidRDefault="004C2197">
            <w:pPr>
              <w:rPr>
                <w:rFonts w:ascii="宋体"/>
                <w:vanish/>
              </w:rPr>
            </w:pPr>
          </w:p>
        </w:tc>
        <w:tc>
          <w:tcPr>
            <w:tcW w:w="0" w:type="auto"/>
            <w:shd w:val="clear" w:color="auto" w:fill="auto"/>
          </w:tcPr>
          <w:p w14:paraId="0D8DF83E" w14:textId="77777777" w:rsidR="004C2197" w:rsidRDefault="004C2197">
            <w:pPr>
              <w:rPr>
                <w:rFonts w:ascii="宋体"/>
              </w:rPr>
            </w:pPr>
          </w:p>
        </w:tc>
        <w:tc>
          <w:tcPr>
            <w:tcW w:w="0" w:type="auto"/>
            <w:shd w:val="clear" w:color="auto" w:fill="auto"/>
          </w:tcPr>
          <w:p w14:paraId="0D8DF83F" w14:textId="77777777" w:rsidR="004C2197" w:rsidRDefault="004C2197">
            <w:pPr>
              <w:rPr>
                <w:rFonts w:ascii="宋体"/>
              </w:rPr>
            </w:pPr>
          </w:p>
        </w:tc>
        <w:tc>
          <w:tcPr>
            <w:tcW w:w="0" w:type="auto"/>
            <w:shd w:val="clear" w:color="auto" w:fill="auto"/>
          </w:tcPr>
          <w:p w14:paraId="0D8DF840" w14:textId="77777777" w:rsidR="004C2197" w:rsidRDefault="004C2197">
            <w:pPr>
              <w:rPr>
                <w:rFonts w:ascii="宋体"/>
              </w:rPr>
            </w:pPr>
          </w:p>
        </w:tc>
        <w:tc>
          <w:tcPr>
            <w:tcW w:w="0" w:type="auto"/>
            <w:shd w:val="clear" w:color="auto" w:fill="auto"/>
          </w:tcPr>
          <w:p w14:paraId="0D8DF841" w14:textId="77777777" w:rsidR="004C2197" w:rsidRDefault="004C2197">
            <w:pPr>
              <w:rPr>
                <w:rFonts w:ascii="宋体"/>
              </w:rPr>
            </w:pPr>
          </w:p>
        </w:tc>
        <w:tc>
          <w:tcPr>
            <w:tcW w:w="0" w:type="auto"/>
            <w:shd w:val="clear" w:color="auto" w:fill="auto"/>
          </w:tcPr>
          <w:p w14:paraId="0D8DF842" w14:textId="77777777" w:rsidR="004C2197" w:rsidRDefault="004C2197">
            <w:pPr>
              <w:rPr>
                <w:rFonts w:ascii="宋体"/>
              </w:rPr>
            </w:pPr>
          </w:p>
        </w:tc>
        <w:tc>
          <w:tcPr>
            <w:tcW w:w="0" w:type="auto"/>
            <w:shd w:val="clear" w:color="auto" w:fill="auto"/>
          </w:tcPr>
          <w:p w14:paraId="0D8DF843" w14:textId="77777777" w:rsidR="004C2197" w:rsidRDefault="004C2197">
            <w:pPr>
              <w:rPr>
                <w:rFonts w:ascii="宋体"/>
              </w:rPr>
            </w:pPr>
          </w:p>
        </w:tc>
        <w:tc>
          <w:tcPr>
            <w:tcW w:w="0" w:type="auto"/>
            <w:shd w:val="clear" w:color="auto" w:fill="auto"/>
          </w:tcPr>
          <w:p w14:paraId="0D8DF844" w14:textId="77777777" w:rsidR="004C2197" w:rsidRDefault="004C2197">
            <w:pPr>
              <w:rPr>
                <w:rFonts w:ascii="宋体"/>
              </w:rPr>
            </w:pPr>
          </w:p>
        </w:tc>
        <w:tc>
          <w:tcPr>
            <w:tcW w:w="0" w:type="auto"/>
            <w:shd w:val="clear" w:color="auto" w:fill="auto"/>
          </w:tcPr>
          <w:p w14:paraId="0D8DF845" w14:textId="77777777" w:rsidR="004C2197" w:rsidRDefault="004C2197">
            <w:pPr>
              <w:rPr>
                <w:rFonts w:ascii="宋体"/>
              </w:rPr>
            </w:pPr>
          </w:p>
        </w:tc>
        <w:tc>
          <w:tcPr>
            <w:tcW w:w="0" w:type="auto"/>
            <w:shd w:val="clear" w:color="auto" w:fill="auto"/>
          </w:tcPr>
          <w:p w14:paraId="0D8DF846" w14:textId="77777777" w:rsidR="004C2197" w:rsidRDefault="004C2197">
            <w:pPr>
              <w:rPr>
                <w:rFonts w:ascii="宋体"/>
              </w:rPr>
            </w:pPr>
          </w:p>
        </w:tc>
      </w:tr>
      <w:tr w:rsidR="004C2197" w14:paraId="0D8DF857" w14:textId="77777777">
        <w:tc>
          <w:tcPr>
            <w:tcW w:w="0" w:type="auto"/>
            <w:gridSpan w:val="3"/>
            <w:shd w:val="clear" w:color="auto" w:fill="E2EFD9"/>
            <w:tcMar>
              <w:top w:w="40" w:type="dxa"/>
              <w:left w:w="20" w:type="dxa"/>
              <w:bottom w:w="40" w:type="dxa"/>
              <w:right w:w="20" w:type="dxa"/>
            </w:tcMar>
            <w:vAlign w:val="bottom"/>
          </w:tcPr>
          <w:p w14:paraId="0D8DF848" w14:textId="77777777" w:rsidR="004C2197" w:rsidRDefault="00863B83">
            <w:pPr>
              <w:textAlignment w:val="bottom"/>
            </w:pPr>
            <w:r>
              <w:rPr>
                <w:rFonts w:ascii="sans-serif" w:eastAsia="sans-serif" w:hAnsi="sans-serif" w:cs="sans-serif"/>
                <w:b/>
                <w:bCs/>
                <w:color w:val="000000"/>
                <w:sz w:val="20"/>
                <w:szCs w:val="20"/>
              </w:rPr>
              <w:t>Liabilities</w:t>
            </w:r>
          </w:p>
        </w:tc>
        <w:tc>
          <w:tcPr>
            <w:tcW w:w="0" w:type="auto"/>
            <w:gridSpan w:val="3"/>
            <w:shd w:val="clear" w:color="auto" w:fill="E2EFD9"/>
            <w:tcMar>
              <w:left w:w="20" w:type="dxa"/>
              <w:right w:w="20" w:type="dxa"/>
            </w:tcMar>
            <w:vAlign w:val="bottom"/>
          </w:tcPr>
          <w:p w14:paraId="0D8DF849"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84A"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84B"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84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84D" w14:textId="77777777" w:rsidR="004C2197" w:rsidRDefault="004C2197">
            <w:pPr>
              <w:rPr>
                <w:rFonts w:ascii="宋体"/>
              </w:rPr>
            </w:pPr>
          </w:p>
        </w:tc>
        <w:tc>
          <w:tcPr>
            <w:tcW w:w="0" w:type="auto"/>
            <w:shd w:val="clear" w:color="auto" w:fill="auto"/>
          </w:tcPr>
          <w:p w14:paraId="0D8DF84E" w14:textId="77777777" w:rsidR="004C2197" w:rsidRDefault="004C2197">
            <w:pPr>
              <w:rPr>
                <w:rFonts w:ascii="宋体"/>
              </w:rPr>
            </w:pPr>
          </w:p>
        </w:tc>
        <w:tc>
          <w:tcPr>
            <w:tcW w:w="0" w:type="auto"/>
            <w:shd w:val="clear" w:color="auto" w:fill="auto"/>
          </w:tcPr>
          <w:p w14:paraId="0D8DF84F" w14:textId="77777777" w:rsidR="004C2197" w:rsidRDefault="004C2197">
            <w:pPr>
              <w:rPr>
                <w:rFonts w:ascii="宋体"/>
              </w:rPr>
            </w:pPr>
          </w:p>
        </w:tc>
        <w:tc>
          <w:tcPr>
            <w:tcW w:w="0" w:type="auto"/>
            <w:shd w:val="clear" w:color="auto" w:fill="auto"/>
          </w:tcPr>
          <w:p w14:paraId="0D8DF850" w14:textId="77777777" w:rsidR="004C2197" w:rsidRDefault="004C2197">
            <w:pPr>
              <w:rPr>
                <w:rFonts w:ascii="宋体"/>
              </w:rPr>
            </w:pPr>
          </w:p>
        </w:tc>
        <w:tc>
          <w:tcPr>
            <w:tcW w:w="0" w:type="auto"/>
            <w:shd w:val="clear" w:color="auto" w:fill="auto"/>
          </w:tcPr>
          <w:p w14:paraId="0D8DF851" w14:textId="77777777" w:rsidR="004C2197" w:rsidRDefault="004C2197">
            <w:pPr>
              <w:rPr>
                <w:rFonts w:ascii="宋体"/>
              </w:rPr>
            </w:pPr>
          </w:p>
        </w:tc>
        <w:tc>
          <w:tcPr>
            <w:tcW w:w="0" w:type="auto"/>
            <w:shd w:val="clear" w:color="auto" w:fill="auto"/>
          </w:tcPr>
          <w:p w14:paraId="0D8DF852" w14:textId="77777777" w:rsidR="004C2197" w:rsidRDefault="004C2197">
            <w:pPr>
              <w:rPr>
                <w:rFonts w:ascii="宋体"/>
              </w:rPr>
            </w:pPr>
          </w:p>
        </w:tc>
        <w:tc>
          <w:tcPr>
            <w:tcW w:w="0" w:type="auto"/>
            <w:shd w:val="clear" w:color="auto" w:fill="auto"/>
          </w:tcPr>
          <w:p w14:paraId="0D8DF853" w14:textId="77777777" w:rsidR="004C2197" w:rsidRDefault="004C2197">
            <w:pPr>
              <w:rPr>
                <w:rFonts w:ascii="宋体"/>
              </w:rPr>
            </w:pPr>
          </w:p>
        </w:tc>
        <w:tc>
          <w:tcPr>
            <w:tcW w:w="0" w:type="auto"/>
            <w:shd w:val="clear" w:color="auto" w:fill="auto"/>
          </w:tcPr>
          <w:p w14:paraId="0D8DF854" w14:textId="77777777" w:rsidR="004C2197" w:rsidRDefault="004C2197">
            <w:pPr>
              <w:rPr>
                <w:rFonts w:ascii="宋体"/>
              </w:rPr>
            </w:pPr>
          </w:p>
        </w:tc>
        <w:tc>
          <w:tcPr>
            <w:tcW w:w="0" w:type="auto"/>
            <w:shd w:val="clear" w:color="auto" w:fill="auto"/>
          </w:tcPr>
          <w:p w14:paraId="0D8DF855" w14:textId="77777777" w:rsidR="004C2197" w:rsidRDefault="004C2197">
            <w:pPr>
              <w:rPr>
                <w:rFonts w:ascii="宋体"/>
              </w:rPr>
            </w:pPr>
          </w:p>
        </w:tc>
        <w:tc>
          <w:tcPr>
            <w:tcW w:w="0" w:type="auto"/>
            <w:shd w:val="clear" w:color="auto" w:fill="auto"/>
          </w:tcPr>
          <w:p w14:paraId="0D8DF856" w14:textId="77777777" w:rsidR="004C2197" w:rsidRDefault="004C2197">
            <w:pPr>
              <w:rPr>
                <w:rFonts w:ascii="宋体"/>
              </w:rPr>
            </w:pPr>
          </w:p>
        </w:tc>
      </w:tr>
      <w:tr w:rsidR="004C2197" w14:paraId="0D8DF867" w14:textId="77777777">
        <w:trPr>
          <w:hidden/>
        </w:trPr>
        <w:tc>
          <w:tcPr>
            <w:tcW w:w="0" w:type="auto"/>
            <w:gridSpan w:val="3"/>
            <w:shd w:val="clear" w:color="auto" w:fill="auto"/>
          </w:tcPr>
          <w:p w14:paraId="0D8DF858" w14:textId="77777777" w:rsidR="004C2197" w:rsidRDefault="004C2197">
            <w:pPr>
              <w:rPr>
                <w:rFonts w:ascii="宋体"/>
                <w:vanish/>
              </w:rPr>
            </w:pPr>
          </w:p>
        </w:tc>
        <w:tc>
          <w:tcPr>
            <w:tcW w:w="0" w:type="auto"/>
            <w:gridSpan w:val="3"/>
            <w:shd w:val="clear" w:color="auto" w:fill="auto"/>
          </w:tcPr>
          <w:p w14:paraId="0D8DF859" w14:textId="77777777" w:rsidR="004C2197" w:rsidRDefault="004C2197">
            <w:pPr>
              <w:rPr>
                <w:rFonts w:ascii="宋体"/>
                <w:vanish/>
              </w:rPr>
            </w:pPr>
          </w:p>
        </w:tc>
        <w:tc>
          <w:tcPr>
            <w:tcW w:w="0" w:type="auto"/>
            <w:gridSpan w:val="3"/>
            <w:shd w:val="clear" w:color="auto" w:fill="auto"/>
          </w:tcPr>
          <w:p w14:paraId="0D8DF85A" w14:textId="77777777" w:rsidR="004C2197" w:rsidRDefault="004C2197">
            <w:pPr>
              <w:rPr>
                <w:rFonts w:ascii="宋体"/>
                <w:vanish/>
              </w:rPr>
            </w:pPr>
          </w:p>
        </w:tc>
        <w:tc>
          <w:tcPr>
            <w:tcW w:w="0" w:type="auto"/>
            <w:gridSpan w:val="3"/>
            <w:shd w:val="clear" w:color="auto" w:fill="auto"/>
          </w:tcPr>
          <w:p w14:paraId="0D8DF85B" w14:textId="77777777" w:rsidR="004C2197" w:rsidRDefault="004C2197">
            <w:pPr>
              <w:rPr>
                <w:rFonts w:ascii="宋体"/>
                <w:vanish/>
              </w:rPr>
            </w:pPr>
          </w:p>
        </w:tc>
        <w:tc>
          <w:tcPr>
            <w:tcW w:w="0" w:type="auto"/>
            <w:gridSpan w:val="3"/>
            <w:shd w:val="clear" w:color="auto" w:fill="auto"/>
          </w:tcPr>
          <w:p w14:paraId="0D8DF85C" w14:textId="77777777" w:rsidR="004C2197" w:rsidRDefault="004C2197">
            <w:pPr>
              <w:rPr>
                <w:rFonts w:ascii="宋体"/>
                <w:vanish/>
              </w:rPr>
            </w:pPr>
          </w:p>
        </w:tc>
        <w:tc>
          <w:tcPr>
            <w:tcW w:w="0" w:type="auto"/>
            <w:gridSpan w:val="3"/>
            <w:shd w:val="clear" w:color="auto" w:fill="auto"/>
          </w:tcPr>
          <w:p w14:paraId="0D8DF85D" w14:textId="77777777" w:rsidR="004C2197" w:rsidRDefault="004C2197">
            <w:pPr>
              <w:rPr>
                <w:rFonts w:ascii="宋体"/>
                <w:vanish/>
              </w:rPr>
            </w:pPr>
          </w:p>
        </w:tc>
        <w:tc>
          <w:tcPr>
            <w:tcW w:w="0" w:type="auto"/>
            <w:shd w:val="clear" w:color="auto" w:fill="auto"/>
          </w:tcPr>
          <w:p w14:paraId="0D8DF85E" w14:textId="77777777" w:rsidR="004C2197" w:rsidRDefault="004C2197">
            <w:pPr>
              <w:rPr>
                <w:rFonts w:ascii="宋体"/>
              </w:rPr>
            </w:pPr>
          </w:p>
        </w:tc>
        <w:tc>
          <w:tcPr>
            <w:tcW w:w="0" w:type="auto"/>
            <w:shd w:val="clear" w:color="auto" w:fill="auto"/>
          </w:tcPr>
          <w:p w14:paraId="0D8DF85F" w14:textId="77777777" w:rsidR="004C2197" w:rsidRDefault="004C2197">
            <w:pPr>
              <w:rPr>
                <w:rFonts w:ascii="宋体"/>
              </w:rPr>
            </w:pPr>
          </w:p>
        </w:tc>
        <w:tc>
          <w:tcPr>
            <w:tcW w:w="0" w:type="auto"/>
            <w:shd w:val="clear" w:color="auto" w:fill="auto"/>
          </w:tcPr>
          <w:p w14:paraId="0D8DF860" w14:textId="77777777" w:rsidR="004C2197" w:rsidRDefault="004C2197">
            <w:pPr>
              <w:rPr>
                <w:rFonts w:ascii="宋体"/>
              </w:rPr>
            </w:pPr>
          </w:p>
        </w:tc>
        <w:tc>
          <w:tcPr>
            <w:tcW w:w="0" w:type="auto"/>
            <w:shd w:val="clear" w:color="auto" w:fill="auto"/>
          </w:tcPr>
          <w:p w14:paraId="0D8DF861" w14:textId="77777777" w:rsidR="004C2197" w:rsidRDefault="004C2197">
            <w:pPr>
              <w:rPr>
                <w:rFonts w:ascii="宋体"/>
              </w:rPr>
            </w:pPr>
          </w:p>
        </w:tc>
        <w:tc>
          <w:tcPr>
            <w:tcW w:w="0" w:type="auto"/>
            <w:shd w:val="clear" w:color="auto" w:fill="auto"/>
          </w:tcPr>
          <w:p w14:paraId="0D8DF862" w14:textId="77777777" w:rsidR="004C2197" w:rsidRDefault="004C2197">
            <w:pPr>
              <w:rPr>
                <w:rFonts w:ascii="宋体"/>
              </w:rPr>
            </w:pPr>
          </w:p>
        </w:tc>
        <w:tc>
          <w:tcPr>
            <w:tcW w:w="0" w:type="auto"/>
            <w:shd w:val="clear" w:color="auto" w:fill="auto"/>
          </w:tcPr>
          <w:p w14:paraId="0D8DF863" w14:textId="77777777" w:rsidR="004C2197" w:rsidRDefault="004C2197">
            <w:pPr>
              <w:rPr>
                <w:rFonts w:ascii="宋体"/>
              </w:rPr>
            </w:pPr>
          </w:p>
        </w:tc>
        <w:tc>
          <w:tcPr>
            <w:tcW w:w="0" w:type="auto"/>
            <w:shd w:val="clear" w:color="auto" w:fill="auto"/>
          </w:tcPr>
          <w:p w14:paraId="0D8DF864" w14:textId="77777777" w:rsidR="004C2197" w:rsidRDefault="004C2197">
            <w:pPr>
              <w:rPr>
                <w:rFonts w:ascii="宋体"/>
              </w:rPr>
            </w:pPr>
          </w:p>
        </w:tc>
        <w:tc>
          <w:tcPr>
            <w:tcW w:w="0" w:type="auto"/>
            <w:shd w:val="clear" w:color="auto" w:fill="auto"/>
          </w:tcPr>
          <w:p w14:paraId="0D8DF865" w14:textId="77777777" w:rsidR="004C2197" w:rsidRDefault="004C2197">
            <w:pPr>
              <w:rPr>
                <w:rFonts w:ascii="宋体"/>
              </w:rPr>
            </w:pPr>
          </w:p>
        </w:tc>
        <w:tc>
          <w:tcPr>
            <w:tcW w:w="0" w:type="auto"/>
            <w:shd w:val="clear" w:color="auto" w:fill="auto"/>
          </w:tcPr>
          <w:p w14:paraId="0D8DF866" w14:textId="77777777" w:rsidR="004C2197" w:rsidRDefault="004C2197">
            <w:pPr>
              <w:rPr>
                <w:rFonts w:ascii="宋体"/>
              </w:rPr>
            </w:pPr>
          </w:p>
        </w:tc>
      </w:tr>
      <w:tr w:rsidR="004C2197" w14:paraId="0D8DF877" w14:textId="77777777">
        <w:trPr>
          <w:hidden/>
        </w:trPr>
        <w:tc>
          <w:tcPr>
            <w:tcW w:w="0" w:type="auto"/>
            <w:gridSpan w:val="3"/>
            <w:shd w:val="clear" w:color="auto" w:fill="auto"/>
          </w:tcPr>
          <w:p w14:paraId="0D8DF868" w14:textId="77777777" w:rsidR="004C2197" w:rsidRDefault="004C2197">
            <w:pPr>
              <w:rPr>
                <w:rFonts w:ascii="宋体"/>
                <w:vanish/>
              </w:rPr>
            </w:pPr>
          </w:p>
        </w:tc>
        <w:tc>
          <w:tcPr>
            <w:tcW w:w="0" w:type="auto"/>
            <w:gridSpan w:val="3"/>
            <w:shd w:val="clear" w:color="auto" w:fill="auto"/>
          </w:tcPr>
          <w:p w14:paraId="0D8DF869" w14:textId="77777777" w:rsidR="004C2197" w:rsidRDefault="004C2197">
            <w:pPr>
              <w:rPr>
                <w:rFonts w:ascii="宋体"/>
                <w:vanish/>
              </w:rPr>
            </w:pPr>
          </w:p>
        </w:tc>
        <w:tc>
          <w:tcPr>
            <w:tcW w:w="0" w:type="auto"/>
            <w:gridSpan w:val="3"/>
            <w:shd w:val="clear" w:color="auto" w:fill="auto"/>
          </w:tcPr>
          <w:p w14:paraId="0D8DF86A" w14:textId="77777777" w:rsidR="004C2197" w:rsidRDefault="004C2197">
            <w:pPr>
              <w:rPr>
                <w:rFonts w:ascii="宋体"/>
                <w:vanish/>
              </w:rPr>
            </w:pPr>
          </w:p>
        </w:tc>
        <w:tc>
          <w:tcPr>
            <w:tcW w:w="0" w:type="auto"/>
            <w:gridSpan w:val="3"/>
            <w:shd w:val="clear" w:color="auto" w:fill="auto"/>
          </w:tcPr>
          <w:p w14:paraId="0D8DF86B" w14:textId="77777777" w:rsidR="004C2197" w:rsidRDefault="004C2197">
            <w:pPr>
              <w:rPr>
                <w:rFonts w:ascii="宋体"/>
                <w:vanish/>
              </w:rPr>
            </w:pPr>
          </w:p>
        </w:tc>
        <w:tc>
          <w:tcPr>
            <w:tcW w:w="0" w:type="auto"/>
            <w:gridSpan w:val="3"/>
            <w:shd w:val="clear" w:color="auto" w:fill="auto"/>
          </w:tcPr>
          <w:p w14:paraId="0D8DF86C" w14:textId="77777777" w:rsidR="004C2197" w:rsidRDefault="004C2197">
            <w:pPr>
              <w:rPr>
                <w:rFonts w:ascii="宋体"/>
                <w:vanish/>
              </w:rPr>
            </w:pPr>
          </w:p>
        </w:tc>
        <w:tc>
          <w:tcPr>
            <w:tcW w:w="0" w:type="auto"/>
            <w:gridSpan w:val="3"/>
            <w:shd w:val="clear" w:color="auto" w:fill="auto"/>
          </w:tcPr>
          <w:p w14:paraId="0D8DF86D" w14:textId="77777777" w:rsidR="004C2197" w:rsidRDefault="004C2197">
            <w:pPr>
              <w:rPr>
                <w:rFonts w:ascii="宋体"/>
                <w:vanish/>
              </w:rPr>
            </w:pPr>
          </w:p>
        </w:tc>
        <w:tc>
          <w:tcPr>
            <w:tcW w:w="0" w:type="auto"/>
            <w:shd w:val="clear" w:color="auto" w:fill="auto"/>
          </w:tcPr>
          <w:p w14:paraId="0D8DF86E" w14:textId="77777777" w:rsidR="004C2197" w:rsidRDefault="004C2197">
            <w:pPr>
              <w:rPr>
                <w:rFonts w:ascii="宋体"/>
              </w:rPr>
            </w:pPr>
          </w:p>
        </w:tc>
        <w:tc>
          <w:tcPr>
            <w:tcW w:w="0" w:type="auto"/>
            <w:shd w:val="clear" w:color="auto" w:fill="auto"/>
          </w:tcPr>
          <w:p w14:paraId="0D8DF86F" w14:textId="77777777" w:rsidR="004C2197" w:rsidRDefault="004C2197">
            <w:pPr>
              <w:rPr>
                <w:rFonts w:ascii="宋体"/>
              </w:rPr>
            </w:pPr>
          </w:p>
        </w:tc>
        <w:tc>
          <w:tcPr>
            <w:tcW w:w="0" w:type="auto"/>
            <w:shd w:val="clear" w:color="auto" w:fill="auto"/>
          </w:tcPr>
          <w:p w14:paraId="0D8DF870" w14:textId="77777777" w:rsidR="004C2197" w:rsidRDefault="004C2197">
            <w:pPr>
              <w:rPr>
                <w:rFonts w:ascii="宋体"/>
              </w:rPr>
            </w:pPr>
          </w:p>
        </w:tc>
        <w:tc>
          <w:tcPr>
            <w:tcW w:w="0" w:type="auto"/>
            <w:shd w:val="clear" w:color="auto" w:fill="auto"/>
          </w:tcPr>
          <w:p w14:paraId="0D8DF871" w14:textId="77777777" w:rsidR="004C2197" w:rsidRDefault="004C2197">
            <w:pPr>
              <w:rPr>
                <w:rFonts w:ascii="宋体"/>
              </w:rPr>
            </w:pPr>
          </w:p>
        </w:tc>
        <w:tc>
          <w:tcPr>
            <w:tcW w:w="0" w:type="auto"/>
            <w:shd w:val="clear" w:color="auto" w:fill="auto"/>
          </w:tcPr>
          <w:p w14:paraId="0D8DF872" w14:textId="77777777" w:rsidR="004C2197" w:rsidRDefault="004C2197">
            <w:pPr>
              <w:rPr>
                <w:rFonts w:ascii="宋体"/>
              </w:rPr>
            </w:pPr>
          </w:p>
        </w:tc>
        <w:tc>
          <w:tcPr>
            <w:tcW w:w="0" w:type="auto"/>
            <w:shd w:val="clear" w:color="auto" w:fill="auto"/>
          </w:tcPr>
          <w:p w14:paraId="0D8DF873" w14:textId="77777777" w:rsidR="004C2197" w:rsidRDefault="004C2197">
            <w:pPr>
              <w:rPr>
                <w:rFonts w:ascii="宋体"/>
              </w:rPr>
            </w:pPr>
          </w:p>
        </w:tc>
        <w:tc>
          <w:tcPr>
            <w:tcW w:w="0" w:type="auto"/>
            <w:shd w:val="clear" w:color="auto" w:fill="auto"/>
          </w:tcPr>
          <w:p w14:paraId="0D8DF874" w14:textId="77777777" w:rsidR="004C2197" w:rsidRDefault="004C2197">
            <w:pPr>
              <w:rPr>
                <w:rFonts w:ascii="宋体"/>
              </w:rPr>
            </w:pPr>
          </w:p>
        </w:tc>
        <w:tc>
          <w:tcPr>
            <w:tcW w:w="0" w:type="auto"/>
            <w:shd w:val="clear" w:color="auto" w:fill="auto"/>
          </w:tcPr>
          <w:p w14:paraId="0D8DF875" w14:textId="77777777" w:rsidR="004C2197" w:rsidRDefault="004C2197">
            <w:pPr>
              <w:rPr>
                <w:rFonts w:ascii="宋体"/>
              </w:rPr>
            </w:pPr>
          </w:p>
        </w:tc>
        <w:tc>
          <w:tcPr>
            <w:tcW w:w="0" w:type="auto"/>
            <w:shd w:val="clear" w:color="auto" w:fill="auto"/>
          </w:tcPr>
          <w:p w14:paraId="0D8DF876" w14:textId="77777777" w:rsidR="004C2197" w:rsidRDefault="004C2197">
            <w:pPr>
              <w:rPr>
                <w:rFonts w:ascii="宋体"/>
              </w:rPr>
            </w:pPr>
          </w:p>
        </w:tc>
      </w:tr>
      <w:tr w:rsidR="004C2197" w14:paraId="0D8DF887" w14:textId="77777777">
        <w:trPr>
          <w:hidden/>
        </w:trPr>
        <w:tc>
          <w:tcPr>
            <w:tcW w:w="0" w:type="auto"/>
            <w:gridSpan w:val="3"/>
            <w:shd w:val="clear" w:color="auto" w:fill="auto"/>
          </w:tcPr>
          <w:p w14:paraId="0D8DF878" w14:textId="77777777" w:rsidR="004C2197" w:rsidRDefault="004C2197">
            <w:pPr>
              <w:rPr>
                <w:rFonts w:ascii="宋体"/>
                <w:vanish/>
              </w:rPr>
            </w:pPr>
          </w:p>
        </w:tc>
        <w:tc>
          <w:tcPr>
            <w:tcW w:w="0" w:type="auto"/>
            <w:gridSpan w:val="3"/>
            <w:shd w:val="clear" w:color="auto" w:fill="auto"/>
          </w:tcPr>
          <w:p w14:paraId="0D8DF879" w14:textId="77777777" w:rsidR="004C2197" w:rsidRDefault="004C2197">
            <w:pPr>
              <w:rPr>
                <w:rFonts w:ascii="宋体"/>
                <w:vanish/>
              </w:rPr>
            </w:pPr>
          </w:p>
        </w:tc>
        <w:tc>
          <w:tcPr>
            <w:tcW w:w="0" w:type="auto"/>
            <w:gridSpan w:val="3"/>
            <w:shd w:val="clear" w:color="auto" w:fill="auto"/>
          </w:tcPr>
          <w:p w14:paraId="0D8DF87A" w14:textId="77777777" w:rsidR="004C2197" w:rsidRDefault="004C2197">
            <w:pPr>
              <w:rPr>
                <w:rFonts w:ascii="宋体"/>
                <w:vanish/>
              </w:rPr>
            </w:pPr>
          </w:p>
        </w:tc>
        <w:tc>
          <w:tcPr>
            <w:tcW w:w="0" w:type="auto"/>
            <w:gridSpan w:val="3"/>
            <w:shd w:val="clear" w:color="auto" w:fill="auto"/>
          </w:tcPr>
          <w:p w14:paraId="0D8DF87B" w14:textId="77777777" w:rsidR="004C2197" w:rsidRDefault="004C2197">
            <w:pPr>
              <w:rPr>
                <w:rFonts w:ascii="宋体"/>
                <w:vanish/>
              </w:rPr>
            </w:pPr>
          </w:p>
        </w:tc>
        <w:tc>
          <w:tcPr>
            <w:tcW w:w="0" w:type="auto"/>
            <w:gridSpan w:val="3"/>
            <w:shd w:val="clear" w:color="auto" w:fill="auto"/>
          </w:tcPr>
          <w:p w14:paraId="0D8DF87C" w14:textId="77777777" w:rsidR="004C2197" w:rsidRDefault="004C2197">
            <w:pPr>
              <w:rPr>
                <w:rFonts w:ascii="宋体"/>
                <w:vanish/>
              </w:rPr>
            </w:pPr>
          </w:p>
        </w:tc>
        <w:tc>
          <w:tcPr>
            <w:tcW w:w="0" w:type="auto"/>
            <w:gridSpan w:val="3"/>
            <w:shd w:val="clear" w:color="auto" w:fill="auto"/>
          </w:tcPr>
          <w:p w14:paraId="0D8DF87D" w14:textId="77777777" w:rsidR="004C2197" w:rsidRDefault="004C2197">
            <w:pPr>
              <w:rPr>
                <w:rFonts w:ascii="宋体"/>
                <w:vanish/>
              </w:rPr>
            </w:pPr>
          </w:p>
        </w:tc>
        <w:tc>
          <w:tcPr>
            <w:tcW w:w="0" w:type="auto"/>
            <w:shd w:val="clear" w:color="auto" w:fill="auto"/>
          </w:tcPr>
          <w:p w14:paraId="0D8DF87E" w14:textId="77777777" w:rsidR="004C2197" w:rsidRDefault="004C2197">
            <w:pPr>
              <w:rPr>
                <w:rFonts w:ascii="宋体"/>
              </w:rPr>
            </w:pPr>
          </w:p>
        </w:tc>
        <w:tc>
          <w:tcPr>
            <w:tcW w:w="0" w:type="auto"/>
            <w:shd w:val="clear" w:color="auto" w:fill="auto"/>
          </w:tcPr>
          <w:p w14:paraId="0D8DF87F" w14:textId="77777777" w:rsidR="004C2197" w:rsidRDefault="004C2197">
            <w:pPr>
              <w:rPr>
                <w:rFonts w:ascii="宋体"/>
              </w:rPr>
            </w:pPr>
          </w:p>
        </w:tc>
        <w:tc>
          <w:tcPr>
            <w:tcW w:w="0" w:type="auto"/>
            <w:shd w:val="clear" w:color="auto" w:fill="auto"/>
          </w:tcPr>
          <w:p w14:paraId="0D8DF880" w14:textId="77777777" w:rsidR="004C2197" w:rsidRDefault="004C2197">
            <w:pPr>
              <w:rPr>
                <w:rFonts w:ascii="宋体"/>
              </w:rPr>
            </w:pPr>
          </w:p>
        </w:tc>
        <w:tc>
          <w:tcPr>
            <w:tcW w:w="0" w:type="auto"/>
            <w:shd w:val="clear" w:color="auto" w:fill="auto"/>
          </w:tcPr>
          <w:p w14:paraId="0D8DF881" w14:textId="77777777" w:rsidR="004C2197" w:rsidRDefault="004C2197">
            <w:pPr>
              <w:rPr>
                <w:rFonts w:ascii="宋体"/>
              </w:rPr>
            </w:pPr>
          </w:p>
        </w:tc>
        <w:tc>
          <w:tcPr>
            <w:tcW w:w="0" w:type="auto"/>
            <w:shd w:val="clear" w:color="auto" w:fill="auto"/>
          </w:tcPr>
          <w:p w14:paraId="0D8DF882" w14:textId="77777777" w:rsidR="004C2197" w:rsidRDefault="004C2197">
            <w:pPr>
              <w:rPr>
                <w:rFonts w:ascii="宋体"/>
              </w:rPr>
            </w:pPr>
          </w:p>
        </w:tc>
        <w:tc>
          <w:tcPr>
            <w:tcW w:w="0" w:type="auto"/>
            <w:shd w:val="clear" w:color="auto" w:fill="auto"/>
          </w:tcPr>
          <w:p w14:paraId="0D8DF883" w14:textId="77777777" w:rsidR="004C2197" w:rsidRDefault="004C2197">
            <w:pPr>
              <w:rPr>
                <w:rFonts w:ascii="宋体"/>
              </w:rPr>
            </w:pPr>
          </w:p>
        </w:tc>
        <w:tc>
          <w:tcPr>
            <w:tcW w:w="0" w:type="auto"/>
            <w:shd w:val="clear" w:color="auto" w:fill="auto"/>
          </w:tcPr>
          <w:p w14:paraId="0D8DF884" w14:textId="77777777" w:rsidR="004C2197" w:rsidRDefault="004C2197">
            <w:pPr>
              <w:rPr>
                <w:rFonts w:ascii="宋体"/>
              </w:rPr>
            </w:pPr>
          </w:p>
        </w:tc>
        <w:tc>
          <w:tcPr>
            <w:tcW w:w="0" w:type="auto"/>
            <w:shd w:val="clear" w:color="auto" w:fill="auto"/>
          </w:tcPr>
          <w:p w14:paraId="0D8DF885" w14:textId="77777777" w:rsidR="004C2197" w:rsidRDefault="004C2197">
            <w:pPr>
              <w:rPr>
                <w:rFonts w:ascii="宋体"/>
              </w:rPr>
            </w:pPr>
          </w:p>
        </w:tc>
        <w:tc>
          <w:tcPr>
            <w:tcW w:w="0" w:type="auto"/>
            <w:shd w:val="clear" w:color="auto" w:fill="auto"/>
          </w:tcPr>
          <w:p w14:paraId="0D8DF886" w14:textId="77777777" w:rsidR="004C2197" w:rsidRDefault="004C2197">
            <w:pPr>
              <w:rPr>
                <w:rFonts w:ascii="宋体"/>
              </w:rPr>
            </w:pPr>
          </w:p>
        </w:tc>
      </w:tr>
      <w:tr w:rsidR="004C2197" w14:paraId="0D8DF897" w14:textId="77777777">
        <w:tc>
          <w:tcPr>
            <w:tcW w:w="0" w:type="auto"/>
            <w:gridSpan w:val="3"/>
            <w:shd w:val="clear" w:color="auto" w:fill="FFFFFF"/>
            <w:tcMar>
              <w:top w:w="40" w:type="dxa"/>
              <w:left w:w="20" w:type="dxa"/>
              <w:bottom w:w="40" w:type="dxa"/>
              <w:right w:w="20" w:type="dxa"/>
            </w:tcMar>
            <w:vAlign w:val="bottom"/>
          </w:tcPr>
          <w:p w14:paraId="0D8DF888" w14:textId="77777777" w:rsidR="004C2197" w:rsidRDefault="00863B83">
            <w:pPr>
              <w:textAlignment w:val="bottom"/>
            </w:pPr>
            <w:r>
              <w:rPr>
                <w:rFonts w:ascii="sans-serif" w:eastAsia="sans-serif" w:hAnsi="sans-serif" w:cs="sans-serif"/>
                <w:color w:val="000000"/>
                <w:sz w:val="20"/>
                <w:szCs w:val="20"/>
              </w:rPr>
              <w:t>Other non-current liabilities:</w:t>
            </w:r>
          </w:p>
        </w:tc>
        <w:tc>
          <w:tcPr>
            <w:tcW w:w="0" w:type="auto"/>
            <w:gridSpan w:val="3"/>
            <w:shd w:val="clear" w:color="auto" w:fill="FFFFFF"/>
            <w:tcMar>
              <w:left w:w="20" w:type="dxa"/>
              <w:right w:w="20" w:type="dxa"/>
            </w:tcMar>
            <w:vAlign w:val="bottom"/>
          </w:tcPr>
          <w:p w14:paraId="0D8DF88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8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8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8C"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88D" w14:textId="77777777" w:rsidR="004C2197" w:rsidRDefault="004C2197">
            <w:pPr>
              <w:rPr>
                <w:rFonts w:ascii="宋体"/>
              </w:rPr>
            </w:pPr>
          </w:p>
        </w:tc>
        <w:tc>
          <w:tcPr>
            <w:tcW w:w="0" w:type="auto"/>
            <w:shd w:val="clear" w:color="auto" w:fill="auto"/>
          </w:tcPr>
          <w:p w14:paraId="0D8DF88E" w14:textId="77777777" w:rsidR="004C2197" w:rsidRDefault="004C2197">
            <w:pPr>
              <w:rPr>
                <w:rFonts w:ascii="宋体"/>
              </w:rPr>
            </w:pPr>
          </w:p>
        </w:tc>
        <w:tc>
          <w:tcPr>
            <w:tcW w:w="0" w:type="auto"/>
            <w:shd w:val="clear" w:color="auto" w:fill="auto"/>
          </w:tcPr>
          <w:p w14:paraId="0D8DF88F" w14:textId="77777777" w:rsidR="004C2197" w:rsidRDefault="004C2197">
            <w:pPr>
              <w:rPr>
                <w:rFonts w:ascii="宋体"/>
              </w:rPr>
            </w:pPr>
          </w:p>
        </w:tc>
        <w:tc>
          <w:tcPr>
            <w:tcW w:w="0" w:type="auto"/>
            <w:shd w:val="clear" w:color="auto" w:fill="auto"/>
          </w:tcPr>
          <w:p w14:paraId="0D8DF890" w14:textId="77777777" w:rsidR="004C2197" w:rsidRDefault="004C2197">
            <w:pPr>
              <w:rPr>
                <w:rFonts w:ascii="宋体"/>
              </w:rPr>
            </w:pPr>
          </w:p>
        </w:tc>
        <w:tc>
          <w:tcPr>
            <w:tcW w:w="0" w:type="auto"/>
            <w:shd w:val="clear" w:color="auto" w:fill="auto"/>
          </w:tcPr>
          <w:p w14:paraId="0D8DF891" w14:textId="77777777" w:rsidR="004C2197" w:rsidRDefault="004C2197">
            <w:pPr>
              <w:rPr>
                <w:rFonts w:ascii="宋体"/>
              </w:rPr>
            </w:pPr>
          </w:p>
        </w:tc>
        <w:tc>
          <w:tcPr>
            <w:tcW w:w="0" w:type="auto"/>
            <w:shd w:val="clear" w:color="auto" w:fill="auto"/>
          </w:tcPr>
          <w:p w14:paraId="0D8DF892" w14:textId="77777777" w:rsidR="004C2197" w:rsidRDefault="004C2197">
            <w:pPr>
              <w:rPr>
                <w:rFonts w:ascii="宋体"/>
              </w:rPr>
            </w:pPr>
          </w:p>
        </w:tc>
        <w:tc>
          <w:tcPr>
            <w:tcW w:w="0" w:type="auto"/>
            <w:shd w:val="clear" w:color="auto" w:fill="auto"/>
          </w:tcPr>
          <w:p w14:paraId="0D8DF893" w14:textId="77777777" w:rsidR="004C2197" w:rsidRDefault="004C2197">
            <w:pPr>
              <w:rPr>
                <w:rFonts w:ascii="宋体"/>
              </w:rPr>
            </w:pPr>
          </w:p>
        </w:tc>
        <w:tc>
          <w:tcPr>
            <w:tcW w:w="0" w:type="auto"/>
            <w:shd w:val="clear" w:color="auto" w:fill="auto"/>
          </w:tcPr>
          <w:p w14:paraId="0D8DF894" w14:textId="77777777" w:rsidR="004C2197" w:rsidRDefault="004C2197">
            <w:pPr>
              <w:rPr>
                <w:rFonts w:ascii="宋体"/>
              </w:rPr>
            </w:pPr>
          </w:p>
        </w:tc>
        <w:tc>
          <w:tcPr>
            <w:tcW w:w="0" w:type="auto"/>
            <w:shd w:val="clear" w:color="auto" w:fill="auto"/>
          </w:tcPr>
          <w:p w14:paraId="0D8DF895" w14:textId="77777777" w:rsidR="004C2197" w:rsidRDefault="004C2197">
            <w:pPr>
              <w:rPr>
                <w:rFonts w:ascii="宋体"/>
              </w:rPr>
            </w:pPr>
          </w:p>
        </w:tc>
        <w:tc>
          <w:tcPr>
            <w:tcW w:w="0" w:type="auto"/>
            <w:shd w:val="clear" w:color="auto" w:fill="auto"/>
          </w:tcPr>
          <w:p w14:paraId="0D8DF896" w14:textId="77777777" w:rsidR="004C2197" w:rsidRDefault="004C2197">
            <w:pPr>
              <w:rPr>
                <w:rFonts w:ascii="宋体"/>
              </w:rPr>
            </w:pPr>
          </w:p>
        </w:tc>
      </w:tr>
      <w:tr w:rsidR="004C2197" w14:paraId="0D8DF8AB" w14:textId="77777777">
        <w:tc>
          <w:tcPr>
            <w:tcW w:w="0" w:type="auto"/>
            <w:gridSpan w:val="3"/>
            <w:shd w:val="clear" w:color="auto" w:fill="E2EFD9"/>
            <w:tcMar>
              <w:top w:w="40" w:type="dxa"/>
              <w:left w:w="20" w:type="dxa"/>
              <w:bottom w:w="40" w:type="dxa"/>
              <w:right w:w="20" w:type="dxa"/>
            </w:tcMar>
            <w:vAlign w:val="bottom"/>
          </w:tcPr>
          <w:p w14:paraId="0D8DF898" w14:textId="77777777" w:rsidR="004C2197" w:rsidRDefault="00863B83">
            <w:pPr>
              <w:textAlignment w:val="bottom"/>
            </w:pPr>
            <w:r>
              <w:rPr>
                <w:rFonts w:ascii="sans-serif" w:eastAsia="sans-serif" w:hAnsi="sans-serif" w:cs="sans-serif"/>
                <w:color w:val="000000"/>
                <w:sz w:val="20"/>
                <w:szCs w:val="20"/>
              </w:rPr>
              <w:t>2.20% Notes Due 2021 (2)</w:t>
            </w:r>
          </w:p>
        </w:tc>
        <w:tc>
          <w:tcPr>
            <w:tcW w:w="0" w:type="auto"/>
            <w:gridSpan w:val="3"/>
            <w:shd w:val="clear" w:color="auto" w:fill="E2EFD9"/>
            <w:tcMar>
              <w:top w:w="40" w:type="dxa"/>
              <w:left w:w="20" w:type="dxa"/>
              <w:bottom w:w="40" w:type="dxa"/>
              <w:right w:w="20" w:type="dxa"/>
            </w:tcMar>
            <w:vAlign w:val="bottom"/>
          </w:tcPr>
          <w:p w14:paraId="0D8DF899"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89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9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9C" w14:textId="77777777" w:rsidR="004C2197" w:rsidRDefault="00863B83">
            <w:pPr>
              <w:jc w:val="right"/>
              <w:textAlignment w:val="bottom"/>
            </w:pPr>
            <w:r>
              <w:rPr>
                <w:rFonts w:ascii="sans-serif" w:eastAsia="sans-serif" w:hAnsi="sans-serif" w:cs="sans-serif"/>
                <w:color w:val="000000"/>
                <w:sz w:val="20"/>
                <w:szCs w:val="20"/>
              </w:rPr>
              <w:t>1,019 </w:t>
            </w:r>
          </w:p>
        </w:tc>
        <w:tc>
          <w:tcPr>
            <w:tcW w:w="0" w:type="auto"/>
            <w:shd w:val="clear" w:color="auto" w:fill="E2EFD9"/>
            <w:tcMar>
              <w:top w:w="40" w:type="dxa"/>
              <w:bottom w:w="40" w:type="dxa"/>
              <w:right w:w="20" w:type="dxa"/>
            </w:tcMar>
            <w:vAlign w:val="bottom"/>
          </w:tcPr>
          <w:p w14:paraId="0D8DF89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89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9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A0" w14:textId="77777777" w:rsidR="004C2197" w:rsidRDefault="00863B83">
            <w:pPr>
              <w:jc w:val="right"/>
              <w:textAlignment w:val="bottom"/>
            </w:pPr>
            <w:r>
              <w:rPr>
                <w:rFonts w:ascii="sans-serif" w:eastAsia="sans-serif" w:hAnsi="sans-serif" w:cs="sans-serif"/>
                <w:color w:val="000000"/>
                <w:sz w:val="20"/>
                <w:szCs w:val="20"/>
              </w:rPr>
              <w:t>1,006 </w:t>
            </w:r>
          </w:p>
        </w:tc>
        <w:tc>
          <w:tcPr>
            <w:tcW w:w="0" w:type="auto"/>
            <w:shd w:val="clear" w:color="auto" w:fill="E2EFD9"/>
            <w:tcMar>
              <w:top w:w="40" w:type="dxa"/>
              <w:bottom w:w="40" w:type="dxa"/>
              <w:right w:w="20" w:type="dxa"/>
            </w:tcMar>
            <w:vAlign w:val="bottom"/>
          </w:tcPr>
          <w:p w14:paraId="0D8DF8A1" w14:textId="77777777" w:rsidR="004C2197" w:rsidRDefault="004C2197">
            <w:pPr>
              <w:jc w:val="right"/>
              <w:rPr>
                <w:rFonts w:ascii="宋体"/>
              </w:rPr>
            </w:pPr>
          </w:p>
        </w:tc>
        <w:tc>
          <w:tcPr>
            <w:tcW w:w="0" w:type="auto"/>
            <w:shd w:val="clear" w:color="auto" w:fill="auto"/>
          </w:tcPr>
          <w:p w14:paraId="0D8DF8A2" w14:textId="77777777" w:rsidR="004C2197" w:rsidRDefault="004C2197">
            <w:pPr>
              <w:rPr>
                <w:rFonts w:ascii="宋体"/>
              </w:rPr>
            </w:pPr>
          </w:p>
        </w:tc>
        <w:tc>
          <w:tcPr>
            <w:tcW w:w="0" w:type="auto"/>
            <w:shd w:val="clear" w:color="auto" w:fill="auto"/>
          </w:tcPr>
          <w:p w14:paraId="0D8DF8A3" w14:textId="77777777" w:rsidR="004C2197" w:rsidRDefault="004C2197">
            <w:pPr>
              <w:rPr>
                <w:rFonts w:ascii="宋体"/>
              </w:rPr>
            </w:pPr>
          </w:p>
        </w:tc>
        <w:tc>
          <w:tcPr>
            <w:tcW w:w="0" w:type="auto"/>
            <w:shd w:val="clear" w:color="auto" w:fill="auto"/>
          </w:tcPr>
          <w:p w14:paraId="0D8DF8A4" w14:textId="77777777" w:rsidR="004C2197" w:rsidRDefault="004C2197">
            <w:pPr>
              <w:rPr>
                <w:rFonts w:ascii="宋体"/>
              </w:rPr>
            </w:pPr>
          </w:p>
        </w:tc>
        <w:tc>
          <w:tcPr>
            <w:tcW w:w="0" w:type="auto"/>
            <w:shd w:val="clear" w:color="auto" w:fill="auto"/>
          </w:tcPr>
          <w:p w14:paraId="0D8DF8A5" w14:textId="77777777" w:rsidR="004C2197" w:rsidRDefault="004C2197">
            <w:pPr>
              <w:rPr>
                <w:rFonts w:ascii="宋体"/>
              </w:rPr>
            </w:pPr>
          </w:p>
        </w:tc>
        <w:tc>
          <w:tcPr>
            <w:tcW w:w="0" w:type="auto"/>
            <w:shd w:val="clear" w:color="auto" w:fill="auto"/>
          </w:tcPr>
          <w:p w14:paraId="0D8DF8A6" w14:textId="77777777" w:rsidR="004C2197" w:rsidRDefault="004C2197">
            <w:pPr>
              <w:rPr>
                <w:rFonts w:ascii="宋体"/>
              </w:rPr>
            </w:pPr>
          </w:p>
        </w:tc>
        <w:tc>
          <w:tcPr>
            <w:tcW w:w="0" w:type="auto"/>
            <w:shd w:val="clear" w:color="auto" w:fill="auto"/>
          </w:tcPr>
          <w:p w14:paraId="0D8DF8A7" w14:textId="77777777" w:rsidR="004C2197" w:rsidRDefault="004C2197">
            <w:pPr>
              <w:rPr>
                <w:rFonts w:ascii="宋体"/>
              </w:rPr>
            </w:pPr>
          </w:p>
        </w:tc>
        <w:tc>
          <w:tcPr>
            <w:tcW w:w="0" w:type="auto"/>
            <w:shd w:val="clear" w:color="auto" w:fill="auto"/>
          </w:tcPr>
          <w:p w14:paraId="0D8DF8A8" w14:textId="77777777" w:rsidR="004C2197" w:rsidRDefault="004C2197">
            <w:pPr>
              <w:rPr>
                <w:rFonts w:ascii="宋体"/>
              </w:rPr>
            </w:pPr>
          </w:p>
        </w:tc>
        <w:tc>
          <w:tcPr>
            <w:tcW w:w="0" w:type="auto"/>
            <w:shd w:val="clear" w:color="auto" w:fill="auto"/>
          </w:tcPr>
          <w:p w14:paraId="0D8DF8A9" w14:textId="77777777" w:rsidR="004C2197" w:rsidRDefault="004C2197">
            <w:pPr>
              <w:rPr>
                <w:rFonts w:ascii="宋体"/>
              </w:rPr>
            </w:pPr>
          </w:p>
        </w:tc>
        <w:tc>
          <w:tcPr>
            <w:tcW w:w="0" w:type="auto"/>
            <w:shd w:val="clear" w:color="auto" w:fill="auto"/>
          </w:tcPr>
          <w:p w14:paraId="0D8DF8AA" w14:textId="77777777" w:rsidR="004C2197" w:rsidRDefault="004C2197">
            <w:pPr>
              <w:rPr>
                <w:rFonts w:ascii="宋体"/>
              </w:rPr>
            </w:pPr>
          </w:p>
        </w:tc>
      </w:tr>
      <w:tr w:rsidR="004C2197" w14:paraId="0D8DF8BF" w14:textId="77777777">
        <w:tc>
          <w:tcPr>
            <w:tcW w:w="0" w:type="auto"/>
            <w:gridSpan w:val="3"/>
            <w:shd w:val="clear" w:color="auto" w:fill="FFFFFF"/>
            <w:tcMar>
              <w:top w:w="40" w:type="dxa"/>
              <w:left w:w="20" w:type="dxa"/>
              <w:bottom w:w="40" w:type="dxa"/>
              <w:right w:w="20" w:type="dxa"/>
            </w:tcMar>
            <w:vAlign w:val="bottom"/>
          </w:tcPr>
          <w:p w14:paraId="0D8DF8AC" w14:textId="77777777" w:rsidR="004C2197" w:rsidRDefault="00863B83">
            <w:pPr>
              <w:textAlignment w:val="bottom"/>
            </w:pPr>
            <w:r>
              <w:rPr>
                <w:rFonts w:ascii="sans-serif" w:eastAsia="sans-serif" w:hAnsi="sans-serif" w:cs="sans-serif"/>
                <w:color w:val="000000"/>
                <w:sz w:val="20"/>
                <w:szCs w:val="20"/>
              </w:rPr>
              <w:t xml:space="preserve">3.20% Notes Due 2026 </w:t>
            </w:r>
            <w:r>
              <w:rPr>
                <w:rFonts w:ascii="sans-serif" w:eastAsia="sans-serif" w:hAnsi="sans-serif" w:cs="sans-serif"/>
                <w:color w:val="000000"/>
                <w:sz w:val="20"/>
                <w:szCs w:val="20"/>
              </w:rPr>
              <w:t>(2)</w:t>
            </w:r>
          </w:p>
        </w:tc>
        <w:tc>
          <w:tcPr>
            <w:tcW w:w="0" w:type="auto"/>
            <w:gridSpan w:val="3"/>
            <w:shd w:val="clear" w:color="auto" w:fill="FFFFFF"/>
            <w:tcMar>
              <w:top w:w="40" w:type="dxa"/>
              <w:left w:w="20" w:type="dxa"/>
              <w:bottom w:w="40" w:type="dxa"/>
              <w:right w:w="20" w:type="dxa"/>
            </w:tcMar>
            <w:vAlign w:val="bottom"/>
          </w:tcPr>
          <w:p w14:paraId="0D8DF8AD"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0D8DF8A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8A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8B0" w14:textId="77777777" w:rsidR="004C2197" w:rsidRDefault="00863B83">
            <w:pPr>
              <w:jc w:val="right"/>
              <w:textAlignment w:val="bottom"/>
            </w:pPr>
            <w:r>
              <w:rPr>
                <w:rFonts w:ascii="sans-serif" w:eastAsia="sans-serif" w:hAnsi="sans-serif" w:cs="sans-serif"/>
                <w:color w:val="000000"/>
                <w:sz w:val="20"/>
                <w:szCs w:val="20"/>
              </w:rPr>
              <w:t>1,139 </w:t>
            </w:r>
          </w:p>
        </w:tc>
        <w:tc>
          <w:tcPr>
            <w:tcW w:w="0" w:type="auto"/>
            <w:shd w:val="clear" w:color="auto" w:fill="FFFFFF"/>
            <w:tcMar>
              <w:top w:w="40" w:type="dxa"/>
              <w:bottom w:w="40" w:type="dxa"/>
              <w:right w:w="20" w:type="dxa"/>
            </w:tcMar>
            <w:vAlign w:val="bottom"/>
          </w:tcPr>
          <w:p w14:paraId="0D8DF8B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8B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8B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8B4" w14:textId="77777777" w:rsidR="004C2197" w:rsidRDefault="00863B83">
            <w:pPr>
              <w:jc w:val="right"/>
              <w:textAlignment w:val="bottom"/>
            </w:pPr>
            <w:r>
              <w:rPr>
                <w:rFonts w:ascii="sans-serif" w:eastAsia="sans-serif" w:hAnsi="sans-serif" w:cs="sans-serif"/>
                <w:color w:val="000000"/>
                <w:sz w:val="20"/>
                <w:szCs w:val="20"/>
              </w:rPr>
              <w:t>1,065 </w:t>
            </w:r>
          </w:p>
        </w:tc>
        <w:tc>
          <w:tcPr>
            <w:tcW w:w="0" w:type="auto"/>
            <w:shd w:val="clear" w:color="auto" w:fill="FFFFFF"/>
            <w:tcMar>
              <w:top w:w="40" w:type="dxa"/>
              <w:bottom w:w="40" w:type="dxa"/>
              <w:right w:w="20" w:type="dxa"/>
            </w:tcMar>
            <w:vAlign w:val="bottom"/>
          </w:tcPr>
          <w:p w14:paraId="0D8DF8B5" w14:textId="77777777" w:rsidR="004C2197" w:rsidRDefault="004C2197">
            <w:pPr>
              <w:jc w:val="right"/>
              <w:rPr>
                <w:rFonts w:ascii="宋体"/>
              </w:rPr>
            </w:pPr>
          </w:p>
        </w:tc>
        <w:tc>
          <w:tcPr>
            <w:tcW w:w="0" w:type="auto"/>
            <w:shd w:val="clear" w:color="auto" w:fill="auto"/>
          </w:tcPr>
          <w:p w14:paraId="0D8DF8B6" w14:textId="77777777" w:rsidR="004C2197" w:rsidRDefault="004C2197">
            <w:pPr>
              <w:rPr>
                <w:rFonts w:ascii="宋体"/>
              </w:rPr>
            </w:pPr>
          </w:p>
        </w:tc>
        <w:tc>
          <w:tcPr>
            <w:tcW w:w="0" w:type="auto"/>
            <w:shd w:val="clear" w:color="auto" w:fill="auto"/>
          </w:tcPr>
          <w:p w14:paraId="0D8DF8B7" w14:textId="77777777" w:rsidR="004C2197" w:rsidRDefault="004C2197">
            <w:pPr>
              <w:rPr>
                <w:rFonts w:ascii="宋体"/>
              </w:rPr>
            </w:pPr>
          </w:p>
        </w:tc>
        <w:tc>
          <w:tcPr>
            <w:tcW w:w="0" w:type="auto"/>
            <w:shd w:val="clear" w:color="auto" w:fill="auto"/>
          </w:tcPr>
          <w:p w14:paraId="0D8DF8B8" w14:textId="77777777" w:rsidR="004C2197" w:rsidRDefault="004C2197">
            <w:pPr>
              <w:rPr>
                <w:rFonts w:ascii="宋体"/>
              </w:rPr>
            </w:pPr>
          </w:p>
        </w:tc>
        <w:tc>
          <w:tcPr>
            <w:tcW w:w="0" w:type="auto"/>
            <w:shd w:val="clear" w:color="auto" w:fill="auto"/>
          </w:tcPr>
          <w:p w14:paraId="0D8DF8B9" w14:textId="77777777" w:rsidR="004C2197" w:rsidRDefault="004C2197">
            <w:pPr>
              <w:rPr>
                <w:rFonts w:ascii="宋体"/>
              </w:rPr>
            </w:pPr>
          </w:p>
        </w:tc>
        <w:tc>
          <w:tcPr>
            <w:tcW w:w="0" w:type="auto"/>
            <w:shd w:val="clear" w:color="auto" w:fill="auto"/>
          </w:tcPr>
          <w:p w14:paraId="0D8DF8BA" w14:textId="77777777" w:rsidR="004C2197" w:rsidRDefault="004C2197">
            <w:pPr>
              <w:rPr>
                <w:rFonts w:ascii="宋体"/>
              </w:rPr>
            </w:pPr>
          </w:p>
        </w:tc>
        <w:tc>
          <w:tcPr>
            <w:tcW w:w="0" w:type="auto"/>
            <w:shd w:val="clear" w:color="auto" w:fill="auto"/>
          </w:tcPr>
          <w:p w14:paraId="0D8DF8BB" w14:textId="77777777" w:rsidR="004C2197" w:rsidRDefault="004C2197">
            <w:pPr>
              <w:rPr>
                <w:rFonts w:ascii="宋体"/>
              </w:rPr>
            </w:pPr>
          </w:p>
        </w:tc>
        <w:tc>
          <w:tcPr>
            <w:tcW w:w="0" w:type="auto"/>
            <w:shd w:val="clear" w:color="auto" w:fill="auto"/>
          </w:tcPr>
          <w:p w14:paraId="0D8DF8BC" w14:textId="77777777" w:rsidR="004C2197" w:rsidRDefault="004C2197">
            <w:pPr>
              <w:rPr>
                <w:rFonts w:ascii="宋体"/>
              </w:rPr>
            </w:pPr>
          </w:p>
        </w:tc>
        <w:tc>
          <w:tcPr>
            <w:tcW w:w="0" w:type="auto"/>
            <w:shd w:val="clear" w:color="auto" w:fill="auto"/>
          </w:tcPr>
          <w:p w14:paraId="0D8DF8BD" w14:textId="77777777" w:rsidR="004C2197" w:rsidRDefault="004C2197">
            <w:pPr>
              <w:rPr>
                <w:rFonts w:ascii="宋体"/>
              </w:rPr>
            </w:pPr>
          </w:p>
        </w:tc>
        <w:tc>
          <w:tcPr>
            <w:tcW w:w="0" w:type="auto"/>
            <w:shd w:val="clear" w:color="auto" w:fill="auto"/>
          </w:tcPr>
          <w:p w14:paraId="0D8DF8BE" w14:textId="77777777" w:rsidR="004C2197" w:rsidRDefault="004C2197">
            <w:pPr>
              <w:rPr>
                <w:rFonts w:ascii="宋体"/>
              </w:rPr>
            </w:pPr>
          </w:p>
        </w:tc>
      </w:tr>
      <w:tr w:rsidR="004C2197" w14:paraId="0D8DF8D3" w14:textId="77777777">
        <w:tc>
          <w:tcPr>
            <w:tcW w:w="0" w:type="auto"/>
            <w:gridSpan w:val="3"/>
            <w:shd w:val="clear" w:color="auto" w:fill="E2EFD9"/>
            <w:tcMar>
              <w:top w:w="40" w:type="dxa"/>
              <w:left w:w="20" w:type="dxa"/>
              <w:bottom w:w="40" w:type="dxa"/>
              <w:right w:w="20" w:type="dxa"/>
            </w:tcMar>
            <w:vAlign w:val="bottom"/>
          </w:tcPr>
          <w:p w14:paraId="0D8DF8C0" w14:textId="77777777" w:rsidR="004C2197" w:rsidRDefault="00863B83">
            <w:pPr>
              <w:textAlignment w:val="bottom"/>
            </w:pPr>
            <w:r>
              <w:rPr>
                <w:rFonts w:ascii="sans-serif" w:eastAsia="sans-serif" w:hAnsi="sans-serif" w:cs="sans-serif"/>
                <w:color w:val="000000"/>
                <w:sz w:val="20"/>
                <w:szCs w:val="20"/>
              </w:rPr>
              <w:t>2.85% Notes Due 2030 (2)</w:t>
            </w:r>
          </w:p>
        </w:tc>
        <w:tc>
          <w:tcPr>
            <w:tcW w:w="0" w:type="auto"/>
            <w:gridSpan w:val="3"/>
            <w:shd w:val="clear" w:color="auto" w:fill="E2EFD9"/>
            <w:tcMar>
              <w:top w:w="40" w:type="dxa"/>
              <w:left w:w="20" w:type="dxa"/>
              <w:bottom w:w="40" w:type="dxa"/>
              <w:right w:w="20" w:type="dxa"/>
            </w:tcMar>
            <w:vAlign w:val="bottom"/>
          </w:tcPr>
          <w:p w14:paraId="0D8DF8C1"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8C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C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C4" w14:textId="77777777" w:rsidR="004C2197" w:rsidRDefault="00863B83">
            <w:pPr>
              <w:jc w:val="right"/>
              <w:textAlignment w:val="bottom"/>
            </w:pPr>
            <w:r>
              <w:rPr>
                <w:rFonts w:ascii="sans-serif" w:eastAsia="sans-serif" w:hAnsi="sans-serif" w:cs="sans-serif"/>
                <w:color w:val="000000"/>
                <w:sz w:val="20"/>
                <w:szCs w:val="20"/>
              </w:rPr>
              <w:t>1,684 </w:t>
            </w:r>
          </w:p>
        </w:tc>
        <w:tc>
          <w:tcPr>
            <w:tcW w:w="0" w:type="auto"/>
            <w:shd w:val="clear" w:color="auto" w:fill="E2EFD9"/>
            <w:tcMar>
              <w:top w:w="40" w:type="dxa"/>
              <w:bottom w:w="40" w:type="dxa"/>
              <w:right w:w="20" w:type="dxa"/>
            </w:tcMar>
            <w:vAlign w:val="bottom"/>
          </w:tcPr>
          <w:p w14:paraId="0D8DF8C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8C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C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C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8C9" w14:textId="77777777" w:rsidR="004C2197" w:rsidRDefault="004C2197">
            <w:pPr>
              <w:jc w:val="right"/>
              <w:rPr>
                <w:rFonts w:ascii="宋体"/>
              </w:rPr>
            </w:pPr>
          </w:p>
        </w:tc>
        <w:tc>
          <w:tcPr>
            <w:tcW w:w="0" w:type="auto"/>
            <w:shd w:val="clear" w:color="auto" w:fill="auto"/>
          </w:tcPr>
          <w:p w14:paraId="0D8DF8CA" w14:textId="77777777" w:rsidR="004C2197" w:rsidRDefault="004C2197">
            <w:pPr>
              <w:rPr>
                <w:rFonts w:ascii="宋体"/>
              </w:rPr>
            </w:pPr>
          </w:p>
        </w:tc>
        <w:tc>
          <w:tcPr>
            <w:tcW w:w="0" w:type="auto"/>
            <w:shd w:val="clear" w:color="auto" w:fill="auto"/>
          </w:tcPr>
          <w:p w14:paraId="0D8DF8CB" w14:textId="77777777" w:rsidR="004C2197" w:rsidRDefault="004C2197">
            <w:pPr>
              <w:rPr>
                <w:rFonts w:ascii="宋体"/>
              </w:rPr>
            </w:pPr>
          </w:p>
        </w:tc>
        <w:tc>
          <w:tcPr>
            <w:tcW w:w="0" w:type="auto"/>
            <w:shd w:val="clear" w:color="auto" w:fill="auto"/>
          </w:tcPr>
          <w:p w14:paraId="0D8DF8CC" w14:textId="77777777" w:rsidR="004C2197" w:rsidRDefault="004C2197">
            <w:pPr>
              <w:rPr>
                <w:rFonts w:ascii="宋体"/>
              </w:rPr>
            </w:pPr>
          </w:p>
        </w:tc>
        <w:tc>
          <w:tcPr>
            <w:tcW w:w="0" w:type="auto"/>
            <w:shd w:val="clear" w:color="auto" w:fill="auto"/>
          </w:tcPr>
          <w:p w14:paraId="0D8DF8CD" w14:textId="77777777" w:rsidR="004C2197" w:rsidRDefault="004C2197">
            <w:pPr>
              <w:rPr>
                <w:rFonts w:ascii="宋体"/>
              </w:rPr>
            </w:pPr>
          </w:p>
        </w:tc>
        <w:tc>
          <w:tcPr>
            <w:tcW w:w="0" w:type="auto"/>
            <w:shd w:val="clear" w:color="auto" w:fill="auto"/>
          </w:tcPr>
          <w:p w14:paraId="0D8DF8CE" w14:textId="77777777" w:rsidR="004C2197" w:rsidRDefault="004C2197">
            <w:pPr>
              <w:rPr>
                <w:rFonts w:ascii="宋体"/>
              </w:rPr>
            </w:pPr>
          </w:p>
        </w:tc>
        <w:tc>
          <w:tcPr>
            <w:tcW w:w="0" w:type="auto"/>
            <w:shd w:val="clear" w:color="auto" w:fill="auto"/>
          </w:tcPr>
          <w:p w14:paraId="0D8DF8CF" w14:textId="77777777" w:rsidR="004C2197" w:rsidRDefault="004C2197">
            <w:pPr>
              <w:rPr>
                <w:rFonts w:ascii="宋体"/>
              </w:rPr>
            </w:pPr>
          </w:p>
        </w:tc>
        <w:tc>
          <w:tcPr>
            <w:tcW w:w="0" w:type="auto"/>
            <w:shd w:val="clear" w:color="auto" w:fill="auto"/>
          </w:tcPr>
          <w:p w14:paraId="0D8DF8D0" w14:textId="77777777" w:rsidR="004C2197" w:rsidRDefault="004C2197">
            <w:pPr>
              <w:rPr>
                <w:rFonts w:ascii="宋体"/>
              </w:rPr>
            </w:pPr>
          </w:p>
        </w:tc>
        <w:tc>
          <w:tcPr>
            <w:tcW w:w="0" w:type="auto"/>
            <w:shd w:val="clear" w:color="auto" w:fill="auto"/>
          </w:tcPr>
          <w:p w14:paraId="0D8DF8D1" w14:textId="77777777" w:rsidR="004C2197" w:rsidRDefault="004C2197">
            <w:pPr>
              <w:rPr>
                <w:rFonts w:ascii="宋体"/>
              </w:rPr>
            </w:pPr>
          </w:p>
        </w:tc>
        <w:tc>
          <w:tcPr>
            <w:tcW w:w="0" w:type="auto"/>
            <w:shd w:val="clear" w:color="auto" w:fill="auto"/>
          </w:tcPr>
          <w:p w14:paraId="0D8DF8D2" w14:textId="77777777" w:rsidR="004C2197" w:rsidRDefault="004C2197">
            <w:pPr>
              <w:rPr>
                <w:rFonts w:ascii="宋体"/>
              </w:rPr>
            </w:pPr>
          </w:p>
        </w:tc>
      </w:tr>
      <w:tr w:rsidR="004C2197" w14:paraId="0D8DF8E7" w14:textId="77777777">
        <w:tc>
          <w:tcPr>
            <w:tcW w:w="0" w:type="auto"/>
            <w:gridSpan w:val="3"/>
            <w:shd w:val="clear" w:color="auto" w:fill="FFFFFF"/>
            <w:tcMar>
              <w:top w:w="40" w:type="dxa"/>
              <w:left w:w="20" w:type="dxa"/>
              <w:bottom w:w="40" w:type="dxa"/>
              <w:right w:w="20" w:type="dxa"/>
            </w:tcMar>
            <w:vAlign w:val="bottom"/>
          </w:tcPr>
          <w:p w14:paraId="0D8DF8D4" w14:textId="77777777" w:rsidR="004C2197" w:rsidRDefault="00863B83">
            <w:pPr>
              <w:textAlignment w:val="bottom"/>
            </w:pPr>
            <w:r>
              <w:rPr>
                <w:rFonts w:ascii="sans-serif" w:eastAsia="sans-serif" w:hAnsi="sans-serif" w:cs="sans-serif"/>
                <w:color w:val="000000"/>
                <w:sz w:val="20"/>
                <w:szCs w:val="20"/>
              </w:rPr>
              <w:t>3.50% Notes Due 2040 (2)</w:t>
            </w:r>
          </w:p>
        </w:tc>
        <w:tc>
          <w:tcPr>
            <w:tcW w:w="0" w:type="auto"/>
            <w:gridSpan w:val="3"/>
            <w:shd w:val="clear" w:color="auto" w:fill="FFFFFF"/>
            <w:tcMar>
              <w:top w:w="40" w:type="dxa"/>
              <w:left w:w="20" w:type="dxa"/>
              <w:bottom w:w="40" w:type="dxa"/>
              <w:right w:w="20" w:type="dxa"/>
            </w:tcMar>
            <w:vAlign w:val="bottom"/>
          </w:tcPr>
          <w:p w14:paraId="0D8DF8D5"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0D8DF8D6"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8D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8D8" w14:textId="77777777" w:rsidR="004C2197" w:rsidRDefault="00863B83">
            <w:pPr>
              <w:jc w:val="right"/>
              <w:textAlignment w:val="bottom"/>
            </w:pPr>
            <w:r>
              <w:rPr>
                <w:rFonts w:ascii="sans-serif" w:eastAsia="sans-serif" w:hAnsi="sans-serif" w:cs="sans-serif"/>
                <w:color w:val="000000"/>
                <w:sz w:val="20"/>
                <w:szCs w:val="20"/>
              </w:rPr>
              <w:t>1,211 </w:t>
            </w:r>
          </w:p>
        </w:tc>
        <w:tc>
          <w:tcPr>
            <w:tcW w:w="0" w:type="auto"/>
            <w:shd w:val="clear" w:color="auto" w:fill="FFFFFF"/>
            <w:tcMar>
              <w:top w:w="40" w:type="dxa"/>
              <w:bottom w:w="40" w:type="dxa"/>
              <w:right w:w="20" w:type="dxa"/>
            </w:tcMar>
            <w:vAlign w:val="bottom"/>
          </w:tcPr>
          <w:p w14:paraId="0D8DF8D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8DA"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8D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8DC"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8DD" w14:textId="77777777" w:rsidR="004C2197" w:rsidRDefault="004C2197">
            <w:pPr>
              <w:jc w:val="right"/>
              <w:rPr>
                <w:rFonts w:ascii="宋体"/>
              </w:rPr>
            </w:pPr>
          </w:p>
        </w:tc>
        <w:tc>
          <w:tcPr>
            <w:tcW w:w="0" w:type="auto"/>
            <w:shd w:val="clear" w:color="auto" w:fill="auto"/>
          </w:tcPr>
          <w:p w14:paraId="0D8DF8DE" w14:textId="77777777" w:rsidR="004C2197" w:rsidRDefault="004C2197">
            <w:pPr>
              <w:rPr>
                <w:rFonts w:ascii="宋体"/>
              </w:rPr>
            </w:pPr>
          </w:p>
        </w:tc>
        <w:tc>
          <w:tcPr>
            <w:tcW w:w="0" w:type="auto"/>
            <w:shd w:val="clear" w:color="auto" w:fill="auto"/>
          </w:tcPr>
          <w:p w14:paraId="0D8DF8DF" w14:textId="77777777" w:rsidR="004C2197" w:rsidRDefault="004C2197">
            <w:pPr>
              <w:rPr>
                <w:rFonts w:ascii="宋体"/>
              </w:rPr>
            </w:pPr>
          </w:p>
        </w:tc>
        <w:tc>
          <w:tcPr>
            <w:tcW w:w="0" w:type="auto"/>
            <w:shd w:val="clear" w:color="auto" w:fill="auto"/>
          </w:tcPr>
          <w:p w14:paraId="0D8DF8E0" w14:textId="77777777" w:rsidR="004C2197" w:rsidRDefault="004C2197">
            <w:pPr>
              <w:rPr>
                <w:rFonts w:ascii="宋体"/>
              </w:rPr>
            </w:pPr>
          </w:p>
        </w:tc>
        <w:tc>
          <w:tcPr>
            <w:tcW w:w="0" w:type="auto"/>
            <w:shd w:val="clear" w:color="auto" w:fill="auto"/>
          </w:tcPr>
          <w:p w14:paraId="0D8DF8E1" w14:textId="77777777" w:rsidR="004C2197" w:rsidRDefault="004C2197">
            <w:pPr>
              <w:rPr>
                <w:rFonts w:ascii="宋体"/>
              </w:rPr>
            </w:pPr>
          </w:p>
        </w:tc>
        <w:tc>
          <w:tcPr>
            <w:tcW w:w="0" w:type="auto"/>
            <w:shd w:val="clear" w:color="auto" w:fill="auto"/>
          </w:tcPr>
          <w:p w14:paraId="0D8DF8E2" w14:textId="77777777" w:rsidR="004C2197" w:rsidRDefault="004C2197">
            <w:pPr>
              <w:rPr>
                <w:rFonts w:ascii="宋体"/>
              </w:rPr>
            </w:pPr>
          </w:p>
        </w:tc>
        <w:tc>
          <w:tcPr>
            <w:tcW w:w="0" w:type="auto"/>
            <w:shd w:val="clear" w:color="auto" w:fill="auto"/>
          </w:tcPr>
          <w:p w14:paraId="0D8DF8E3" w14:textId="77777777" w:rsidR="004C2197" w:rsidRDefault="004C2197">
            <w:pPr>
              <w:rPr>
                <w:rFonts w:ascii="宋体"/>
              </w:rPr>
            </w:pPr>
          </w:p>
        </w:tc>
        <w:tc>
          <w:tcPr>
            <w:tcW w:w="0" w:type="auto"/>
            <w:shd w:val="clear" w:color="auto" w:fill="auto"/>
          </w:tcPr>
          <w:p w14:paraId="0D8DF8E4" w14:textId="77777777" w:rsidR="004C2197" w:rsidRDefault="004C2197">
            <w:pPr>
              <w:rPr>
                <w:rFonts w:ascii="宋体"/>
              </w:rPr>
            </w:pPr>
          </w:p>
        </w:tc>
        <w:tc>
          <w:tcPr>
            <w:tcW w:w="0" w:type="auto"/>
            <w:shd w:val="clear" w:color="auto" w:fill="auto"/>
          </w:tcPr>
          <w:p w14:paraId="0D8DF8E5" w14:textId="77777777" w:rsidR="004C2197" w:rsidRDefault="004C2197">
            <w:pPr>
              <w:rPr>
                <w:rFonts w:ascii="宋体"/>
              </w:rPr>
            </w:pPr>
          </w:p>
        </w:tc>
        <w:tc>
          <w:tcPr>
            <w:tcW w:w="0" w:type="auto"/>
            <w:shd w:val="clear" w:color="auto" w:fill="auto"/>
          </w:tcPr>
          <w:p w14:paraId="0D8DF8E6" w14:textId="77777777" w:rsidR="004C2197" w:rsidRDefault="004C2197">
            <w:pPr>
              <w:rPr>
                <w:rFonts w:ascii="宋体"/>
              </w:rPr>
            </w:pPr>
          </w:p>
        </w:tc>
      </w:tr>
      <w:tr w:rsidR="004C2197" w14:paraId="0D8DF8FB" w14:textId="77777777">
        <w:tc>
          <w:tcPr>
            <w:tcW w:w="0" w:type="auto"/>
            <w:gridSpan w:val="3"/>
            <w:shd w:val="clear" w:color="auto" w:fill="E2EFD9"/>
            <w:tcMar>
              <w:top w:w="40" w:type="dxa"/>
              <w:left w:w="20" w:type="dxa"/>
              <w:bottom w:w="40" w:type="dxa"/>
              <w:right w:w="20" w:type="dxa"/>
            </w:tcMar>
            <w:vAlign w:val="bottom"/>
          </w:tcPr>
          <w:p w14:paraId="0D8DF8E8" w14:textId="77777777" w:rsidR="004C2197" w:rsidRDefault="00863B83">
            <w:pPr>
              <w:textAlignment w:val="bottom"/>
            </w:pPr>
            <w:r>
              <w:rPr>
                <w:rFonts w:ascii="sans-serif" w:eastAsia="sans-serif" w:hAnsi="sans-serif" w:cs="sans-serif"/>
                <w:color w:val="000000"/>
                <w:sz w:val="20"/>
                <w:szCs w:val="20"/>
              </w:rPr>
              <w:t>3.50% Notes Due 2050 (2)</w:t>
            </w:r>
          </w:p>
        </w:tc>
        <w:tc>
          <w:tcPr>
            <w:tcW w:w="0" w:type="auto"/>
            <w:gridSpan w:val="3"/>
            <w:shd w:val="clear" w:color="auto" w:fill="E2EFD9"/>
            <w:tcMar>
              <w:top w:w="40" w:type="dxa"/>
              <w:left w:w="20" w:type="dxa"/>
              <w:bottom w:w="40" w:type="dxa"/>
              <w:right w:w="20" w:type="dxa"/>
            </w:tcMar>
            <w:vAlign w:val="bottom"/>
          </w:tcPr>
          <w:p w14:paraId="0D8DF8E9"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left w:w="20" w:type="dxa"/>
              <w:right w:w="20" w:type="dxa"/>
            </w:tcMar>
            <w:vAlign w:val="bottom"/>
          </w:tcPr>
          <w:p w14:paraId="0D8DF8E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E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EC" w14:textId="77777777" w:rsidR="004C2197" w:rsidRDefault="00863B83">
            <w:pPr>
              <w:jc w:val="right"/>
              <w:textAlignment w:val="bottom"/>
            </w:pPr>
            <w:r>
              <w:rPr>
                <w:rFonts w:ascii="sans-serif" w:eastAsia="sans-serif" w:hAnsi="sans-serif" w:cs="sans-serif"/>
                <w:color w:val="000000"/>
                <w:sz w:val="20"/>
                <w:szCs w:val="20"/>
              </w:rPr>
              <w:t>2,432 </w:t>
            </w:r>
          </w:p>
        </w:tc>
        <w:tc>
          <w:tcPr>
            <w:tcW w:w="0" w:type="auto"/>
            <w:shd w:val="clear" w:color="auto" w:fill="E2EFD9"/>
            <w:tcMar>
              <w:top w:w="40" w:type="dxa"/>
              <w:bottom w:w="40" w:type="dxa"/>
              <w:right w:w="20" w:type="dxa"/>
            </w:tcMar>
            <w:vAlign w:val="bottom"/>
          </w:tcPr>
          <w:p w14:paraId="0D8DF8E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8E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8E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8F0"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8F1" w14:textId="77777777" w:rsidR="004C2197" w:rsidRDefault="004C2197">
            <w:pPr>
              <w:jc w:val="right"/>
              <w:rPr>
                <w:rFonts w:ascii="宋体"/>
              </w:rPr>
            </w:pPr>
          </w:p>
        </w:tc>
        <w:tc>
          <w:tcPr>
            <w:tcW w:w="0" w:type="auto"/>
            <w:shd w:val="clear" w:color="auto" w:fill="auto"/>
          </w:tcPr>
          <w:p w14:paraId="0D8DF8F2" w14:textId="77777777" w:rsidR="004C2197" w:rsidRDefault="004C2197">
            <w:pPr>
              <w:rPr>
                <w:rFonts w:ascii="宋体"/>
              </w:rPr>
            </w:pPr>
          </w:p>
        </w:tc>
        <w:tc>
          <w:tcPr>
            <w:tcW w:w="0" w:type="auto"/>
            <w:shd w:val="clear" w:color="auto" w:fill="auto"/>
          </w:tcPr>
          <w:p w14:paraId="0D8DF8F3" w14:textId="77777777" w:rsidR="004C2197" w:rsidRDefault="004C2197">
            <w:pPr>
              <w:rPr>
                <w:rFonts w:ascii="宋体"/>
              </w:rPr>
            </w:pPr>
          </w:p>
        </w:tc>
        <w:tc>
          <w:tcPr>
            <w:tcW w:w="0" w:type="auto"/>
            <w:shd w:val="clear" w:color="auto" w:fill="auto"/>
          </w:tcPr>
          <w:p w14:paraId="0D8DF8F4" w14:textId="77777777" w:rsidR="004C2197" w:rsidRDefault="004C2197">
            <w:pPr>
              <w:rPr>
                <w:rFonts w:ascii="宋体"/>
              </w:rPr>
            </w:pPr>
          </w:p>
        </w:tc>
        <w:tc>
          <w:tcPr>
            <w:tcW w:w="0" w:type="auto"/>
            <w:shd w:val="clear" w:color="auto" w:fill="auto"/>
          </w:tcPr>
          <w:p w14:paraId="0D8DF8F5" w14:textId="77777777" w:rsidR="004C2197" w:rsidRDefault="004C2197">
            <w:pPr>
              <w:rPr>
                <w:rFonts w:ascii="宋体"/>
              </w:rPr>
            </w:pPr>
          </w:p>
        </w:tc>
        <w:tc>
          <w:tcPr>
            <w:tcW w:w="0" w:type="auto"/>
            <w:shd w:val="clear" w:color="auto" w:fill="auto"/>
          </w:tcPr>
          <w:p w14:paraId="0D8DF8F6" w14:textId="77777777" w:rsidR="004C2197" w:rsidRDefault="004C2197">
            <w:pPr>
              <w:rPr>
                <w:rFonts w:ascii="宋体"/>
              </w:rPr>
            </w:pPr>
          </w:p>
        </w:tc>
        <w:tc>
          <w:tcPr>
            <w:tcW w:w="0" w:type="auto"/>
            <w:shd w:val="clear" w:color="auto" w:fill="auto"/>
          </w:tcPr>
          <w:p w14:paraId="0D8DF8F7" w14:textId="77777777" w:rsidR="004C2197" w:rsidRDefault="004C2197">
            <w:pPr>
              <w:rPr>
                <w:rFonts w:ascii="宋体"/>
              </w:rPr>
            </w:pPr>
          </w:p>
        </w:tc>
        <w:tc>
          <w:tcPr>
            <w:tcW w:w="0" w:type="auto"/>
            <w:shd w:val="clear" w:color="auto" w:fill="auto"/>
          </w:tcPr>
          <w:p w14:paraId="0D8DF8F8" w14:textId="77777777" w:rsidR="004C2197" w:rsidRDefault="004C2197">
            <w:pPr>
              <w:rPr>
                <w:rFonts w:ascii="宋体"/>
              </w:rPr>
            </w:pPr>
          </w:p>
        </w:tc>
        <w:tc>
          <w:tcPr>
            <w:tcW w:w="0" w:type="auto"/>
            <w:shd w:val="clear" w:color="auto" w:fill="auto"/>
          </w:tcPr>
          <w:p w14:paraId="0D8DF8F9" w14:textId="77777777" w:rsidR="004C2197" w:rsidRDefault="004C2197">
            <w:pPr>
              <w:rPr>
                <w:rFonts w:ascii="宋体"/>
              </w:rPr>
            </w:pPr>
          </w:p>
        </w:tc>
        <w:tc>
          <w:tcPr>
            <w:tcW w:w="0" w:type="auto"/>
            <w:shd w:val="clear" w:color="auto" w:fill="auto"/>
          </w:tcPr>
          <w:p w14:paraId="0D8DF8FA" w14:textId="77777777" w:rsidR="004C2197" w:rsidRDefault="004C2197">
            <w:pPr>
              <w:rPr>
                <w:rFonts w:ascii="宋体"/>
              </w:rPr>
            </w:pPr>
          </w:p>
        </w:tc>
      </w:tr>
      <w:tr w:rsidR="004C2197" w14:paraId="0D8DF90F" w14:textId="77777777">
        <w:tc>
          <w:tcPr>
            <w:tcW w:w="0" w:type="auto"/>
            <w:gridSpan w:val="3"/>
            <w:shd w:val="clear" w:color="auto" w:fill="FFFFFF"/>
            <w:tcMar>
              <w:top w:w="40" w:type="dxa"/>
              <w:left w:w="20" w:type="dxa"/>
              <w:bottom w:w="40" w:type="dxa"/>
              <w:right w:w="20" w:type="dxa"/>
            </w:tcMar>
            <w:vAlign w:val="bottom"/>
          </w:tcPr>
          <w:p w14:paraId="0D8DF8FC" w14:textId="77777777" w:rsidR="004C2197" w:rsidRDefault="00863B83">
            <w:pPr>
              <w:textAlignment w:val="bottom"/>
            </w:pPr>
            <w:r>
              <w:rPr>
                <w:rFonts w:ascii="sans-serif" w:eastAsia="sans-serif" w:hAnsi="sans-serif" w:cs="sans-serif"/>
                <w:color w:val="000000"/>
                <w:sz w:val="20"/>
                <w:szCs w:val="20"/>
              </w:rPr>
              <w:t>3.70% Notes Due 2060 (2)</w:t>
            </w:r>
          </w:p>
        </w:tc>
        <w:tc>
          <w:tcPr>
            <w:tcW w:w="0" w:type="auto"/>
            <w:gridSpan w:val="3"/>
            <w:shd w:val="clear" w:color="auto" w:fill="FFFFFF"/>
            <w:tcMar>
              <w:top w:w="40" w:type="dxa"/>
              <w:left w:w="20" w:type="dxa"/>
              <w:bottom w:w="40" w:type="dxa"/>
              <w:right w:w="20" w:type="dxa"/>
            </w:tcMar>
            <w:vAlign w:val="bottom"/>
          </w:tcPr>
          <w:p w14:paraId="0D8DF8FD" w14:textId="77777777" w:rsidR="004C2197" w:rsidRDefault="00863B83">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left w:w="20" w:type="dxa"/>
              <w:right w:w="20" w:type="dxa"/>
            </w:tcMar>
            <w:vAlign w:val="bottom"/>
          </w:tcPr>
          <w:p w14:paraId="0D8DF8F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8F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900" w14:textId="77777777" w:rsidR="004C2197" w:rsidRDefault="00863B83">
            <w:pPr>
              <w:jc w:val="right"/>
              <w:textAlignment w:val="bottom"/>
            </w:pPr>
            <w:r>
              <w:rPr>
                <w:rFonts w:ascii="sans-serif" w:eastAsia="sans-serif" w:hAnsi="sans-serif" w:cs="sans-serif"/>
                <w:color w:val="000000"/>
                <w:sz w:val="20"/>
                <w:szCs w:val="20"/>
              </w:rPr>
              <w:t>637 </w:t>
            </w:r>
          </w:p>
        </w:tc>
        <w:tc>
          <w:tcPr>
            <w:tcW w:w="0" w:type="auto"/>
            <w:shd w:val="clear" w:color="auto" w:fill="FFFFFF"/>
            <w:tcMar>
              <w:top w:w="40" w:type="dxa"/>
              <w:bottom w:w="40" w:type="dxa"/>
              <w:right w:w="20" w:type="dxa"/>
            </w:tcMar>
            <w:vAlign w:val="bottom"/>
          </w:tcPr>
          <w:p w14:paraId="0D8DF90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0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90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90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905" w14:textId="77777777" w:rsidR="004C2197" w:rsidRDefault="004C2197">
            <w:pPr>
              <w:jc w:val="right"/>
              <w:rPr>
                <w:rFonts w:ascii="宋体"/>
              </w:rPr>
            </w:pPr>
          </w:p>
        </w:tc>
        <w:tc>
          <w:tcPr>
            <w:tcW w:w="0" w:type="auto"/>
            <w:shd w:val="clear" w:color="auto" w:fill="auto"/>
          </w:tcPr>
          <w:p w14:paraId="0D8DF906" w14:textId="77777777" w:rsidR="004C2197" w:rsidRDefault="004C2197">
            <w:pPr>
              <w:rPr>
                <w:rFonts w:ascii="宋体"/>
              </w:rPr>
            </w:pPr>
          </w:p>
        </w:tc>
        <w:tc>
          <w:tcPr>
            <w:tcW w:w="0" w:type="auto"/>
            <w:shd w:val="clear" w:color="auto" w:fill="auto"/>
          </w:tcPr>
          <w:p w14:paraId="0D8DF907" w14:textId="77777777" w:rsidR="004C2197" w:rsidRDefault="004C2197">
            <w:pPr>
              <w:rPr>
                <w:rFonts w:ascii="宋体"/>
              </w:rPr>
            </w:pPr>
          </w:p>
        </w:tc>
        <w:tc>
          <w:tcPr>
            <w:tcW w:w="0" w:type="auto"/>
            <w:shd w:val="clear" w:color="auto" w:fill="auto"/>
          </w:tcPr>
          <w:p w14:paraId="0D8DF908" w14:textId="77777777" w:rsidR="004C2197" w:rsidRDefault="004C2197">
            <w:pPr>
              <w:rPr>
                <w:rFonts w:ascii="宋体"/>
              </w:rPr>
            </w:pPr>
          </w:p>
        </w:tc>
        <w:tc>
          <w:tcPr>
            <w:tcW w:w="0" w:type="auto"/>
            <w:shd w:val="clear" w:color="auto" w:fill="auto"/>
          </w:tcPr>
          <w:p w14:paraId="0D8DF909" w14:textId="77777777" w:rsidR="004C2197" w:rsidRDefault="004C2197">
            <w:pPr>
              <w:rPr>
                <w:rFonts w:ascii="宋体"/>
              </w:rPr>
            </w:pPr>
          </w:p>
        </w:tc>
        <w:tc>
          <w:tcPr>
            <w:tcW w:w="0" w:type="auto"/>
            <w:shd w:val="clear" w:color="auto" w:fill="auto"/>
          </w:tcPr>
          <w:p w14:paraId="0D8DF90A" w14:textId="77777777" w:rsidR="004C2197" w:rsidRDefault="004C2197">
            <w:pPr>
              <w:rPr>
                <w:rFonts w:ascii="宋体"/>
              </w:rPr>
            </w:pPr>
          </w:p>
        </w:tc>
        <w:tc>
          <w:tcPr>
            <w:tcW w:w="0" w:type="auto"/>
            <w:shd w:val="clear" w:color="auto" w:fill="auto"/>
          </w:tcPr>
          <w:p w14:paraId="0D8DF90B" w14:textId="77777777" w:rsidR="004C2197" w:rsidRDefault="004C2197">
            <w:pPr>
              <w:rPr>
                <w:rFonts w:ascii="宋体"/>
              </w:rPr>
            </w:pPr>
          </w:p>
        </w:tc>
        <w:tc>
          <w:tcPr>
            <w:tcW w:w="0" w:type="auto"/>
            <w:shd w:val="clear" w:color="auto" w:fill="auto"/>
          </w:tcPr>
          <w:p w14:paraId="0D8DF90C" w14:textId="77777777" w:rsidR="004C2197" w:rsidRDefault="004C2197">
            <w:pPr>
              <w:rPr>
                <w:rFonts w:ascii="宋体"/>
              </w:rPr>
            </w:pPr>
          </w:p>
        </w:tc>
        <w:tc>
          <w:tcPr>
            <w:tcW w:w="0" w:type="auto"/>
            <w:shd w:val="clear" w:color="auto" w:fill="auto"/>
          </w:tcPr>
          <w:p w14:paraId="0D8DF90D" w14:textId="77777777" w:rsidR="004C2197" w:rsidRDefault="004C2197">
            <w:pPr>
              <w:rPr>
                <w:rFonts w:ascii="宋体"/>
              </w:rPr>
            </w:pPr>
          </w:p>
        </w:tc>
        <w:tc>
          <w:tcPr>
            <w:tcW w:w="0" w:type="auto"/>
            <w:shd w:val="clear" w:color="auto" w:fill="auto"/>
          </w:tcPr>
          <w:p w14:paraId="0D8DF90E" w14:textId="77777777" w:rsidR="004C2197" w:rsidRDefault="004C2197">
            <w:pPr>
              <w:rPr>
                <w:rFonts w:ascii="宋体"/>
              </w:rPr>
            </w:pPr>
          </w:p>
        </w:tc>
      </w:tr>
    </w:tbl>
    <w:p w14:paraId="0D8DF910" w14:textId="77777777" w:rsidR="004C2197" w:rsidRDefault="00863B83">
      <w:pPr>
        <w:spacing w:after="60"/>
        <w:ind w:hanging="360"/>
        <w:jc w:val="both"/>
      </w:pPr>
      <w:r>
        <w:rPr>
          <w:rFonts w:ascii="sans-serif" w:eastAsia="sans-serif" w:hAnsi="sans-serif" w:cs="sans-serif"/>
          <w:color w:val="000000"/>
          <w:sz w:val="16"/>
          <w:szCs w:val="16"/>
        </w:rPr>
        <w:t xml:space="preserve">(1)  Investment in non-affiliated entities is privately held and recorded at fair value on a non-recurring basis only if an impairment or observable price adjustment occurs in the period with changes in fair value </w:t>
      </w:r>
      <w:r>
        <w:rPr>
          <w:rFonts w:ascii="sans-serif" w:eastAsia="sans-serif" w:hAnsi="sans-serif" w:cs="sans-serif"/>
          <w:color w:val="000000"/>
          <w:sz w:val="16"/>
          <w:szCs w:val="16"/>
        </w:rPr>
        <w:t>recorded through net income. The amount recorded as of July 26, 2020 has not been significant.</w:t>
      </w:r>
    </w:p>
    <w:p w14:paraId="0D8DF911" w14:textId="77777777" w:rsidR="004C2197" w:rsidRDefault="00863B83">
      <w:pPr>
        <w:spacing w:after="60"/>
        <w:ind w:hanging="360"/>
        <w:jc w:val="both"/>
      </w:pPr>
      <w:r>
        <w:rPr>
          <w:rFonts w:ascii="sans-serif" w:eastAsia="sans-serif" w:hAnsi="sans-serif" w:cs="sans-serif"/>
          <w:color w:val="000000"/>
          <w:sz w:val="16"/>
          <w:szCs w:val="16"/>
        </w:rPr>
        <w:t>(2) These liabilities are carried on our Consolidated Balance Sheets at their original issuance value, net of unamortized debt discount and issuance costs, and a</w:t>
      </w:r>
      <w:r>
        <w:rPr>
          <w:rFonts w:ascii="sans-serif" w:eastAsia="sans-serif" w:hAnsi="sans-serif" w:cs="sans-serif"/>
          <w:color w:val="000000"/>
          <w:sz w:val="16"/>
          <w:szCs w:val="16"/>
        </w:rPr>
        <w:t>re not marked to fair value each period. Refer to Note 12 of these Notes to Condensed Consolidated Financial Statements for additional information.</w:t>
      </w:r>
    </w:p>
    <w:p w14:paraId="0D8DF912" w14:textId="77777777" w:rsidR="004C2197" w:rsidRDefault="004C2197">
      <w:pPr>
        <w:spacing w:after="60"/>
        <w:ind w:hanging="360"/>
        <w:jc w:val="both"/>
      </w:pPr>
    </w:p>
    <w:p w14:paraId="0D8DF913" w14:textId="77777777" w:rsidR="004C2197" w:rsidRDefault="004C2197">
      <w:pPr>
        <w:spacing w:before="240" w:after="120"/>
        <w:jc w:val="both"/>
      </w:pPr>
    </w:p>
    <w:p w14:paraId="0D8DF914" w14:textId="77777777" w:rsidR="004C2197" w:rsidRDefault="00863B83">
      <w:pPr>
        <w:spacing w:after="180"/>
        <w:jc w:val="center"/>
      </w:pPr>
      <w:r>
        <w:rPr>
          <w:rFonts w:ascii="sans-serif" w:eastAsia="sans-serif" w:hAnsi="sans-serif" w:cs="sans-serif"/>
          <w:color w:val="000000"/>
          <w:sz w:val="20"/>
          <w:szCs w:val="20"/>
        </w:rPr>
        <w:t>17</w:t>
      </w:r>
    </w:p>
    <w:p w14:paraId="0D8DF915" w14:textId="77777777" w:rsidR="004C2197" w:rsidRDefault="00863B83">
      <w:r>
        <w:pict w14:anchorId="0D8E0CB5">
          <v:rect id="_x0000_i1041" style="width:415.3pt;height:1.5pt" o:hralign="center" o:hrstd="t" o:hr="t" fillcolor="#a0a0a0" stroked="f"/>
        </w:pict>
      </w:r>
    </w:p>
    <w:p w14:paraId="0D8DF916" w14:textId="77777777" w:rsidR="004C2197" w:rsidRDefault="00863B83">
      <w:pPr>
        <w:jc w:val="center"/>
      </w:pPr>
      <w:r>
        <w:rPr>
          <w:rFonts w:ascii="sans-serif" w:eastAsia="sans-serif" w:hAnsi="sans-serif" w:cs="sans-serif"/>
          <w:b/>
          <w:bCs/>
          <w:color w:val="000000"/>
          <w:sz w:val="20"/>
          <w:szCs w:val="20"/>
        </w:rPr>
        <w:t>NVIDIA CORPORATION AND SUBSIDIARIES</w:t>
      </w:r>
    </w:p>
    <w:p w14:paraId="0D8DF917" w14:textId="77777777" w:rsidR="004C2197" w:rsidRDefault="00863B83">
      <w:pPr>
        <w:jc w:val="center"/>
      </w:pPr>
      <w:r>
        <w:rPr>
          <w:rFonts w:ascii="sans-serif" w:eastAsia="sans-serif" w:hAnsi="sans-serif" w:cs="sans-serif"/>
          <w:b/>
          <w:bCs/>
          <w:color w:val="000000"/>
          <w:sz w:val="20"/>
          <w:szCs w:val="20"/>
        </w:rPr>
        <w:t xml:space="preserve">NOTES TO CONDENSED CONSOLIDATED FINANCIAL STATEMENTS </w:t>
      </w:r>
      <w:r>
        <w:rPr>
          <w:rFonts w:ascii="sans-serif" w:eastAsia="sans-serif" w:hAnsi="sans-serif" w:cs="sans-serif"/>
          <w:b/>
          <w:bCs/>
          <w:color w:val="000000"/>
          <w:sz w:val="20"/>
          <w:szCs w:val="20"/>
        </w:rPr>
        <w:t>(Continued)</w:t>
      </w:r>
    </w:p>
    <w:p w14:paraId="0D8DF918" w14:textId="77777777" w:rsidR="004C2197" w:rsidRDefault="00863B83">
      <w:pPr>
        <w:jc w:val="center"/>
      </w:pPr>
      <w:r>
        <w:rPr>
          <w:rFonts w:ascii="sans-serif" w:eastAsia="sans-serif" w:hAnsi="sans-serif" w:cs="sans-serif"/>
          <w:b/>
          <w:bCs/>
          <w:color w:val="000000"/>
          <w:sz w:val="20"/>
          <w:szCs w:val="20"/>
        </w:rPr>
        <w:t>(Unaudited)</w:t>
      </w:r>
    </w:p>
    <w:p w14:paraId="0D8DF919" w14:textId="77777777" w:rsidR="004C2197" w:rsidRDefault="004C2197">
      <w:pPr>
        <w:spacing w:after="180"/>
        <w:jc w:val="both"/>
      </w:pPr>
    </w:p>
    <w:p w14:paraId="0D8DF91A" w14:textId="77777777" w:rsidR="004C2197" w:rsidRDefault="004C2197">
      <w:pPr>
        <w:spacing w:after="180"/>
        <w:jc w:val="both"/>
      </w:pPr>
    </w:p>
    <w:p w14:paraId="0D8DF91B" w14:textId="77777777" w:rsidR="004C2197" w:rsidRDefault="00863B83">
      <w:pPr>
        <w:spacing w:before="240" w:after="120"/>
        <w:jc w:val="both"/>
      </w:pPr>
      <w:r>
        <w:rPr>
          <w:rFonts w:ascii="sans-serif" w:eastAsia="sans-serif" w:hAnsi="sans-serif" w:cs="sans-serif"/>
          <w:b/>
          <w:bCs/>
          <w:color w:val="76B900"/>
          <w:sz w:val="22"/>
          <w:szCs w:val="22"/>
        </w:rPr>
        <w:t>Note 9 - Amortizable Intangible Assets</w:t>
      </w:r>
    </w:p>
    <w:p w14:paraId="0D8DF91C" w14:textId="77777777" w:rsidR="004C2197" w:rsidRDefault="00863B83">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68"/>
        <w:gridCol w:w="1262"/>
        <w:gridCol w:w="34"/>
        <w:gridCol w:w="122"/>
        <w:gridCol w:w="564"/>
        <w:gridCol w:w="40"/>
        <w:gridCol w:w="37"/>
        <w:gridCol w:w="35"/>
        <w:gridCol w:w="35"/>
        <w:gridCol w:w="122"/>
        <w:gridCol w:w="868"/>
        <w:gridCol w:w="40"/>
        <w:gridCol w:w="37"/>
        <w:gridCol w:w="35"/>
        <w:gridCol w:w="35"/>
        <w:gridCol w:w="122"/>
        <w:gridCol w:w="828"/>
        <w:gridCol w:w="40"/>
        <w:gridCol w:w="37"/>
        <w:gridCol w:w="35"/>
        <w:gridCol w:w="35"/>
        <w:gridCol w:w="122"/>
        <w:gridCol w:w="564"/>
        <w:gridCol w:w="40"/>
        <w:gridCol w:w="37"/>
        <w:gridCol w:w="35"/>
        <w:gridCol w:w="35"/>
        <w:gridCol w:w="122"/>
        <w:gridCol w:w="868"/>
        <w:gridCol w:w="40"/>
        <w:gridCol w:w="37"/>
        <w:gridCol w:w="35"/>
        <w:gridCol w:w="35"/>
        <w:gridCol w:w="122"/>
        <w:gridCol w:w="828"/>
        <w:gridCol w:w="40"/>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tblGrid>
      <w:tr w:rsidR="004C2197" w14:paraId="0D8DF941" w14:textId="77777777">
        <w:trPr>
          <w:gridAfter w:val="27"/>
        </w:trPr>
        <w:tc>
          <w:tcPr>
            <w:tcW w:w="50" w:type="pct"/>
            <w:shd w:val="clear" w:color="auto" w:fill="auto"/>
          </w:tcPr>
          <w:p w14:paraId="0D8DF91D" w14:textId="77777777" w:rsidR="004C2197" w:rsidRDefault="004C2197">
            <w:pPr>
              <w:rPr>
                <w:rFonts w:ascii="宋体"/>
              </w:rPr>
            </w:pPr>
          </w:p>
        </w:tc>
        <w:tc>
          <w:tcPr>
            <w:tcW w:w="1005" w:type="pct"/>
            <w:shd w:val="clear" w:color="auto" w:fill="auto"/>
          </w:tcPr>
          <w:p w14:paraId="0D8DF91E" w14:textId="77777777" w:rsidR="004C2197" w:rsidRDefault="004C2197">
            <w:pPr>
              <w:rPr>
                <w:rFonts w:ascii="宋体"/>
              </w:rPr>
            </w:pPr>
          </w:p>
        </w:tc>
        <w:tc>
          <w:tcPr>
            <w:tcW w:w="5" w:type="pct"/>
            <w:shd w:val="clear" w:color="auto" w:fill="auto"/>
          </w:tcPr>
          <w:p w14:paraId="0D8DF91F" w14:textId="77777777" w:rsidR="004C2197" w:rsidRDefault="004C2197">
            <w:pPr>
              <w:rPr>
                <w:rFonts w:ascii="宋体"/>
              </w:rPr>
            </w:pPr>
          </w:p>
        </w:tc>
        <w:tc>
          <w:tcPr>
            <w:tcW w:w="50" w:type="pct"/>
            <w:shd w:val="clear" w:color="auto" w:fill="auto"/>
          </w:tcPr>
          <w:p w14:paraId="0D8DF920" w14:textId="77777777" w:rsidR="004C2197" w:rsidRDefault="004C2197">
            <w:pPr>
              <w:rPr>
                <w:rFonts w:ascii="宋体"/>
              </w:rPr>
            </w:pPr>
          </w:p>
        </w:tc>
        <w:tc>
          <w:tcPr>
            <w:tcW w:w="570" w:type="pct"/>
            <w:shd w:val="clear" w:color="auto" w:fill="auto"/>
          </w:tcPr>
          <w:p w14:paraId="0D8DF921" w14:textId="77777777" w:rsidR="004C2197" w:rsidRDefault="004C2197">
            <w:pPr>
              <w:rPr>
                <w:rFonts w:ascii="宋体"/>
              </w:rPr>
            </w:pPr>
          </w:p>
        </w:tc>
        <w:tc>
          <w:tcPr>
            <w:tcW w:w="5" w:type="pct"/>
            <w:shd w:val="clear" w:color="auto" w:fill="auto"/>
          </w:tcPr>
          <w:p w14:paraId="0D8DF922" w14:textId="77777777" w:rsidR="004C2197" w:rsidRDefault="004C2197">
            <w:pPr>
              <w:rPr>
                <w:rFonts w:ascii="宋体"/>
              </w:rPr>
            </w:pPr>
          </w:p>
        </w:tc>
        <w:tc>
          <w:tcPr>
            <w:tcW w:w="5" w:type="pct"/>
            <w:shd w:val="clear" w:color="auto" w:fill="auto"/>
          </w:tcPr>
          <w:p w14:paraId="0D8DF923" w14:textId="77777777" w:rsidR="004C2197" w:rsidRDefault="004C2197">
            <w:pPr>
              <w:rPr>
                <w:rFonts w:ascii="宋体"/>
              </w:rPr>
            </w:pPr>
          </w:p>
        </w:tc>
        <w:tc>
          <w:tcPr>
            <w:tcW w:w="26" w:type="pct"/>
            <w:shd w:val="clear" w:color="auto" w:fill="auto"/>
          </w:tcPr>
          <w:p w14:paraId="0D8DF924" w14:textId="77777777" w:rsidR="004C2197" w:rsidRDefault="004C2197">
            <w:pPr>
              <w:rPr>
                <w:rFonts w:ascii="宋体"/>
              </w:rPr>
            </w:pPr>
          </w:p>
        </w:tc>
        <w:tc>
          <w:tcPr>
            <w:tcW w:w="5" w:type="pct"/>
            <w:shd w:val="clear" w:color="auto" w:fill="auto"/>
          </w:tcPr>
          <w:p w14:paraId="0D8DF925" w14:textId="77777777" w:rsidR="004C2197" w:rsidRDefault="004C2197">
            <w:pPr>
              <w:rPr>
                <w:rFonts w:ascii="宋体"/>
              </w:rPr>
            </w:pPr>
          </w:p>
        </w:tc>
        <w:tc>
          <w:tcPr>
            <w:tcW w:w="50" w:type="pct"/>
            <w:shd w:val="clear" w:color="auto" w:fill="auto"/>
          </w:tcPr>
          <w:p w14:paraId="0D8DF926" w14:textId="77777777" w:rsidR="004C2197" w:rsidRDefault="004C2197">
            <w:pPr>
              <w:rPr>
                <w:rFonts w:ascii="宋体"/>
              </w:rPr>
            </w:pPr>
          </w:p>
        </w:tc>
        <w:tc>
          <w:tcPr>
            <w:tcW w:w="570" w:type="pct"/>
            <w:shd w:val="clear" w:color="auto" w:fill="auto"/>
          </w:tcPr>
          <w:p w14:paraId="0D8DF927" w14:textId="77777777" w:rsidR="004C2197" w:rsidRDefault="004C2197">
            <w:pPr>
              <w:rPr>
                <w:rFonts w:ascii="宋体"/>
              </w:rPr>
            </w:pPr>
          </w:p>
        </w:tc>
        <w:tc>
          <w:tcPr>
            <w:tcW w:w="5" w:type="pct"/>
            <w:shd w:val="clear" w:color="auto" w:fill="auto"/>
          </w:tcPr>
          <w:p w14:paraId="0D8DF928" w14:textId="77777777" w:rsidR="004C2197" w:rsidRDefault="004C2197">
            <w:pPr>
              <w:rPr>
                <w:rFonts w:ascii="宋体"/>
              </w:rPr>
            </w:pPr>
          </w:p>
        </w:tc>
        <w:tc>
          <w:tcPr>
            <w:tcW w:w="5" w:type="pct"/>
            <w:shd w:val="clear" w:color="auto" w:fill="auto"/>
          </w:tcPr>
          <w:p w14:paraId="0D8DF929" w14:textId="77777777" w:rsidR="004C2197" w:rsidRDefault="004C2197">
            <w:pPr>
              <w:rPr>
                <w:rFonts w:ascii="宋体"/>
              </w:rPr>
            </w:pPr>
          </w:p>
        </w:tc>
        <w:tc>
          <w:tcPr>
            <w:tcW w:w="26" w:type="pct"/>
            <w:shd w:val="clear" w:color="auto" w:fill="auto"/>
          </w:tcPr>
          <w:p w14:paraId="0D8DF92A" w14:textId="77777777" w:rsidR="004C2197" w:rsidRDefault="004C2197">
            <w:pPr>
              <w:rPr>
                <w:rFonts w:ascii="宋体"/>
              </w:rPr>
            </w:pPr>
          </w:p>
        </w:tc>
        <w:tc>
          <w:tcPr>
            <w:tcW w:w="5" w:type="pct"/>
            <w:shd w:val="clear" w:color="auto" w:fill="auto"/>
          </w:tcPr>
          <w:p w14:paraId="0D8DF92B" w14:textId="77777777" w:rsidR="004C2197" w:rsidRDefault="004C2197">
            <w:pPr>
              <w:rPr>
                <w:rFonts w:ascii="宋体"/>
              </w:rPr>
            </w:pPr>
          </w:p>
        </w:tc>
        <w:tc>
          <w:tcPr>
            <w:tcW w:w="50" w:type="pct"/>
            <w:shd w:val="clear" w:color="auto" w:fill="auto"/>
          </w:tcPr>
          <w:p w14:paraId="0D8DF92C" w14:textId="77777777" w:rsidR="004C2197" w:rsidRDefault="004C2197">
            <w:pPr>
              <w:rPr>
                <w:rFonts w:ascii="宋体"/>
              </w:rPr>
            </w:pPr>
          </w:p>
        </w:tc>
        <w:tc>
          <w:tcPr>
            <w:tcW w:w="570" w:type="pct"/>
            <w:shd w:val="clear" w:color="auto" w:fill="auto"/>
          </w:tcPr>
          <w:p w14:paraId="0D8DF92D" w14:textId="77777777" w:rsidR="004C2197" w:rsidRDefault="004C2197">
            <w:pPr>
              <w:rPr>
                <w:rFonts w:ascii="宋体"/>
              </w:rPr>
            </w:pPr>
          </w:p>
        </w:tc>
        <w:tc>
          <w:tcPr>
            <w:tcW w:w="5" w:type="pct"/>
            <w:shd w:val="clear" w:color="auto" w:fill="auto"/>
          </w:tcPr>
          <w:p w14:paraId="0D8DF92E" w14:textId="77777777" w:rsidR="004C2197" w:rsidRDefault="004C2197">
            <w:pPr>
              <w:rPr>
                <w:rFonts w:ascii="宋体"/>
              </w:rPr>
            </w:pPr>
          </w:p>
        </w:tc>
        <w:tc>
          <w:tcPr>
            <w:tcW w:w="5" w:type="pct"/>
            <w:shd w:val="clear" w:color="auto" w:fill="auto"/>
          </w:tcPr>
          <w:p w14:paraId="0D8DF92F" w14:textId="77777777" w:rsidR="004C2197" w:rsidRDefault="004C2197">
            <w:pPr>
              <w:rPr>
                <w:rFonts w:ascii="宋体"/>
              </w:rPr>
            </w:pPr>
          </w:p>
        </w:tc>
        <w:tc>
          <w:tcPr>
            <w:tcW w:w="26" w:type="pct"/>
            <w:shd w:val="clear" w:color="auto" w:fill="auto"/>
          </w:tcPr>
          <w:p w14:paraId="0D8DF930" w14:textId="77777777" w:rsidR="004C2197" w:rsidRDefault="004C2197">
            <w:pPr>
              <w:rPr>
                <w:rFonts w:ascii="宋体"/>
              </w:rPr>
            </w:pPr>
          </w:p>
        </w:tc>
        <w:tc>
          <w:tcPr>
            <w:tcW w:w="5" w:type="pct"/>
            <w:shd w:val="clear" w:color="auto" w:fill="auto"/>
          </w:tcPr>
          <w:p w14:paraId="0D8DF931" w14:textId="77777777" w:rsidR="004C2197" w:rsidRDefault="004C2197">
            <w:pPr>
              <w:rPr>
                <w:rFonts w:ascii="宋体"/>
              </w:rPr>
            </w:pPr>
          </w:p>
        </w:tc>
        <w:tc>
          <w:tcPr>
            <w:tcW w:w="50" w:type="pct"/>
            <w:shd w:val="clear" w:color="auto" w:fill="auto"/>
          </w:tcPr>
          <w:p w14:paraId="0D8DF932" w14:textId="77777777" w:rsidR="004C2197" w:rsidRDefault="004C2197">
            <w:pPr>
              <w:rPr>
                <w:rFonts w:ascii="宋体"/>
              </w:rPr>
            </w:pPr>
          </w:p>
        </w:tc>
        <w:tc>
          <w:tcPr>
            <w:tcW w:w="570" w:type="pct"/>
            <w:shd w:val="clear" w:color="auto" w:fill="auto"/>
          </w:tcPr>
          <w:p w14:paraId="0D8DF933" w14:textId="77777777" w:rsidR="004C2197" w:rsidRDefault="004C2197">
            <w:pPr>
              <w:rPr>
                <w:rFonts w:ascii="宋体"/>
              </w:rPr>
            </w:pPr>
          </w:p>
        </w:tc>
        <w:tc>
          <w:tcPr>
            <w:tcW w:w="5" w:type="pct"/>
            <w:shd w:val="clear" w:color="auto" w:fill="auto"/>
          </w:tcPr>
          <w:p w14:paraId="0D8DF934" w14:textId="77777777" w:rsidR="004C2197" w:rsidRDefault="004C2197">
            <w:pPr>
              <w:rPr>
                <w:rFonts w:ascii="宋体"/>
              </w:rPr>
            </w:pPr>
          </w:p>
        </w:tc>
        <w:tc>
          <w:tcPr>
            <w:tcW w:w="5" w:type="pct"/>
            <w:shd w:val="clear" w:color="auto" w:fill="auto"/>
          </w:tcPr>
          <w:p w14:paraId="0D8DF935" w14:textId="77777777" w:rsidR="004C2197" w:rsidRDefault="004C2197">
            <w:pPr>
              <w:rPr>
                <w:rFonts w:ascii="宋体"/>
              </w:rPr>
            </w:pPr>
          </w:p>
        </w:tc>
        <w:tc>
          <w:tcPr>
            <w:tcW w:w="26" w:type="pct"/>
            <w:shd w:val="clear" w:color="auto" w:fill="auto"/>
          </w:tcPr>
          <w:p w14:paraId="0D8DF936" w14:textId="77777777" w:rsidR="004C2197" w:rsidRDefault="004C2197">
            <w:pPr>
              <w:rPr>
                <w:rFonts w:ascii="宋体"/>
              </w:rPr>
            </w:pPr>
          </w:p>
        </w:tc>
        <w:tc>
          <w:tcPr>
            <w:tcW w:w="5" w:type="pct"/>
            <w:shd w:val="clear" w:color="auto" w:fill="auto"/>
          </w:tcPr>
          <w:p w14:paraId="0D8DF937" w14:textId="77777777" w:rsidR="004C2197" w:rsidRDefault="004C2197">
            <w:pPr>
              <w:rPr>
                <w:rFonts w:ascii="宋体"/>
              </w:rPr>
            </w:pPr>
          </w:p>
        </w:tc>
        <w:tc>
          <w:tcPr>
            <w:tcW w:w="50" w:type="pct"/>
            <w:shd w:val="clear" w:color="auto" w:fill="auto"/>
          </w:tcPr>
          <w:p w14:paraId="0D8DF938" w14:textId="77777777" w:rsidR="004C2197" w:rsidRDefault="004C2197">
            <w:pPr>
              <w:rPr>
                <w:rFonts w:ascii="宋体"/>
              </w:rPr>
            </w:pPr>
          </w:p>
        </w:tc>
        <w:tc>
          <w:tcPr>
            <w:tcW w:w="570" w:type="pct"/>
            <w:shd w:val="clear" w:color="auto" w:fill="auto"/>
          </w:tcPr>
          <w:p w14:paraId="0D8DF939" w14:textId="77777777" w:rsidR="004C2197" w:rsidRDefault="004C2197">
            <w:pPr>
              <w:rPr>
                <w:rFonts w:ascii="宋体"/>
              </w:rPr>
            </w:pPr>
          </w:p>
        </w:tc>
        <w:tc>
          <w:tcPr>
            <w:tcW w:w="5" w:type="pct"/>
            <w:shd w:val="clear" w:color="auto" w:fill="auto"/>
          </w:tcPr>
          <w:p w14:paraId="0D8DF93A" w14:textId="77777777" w:rsidR="004C2197" w:rsidRDefault="004C2197">
            <w:pPr>
              <w:rPr>
                <w:rFonts w:ascii="宋体"/>
              </w:rPr>
            </w:pPr>
          </w:p>
        </w:tc>
        <w:tc>
          <w:tcPr>
            <w:tcW w:w="5" w:type="pct"/>
            <w:shd w:val="clear" w:color="auto" w:fill="auto"/>
          </w:tcPr>
          <w:p w14:paraId="0D8DF93B" w14:textId="77777777" w:rsidR="004C2197" w:rsidRDefault="004C2197">
            <w:pPr>
              <w:rPr>
                <w:rFonts w:ascii="宋体"/>
              </w:rPr>
            </w:pPr>
          </w:p>
        </w:tc>
        <w:tc>
          <w:tcPr>
            <w:tcW w:w="26" w:type="pct"/>
            <w:shd w:val="clear" w:color="auto" w:fill="auto"/>
          </w:tcPr>
          <w:p w14:paraId="0D8DF93C" w14:textId="77777777" w:rsidR="004C2197" w:rsidRDefault="004C2197">
            <w:pPr>
              <w:rPr>
                <w:rFonts w:ascii="宋体"/>
              </w:rPr>
            </w:pPr>
          </w:p>
        </w:tc>
        <w:tc>
          <w:tcPr>
            <w:tcW w:w="5" w:type="pct"/>
            <w:shd w:val="clear" w:color="auto" w:fill="auto"/>
          </w:tcPr>
          <w:p w14:paraId="0D8DF93D" w14:textId="77777777" w:rsidR="004C2197" w:rsidRDefault="004C2197">
            <w:pPr>
              <w:rPr>
                <w:rFonts w:ascii="宋体"/>
              </w:rPr>
            </w:pPr>
          </w:p>
        </w:tc>
        <w:tc>
          <w:tcPr>
            <w:tcW w:w="50" w:type="pct"/>
            <w:shd w:val="clear" w:color="auto" w:fill="auto"/>
          </w:tcPr>
          <w:p w14:paraId="0D8DF93E" w14:textId="77777777" w:rsidR="004C2197" w:rsidRDefault="004C2197">
            <w:pPr>
              <w:rPr>
                <w:rFonts w:ascii="宋体"/>
              </w:rPr>
            </w:pPr>
          </w:p>
        </w:tc>
        <w:tc>
          <w:tcPr>
            <w:tcW w:w="571" w:type="pct"/>
            <w:shd w:val="clear" w:color="auto" w:fill="auto"/>
          </w:tcPr>
          <w:p w14:paraId="0D8DF93F" w14:textId="77777777" w:rsidR="004C2197" w:rsidRDefault="004C2197">
            <w:pPr>
              <w:rPr>
                <w:rFonts w:ascii="宋体"/>
              </w:rPr>
            </w:pPr>
          </w:p>
        </w:tc>
        <w:tc>
          <w:tcPr>
            <w:tcW w:w="5" w:type="pct"/>
            <w:shd w:val="clear" w:color="auto" w:fill="auto"/>
          </w:tcPr>
          <w:p w14:paraId="0D8DF940" w14:textId="77777777" w:rsidR="004C2197" w:rsidRDefault="004C2197">
            <w:pPr>
              <w:rPr>
                <w:rFonts w:ascii="宋体"/>
              </w:rPr>
            </w:pPr>
          </w:p>
        </w:tc>
      </w:tr>
      <w:tr w:rsidR="004C2197" w14:paraId="0D8DF94E" w14:textId="77777777">
        <w:trPr>
          <w:gridAfter w:val="3"/>
        </w:trPr>
        <w:tc>
          <w:tcPr>
            <w:tcW w:w="0" w:type="auto"/>
            <w:gridSpan w:val="3"/>
            <w:shd w:val="clear" w:color="auto" w:fill="auto"/>
            <w:tcMar>
              <w:top w:w="40" w:type="dxa"/>
              <w:left w:w="20" w:type="dxa"/>
              <w:bottom w:w="40" w:type="dxa"/>
              <w:right w:w="20" w:type="dxa"/>
            </w:tcMar>
            <w:vAlign w:val="bottom"/>
          </w:tcPr>
          <w:p w14:paraId="0D8DF942" w14:textId="77777777" w:rsidR="004C2197" w:rsidRDefault="00863B83">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D8DF943"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Pr>
          <w:p w14:paraId="0D8DF944" w14:textId="77777777" w:rsidR="004C2197" w:rsidRDefault="004C2197">
            <w:pPr>
              <w:rPr>
                <w:rFonts w:ascii="宋体"/>
                <w:vanish/>
              </w:rPr>
            </w:pPr>
          </w:p>
        </w:tc>
        <w:tc>
          <w:tcPr>
            <w:tcW w:w="0" w:type="auto"/>
            <w:gridSpan w:val="3"/>
            <w:shd w:val="clear" w:color="auto" w:fill="auto"/>
          </w:tcPr>
          <w:p w14:paraId="0D8DF945" w14:textId="77777777" w:rsidR="004C2197" w:rsidRDefault="004C2197">
            <w:pPr>
              <w:rPr>
                <w:rFonts w:ascii="宋体"/>
                <w:vanish/>
              </w:rPr>
            </w:pPr>
          </w:p>
        </w:tc>
        <w:tc>
          <w:tcPr>
            <w:tcW w:w="0" w:type="auto"/>
            <w:gridSpan w:val="3"/>
            <w:shd w:val="clear" w:color="auto" w:fill="auto"/>
          </w:tcPr>
          <w:p w14:paraId="0D8DF946" w14:textId="77777777" w:rsidR="004C2197" w:rsidRDefault="004C2197">
            <w:pPr>
              <w:rPr>
                <w:rFonts w:ascii="宋体"/>
                <w:vanish/>
              </w:rPr>
            </w:pPr>
          </w:p>
        </w:tc>
        <w:tc>
          <w:tcPr>
            <w:tcW w:w="0" w:type="auto"/>
            <w:gridSpan w:val="3"/>
            <w:shd w:val="clear" w:color="auto" w:fill="auto"/>
          </w:tcPr>
          <w:p w14:paraId="0D8DF947"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DF948" w14:textId="77777777" w:rsidR="004C2197" w:rsidRDefault="004C2197">
            <w:pPr>
              <w:rPr>
                <w:rFonts w:ascii="宋体"/>
              </w:rPr>
            </w:pPr>
          </w:p>
        </w:tc>
        <w:tc>
          <w:tcPr>
            <w:tcW w:w="0" w:type="auto"/>
            <w:gridSpan w:val="15"/>
            <w:shd w:val="clear" w:color="auto" w:fill="auto"/>
            <w:tcMar>
              <w:top w:w="40" w:type="dxa"/>
              <w:left w:w="20" w:type="dxa"/>
              <w:bottom w:w="40" w:type="dxa"/>
              <w:right w:w="20" w:type="dxa"/>
            </w:tcMar>
            <w:vAlign w:val="bottom"/>
          </w:tcPr>
          <w:p w14:paraId="0D8DF949" w14:textId="77777777" w:rsidR="004C2197" w:rsidRDefault="00863B83">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tcPr>
          <w:p w14:paraId="0D8DF94A" w14:textId="77777777" w:rsidR="004C2197" w:rsidRDefault="004C2197">
            <w:pPr>
              <w:rPr>
                <w:rFonts w:ascii="宋体"/>
                <w:vanish/>
              </w:rPr>
            </w:pPr>
          </w:p>
        </w:tc>
        <w:tc>
          <w:tcPr>
            <w:tcW w:w="0" w:type="auto"/>
            <w:gridSpan w:val="3"/>
            <w:shd w:val="clear" w:color="auto" w:fill="auto"/>
          </w:tcPr>
          <w:p w14:paraId="0D8DF94B" w14:textId="77777777" w:rsidR="004C2197" w:rsidRDefault="004C2197">
            <w:pPr>
              <w:rPr>
                <w:rFonts w:ascii="宋体"/>
                <w:vanish/>
              </w:rPr>
            </w:pPr>
          </w:p>
        </w:tc>
        <w:tc>
          <w:tcPr>
            <w:tcW w:w="0" w:type="auto"/>
            <w:gridSpan w:val="3"/>
            <w:shd w:val="clear" w:color="auto" w:fill="auto"/>
          </w:tcPr>
          <w:p w14:paraId="0D8DF94C" w14:textId="77777777" w:rsidR="004C2197" w:rsidRDefault="004C2197">
            <w:pPr>
              <w:rPr>
                <w:rFonts w:ascii="宋体"/>
                <w:vanish/>
              </w:rPr>
            </w:pPr>
          </w:p>
        </w:tc>
        <w:tc>
          <w:tcPr>
            <w:tcW w:w="0" w:type="auto"/>
            <w:gridSpan w:val="3"/>
            <w:shd w:val="clear" w:color="auto" w:fill="auto"/>
          </w:tcPr>
          <w:p w14:paraId="0D8DF94D" w14:textId="77777777" w:rsidR="004C2197" w:rsidRDefault="004C2197">
            <w:pPr>
              <w:rPr>
                <w:rFonts w:ascii="宋体"/>
                <w:vanish/>
              </w:rPr>
            </w:pPr>
          </w:p>
        </w:tc>
      </w:tr>
      <w:tr w:rsidR="004C2197" w14:paraId="0D8DF973" w14:textId="77777777">
        <w:trPr>
          <w:gridAfter w:val="3"/>
        </w:trPr>
        <w:tc>
          <w:tcPr>
            <w:tcW w:w="0" w:type="auto"/>
            <w:gridSpan w:val="3"/>
            <w:shd w:val="clear" w:color="auto" w:fill="auto"/>
            <w:tcMar>
              <w:top w:w="40" w:type="dxa"/>
              <w:left w:w="20" w:type="dxa"/>
              <w:bottom w:w="40" w:type="dxa"/>
              <w:right w:w="20" w:type="dxa"/>
            </w:tcMar>
            <w:vAlign w:val="bottom"/>
          </w:tcPr>
          <w:p w14:paraId="0D8DF94F"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0" w14:textId="77777777" w:rsidR="004C2197" w:rsidRDefault="00863B83">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left w:w="20" w:type="dxa"/>
              <w:right w:w="20" w:type="dxa"/>
            </w:tcMar>
            <w:vAlign w:val="bottom"/>
          </w:tcPr>
          <w:p w14:paraId="0D8DF951"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2" w14:textId="77777777" w:rsidR="004C2197" w:rsidRDefault="00863B83">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Amortization</w:t>
            </w:r>
          </w:p>
        </w:tc>
        <w:tc>
          <w:tcPr>
            <w:tcW w:w="0" w:type="auto"/>
            <w:gridSpan w:val="3"/>
            <w:tcBorders>
              <w:top w:val="single" w:sz="8" w:space="0" w:color="000000"/>
            </w:tcBorders>
            <w:shd w:val="clear" w:color="auto" w:fill="auto"/>
            <w:tcMar>
              <w:left w:w="20" w:type="dxa"/>
              <w:right w:w="20" w:type="dxa"/>
            </w:tcMar>
            <w:vAlign w:val="bottom"/>
          </w:tcPr>
          <w:p w14:paraId="0D8DF953"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4" w14:textId="77777777" w:rsidR="004C2197" w:rsidRDefault="00863B83">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left w:w="20" w:type="dxa"/>
              <w:right w:w="20" w:type="dxa"/>
            </w:tcMar>
            <w:vAlign w:val="bottom"/>
          </w:tcPr>
          <w:p w14:paraId="0D8DF955"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6" w14:textId="77777777" w:rsidR="004C2197" w:rsidRDefault="00863B83">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left w:w="20" w:type="dxa"/>
              <w:right w:w="20" w:type="dxa"/>
            </w:tcMar>
            <w:vAlign w:val="bottom"/>
          </w:tcPr>
          <w:p w14:paraId="0D8DF95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8" w14:textId="77777777" w:rsidR="004C2197" w:rsidRDefault="00863B83">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left w:w="20" w:type="dxa"/>
              <w:right w:w="20" w:type="dxa"/>
            </w:tcMar>
            <w:vAlign w:val="bottom"/>
          </w:tcPr>
          <w:p w14:paraId="0D8DF959"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DF95A" w14:textId="77777777" w:rsidR="004C2197" w:rsidRDefault="00863B83">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shd w:val="clear" w:color="auto" w:fill="auto"/>
          </w:tcPr>
          <w:p w14:paraId="0D8DF95B" w14:textId="77777777" w:rsidR="004C2197" w:rsidRDefault="004C2197">
            <w:pPr>
              <w:rPr>
                <w:rFonts w:ascii="宋体"/>
              </w:rPr>
            </w:pPr>
          </w:p>
        </w:tc>
        <w:tc>
          <w:tcPr>
            <w:tcW w:w="0" w:type="auto"/>
            <w:shd w:val="clear" w:color="auto" w:fill="auto"/>
          </w:tcPr>
          <w:p w14:paraId="0D8DF95C" w14:textId="77777777" w:rsidR="004C2197" w:rsidRDefault="004C2197">
            <w:pPr>
              <w:rPr>
                <w:rFonts w:ascii="宋体"/>
              </w:rPr>
            </w:pPr>
          </w:p>
        </w:tc>
        <w:tc>
          <w:tcPr>
            <w:tcW w:w="0" w:type="auto"/>
            <w:shd w:val="clear" w:color="auto" w:fill="auto"/>
          </w:tcPr>
          <w:p w14:paraId="0D8DF95D" w14:textId="77777777" w:rsidR="004C2197" w:rsidRDefault="004C2197">
            <w:pPr>
              <w:rPr>
                <w:rFonts w:ascii="宋体"/>
              </w:rPr>
            </w:pPr>
          </w:p>
        </w:tc>
        <w:tc>
          <w:tcPr>
            <w:tcW w:w="0" w:type="auto"/>
            <w:shd w:val="clear" w:color="auto" w:fill="auto"/>
          </w:tcPr>
          <w:p w14:paraId="0D8DF95E" w14:textId="77777777" w:rsidR="004C2197" w:rsidRDefault="004C2197">
            <w:pPr>
              <w:rPr>
                <w:rFonts w:ascii="宋体"/>
              </w:rPr>
            </w:pPr>
          </w:p>
        </w:tc>
        <w:tc>
          <w:tcPr>
            <w:tcW w:w="0" w:type="auto"/>
            <w:shd w:val="clear" w:color="auto" w:fill="auto"/>
          </w:tcPr>
          <w:p w14:paraId="0D8DF95F" w14:textId="77777777" w:rsidR="004C2197" w:rsidRDefault="004C2197">
            <w:pPr>
              <w:rPr>
                <w:rFonts w:ascii="宋体"/>
              </w:rPr>
            </w:pPr>
          </w:p>
        </w:tc>
        <w:tc>
          <w:tcPr>
            <w:tcW w:w="0" w:type="auto"/>
            <w:shd w:val="clear" w:color="auto" w:fill="auto"/>
          </w:tcPr>
          <w:p w14:paraId="0D8DF960" w14:textId="77777777" w:rsidR="004C2197" w:rsidRDefault="004C2197">
            <w:pPr>
              <w:rPr>
                <w:rFonts w:ascii="宋体"/>
              </w:rPr>
            </w:pPr>
          </w:p>
        </w:tc>
        <w:tc>
          <w:tcPr>
            <w:tcW w:w="0" w:type="auto"/>
            <w:shd w:val="clear" w:color="auto" w:fill="auto"/>
          </w:tcPr>
          <w:p w14:paraId="0D8DF961" w14:textId="77777777" w:rsidR="004C2197" w:rsidRDefault="004C2197">
            <w:pPr>
              <w:rPr>
                <w:rFonts w:ascii="宋体"/>
              </w:rPr>
            </w:pPr>
          </w:p>
        </w:tc>
        <w:tc>
          <w:tcPr>
            <w:tcW w:w="0" w:type="auto"/>
            <w:shd w:val="clear" w:color="auto" w:fill="auto"/>
          </w:tcPr>
          <w:p w14:paraId="0D8DF962" w14:textId="77777777" w:rsidR="004C2197" w:rsidRDefault="004C2197">
            <w:pPr>
              <w:rPr>
                <w:rFonts w:ascii="宋体"/>
              </w:rPr>
            </w:pPr>
          </w:p>
        </w:tc>
        <w:tc>
          <w:tcPr>
            <w:tcW w:w="0" w:type="auto"/>
            <w:shd w:val="clear" w:color="auto" w:fill="auto"/>
          </w:tcPr>
          <w:p w14:paraId="0D8DF963" w14:textId="77777777" w:rsidR="004C2197" w:rsidRDefault="004C2197">
            <w:pPr>
              <w:rPr>
                <w:rFonts w:ascii="宋体"/>
              </w:rPr>
            </w:pPr>
          </w:p>
        </w:tc>
        <w:tc>
          <w:tcPr>
            <w:tcW w:w="0" w:type="auto"/>
            <w:shd w:val="clear" w:color="auto" w:fill="auto"/>
          </w:tcPr>
          <w:p w14:paraId="0D8DF964" w14:textId="77777777" w:rsidR="004C2197" w:rsidRDefault="004C2197">
            <w:pPr>
              <w:rPr>
                <w:rFonts w:ascii="宋体"/>
              </w:rPr>
            </w:pPr>
          </w:p>
        </w:tc>
        <w:tc>
          <w:tcPr>
            <w:tcW w:w="0" w:type="auto"/>
            <w:shd w:val="clear" w:color="auto" w:fill="auto"/>
          </w:tcPr>
          <w:p w14:paraId="0D8DF965" w14:textId="77777777" w:rsidR="004C2197" w:rsidRDefault="004C2197">
            <w:pPr>
              <w:rPr>
                <w:rFonts w:ascii="宋体"/>
              </w:rPr>
            </w:pPr>
          </w:p>
        </w:tc>
        <w:tc>
          <w:tcPr>
            <w:tcW w:w="0" w:type="auto"/>
            <w:shd w:val="clear" w:color="auto" w:fill="auto"/>
          </w:tcPr>
          <w:p w14:paraId="0D8DF966" w14:textId="77777777" w:rsidR="004C2197" w:rsidRDefault="004C2197">
            <w:pPr>
              <w:rPr>
                <w:rFonts w:ascii="宋体"/>
              </w:rPr>
            </w:pPr>
          </w:p>
        </w:tc>
        <w:tc>
          <w:tcPr>
            <w:tcW w:w="0" w:type="auto"/>
            <w:shd w:val="clear" w:color="auto" w:fill="auto"/>
          </w:tcPr>
          <w:p w14:paraId="0D8DF967" w14:textId="77777777" w:rsidR="004C2197" w:rsidRDefault="004C2197">
            <w:pPr>
              <w:rPr>
                <w:rFonts w:ascii="宋体"/>
              </w:rPr>
            </w:pPr>
          </w:p>
        </w:tc>
        <w:tc>
          <w:tcPr>
            <w:tcW w:w="0" w:type="auto"/>
            <w:shd w:val="clear" w:color="auto" w:fill="auto"/>
          </w:tcPr>
          <w:p w14:paraId="0D8DF968" w14:textId="77777777" w:rsidR="004C2197" w:rsidRDefault="004C2197">
            <w:pPr>
              <w:rPr>
                <w:rFonts w:ascii="宋体"/>
              </w:rPr>
            </w:pPr>
          </w:p>
        </w:tc>
        <w:tc>
          <w:tcPr>
            <w:tcW w:w="0" w:type="auto"/>
            <w:shd w:val="clear" w:color="auto" w:fill="auto"/>
          </w:tcPr>
          <w:p w14:paraId="0D8DF969" w14:textId="77777777" w:rsidR="004C2197" w:rsidRDefault="004C2197">
            <w:pPr>
              <w:rPr>
                <w:rFonts w:ascii="宋体"/>
              </w:rPr>
            </w:pPr>
          </w:p>
        </w:tc>
        <w:tc>
          <w:tcPr>
            <w:tcW w:w="0" w:type="auto"/>
            <w:shd w:val="clear" w:color="auto" w:fill="auto"/>
          </w:tcPr>
          <w:p w14:paraId="0D8DF96A" w14:textId="77777777" w:rsidR="004C2197" w:rsidRDefault="004C2197">
            <w:pPr>
              <w:rPr>
                <w:rFonts w:ascii="宋体"/>
              </w:rPr>
            </w:pPr>
          </w:p>
        </w:tc>
        <w:tc>
          <w:tcPr>
            <w:tcW w:w="0" w:type="auto"/>
            <w:shd w:val="clear" w:color="auto" w:fill="auto"/>
          </w:tcPr>
          <w:p w14:paraId="0D8DF96B" w14:textId="77777777" w:rsidR="004C2197" w:rsidRDefault="004C2197">
            <w:pPr>
              <w:rPr>
                <w:rFonts w:ascii="宋体"/>
              </w:rPr>
            </w:pPr>
          </w:p>
        </w:tc>
        <w:tc>
          <w:tcPr>
            <w:tcW w:w="0" w:type="auto"/>
            <w:shd w:val="clear" w:color="auto" w:fill="auto"/>
          </w:tcPr>
          <w:p w14:paraId="0D8DF96C" w14:textId="77777777" w:rsidR="004C2197" w:rsidRDefault="004C2197">
            <w:pPr>
              <w:rPr>
                <w:rFonts w:ascii="宋体"/>
              </w:rPr>
            </w:pPr>
          </w:p>
        </w:tc>
        <w:tc>
          <w:tcPr>
            <w:tcW w:w="0" w:type="auto"/>
            <w:shd w:val="clear" w:color="auto" w:fill="auto"/>
          </w:tcPr>
          <w:p w14:paraId="0D8DF96D" w14:textId="77777777" w:rsidR="004C2197" w:rsidRDefault="004C2197">
            <w:pPr>
              <w:rPr>
                <w:rFonts w:ascii="宋体"/>
              </w:rPr>
            </w:pPr>
          </w:p>
        </w:tc>
        <w:tc>
          <w:tcPr>
            <w:tcW w:w="0" w:type="auto"/>
            <w:shd w:val="clear" w:color="auto" w:fill="auto"/>
          </w:tcPr>
          <w:p w14:paraId="0D8DF96E" w14:textId="77777777" w:rsidR="004C2197" w:rsidRDefault="004C2197">
            <w:pPr>
              <w:rPr>
                <w:rFonts w:ascii="宋体"/>
              </w:rPr>
            </w:pPr>
          </w:p>
        </w:tc>
        <w:tc>
          <w:tcPr>
            <w:tcW w:w="0" w:type="auto"/>
            <w:shd w:val="clear" w:color="auto" w:fill="auto"/>
          </w:tcPr>
          <w:p w14:paraId="0D8DF96F" w14:textId="77777777" w:rsidR="004C2197" w:rsidRDefault="004C2197">
            <w:pPr>
              <w:rPr>
                <w:rFonts w:ascii="宋体"/>
              </w:rPr>
            </w:pPr>
          </w:p>
        </w:tc>
        <w:tc>
          <w:tcPr>
            <w:tcW w:w="0" w:type="auto"/>
            <w:shd w:val="clear" w:color="auto" w:fill="auto"/>
          </w:tcPr>
          <w:p w14:paraId="0D8DF970" w14:textId="77777777" w:rsidR="004C2197" w:rsidRDefault="004C2197">
            <w:pPr>
              <w:rPr>
                <w:rFonts w:ascii="宋体"/>
              </w:rPr>
            </w:pPr>
          </w:p>
        </w:tc>
        <w:tc>
          <w:tcPr>
            <w:tcW w:w="0" w:type="auto"/>
            <w:shd w:val="clear" w:color="auto" w:fill="auto"/>
          </w:tcPr>
          <w:p w14:paraId="0D8DF971" w14:textId="77777777" w:rsidR="004C2197" w:rsidRDefault="004C2197">
            <w:pPr>
              <w:rPr>
                <w:rFonts w:ascii="宋体"/>
              </w:rPr>
            </w:pPr>
          </w:p>
        </w:tc>
        <w:tc>
          <w:tcPr>
            <w:tcW w:w="0" w:type="auto"/>
            <w:shd w:val="clear" w:color="auto" w:fill="auto"/>
          </w:tcPr>
          <w:p w14:paraId="0D8DF972" w14:textId="77777777" w:rsidR="004C2197" w:rsidRDefault="004C2197">
            <w:pPr>
              <w:rPr>
                <w:rFonts w:ascii="宋体"/>
              </w:rPr>
            </w:pPr>
          </w:p>
        </w:tc>
      </w:tr>
      <w:tr w:rsidR="004C2197" w14:paraId="0D8DF998" w14:textId="77777777">
        <w:trPr>
          <w:gridAfter w:val="3"/>
          <w:trHeight w:val="60"/>
        </w:trPr>
        <w:tc>
          <w:tcPr>
            <w:tcW w:w="0" w:type="auto"/>
            <w:gridSpan w:val="3"/>
            <w:shd w:val="clear" w:color="auto" w:fill="auto"/>
            <w:tcMar>
              <w:left w:w="20" w:type="dxa"/>
              <w:right w:w="20" w:type="dxa"/>
            </w:tcMar>
            <w:vAlign w:val="bottom"/>
          </w:tcPr>
          <w:p w14:paraId="0D8DF97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97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978"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97A"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97C"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97E"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97F" w14:textId="77777777" w:rsidR="004C2197" w:rsidRDefault="004C2197">
            <w:pPr>
              <w:rPr>
                <w:rFonts w:ascii="宋体"/>
              </w:rPr>
            </w:pPr>
          </w:p>
        </w:tc>
        <w:tc>
          <w:tcPr>
            <w:tcW w:w="0" w:type="auto"/>
            <w:shd w:val="clear" w:color="auto" w:fill="auto"/>
          </w:tcPr>
          <w:p w14:paraId="0D8DF980" w14:textId="77777777" w:rsidR="004C2197" w:rsidRDefault="004C2197">
            <w:pPr>
              <w:rPr>
                <w:rFonts w:ascii="宋体"/>
              </w:rPr>
            </w:pPr>
          </w:p>
        </w:tc>
        <w:tc>
          <w:tcPr>
            <w:tcW w:w="0" w:type="auto"/>
            <w:shd w:val="clear" w:color="auto" w:fill="auto"/>
          </w:tcPr>
          <w:p w14:paraId="0D8DF981" w14:textId="77777777" w:rsidR="004C2197" w:rsidRDefault="004C2197">
            <w:pPr>
              <w:rPr>
                <w:rFonts w:ascii="宋体"/>
              </w:rPr>
            </w:pPr>
          </w:p>
        </w:tc>
        <w:tc>
          <w:tcPr>
            <w:tcW w:w="0" w:type="auto"/>
            <w:shd w:val="clear" w:color="auto" w:fill="auto"/>
          </w:tcPr>
          <w:p w14:paraId="0D8DF982" w14:textId="77777777" w:rsidR="004C2197" w:rsidRDefault="004C2197">
            <w:pPr>
              <w:rPr>
                <w:rFonts w:ascii="宋体"/>
              </w:rPr>
            </w:pPr>
          </w:p>
        </w:tc>
        <w:tc>
          <w:tcPr>
            <w:tcW w:w="0" w:type="auto"/>
            <w:shd w:val="clear" w:color="auto" w:fill="auto"/>
          </w:tcPr>
          <w:p w14:paraId="0D8DF983" w14:textId="77777777" w:rsidR="004C2197" w:rsidRDefault="004C2197">
            <w:pPr>
              <w:rPr>
                <w:rFonts w:ascii="宋体"/>
              </w:rPr>
            </w:pPr>
          </w:p>
        </w:tc>
        <w:tc>
          <w:tcPr>
            <w:tcW w:w="0" w:type="auto"/>
            <w:shd w:val="clear" w:color="auto" w:fill="auto"/>
          </w:tcPr>
          <w:p w14:paraId="0D8DF984" w14:textId="77777777" w:rsidR="004C2197" w:rsidRDefault="004C2197">
            <w:pPr>
              <w:rPr>
                <w:rFonts w:ascii="宋体"/>
              </w:rPr>
            </w:pPr>
          </w:p>
        </w:tc>
        <w:tc>
          <w:tcPr>
            <w:tcW w:w="0" w:type="auto"/>
            <w:shd w:val="clear" w:color="auto" w:fill="auto"/>
          </w:tcPr>
          <w:p w14:paraId="0D8DF985" w14:textId="77777777" w:rsidR="004C2197" w:rsidRDefault="004C2197">
            <w:pPr>
              <w:rPr>
                <w:rFonts w:ascii="宋体"/>
              </w:rPr>
            </w:pPr>
          </w:p>
        </w:tc>
        <w:tc>
          <w:tcPr>
            <w:tcW w:w="0" w:type="auto"/>
            <w:shd w:val="clear" w:color="auto" w:fill="auto"/>
          </w:tcPr>
          <w:p w14:paraId="0D8DF986" w14:textId="77777777" w:rsidR="004C2197" w:rsidRDefault="004C2197">
            <w:pPr>
              <w:rPr>
                <w:rFonts w:ascii="宋体"/>
              </w:rPr>
            </w:pPr>
          </w:p>
        </w:tc>
        <w:tc>
          <w:tcPr>
            <w:tcW w:w="0" w:type="auto"/>
            <w:shd w:val="clear" w:color="auto" w:fill="auto"/>
          </w:tcPr>
          <w:p w14:paraId="0D8DF987" w14:textId="77777777" w:rsidR="004C2197" w:rsidRDefault="004C2197">
            <w:pPr>
              <w:rPr>
                <w:rFonts w:ascii="宋体"/>
              </w:rPr>
            </w:pPr>
          </w:p>
        </w:tc>
        <w:tc>
          <w:tcPr>
            <w:tcW w:w="0" w:type="auto"/>
            <w:shd w:val="clear" w:color="auto" w:fill="auto"/>
          </w:tcPr>
          <w:p w14:paraId="0D8DF988" w14:textId="77777777" w:rsidR="004C2197" w:rsidRDefault="004C2197">
            <w:pPr>
              <w:rPr>
                <w:rFonts w:ascii="宋体"/>
              </w:rPr>
            </w:pPr>
          </w:p>
        </w:tc>
        <w:tc>
          <w:tcPr>
            <w:tcW w:w="0" w:type="auto"/>
            <w:shd w:val="clear" w:color="auto" w:fill="auto"/>
          </w:tcPr>
          <w:p w14:paraId="0D8DF989" w14:textId="77777777" w:rsidR="004C2197" w:rsidRDefault="004C2197">
            <w:pPr>
              <w:rPr>
                <w:rFonts w:ascii="宋体"/>
              </w:rPr>
            </w:pPr>
          </w:p>
        </w:tc>
        <w:tc>
          <w:tcPr>
            <w:tcW w:w="0" w:type="auto"/>
            <w:shd w:val="clear" w:color="auto" w:fill="auto"/>
          </w:tcPr>
          <w:p w14:paraId="0D8DF98A" w14:textId="77777777" w:rsidR="004C2197" w:rsidRDefault="004C2197">
            <w:pPr>
              <w:rPr>
                <w:rFonts w:ascii="宋体"/>
              </w:rPr>
            </w:pPr>
          </w:p>
        </w:tc>
        <w:tc>
          <w:tcPr>
            <w:tcW w:w="0" w:type="auto"/>
            <w:shd w:val="clear" w:color="auto" w:fill="auto"/>
          </w:tcPr>
          <w:p w14:paraId="0D8DF98B" w14:textId="77777777" w:rsidR="004C2197" w:rsidRDefault="004C2197">
            <w:pPr>
              <w:rPr>
                <w:rFonts w:ascii="宋体"/>
              </w:rPr>
            </w:pPr>
          </w:p>
        </w:tc>
        <w:tc>
          <w:tcPr>
            <w:tcW w:w="0" w:type="auto"/>
            <w:shd w:val="clear" w:color="auto" w:fill="auto"/>
          </w:tcPr>
          <w:p w14:paraId="0D8DF98C" w14:textId="77777777" w:rsidR="004C2197" w:rsidRDefault="004C2197">
            <w:pPr>
              <w:rPr>
                <w:rFonts w:ascii="宋体"/>
              </w:rPr>
            </w:pPr>
          </w:p>
        </w:tc>
        <w:tc>
          <w:tcPr>
            <w:tcW w:w="0" w:type="auto"/>
            <w:shd w:val="clear" w:color="auto" w:fill="auto"/>
          </w:tcPr>
          <w:p w14:paraId="0D8DF98D" w14:textId="77777777" w:rsidR="004C2197" w:rsidRDefault="004C2197">
            <w:pPr>
              <w:rPr>
                <w:rFonts w:ascii="宋体"/>
              </w:rPr>
            </w:pPr>
          </w:p>
        </w:tc>
        <w:tc>
          <w:tcPr>
            <w:tcW w:w="0" w:type="auto"/>
            <w:shd w:val="clear" w:color="auto" w:fill="auto"/>
          </w:tcPr>
          <w:p w14:paraId="0D8DF98E" w14:textId="77777777" w:rsidR="004C2197" w:rsidRDefault="004C2197">
            <w:pPr>
              <w:rPr>
                <w:rFonts w:ascii="宋体"/>
              </w:rPr>
            </w:pPr>
          </w:p>
        </w:tc>
        <w:tc>
          <w:tcPr>
            <w:tcW w:w="0" w:type="auto"/>
            <w:shd w:val="clear" w:color="auto" w:fill="auto"/>
          </w:tcPr>
          <w:p w14:paraId="0D8DF98F" w14:textId="77777777" w:rsidR="004C2197" w:rsidRDefault="004C2197">
            <w:pPr>
              <w:rPr>
                <w:rFonts w:ascii="宋体"/>
              </w:rPr>
            </w:pPr>
          </w:p>
        </w:tc>
        <w:tc>
          <w:tcPr>
            <w:tcW w:w="0" w:type="auto"/>
            <w:shd w:val="clear" w:color="auto" w:fill="auto"/>
          </w:tcPr>
          <w:p w14:paraId="0D8DF990" w14:textId="77777777" w:rsidR="004C2197" w:rsidRDefault="004C2197">
            <w:pPr>
              <w:rPr>
                <w:rFonts w:ascii="宋体"/>
              </w:rPr>
            </w:pPr>
          </w:p>
        </w:tc>
        <w:tc>
          <w:tcPr>
            <w:tcW w:w="0" w:type="auto"/>
            <w:shd w:val="clear" w:color="auto" w:fill="auto"/>
          </w:tcPr>
          <w:p w14:paraId="0D8DF991" w14:textId="77777777" w:rsidR="004C2197" w:rsidRDefault="004C2197">
            <w:pPr>
              <w:rPr>
                <w:rFonts w:ascii="宋体"/>
              </w:rPr>
            </w:pPr>
          </w:p>
        </w:tc>
        <w:tc>
          <w:tcPr>
            <w:tcW w:w="0" w:type="auto"/>
            <w:shd w:val="clear" w:color="auto" w:fill="auto"/>
          </w:tcPr>
          <w:p w14:paraId="0D8DF992" w14:textId="77777777" w:rsidR="004C2197" w:rsidRDefault="004C2197">
            <w:pPr>
              <w:rPr>
                <w:rFonts w:ascii="宋体"/>
              </w:rPr>
            </w:pPr>
          </w:p>
        </w:tc>
        <w:tc>
          <w:tcPr>
            <w:tcW w:w="0" w:type="auto"/>
            <w:shd w:val="clear" w:color="auto" w:fill="auto"/>
          </w:tcPr>
          <w:p w14:paraId="0D8DF993" w14:textId="77777777" w:rsidR="004C2197" w:rsidRDefault="004C2197">
            <w:pPr>
              <w:rPr>
                <w:rFonts w:ascii="宋体"/>
              </w:rPr>
            </w:pPr>
          </w:p>
        </w:tc>
        <w:tc>
          <w:tcPr>
            <w:tcW w:w="0" w:type="auto"/>
            <w:shd w:val="clear" w:color="auto" w:fill="auto"/>
          </w:tcPr>
          <w:p w14:paraId="0D8DF994" w14:textId="77777777" w:rsidR="004C2197" w:rsidRDefault="004C2197">
            <w:pPr>
              <w:rPr>
                <w:rFonts w:ascii="宋体"/>
              </w:rPr>
            </w:pPr>
          </w:p>
        </w:tc>
        <w:tc>
          <w:tcPr>
            <w:tcW w:w="0" w:type="auto"/>
            <w:shd w:val="clear" w:color="auto" w:fill="auto"/>
          </w:tcPr>
          <w:p w14:paraId="0D8DF995" w14:textId="77777777" w:rsidR="004C2197" w:rsidRDefault="004C2197">
            <w:pPr>
              <w:rPr>
                <w:rFonts w:ascii="宋体"/>
              </w:rPr>
            </w:pPr>
          </w:p>
        </w:tc>
        <w:tc>
          <w:tcPr>
            <w:tcW w:w="0" w:type="auto"/>
            <w:shd w:val="clear" w:color="auto" w:fill="auto"/>
          </w:tcPr>
          <w:p w14:paraId="0D8DF996" w14:textId="77777777" w:rsidR="004C2197" w:rsidRDefault="004C2197">
            <w:pPr>
              <w:rPr>
                <w:rFonts w:ascii="宋体"/>
              </w:rPr>
            </w:pPr>
          </w:p>
        </w:tc>
        <w:tc>
          <w:tcPr>
            <w:tcW w:w="0" w:type="auto"/>
            <w:shd w:val="clear" w:color="auto" w:fill="auto"/>
          </w:tcPr>
          <w:p w14:paraId="0D8DF997" w14:textId="77777777" w:rsidR="004C2197" w:rsidRDefault="004C2197">
            <w:pPr>
              <w:rPr>
                <w:rFonts w:ascii="宋体"/>
              </w:rPr>
            </w:pPr>
          </w:p>
        </w:tc>
      </w:tr>
      <w:tr w:rsidR="004C2197" w14:paraId="0D8DF9A5" w14:textId="77777777">
        <w:tc>
          <w:tcPr>
            <w:tcW w:w="0" w:type="auto"/>
            <w:gridSpan w:val="3"/>
            <w:shd w:val="clear" w:color="auto" w:fill="auto"/>
            <w:tcMar>
              <w:top w:w="40" w:type="dxa"/>
              <w:left w:w="20" w:type="dxa"/>
              <w:bottom w:w="40" w:type="dxa"/>
              <w:right w:w="20" w:type="dxa"/>
            </w:tcMar>
            <w:vAlign w:val="bottom"/>
          </w:tcPr>
          <w:p w14:paraId="0D8DF999" w14:textId="77777777" w:rsidR="004C2197" w:rsidRDefault="00863B83">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D8DF99A"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99B" w14:textId="77777777" w:rsidR="004C2197" w:rsidRDefault="004C2197">
            <w:pPr>
              <w:rPr>
                <w:rFonts w:ascii="宋体"/>
                <w:vanish/>
              </w:rPr>
            </w:pPr>
          </w:p>
        </w:tc>
        <w:tc>
          <w:tcPr>
            <w:tcW w:w="0" w:type="auto"/>
            <w:gridSpan w:val="3"/>
            <w:shd w:val="clear" w:color="auto" w:fill="auto"/>
          </w:tcPr>
          <w:p w14:paraId="0D8DF99C" w14:textId="77777777" w:rsidR="004C2197" w:rsidRDefault="004C2197">
            <w:pPr>
              <w:rPr>
                <w:rFonts w:ascii="宋体"/>
                <w:vanish/>
              </w:rPr>
            </w:pPr>
          </w:p>
        </w:tc>
        <w:tc>
          <w:tcPr>
            <w:tcW w:w="0" w:type="auto"/>
            <w:gridSpan w:val="3"/>
            <w:shd w:val="clear" w:color="auto" w:fill="auto"/>
          </w:tcPr>
          <w:p w14:paraId="0D8DF99D" w14:textId="77777777" w:rsidR="004C2197" w:rsidRDefault="004C2197">
            <w:pPr>
              <w:rPr>
                <w:rFonts w:ascii="宋体"/>
                <w:vanish/>
              </w:rPr>
            </w:pPr>
          </w:p>
        </w:tc>
        <w:tc>
          <w:tcPr>
            <w:tcW w:w="0" w:type="auto"/>
            <w:gridSpan w:val="3"/>
            <w:shd w:val="clear" w:color="auto" w:fill="auto"/>
          </w:tcPr>
          <w:p w14:paraId="0D8DF99E" w14:textId="77777777" w:rsidR="004C2197" w:rsidRDefault="004C2197">
            <w:pPr>
              <w:rPr>
                <w:rFonts w:ascii="宋体"/>
                <w:vanish/>
              </w:rPr>
            </w:pPr>
          </w:p>
        </w:tc>
        <w:tc>
          <w:tcPr>
            <w:tcW w:w="0" w:type="auto"/>
            <w:gridSpan w:val="3"/>
            <w:shd w:val="clear" w:color="auto" w:fill="auto"/>
          </w:tcPr>
          <w:p w14:paraId="0D8DF99F" w14:textId="77777777" w:rsidR="004C2197" w:rsidRDefault="004C2197">
            <w:pPr>
              <w:rPr>
                <w:rFonts w:ascii="宋体"/>
                <w:vanish/>
              </w:rPr>
            </w:pPr>
          </w:p>
        </w:tc>
        <w:tc>
          <w:tcPr>
            <w:tcW w:w="0" w:type="auto"/>
            <w:gridSpan w:val="3"/>
            <w:shd w:val="clear" w:color="auto" w:fill="auto"/>
          </w:tcPr>
          <w:p w14:paraId="0D8DF9A0" w14:textId="77777777" w:rsidR="004C2197" w:rsidRDefault="004C2197">
            <w:pPr>
              <w:rPr>
                <w:rFonts w:ascii="宋体"/>
                <w:vanish/>
              </w:rPr>
            </w:pPr>
          </w:p>
        </w:tc>
        <w:tc>
          <w:tcPr>
            <w:tcW w:w="0" w:type="auto"/>
            <w:gridSpan w:val="3"/>
            <w:shd w:val="clear" w:color="auto" w:fill="auto"/>
          </w:tcPr>
          <w:p w14:paraId="0D8DF9A1" w14:textId="77777777" w:rsidR="004C2197" w:rsidRDefault="004C2197">
            <w:pPr>
              <w:rPr>
                <w:rFonts w:ascii="宋体"/>
                <w:vanish/>
              </w:rPr>
            </w:pPr>
          </w:p>
        </w:tc>
        <w:tc>
          <w:tcPr>
            <w:tcW w:w="0" w:type="auto"/>
            <w:gridSpan w:val="3"/>
            <w:shd w:val="clear" w:color="auto" w:fill="auto"/>
          </w:tcPr>
          <w:p w14:paraId="0D8DF9A2" w14:textId="77777777" w:rsidR="004C2197" w:rsidRDefault="004C2197">
            <w:pPr>
              <w:rPr>
                <w:rFonts w:ascii="宋体"/>
                <w:vanish/>
              </w:rPr>
            </w:pPr>
          </w:p>
        </w:tc>
        <w:tc>
          <w:tcPr>
            <w:tcW w:w="0" w:type="auto"/>
            <w:gridSpan w:val="2"/>
            <w:shd w:val="clear" w:color="auto" w:fill="auto"/>
          </w:tcPr>
          <w:p w14:paraId="0D8DF9A3" w14:textId="77777777" w:rsidR="004C2197" w:rsidRDefault="004C2197">
            <w:pPr>
              <w:rPr>
                <w:rFonts w:ascii="宋体"/>
                <w:vanish/>
              </w:rPr>
            </w:pPr>
          </w:p>
        </w:tc>
        <w:tc>
          <w:tcPr>
            <w:tcW w:w="0" w:type="auto"/>
            <w:shd w:val="clear" w:color="auto" w:fill="auto"/>
          </w:tcPr>
          <w:p w14:paraId="0D8DF9A4" w14:textId="77777777" w:rsidR="004C2197" w:rsidRDefault="004C2197">
            <w:pPr>
              <w:rPr>
                <w:rFonts w:ascii="宋体"/>
                <w:vanish/>
              </w:rPr>
            </w:pPr>
          </w:p>
        </w:tc>
      </w:tr>
      <w:tr w:rsidR="004C2197" w14:paraId="0D8DF9D9" w14:textId="77777777">
        <w:tc>
          <w:tcPr>
            <w:tcW w:w="0" w:type="auto"/>
            <w:gridSpan w:val="3"/>
            <w:shd w:val="clear" w:color="auto" w:fill="E2EFD9"/>
            <w:tcMar>
              <w:top w:w="40" w:type="dxa"/>
              <w:left w:w="20" w:type="dxa"/>
              <w:bottom w:w="40" w:type="dxa"/>
              <w:right w:w="20" w:type="dxa"/>
            </w:tcMar>
            <w:vAlign w:val="bottom"/>
          </w:tcPr>
          <w:p w14:paraId="0D8DF9A6" w14:textId="77777777" w:rsidR="004C2197" w:rsidRDefault="00863B83">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tcMar>
            <w:vAlign w:val="bottom"/>
          </w:tcPr>
          <w:p w14:paraId="0D8DF9A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A8" w14:textId="77777777" w:rsidR="004C2197" w:rsidRDefault="00863B83">
            <w:pPr>
              <w:jc w:val="right"/>
              <w:textAlignment w:val="bottom"/>
            </w:pPr>
            <w:r>
              <w:rPr>
                <w:rFonts w:ascii="sans-serif" w:eastAsia="sans-serif" w:hAnsi="sans-serif" w:cs="sans-serif"/>
                <w:color w:val="000000"/>
                <w:sz w:val="20"/>
                <w:szCs w:val="20"/>
              </w:rPr>
              <w:t>3,287 </w:t>
            </w:r>
          </w:p>
        </w:tc>
        <w:tc>
          <w:tcPr>
            <w:tcW w:w="0" w:type="auto"/>
            <w:shd w:val="clear" w:color="auto" w:fill="E2EFD9"/>
            <w:tcMar>
              <w:top w:w="40" w:type="dxa"/>
              <w:bottom w:w="40" w:type="dxa"/>
              <w:right w:w="20" w:type="dxa"/>
            </w:tcMar>
            <w:vAlign w:val="bottom"/>
          </w:tcPr>
          <w:p w14:paraId="0D8DF9A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9A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9A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AC" w14:textId="77777777" w:rsidR="004C2197" w:rsidRDefault="00863B83">
            <w:pPr>
              <w:jc w:val="right"/>
              <w:textAlignment w:val="bottom"/>
            </w:pPr>
            <w:r>
              <w:rPr>
                <w:rFonts w:ascii="sans-serif" w:eastAsia="sans-serif" w:hAnsi="sans-serif" w:cs="sans-serif"/>
                <w:color w:val="000000"/>
                <w:sz w:val="20"/>
                <w:szCs w:val="20"/>
              </w:rPr>
              <w:t>(474)</w:t>
            </w:r>
          </w:p>
        </w:tc>
        <w:tc>
          <w:tcPr>
            <w:tcW w:w="0" w:type="auto"/>
            <w:shd w:val="clear" w:color="auto" w:fill="E2EFD9"/>
            <w:tcMar>
              <w:top w:w="40" w:type="dxa"/>
              <w:bottom w:w="40" w:type="dxa"/>
              <w:right w:w="20" w:type="dxa"/>
            </w:tcMar>
            <w:vAlign w:val="bottom"/>
          </w:tcPr>
          <w:p w14:paraId="0D8DF9A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9A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9A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B0" w14:textId="77777777" w:rsidR="004C2197" w:rsidRDefault="00863B83">
            <w:pPr>
              <w:jc w:val="right"/>
              <w:textAlignment w:val="bottom"/>
            </w:pPr>
            <w:r>
              <w:rPr>
                <w:rFonts w:ascii="sans-serif" w:eastAsia="sans-serif" w:hAnsi="sans-serif" w:cs="sans-serif"/>
                <w:color w:val="000000"/>
                <w:sz w:val="20"/>
                <w:szCs w:val="20"/>
              </w:rPr>
              <w:t>2,813 </w:t>
            </w:r>
          </w:p>
        </w:tc>
        <w:tc>
          <w:tcPr>
            <w:tcW w:w="0" w:type="auto"/>
            <w:shd w:val="clear" w:color="auto" w:fill="E2EFD9"/>
            <w:tcMar>
              <w:top w:w="40" w:type="dxa"/>
              <w:bottom w:w="40" w:type="dxa"/>
              <w:right w:w="20" w:type="dxa"/>
            </w:tcMar>
            <w:vAlign w:val="bottom"/>
          </w:tcPr>
          <w:p w14:paraId="0D8DF9B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9B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9B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B4" w14:textId="77777777" w:rsidR="004C2197" w:rsidRDefault="00863B83">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bottom w:w="40" w:type="dxa"/>
              <w:right w:w="20" w:type="dxa"/>
            </w:tcMar>
            <w:vAlign w:val="bottom"/>
          </w:tcPr>
          <w:p w14:paraId="0D8DF9B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9B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9B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B8" w14:textId="77777777" w:rsidR="004C2197" w:rsidRDefault="00863B83">
            <w:pPr>
              <w:jc w:val="right"/>
              <w:textAlignment w:val="bottom"/>
            </w:pPr>
            <w:r>
              <w:rPr>
                <w:rFonts w:ascii="sans-serif" w:eastAsia="sans-serif" w:hAnsi="sans-serif" w:cs="sans-serif"/>
                <w:color w:val="000000"/>
                <w:sz w:val="20"/>
                <w:szCs w:val="20"/>
              </w:rPr>
              <w:t>(192)</w:t>
            </w:r>
          </w:p>
        </w:tc>
        <w:tc>
          <w:tcPr>
            <w:tcW w:w="0" w:type="auto"/>
            <w:shd w:val="clear" w:color="auto" w:fill="E2EFD9"/>
            <w:tcMar>
              <w:top w:w="40" w:type="dxa"/>
              <w:bottom w:w="40" w:type="dxa"/>
              <w:right w:w="20" w:type="dxa"/>
            </w:tcMar>
            <w:vAlign w:val="bottom"/>
          </w:tcPr>
          <w:p w14:paraId="0D8DF9B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9B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9B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9BC" w14:textId="77777777" w:rsidR="004C2197" w:rsidRDefault="00863B83">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bottom w:w="40" w:type="dxa"/>
              <w:right w:w="20" w:type="dxa"/>
            </w:tcMar>
            <w:vAlign w:val="bottom"/>
          </w:tcPr>
          <w:p w14:paraId="0D8DF9BD" w14:textId="77777777" w:rsidR="004C2197" w:rsidRDefault="004C2197">
            <w:pPr>
              <w:jc w:val="right"/>
              <w:rPr>
                <w:rFonts w:ascii="宋体"/>
              </w:rPr>
            </w:pPr>
          </w:p>
        </w:tc>
        <w:tc>
          <w:tcPr>
            <w:tcW w:w="0" w:type="auto"/>
            <w:shd w:val="clear" w:color="auto" w:fill="auto"/>
          </w:tcPr>
          <w:p w14:paraId="0D8DF9BE" w14:textId="77777777" w:rsidR="004C2197" w:rsidRDefault="004C2197">
            <w:pPr>
              <w:rPr>
                <w:rFonts w:ascii="宋体"/>
              </w:rPr>
            </w:pPr>
          </w:p>
        </w:tc>
        <w:tc>
          <w:tcPr>
            <w:tcW w:w="0" w:type="auto"/>
            <w:shd w:val="clear" w:color="auto" w:fill="auto"/>
          </w:tcPr>
          <w:p w14:paraId="0D8DF9BF" w14:textId="77777777" w:rsidR="004C2197" w:rsidRDefault="004C2197">
            <w:pPr>
              <w:rPr>
                <w:rFonts w:ascii="宋体"/>
              </w:rPr>
            </w:pPr>
          </w:p>
        </w:tc>
        <w:tc>
          <w:tcPr>
            <w:tcW w:w="0" w:type="auto"/>
            <w:shd w:val="clear" w:color="auto" w:fill="auto"/>
          </w:tcPr>
          <w:p w14:paraId="0D8DF9C0" w14:textId="77777777" w:rsidR="004C2197" w:rsidRDefault="004C2197">
            <w:pPr>
              <w:rPr>
                <w:rFonts w:ascii="宋体"/>
              </w:rPr>
            </w:pPr>
          </w:p>
        </w:tc>
        <w:tc>
          <w:tcPr>
            <w:tcW w:w="0" w:type="auto"/>
            <w:shd w:val="clear" w:color="auto" w:fill="auto"/>
          </w:tcPr>
          <w:p w14:paraId="0D8DF9C1" w14:textId="77777777" w:rsidR="004C2197" w:rsidRDefault="004C2197">
            <w:pPr>
              <w:rPr>
                <w:rFonts w:ascii="宋体"/>
              </w:rPr>
            </w:pPr>
          </w:p>
        </w:tc>
        <w:tc>
          <w:tcPr>
            <w:tcW w:w="0" w:type="auto"/>
            <w:shd w:val="clear" w:color="auto" w:fill="auto"/>
          </w:tcPr>
          <w:p w14:paraId="0D8DF9C2" w14:textId="77777777" w:rsidR="004C2197" w:rsidRDefault="004C2197">
            <w:pPr>
              <w:rPr>
                <w:rFonts w:ascii="宋体"/>
              </w:rPr>
            </w:pPr>
          </w:p>
        </w:tc>
        <w:tc>
          <w:tcPr>
            <w:tcW w:w="0" w:type="auto"/>
            <w:shd w:val="clear" w:color="auto" w:fill="auto"/>
          </w:tcPr>
          <w:p w14:paraId="0D8DF9C3" w14:textId="77777777" w:rsidR="004C2197" w:rsidRDefault="004C2197">
            <w:pPr>
              <w:rPr>
                <w:rFonts w:ascii="宋体"/>
              </w:rPr>
            </w:pPr>
          </w:p>
        </w:tc>
        <w:tc>
          <w:tcPr>
            <w:tcW w:w="0" w:type="auto"/>
            <w:shd w:val="clear" w:color="auto" w:fill="auto"/>
          </w:tcPr>
          <w:p w14:paraId="0D8DF9C4" w14:textId="77777777" w:rsidR="004C2197" w:rsidRDefault="004C2197">
            <w:pPr>
              <w:rPr>
                <w:rFonts w:ascii="宋体"/>
              </w:rPr>
            </w:pPr>
          </w:p>
        </w:tc>
        <w:tc>
          <w:tcPr>
            <w:tcW w:w="0" w:type="auto"/>
            <w:shd w:val="clear" w:color="auto" w:fill="auto"/>
          </w:tcPr>
          <w:p w14:paraId="0D8DF9C5" w14:textId="77777777" w:rsidR="004C2197" w:rsidRDefault="004C2197">
            <w:pPr>
              <w:rPr>
                <w:rFonts w:ascii="宋体"/>
              </w:rPr>
            </w:pPr>
          </w:p>
        </w:tc>
        <w:tc>
          <w:tcPr>
            <w:tcW w:w="0" w:type="auto"/>
            <w:shd w:val="clear" w:color="auto" w:fill="auto"/>
          </w:tcPr>
          <w:p w14:paraId="0D8DF9C6" w14:textId="77777777" w:rsidR="004C2197" w:rsidRDefault="004C2197">
            <w:pPr>
              <w:rPr>
                <w:rFonts w:ascii="宋体"/>
              </w:rPr>
            </w:pPr>
          </w:p>
        </w:tc>
        <w:tc>
          <w:tcPr>
            <w:tcW w:w="0" w:type="auto"/>
            <w:shd w:val="clear" w:color="auto" w:fill="auto"/>
          </w:tcPr>
          <w:p w14:paraId="0D8DF9C7" w14:textId="77777777" w:rsidR="004C2197" w:rsidRDefault="004C2197">
            <w:pPr>
              <w:rPr>
                <w:rFonts w:ascii="宋体"/>
              </w:rPr>
            </w:pPr>
          </w:p>
        </w:tc>
        <w:tc>
          <w:tcPr>
            <w:tcW w:w="0" w:type="auto"/>
            <w:shd w:val="clear" w:color="auto" w:fill="auto"/>
          </w:tcPr>
          <w:p w14:paraId="0D8DF9C8" w14:textId="77777777" w:rsidR="004C2197" w:rsidRDefault="004C2197">
            <w:pPr>
              <w:rPr>
                <w:rFonts w:ascii="宋体"/>
              </w:rPr>
            </w:pPr>
          </w:p>
        </w:tc>
        <w:tc>
          <w:tcPr>
            <w:tcW w:w="0" w:type="auto"/>
            <w:shd w:val="clear" w:color="auto" w:fill="auto"/>
          </w:tcPr>
          <w:p w14:paraId="0D8DF9C9" w14:textId="77777777" w:rsidR="004C2197" w:rsidRDefault="004C2197">
            <w:pPr>
              <w:rPr>
                <w:rFonts w:ascii="宋体"/>
              </w:rPr>
            </w:pPr>
          </w:p>
        </w:tc>
        <w:tc>
          <w:tcPr>
            <w:tcW w:w="0" w:type="auto"/>
            <w:shd w:val="clear" w:color="auto" w:fill="auto"/>
          </w:tcPr>
          <w:p w14:paraId="0D8DF9CA" w14:textId="77777777" w:rsidR="004C2197" w:rsidRDefault="004C2197">
            <w:pPr>
              <w:rPr>
                <w:rFonts w:ascii="宋体"/>
              </w:rPr>
            </w:pPr>
          </w:p>
        </w:tc>
        <w:tc>
          <w:tcPr>
            <w:tcW w:w="0" w:type="auto"/>
            <w:shd w:val="clear" w:color="auto" w:fill="auto"/>
          </w:tcPr>
          <w:p w14:paraId="0D8DF9CB" w14:textId="77777777" w:rsidR="004C2197" w:rsidRDefault="004C2197">
            <w:pPr>
              <w:rPr>
                <w:rFonts w:ascii="宋体"/>
              </w:rPr>
            </w:pPr>
          </w:p>
        </w:tc>
        <w:tc>
          <w:tcPr>
            <w:tcW w:w="0" w:type="auto"/>
            <w:shd w:val="clear" w:color="auto" w:fill="auto"/>
          </w:tcPr>
          <w:p w14:paraId="0D8DF9CC" w14:textId="77777777" w:rsidR="004C2197" w:rsidRDefault="004C2197">
            <w:pPr>
              <w:rPr>
                <w:rFonts w:ascii="宋体"/>
              </w:rPr>
            </w:pPr>
          </w:p>
        </w:tc>
        <w:tc>
          <w:tcPr>
            <w:tcW w:w="0" w:type="auto"/>
            <w:shd w:val="clear" w:color="auto" w:fill="auto"/>
          </w:tcPr>
          <w:p w14:paraId="0D8DF9CD" w14:textId="77777777" w:rsidR="004C2197" w:rsidRDefault="004C2197">
            <w:pPr>
              <w:rPr>
                <w:rFonts w:ascii="宋体"/>
              </w:rPr>
            </w:pPr>
          </w:p>
        </w:tc>
        <w:tc>
          <w:tcPr>
            <w:tcW w:w="0" w:type="auto"/>
            <w:shd w:val="clear" w:color="auto" w:fill="auto"/>
          </w:tcPr>
          <w:p w14:paraId="0D8DF9CE" w14:textId="77777777" w:rsidR="004C2197" w:rsidRDefault="004C2197">
            <w:pPr>
              <w:rPr>
                <w:rFonts w:ascii="宋体"/>
              </w:rPr>
            </w:pPr>
          </w:p>
        </w:tc>
        <w:tc>
          <w:tcPr>
            <w:tcW w:w="0" w:type="auto"/>
            <w:shd w:val="clear" w:color="auto" w:fill="auto"/>
          </w:tcPr>
          <w:p w14:paraId="0D8DF9CF" w14:textId="77777777" w:rsidR="004C2197" w:rsidRDefault="004C2197">
            <w:pPr>
              <w:rPr>
                <w:rFonts w:ascii="宋体"/>
              </w:rPr>
            </w:pPr>
          </w:p>
        </w:tc>
        <w:tc>
          <w:tcPr>
            <w:tcW w:w="0" w:type="auto"/>
            <w:shd w:val="clear" w:color="auto" w:fill="auto"/>
          </w:tcPr>
          <w:p w14:paraId="0D8DF9D0" w14:textId="77777777" w:rsidR="004C2197" w:rsidRDefault="004C2197">
            <w:pPr>
              <w:rPr>
                <w:rFonts w:ascii="宋体"/>
              </w:rPr>
            </w:pPr>
          </w:p>
        </w:tc>
        <w:tc>
          <w:tcPr>
            <w:tcW w:w="0" w:type="auto"/>
            <w:shd w:val="clear" w:color="auto" w:fill="auto"/>
          </w:tcPr>
          <w:p w14:paraId="0D8DF9D1" w14:textId="77777777" w:rsidR="004C2197" w:rsidRDefault="004C2197">
            <w:pPr>
              <w:rPr>
                <w:rFonts w:ascii="宋体"/>
              </w:rPr>
            </w:pPr>
          </w:p>
        </w:tc>
        <w:tc>
          <w:tcPr>
            <w:tcW w:w="0" w:type="auto"/>
            <w:shd w:val="clear" w:color="auto" w:fill="auto"/>
          </w:tcPr>
          <w:p w14:paraId="0D8DF9D2" w14:textId="77777777" w:rsidR="004C2197" w:rsidRDefault="004C2197">
            <w:pPr>
              <w:rPr>
                <w:rFonts w:ascii="宋体"/>
              </w:rPr>
            </w:pPr>
          </w:p>
        </w:tc>
        <w:tc>
          <w:tcPr>
            <w:tcW w:w="0" w:type="auto"/>
            <w:shd w:val="clear" w:color="auto" w:fill="auto"/>
          </w:tcPr>
          <w:p w14:paraId="0D8DF9D3" w14:textId="77777777" w:rsidR="004C2197" w:rsidRDefault="004C2197">
            <w:pPr>
              <w:rPr>
                <w:rFonts w:ascii="宋体"/>
              </w:rPr>
            </w:pPr>
          </w:p>
        </w:tc>
        <w:tc>
          <w:tcPr>
            <w:tcW w:w="0" w:type="auto"/>
            <w:shd w:val="clear" w:color="auto" w:fill="auto"/>
          </w:tcPr>
          <w:p w14:paraId="0D8DF9D4" w14:textId="77777777" w:rsidR="004C2197" w:rsidRDefault="004C2197">
            <w:pPr>
              <w:rPr>
                <w:rFonts w:ascii="宋体"/>
              </w:rPr>
            </w:pPr>
          </w:p>
        </w:tc>
        <w:tc>
          <w:tcPr>
            <w:tcW w:w="0" w:type="auto"/>
            <w:shd w:val="clear" w:color="auto" w:fill="auto"/>
          </w:tcPr>
          <w:p w14:paraId="0D8DF9D5" w14:textId="77777777" w:rsidR="004C2197" w:rsidRDefault="004C2197">
            <w:pPr>
              <w:rPr>
                <w:rFonts w:ascii="宋体"/>
              </w:rPr>
            </w:pPr>
          </w:p>
        </w:tc>
        <w:tc>
          <w:tcPr>
            <w:tcW w:w="0" w:type="auto"/>
            <w:shd w:val="clear" w:color="auto" w:fill="auto"/>
          </w:tcPr>
          <w:p w14:paraId="0D8DF9D6" w14:textId="77777777" w:rsidR="004C2197" w:rsidRDefault="004C2197">
            <w:pPr>
              <w:rPr>
                <w:rFonts w:ascii="宋体"/>
              </w:rPr>
            </w:pPr>
          </w:p>
        </w:tc>
        <w:tc>
          <w:tcPr>
            <w:tcW w:w="0" w:type="auto"/>
            <w:shd w:val="clear" w:color="auto" w:fill="auto"/>
          </w:tcPr>
          <w:p w14:paraId="0D8DF9D7" w14:textId="77777777" w:rsidR="004C2197" w:rsidRDefault="004C2197">
            <w:pPr>
              <w:rPr>
                <w:rFonts w:ascii="宋体"/>
              </w:rPr>
            </w:pPr>
          </w:p>
        </w:tc>
        <w:tc>
          <w:tcPr>
            <w:tcW w:w="0" w:type="auto"/>
            <w:shd w:val="clear" w:color="auto" w:fill="auto"/>
          </w:tcPr>
          <w:p w14:paraId="0D8DF9D8" w14:textId="77777777" w:rsidR="004C2197" w:rsidRDefault="004C2197">
            <w:pPr>
              <w:rPr>
                <w:rFonts w:ascii="宋体"/>
              </w:rPr>
            </w:pPr>
          </w:p>
        </w:tc>
      </w:tr>
      <w:tr w:rsidR="004C2197" w14:paraId="0D8DFA07" w14:textId="77777777">
        <w:tc>
          <w:tcPr>
            <w:tcW w:w="0" w:type="auto"/>
            <w:gridSpan w:val="3"/>
            <w:shd w:val="clear" w:color="auto" w:fill="FFFFFF"/>
            <w:tcMar>
              <w:top w:w="40" w:type="dxa"/>
              <w:left w:w="20" w:type="dxa"/>
              <w:bottom w:w="40" w:type="dxa"/>
              <w:right w:w="20" w:type="dxa"/>
            </w:tcMar>
            <w:vAlign w:val="bottom"/>
          </w:tcPr>
          <w:p w14:paraId="0D8DF9DA" w14:textId="77777777" w:rsidR="004C2197" w:rsidRDefault="00863B83">
            <w:pPr>
              <w:textAlignment w:val="bottom"/>
            </w:pPr>
            <w:r>
              <w:rPr>
                <w:rFonts w:ascii="sans-serif" w:eastAsia="sans-serif" w:hAnsi="sans-serif" w:cs="sans-serif"/>
                <w:color w:val="000000"/>
                <w:sz w:val="20"/>
                <w:szCs w:val="20"/>
              </w:rPr>
              <w:t>Patents and licensed technology</w:t>
            </w:r>
          </w:p>
        </w:tc>
        <w:tc>
          <w:tcPr>
            <w:tcW w:w="0" w:type="auto"/>
            <w:gridSpan w:val="2"/>
            <w:shd w:val="clear" w:color="auto" w:fill="FFFFFF"/>
            <w:tcMar>
              <w:top w:w="40" w:type="dxa"/>
              <w:left w:w="20" w:type="dxa"/>
              <w:bottom w:w="40" w:type="dxa"/>
              <w:right w:w="0" w:type="dxa"/>
            </w:tcMar>
            <w:vAlign w:val="bottom"/>
          </w:tcPr>
          <w:p w14:paraId="0D8DF9DB" w14:textId="77777777" w:rsidR="004C2197" w:rsidRDefault="00863B83">
            <w:pPr>
              <w:jc w:val="right"/>
              <w:textAlignment w:val="bottom"/>
            </w:pPr>
            <w:r>
              <w:rPr>
                <w:rFonts w:ascii="sans-serif" w:eastAsia="sans-serif" w:hAnsi="sans-serif" w:cs="sans-serif"/>
                <w:color w:val="000000"/>
                <w:sz w:val="20"/>
                <w:szCs w:val="20"/>
              </w:rPr>
              <w:t>524 </w:t>
            </w:r>
          </w:p>
        </w:tc>
        <w:tc>
          <w:tcPr>
            <w:tcW w:w="0" w:type="auto"/>
            <w:shd w:val="clear" w:color="auto" w:fill="FFFFFF"/>
            <w:tcMar>
              <w:top w:w="40" w:type="dxa"/>
              <w:bottom w:w="40" w:type="dxa"/>
              <w:right w:w="20" w:type="dxa"/>
            </w:tcMar>
            <w:vAlign w:val="bottom"/>
          </w:tcPr>
          <w:p w14:paraId="0D8DF9D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D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9DE" w14:textId="77777777" w:rsidR="004C2197" w:rsidRDefault="00863B83">
            <w:pPr>
              <w:jc w:val="right"/>
              <w:textAlignment w:val="bottom"/>
            </w:pPr>
            <w:r>
              <w:rPr>
                <w:rFonts w:ascii="sans-serif" w:eastAsia="sans-serif" w:hAnsi="sans-serif" w:cs="sans-serif"/>
                <w:color w:val="000000"/>
                <w:sz w:val="20"/>
                <w:szCs w:val="20"/>
              </w:rPr>
              <w:t>(483)</w:t>
            </w:r>
          </w:p>
        </w:tc>
        <w:tc>
          <w:tcPr>
            <w:tcW w:w="0" w:type="auto"/>
            <w:shd w:val="clear" w:color="auto" w:fill="FFFFFF"/>
            <w:tcMar>
              <w:top w:w="40" w:type="dxa"/>
              <w:bottom w:w="40" w:type="dxa"/>
              <w:right w:w="20" w:type="dxa"/>
            </w:tcMar>
            <w:vAlign w:val="bottom"/>
          </w:tcPr>
          <w:p w14:paraId="0D8DF9D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E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9E1" w14:textId="77777777" w:rsidR="004C2197" w:rsidRDefault="00863B83">
            <w:pPr>
              <w:jc w:val="right"/>
              <w:textAlignment w:val="bottom"/>
            </w:pPr>
            <w:r>
              <w:rPr>
                <w:rFonts w:ascii="sans-serif" w:eastAsia="sans-serif" w:hAnsi="sans-serif" w:cs="sans-serif"/>
                <w:color w:val="000000"/>
                <w:sz w:val="20"/>
                <w:szCs w:val="20"/>
              </w:rPr>
              <w:t>41 </w:t>
            </w:r>
          </w:p>
        </w:tc>
        <w:tc>
          <w:tcPr>
            <w:tcW w:w="0" w:type="auto"/>
            <w:shd w:val="clear" w:color="auto" w:fill="FFFFFF"/>
            <w:tcMar>
              <w:top w:w="40" w:type="dxa"/>
              <w:bottom w:w="40" w:type="dxa"/>
              <w:right w:w="20" w:type="dxa"/>
            </w:tcMar>
            <w:vAlign w:val="bottom"/>
          </w:tcPr>
          <w:p w14:paraId="0D8DF9E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E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9E4" w14:textId="77777777" w:rsidR="004C2197" w:rsidRDefault="00863B83">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bottom w:w="40" w:type="dxa"/>
              <w:right w:w="20" w:type="dxa"/>
            </w:tcMar>
            <w:vAlign w:val="bottom"/>
          </w:tcPr>
          <w:p w14:paraId="0D8DF9E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E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9E7" w14:textId="77777777" w:rsidR="004C2197" w:rsidRDefault="00863B83">
            <w:pPr>
              <w:jc w:val="right"/>
              <w:textAlignment w:val="bottom"/>
            </w:pPr>
            <w:r>
              <w:rPr>
                <w:rFonts w:ascii="sans-serif" w:eastAsia="sans-serif" w:hAnsi="sans-serif" w:cs="sans-serif"/>
                <w:color w:val="000000"/>
                <w:sz w:val="20"/>
                <w:szCs w:val="20"/>
              </w:rPr>
              <w:t>(474)</w:t>
            </w:r>
          </w:p>
        </w:tc>
        <w:tc>
          <w:tcPr>
            <w:tcW w:w="0" w:type="auto"/>
            <w:shd w:val="clear" w:color="auto" w:fill="FFFFFF"/>
            <w:tcMar>
              <w:top w:w="40" w:type="dxa"/>
              <w:bottom w:w="40" w:type="dxa"/>
              <w:right w:w="20" w:type="dxa"/>
            </w:tcMar>
            <w:vAlign w:val="bottom"/>
          </w:tcPr>
          <w:p w14:paraId="0D8DF9E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9E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9EA" w14:textId="77777777" w:rsidR="004C2197" w:rsidRDefault="00863B83">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bottom w:w="40" w:type="dxa"/>
              <w:right w:w="20" w:type="dxa"/>
            </w:tcMar>
            <w:vAlign w:val="bottom"/>
          </w:tcPr>
          <w:p w14:paraId="0D8DF9EB" w14:textId="77777777" w:rsidR="004C2197" w:rsidRDefault="004C2197">
            <w:pPr>
              <w:jc w:val="right"/>
              <w:rPr>
                <w:rFonts w:ascii="宋体"/>
              </w:rPr>
            </w:pPr>
          </w:p>
        </w:tc>
        <w:tc>
          <w:tcPr>
            <w:tcW w:w="0" w:type="auto"/>
            <w:shd w:val="clear" w:color="auto" w:fill="auto"/>
          </w:tcPr>
          <w:p w14:paraId="0D8DF9EC" w14:textId="77777777" w:rsidR="004C2197" w:rsidRDefault="004C2197">
            <w:pPr>
              <w:rPr>
                <w:rFonts w:ascii="宋体"/>
              </w:rPr>
            </w:pPr>
          </w:p>
        </w:tc>
        <w:tc>
          <w:tcPr>
            <w:tcW w:w="0" w:type="auto"/>
            <w:shd w:val="clear" w:color="auto" w:fill="auto"/>
          </w:tcPr>
          <w:p w14:paraId="0D8DF9ED" w14:textId="77777777" w:rsidR="004C2197" w:rsidRDefault="004C2197">
            <w:pPr>
              <w:rPr>
                <w:rFonts w:ascii="宋体"/>
              </w:rPr>
            </w:pPr>
          </w:p>
        </w:tc>
        <w:tc>
          <w:tcPr>
            <w:tcW w:w="0" w:type="auto"/>
            <w:shd w:val="clear" w:color="auto" w:fill="auto"/>
          </w:tcPr>
          <w:p w14:paraId="0D8DF9EE" w14:textId="77777777" w:rsidR="004C2197" w:rsidRDefault="004C2197">
            <w:pPr>
              <w:rPr>
                <w:rFonts w:ascii="宋体"/>
              </w:rPr>
            </w:pPr>
          </w:p>
        </w:tc>
        <w:tc>
          <w:tcPr>
            <w:tcW w:w="0" w:type="auto"/>
            <w:shd w:val="clear" w:color="auto" w:fill="auto"/>
          </w:tcPr>
          <w:p w14:paraId="0D8DF9EF" w14:textId="77777777" w:rsidR="004C2197" w:rsidRDefault="004C2197">
            <w:pPr>
              <w:rPr>
                <w:rFonts w:ascii="宋体"/>
              </w:rPr>
            </w:pPr>
          </w:p>
        </w:tc>
        <w:tc>
          <w:tcPr>
            <w:tcW w:w="0" w:type="auto"/>
            <w:shd w:val="clear" w:color="auto" w:fill="auto"/>
          </w:tcPr>
          <w:p w14:paraId="0D8DF9F0" w14:textId="77777777" w:rsidR="004C2197" w:rsidRDefault="004C2197">
            <w:pPr>
              <w:rPr>
                <w:rFonts w:ascii="宋体"/>
              </w:rPr>
            </w:pPr>
          </w:p>
        </w:tc>
        <w:tc>
          <w:tcPr>
            <w:tcW w:w="0" w:type="auto"/>
            <w:shd w:val="clear" w:color="auto" w:fill="auto"/>
          </w:tcPr>
          <w:p w14:paraId="0D8DF9F1" w14:textId="77777777" w:rsidR="004C2197" w:rsidRDefault="004C2197">
            <w:pPr>
              <w:rPr>
                <w:rFonts w:ascii="宋体"/>
              </w:rPr>
            </w:pPr>
          </w:p>
        </w:tc>
        <w:tc>
          <w:tcPr>
            <w:tcW w:w="0" w:type="auto"/>
            <w:shd w:val="clear" w:color="auto" w:fill="auto"/>
          </w:tcPr>
          <w:p w14:paraId="0D8DF9F2" w14:textId="77777777" w:rsidR="004C2197" w:rsidRDefault="004C2197">
            <w:pPr>
              <w:rPr>
                <w:rFonts w:ascii="宋体"/>
              </w:rPr>
            </w:pPr>
          </w:p>
        </w:tc>
        <w:tc>
          <w:tcPr>
            <w:tcW w:w="0" w:type="auto"/>
            <w:shd w:val="clear" w:color="auto" w:fill="auto"/>
          </w:tcPr>
          <w:p w14:paraId="0D8DF9F3" w14:textId="77777777" w:rsidR="004C2197" w:rsidRDefault="004C2197">
            <w:pPr>
              <w:rPr>
                <w:rFonts w:ascii="宋体"/>
              </w:rPr>
            </w:pPr>
          </w:p>
        </w:tc>
        <w:tc>
          <w:tcPr>
            <w:tcW w:w="0" w:type="auto"/>
            <w:shd w:val="clear" w:color="auto" w:fill="auto"/>
          </w:tcPr>
          <w:p w14:paraId="0D8DF9F4" w14:textId="77777777" w:rsidR="004C2197" w:rsidRDefault="004C2197">
            <w:pPr>
              <w:rPr>
                <w:rFonts w:ascii="宋体"/>
              </w:rPr>
            </w:pPr>
          </w:p>
        </w:tc>
        <w:tc>
          <w:tcPr>
            <w:tcW w:w="0" w:type="auto"/>
            <w:shd w:val="clear" w:color="auto" w:fill="auto"/>
          </w:tcPr>
          <w:p w14:paraId="0D8DF9F5" w14:textId="77777777" w:rsidR="004C2197" w:rsidRDefault="004C2197">
            <w:pPr>
              <w:rPr>
                <w:rFonts w:ascii="宋体"/>
              </w:rPr>
            </w:pPr>
          </w:p>
        </w:tc>
        <w:tc>
          <w:tcPr>
            <w:tcW w:w="0" w:type="auto"/>
            <w:shd w:val="clear" w:color="auto" w:fill="auto"/>
          </w:tcPr>
          <w:p w14:paraId="0D8DF9F6" w14:textId="77777777" w:rsidR="004C2197" w:rsidRDefault="004C2197">
            <w:pPr>
              <w:rPr>
                <w:rFonts w:ascii="宋体"/>
              </w:rPr>
            </w:pPr>
          </w:p>
        </w:tc>
        <w:tc>
          <w:tcPr>
            <w:tcW w:w="0" w:type="auto"/>
            <w:shd w:val="clear" w:color="auto" w:fill="auto"/>
          </w:tcPr>
          <w:p w14:paraId="0D8DF9F7" w14:textId="77777777" w:rsidR="004C2197" w:rsidRDefault="004C2197">
            <w:pPr>
              <w:rPr>
                <w:rFonts w:ascii="宋体"/>
              </w:rPr>
            </w:pPr>
          </w:p>
        </w:tc>
        <w:tc>
          <w:tcPr>
            <w:tcW w:w="0" w:type="auto"/>
            <w:shd w:val="clear" w:color="auto" w:fill="auto"/>
          </w:tcPr>
          <w:p w14:paraId="0D8DF9F8" w14:textId="77777777" w:rsidR="004C2197" w:rsidRDefault="004C2197">
            <w:pPr>
              <w:rPr>
                <w:rFonts w:ascii="宋体"/>
              </w:rPr>
            </w:pPr>
          </w:p>
        </w:tc>
        <w:tc>
          <w:tcPr>
            <w:tcW w:w="0" w:type="auto"/>
            <w:shd w:val="clear" w:color="auto" w:fill="auto"/>
          </w:tcPr>
          <w:p w14:paraId="0D8DF9F9" w14:textId="77777777" w:rsidR="004C2197" w:rsidRDefault="004C2197">
            <w:pPr>
              <w:rPr>
                <w:rFonts w:ascii="宋体"/>
              </w:rPr>
            </w:pPr>
          </w:p>
        </w:tc>
        <w:tc>
          <w:tcPr>
            <w:tcW w:w="0" w:type="auto"/>
            <w:shd w:val="clear" w:color="auto" w:fill="auto"/>
          </w:tcPr>
          <w:p w14:paraId="0D8DF9FA" w14:textId="77777777" w:rsidR="004C2197" w:rsidRDefault="004C2197">
            <w:pPr>
              <w:rPr>
                <w:rFonts w:ascii="宋体"/>
              </w:rPr>
            </w:pPr>
          </w:p>
        </w:tc>
        <w:tc>
          <w:tcPr>
            <w:tcW w:w="0" w:type="auto"/>
            <w:shd w:val="clear" w:color="auto" w:fill="auto"/>
          </w:tcPr>
          <w:p w14:paraId="0D8DF9FB" w14:textId="77777777" w:rsidR="004C2197" w:rsidRDefault="004C2197">
            <w:pPr>
              <w:rPr>
                <w:rFonts w:ascii="宋体"/>
              </w:rPr>
            </w:pPr>
          </w:p>
        </w:tc>
        <w:tc>
          <w:tcPr>
            <w:tcW w:w="0" w:type="auto"/>
            <w:shd w:val="clear" w:color="auto" w:fill="auto"/>
          </w:tcPr>
          <w:p w14:paraId="0D8DF9FC" w14:textId="77777777" w:rsidR="004C2197" w:rsidRDefault="004C2197">
            <w:pPr>
              <w:rPr>
                <w:rFonts w:ascii="宋体"/>
              </w:rPr>
            </w:pPr>
          </w:p>
        </w:tc>
        <w:tc>
          <w:tcPr>
            <w:tcW w:w="0" w:type="auto"/>
            <w:shd w:val="clear" w:color="auto" w:fill="auto"/>
          </w:tcPr>
          <w:p w14:paraId="0D8DF9FD" w14:textId="77777777" w:rsidR="004C2197" w:rsidRDefault="004C2197">
            <w:pPr>
              <w:rPr>
                <w:rFonts w:ascii="宋体"/>
              </w:rPr>
            </w:pPr>
          </w:p>
        </w:tc>
        <w:tc>
          <w:tcPr>
            <w:tcW w:w="0" w:type="auto"/>
            <w:shd w:val="clear" w:color="auto" w:fill="auto"/>
          </w:tcPr>
          <w:p w14:paraId="0D8DF9FE" w14:textId="77777777" w:rsidR="004C2197" w:rsidRDefault="004C2197">
            <w:pPr>
              <w:rPr>
                <w:rFonts w:ascii="宋体"/>
              </w:rPr>
            </w:pPr>
          </w:p>
        </w:tc>
        <w:tc>
          <w:tcPr>
            <w:tcW w:w="0" w:type="auto"/>
            <w:shd w:val="clear" w:color="auto" w:fill="auto"/>
          </w:tcPr>
          <w:p w14:paraId="0D8DF9FF" w14:textId="77777777" w:rsidR="004C2197" w:rsidRDefault="004C2197">
            <w:pPr>
              <w:rPr>
                <w:rFonts w:ascii="宋体"/>
              </w:rPr>
            </w:pPr>
          </w:p>
        </w:tc>
        <w:tc>
          <w:tcPr>
            <w:tcW w:w="0" w:type="auto"/>
            <w:shd w:val="clear" w:color="auto" w:fill="auto"/>
          </w:tcPr>
          <w:p w14:paraId="0D8DFA00" w14:textId="77777777" w:rsidR="004C2197" w:rsidRDefault="004C2197">
            <w:pPr>
              <w:rPr>
                <w:rFonts w:ascii="宋体"/>
              </w:rPr>
            </w:pPr>
          </w:p>
        </w:tc>
        <w:tc>
          <w:tcPr>
            <w:tcW w:w="0" w:type="auto"/>
            <w:shd w:val="clear" w:color="auto" w:fill="auto"/>
          </w:tcPr>
          <w:p w14:paraId="0D8DFA01" w14:textId="77777777" w:rsidR="004C2197" w:rsidRDefault="004C2197">
            <w:pPr>
              <w:rPr>
                <w:rFonts w:ascii="宋体"/>
              </w:rPr>
            </w:pPr>
          </w:p>
        </w:tc>
        <w:tc>
          <w:tcPr>
            <w:tcW w:w="0" w:type="auto"/>
            <w:shd w:val="clear" w:color="auto" w:fill="auto"/>
          </w:tcPr>
          <w:p w14:paraId="0D8DFA02" w14:textId="77777777" w:rsidR="004C2197" w:rsidRDefault="004C2197">
            <w:pPr>
              <w:rPr>
                <w:rFonts w:ascii="宋体"/>
              </w:rPr>
            </w:pPr>
          </w:p>
        </w:tc>
        <w:tc>
          <w:tcPr>
            <w:tcW w:w="0" w:type="auto"/>
            <w:shd w:val="clear" w:color="auto" w:fill="auto"/>
          </w:tcPr>
          <w:p w14:paraId="0D8DFA03" w14:textId="77777777" w:rsidR="004C2197" w:rsidRDefault="004C2197">
            <w:pPr>
              <w:rPr>
                <w:rFonts w:ascii="宋体"/>
              </w:rPr>
            </w:pPr>
          </w:p>
        </w:tc>
        <w:tc>
          <w:tcPr>
            <w:tcW w:w="0" w:type="auto"/>
            <w:shd w:val="clear" w:color="auto" w:fill="auto"/>
          </w:tcPr>
          <w:p w14:paraId="0D8DFA04" w14:textId="77777777" w:rsidR="004C2197" w:rsidRDefault="004C2197">
            <w:pPr>
              <w:rPr>
                <w:rFonts w:ascii="宋体"/>
              </w:rPr>
            </w:pPr>
          </w:p>
        </w:tc>
        <w:tc>
          <w:tcPr>
            <w:tcW w:w="0" w:type="auto"/>
            <w:shd w:val="clear" w:color="auto" w:fill="auto"/>
          </w:tcPr>
          <w:p w14:paraId="0D8DFA05" w14:textId="77777777" w:rsidR="004C2197" w:rsidRDefault="004C2197">
            <w:pPr>
              <w:rPr>
                <w:rFonts w:ascii="宋体"/>
              </w:rPr>
            </w:pPr>
          </w:p>
        </w:tc>
        <w:tc>
          <w:tcPr>
            <w:tcW w:w="0" w:type="auto"/>
            <w:shd w:val="clear" w:color="auto" w:fill="auto"/>
          </w:tcPr>
          <w:p w14:paraId="0D8DFA06" w14:textId="77777777" w:rsidR="004C2197" w:rsidRDefault="004C2197">
            <w:pPr>
              <w:rPr>
                <w:rFonts w:ascii="宋体"/>
              </w:rPr>
            </w:pPr>
          </w:p>
        </w:tc>
      </w:tr>
      <w:tr w:rsidR="004C2197" w14:paraId="0D8DFA3B" w14:textId="77777777">
        <w:tc>
          <w:tcPr>
            <w:tcW w:w="0" w:type="auto"/>
            <w:gridSpan w:val="3"/>
            <w:shd w:val="clear" w:color="auto" w:fill="E2EFD9"/>
            <w:tcMar>
              <w:top w:w="40" w:type="dxa"/>
              <w:left w:w="20" w:type="dxa"/>
              <w:bottom w:w="40" w:type="dxa"/>
              <w:right w:w="20" w:type="dxa"/>
            </w:tcMar>
            <w:vAlign w:val="bottom"/>
          </w:tcPr>
          <w:p w14:paraId="0D8DFA08" w14:textId="77777777" w:rsidR="004C2197" w:rsidRDefault="00863B83">
            <w:pPr>
              <w:textAlignment w:val="bottom"/>
            </w:pPr>
            <w:r>
              <w:rPr>
                <w:rFonts w:ascii="sans-serif" w:eastAsia="sans-serif" w:hAnsi="sans-serif" w:cs="sans-serif"/>
                <w:color w:val="000000"/>
                <w:sz w:val="20"/>
                <w:szCs w:val="20"/>
              </w:rPr>
              <w:t>Total intangible ass</w:t>
            </w:r>
            <w:r>
              <w:rPr>
                <w:rFonts w:ascii="sans-serif" w:eastAsia="sans-serif" w:hAnsi="sans-serif" w:cs="sans-serif"/>
                <w:color w:val="000000"/>
                <w:sz w:val="20"/>
                <w:szCs w:val="20"/>
              </w:rPr>
              <w:t>ets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0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0A" w14:textId="77777777" w:rsidR="004C2197" w:rsidRDefault="00863B83">
            <w:pPr>
              <w:jc w:val="right"/>
              <w:textAlignment w:val="bottom"/>
            </w:pPr>
            <w:r>
              <w:rPr>
                <w:rFonts w:ascii="sans-serif" w:eastAsia="sans-serif" w:hAnsi="sans-serif" w:cs="sans-serif"/>
                <w:color w:val="000000"/>
                <w:sz w:val="20"/>
                <w:szCs w:val="20"/>
              </w:rPr>
              <w:t>3,811 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0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0C"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0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0E" w14:textId="77777777" w:rsidR="004C2197" w:rsidRDefault="00863B83">
            <w:pPr>
              <w:jc w:val="right"/>
              <w:textAlignment w:val="bottom"/>
            </w:pPr>
            <w:r>
              <w:rPr>
                <w:rFonts w:ascii="sans-serif" w:eastAsia="sans-serif" w:hAnsi="sans-serif" w:cs="sans-serif"/>
                <w:color w:val="000000"/>
                <w:sz w:val="20"/>
                <w:szCs w:val="20"/>
              </w:rPr>
              <w:t>(957)</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0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10"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11"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12" w14:textId="77777777" w:rsidR="004C2197" w:rsidRDefault="00863B83">
            <w:pPr>
              <w:jc w:val="right"/>
              <w:textAlignment w:val="bottom"/>
            </w:pPr>
            <w:r>
              <w:rPr>
                <w:rFonts w:ascii="sans-serif" w:eastAsia="sans-serif" w:hAnsi="sans-serif" w:cs="sans-serif"/>
                <w:color w:val="000000"/>
                <w:sz w:val="20"/>
                <w:szCs w:val="20"/>
              </w:rPr>
              <w:t>2,854 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1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14"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15"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16" w14:textId="77777777" w:rsidR="004C2197" w:rsidRDefault="00863B83">
            <w:pPr>
              <w:jc w:val="right"/>
              <w:textAlignment w:val="bottom"/>
            </w:pPr>
            <w:r>
              <w:rPr>
                <w:rFonts w:ascii="sans-serif" w:eastAsia="sans-serif" w:hAnsi="sans-serif" w:cs="sans-serif"/>
                <w:color w:val="000000"/>
                <w:sz w:val="20"/>
                <w:szCs w:val="20"/>
              </w:rPr>
              <w:t>715 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1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18"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1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1A" w14:textId="77777777" w:rsidR="004C2197" w:rsidRDefault="00863B83">
            <w:pPr>
              <w:jc w:val="right"/>
              <w:textAlignment w:val="bottom"/>
            </w:pPr>
            <w:r>
              <w:rPr>
                <w:rFonts w:ascii="sans-serif" w:eastAsia="sans-serif" w:hAnsi="sans-serif" w:cs="sans-serif"/>
                <w:color w:val="000000"/>
                <w:sz w:val="20"/>
                <w:szCs w:val="20"/>
              </w:rPr>
              <w:t>(666)</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1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1C"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A1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A1E" w14:textId="77777777" w:rsidR="004C2197" w:rsidRDefault="00863B83">
            <w:pPr>
              <w:jc w:val="right"/>
              <w:textAlignment w:val="bottom"/>
            </w:pPr>
            <w:r>
              <w:rPr>
                <w:rFonts w:ascii="sans-serif" w:eastAsia="sans-serif" w:hAnsi="sans-serif" w:cs="sans-serif"/>
                <w:color w:val="000000"/>
                <w:sz w:val="20"/>
                <w:szCs w:val="20"/>
              </w:rPr>
              <w:t>49 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A1F" w14:textId="77777777" w:rsidR="004C2197" w:rsidRDefault="004C2197">
            <w:pPr>
              <w:jc w:val="right"/>
              <w:rPr>
                <w:rFonts w:ascii="宋体"/>
              </w:rPr>
            </w:pPr>
          </w:p>
        </w:tc>
        <w:tc>
          <w:tcPr>
            <w:tcW w:w="0" w:type="auto"/>
            <w:shd w:val="clear" w:color="auto" w:fill="auto"/>
          </w:tcPr>
          <w:p w14:paraId="0D8DFA20" w14:textId="77777777" w:rsidR="004C2197" w:rsidRDefault="004C2197">
            <w:pPr>
              <w:rPr>
                <w:rFonts w:ascii="宋体"/>
              </w:rPr>
            </w:pPr>
          </w:p>
        </w:tc>
        <w:tc>
          <w:tcPr>
            <w:tcW w:w="0" w:type="auto"/>
            <w:shd w:val="clear" w:color="auto" w:fill="auto"/>
          </w:tcPr>
          <w:p w14:paraId="0D8DFA21" w14:textId="77777777" w:rsidR="004C2197" w:rsidRDefault="004C2197">
            <w:pPr>
              <w:rPr>
                <w:rFonts w:ascii="宋体"/>
              </w:rPr>
            </w:pPr>
          </w:p>
        </w:tc>
        <w:tc>
          <w:tcPr>
            <w:tcW w:w="0" w:type="auto"/>
            <w:shd w:val="clear" w:color="auto" w:fill="auto"/>
          </w:tcPr>
          <w:p w14:paraId="0D8DFA22" w14:textId="77777777" w:rsidR="004C2197" w:rsidRDefault="004C2197">
            <w:pPr>
              <w:rPr>
                <w:rFonts w:ascii="宋体"/>
              </w:rPr>
            </w:pPr>
          </w:p>
        </w:tc>
        <w:tc>
          <w:tcPr>
            <w:tcW w:w="0" w:type="auto"/>
            <w:shd w:val="clear" w:color="auto" w:fill="auto"/>
          </w:tcPr>
          <w:p w14:paraId="0D8DFA23" w14:textId="77777777" w:rsidR="004C2197" w:rsidRDefault="004C2197">
            <w:pPr>
              <w:rPr>
                <w:rFonts w:ascii="宋体"/>
              </w:rPr>
            </w:pPr>
          </w:p>
        </w:tc>
        <w:tc>
          <w:tcPr>
            <w:tcW w:w="0" w:type="auto"/>
            <w:shd w:val="clear" w:color="auto" w:fill="auto"/>
          </w:tcPr>
          <w:p w14:paraId="0D8DFA24" w14:textId="77777777" w:rsidR="004C2197" w:rsidRDefault="004C2197">
            <w:pPr>
              <w:rPr>
                <w:rFonts w:ascii="宋体"/>
              </w:rPr>
            </w:pPr>
          </w:p>
        </w:tc>
        <w:tc>
          <w:tcPr>
            <w:tcW w:w="0" w:type="auto"/>
            <w:shd w:val="clear" w:color="auto" w:fill="auto"/>
          </w:tcPr>
          <w:p w14:paraId="0D8DFA25" w14:textId="77777777" w:rsidR="004C2197" w:rsidRDefault="004C2197">
            <w:pPr>
              <w:rPr>
                <w:rFonts w:ascii="宋体"/>
              </w:rPr>
            </w:pPr>
          </w:p>
        </w:tc>
        <w:tc>
          <w:tcPr>
            <w:tcW w:w="0" w:type="auto"/>
            <w:shd w:val="clear" w:color="auto" w:fill="auto"/>
          </w:tcPr>
          <w:p w14:paraId="0D8DFA26" w14:textId="77777777" w:rsidR="004C2197" w:rsidRDefault="004C2197">
            <w:pPr>
              <w:rPr>
                <w:rFonts w:ascii="宋体"/>
              </w:rPr>
            </w:pPr>
          </w:p>
        </w:tc>
        <w:tc>
          <w:tcPr>
            <w:tcW w:w="0" w:type="auto"/>
            <w:shd w:val="clear" w:color="auto" w:fill="auto"/>
          </w:tcPr>
          <w:p w14:paraId="0D8DFA27" w14:textId="77777777" w:rsidR="004C2197" w:rsidRDefault="004C2197">
            <w:pPr>
              <w:rPr>
                <w:rFonts w:ascii="宋体"/>
              </w:rPr>
            </w:pPr>
          </w:p>
        </w:tc>
        <w:tc>
          <w:tcPr>
            <w:tcW w:w="0" w:type="auto"/>
            <w:shd w:val="clear" w:color="auto" w:fill="auto"/>
          </w:tcPr>
          <w:p w14:paraId="0D8DFA28" w14:textId="77777777" w:rsidR="004C2197" w:rsidRDefault="004C2197">
            <w:pPr>
              <w:rPr>
                <w:rFonts w:ascii="宋体"/>
              </w:rPr>
            </w:pPr>
          </w:p>
        </w:tc>
        <w:tc>
          <w:tcPr>
            <w:tcW w:w="0" w:type="auto"/>
            <w:shd w:val="clear" w:color="auto" w:fill="auto"/>
          </w:tcPr>
          <w:p w14:paraId="0D8DFA29" w14:textId="77777777" w:rsidR="004C2197" w:rsidRDefault="004C2197">
            <w:pPr>
              <w:rPr>
                <w:rFonts w:ascii="宋体"/>
              </w:rPr>
            </w:pPr>
          </w:p>
        </w:tc>
        <w:tc>
          <w:tcPr>
            <w:tcW w:w="0" w:type="auto"/>
            <w:shd w:val="clear" w:color="auto" w:fill="auto"/>
          </w:tcPr>
          <w:p w14:paraId="0D8DFA2A" w14:textId="77777777" w:rsidR="004C2197" w:rsidRDefault="004C2197">
            <w:pPr>
              <w:rPr>
                <w:rFonts w:ascii="宋体"/>
              </w:rPr>
            </w:pPr>
          </w:p>
        </w:tc>
        <w:tc>
          <w:tcPr>
            <w:tcW w:w="0" w:type="auto"/>
            <w:shd w:val="clear" w:color="auto" w:fill="auto"/>
          </w:tcPr>
          <w:p w14:paraId="0D8DFA2B" w14:textId="77777777" w:rsidR="004C2197" w:rsidRDefault="004C2197">
            <w:pPr>
              <w:rPr>
                <w:rFonts w:ascii="宋体"/>
              </w:rPr>
            </w:pPr>
          </w:p>
        </w:tc>
        <w:tc>
          <w:tcPr>
            <w:tcW w:w="0" w:type="auto"/>
            <w:shd w:val="clear" w:color="auto" w:fill="auto"/>
          </w:tcPr>
          <w:p w14:paraId="0D8DFA2C" w14:textId="77777777" w:rsidR="004C2197" w:rsidRDefault="004C2197">
            <w:pPr>
              <w:rPr>
                <w:rFonts w:ascii="宋体"/>
              </w:rPr>
            </w:pPr>
          </w:p>
        </w:tc>
        <w:tc>
          <w:tcPr>
            <w:tcW w:w="0" w:type="auto"/>
            <w:shd w:val="clear" w:color="auto" w:fill="auto"/>
          </w:tcPr>
          <w:p w14:paraId="0D8DFA2D" w14:textId="77777777" w:rsidR="004C2197" w:rsidRDefault="004C2197">
            <w:pPr>
              <w:rPr>
                <w:rFonts w:ascii="宋体"/>
              </w:rPr>
            </w:pPr>
          </w:p>
        </w:tc>
        <w:tc>
          <w:tcPr>
            <w:tcW w:w="0" w:type="auto"/>
            <w:shd w:val="clear" w:color="auto" w:fill="auto"/>
          </w:tcPr>
          <w:p w14:paraId="0D8DFA2E" w14:textId="77777777" w:rsidR="004C2197" w:rsidRDefault="004C2197">
            <w:pPr>
              <w:rPr>
                <w:rFonts w:ascii="宋体"/>
              </w:rPr>
            </w:pPr>
          </w:p>
        </w:tc>
        <w:tc>
          <w:tcPr>
            <w:tcW w:w="0" w:type="auto"/>
            <w:shd w:val="clear" w:color="auto" w:fill="auto"/>
          </w:tcPr>
          <w:p w14:paraId="0D8DFA2F" w14:textId="77777777" w:rsidR="004C2197" w:rsidRDefault="004C2197">
            <w:pPr>
              <w:rPr>
                <w:rFonts w:ascii="宋体"/>
              </w:rPr>
            </w:pPr>
          </w:p>
        </w:tc>
        <w:tc>
          <w:tcPr>
            <w:tcW w:w="0" w:type="auto"/>
            <w:shd w:val="clear" w:color="auto" w:fill="auto"/>
          </w:tcPr>
          <w:p w14:paraId="0D8DFA30" w14:textId="77777777" w:rsidR="004C2197" w:rsidRDefault="004C2197">
            <w:pPr>
              <w:rPr>
                <w:rFonts w:ascii="宋体"/>
              </w:rPr>
            </w:pPr>
          </w:p>
        </w:tc>
        <w:tc>
          <w:tcPr>
            <w:tcW w:w="0" w:type="auto"/>
            <w:shd w:val="clear" w:color="auto" w:fill="auto"/>
          </w:tcPr>
          <w:p w14:paraId="0D8DFA31" w14:textId="77777777" w:rsidR="004C2197" w:rsidRDefault="004C2197">
            <w:pPr>
              <w:rPr>
                <w:rFonts w:ascii="宋体"/>
              </w:rPr>
            </w:pPr>
          </w:p>
        </w:tc>
        <w:tc>
          <w:tcPr>
            <w:tcW w:w="0" w:type="auto"/>
            <w:shd w:val="clear" w:color="auto" w:fill="auto"/>
          </w:tcPr>
          <w:p w14:paraId="0D8DFA32" w14:textId="77777777" w:rsidR="004C2197" w:rsidRDefault="004C2197">
            <w:pPr>
              <w:rPr>
                <w:rFonts w:ascii="宋体"/>
              </w:rPr>
            </w:pPr>
          </w:p>
        </w:tc>
        <w:tc>
          <w:tcPr>
            <w:tcW w:w="0" w:type="auto"/>
            <w:shd w:val="clear" w:color="auto" w:fill="auto"/>
          </w:tcPr>
          <w:p w14:paraId="0D8DFA33" w14:textId="77777777" w:rsidR="004C2197" w:rsidRDefault="004C2197">
            <w:pPr>
              <w:rPr>
                <w:rFonts w:ascii="宋体"/>
              </w:rPr>
            </w:pPr>
          </w:p>
        </w:tc>
        <w:tc>
          <w:tcPr>
            <w:tcW w:w="0" w:type="auto"/>
            <w:shd w:val="clear" w:color="auto" w:fill="auto"/>
          </w:tcPr>
          <w:p w14:paraId="0D8DFA34" w14:textId="77777777" w:rsidR="004C2197" w:rsidRDefault="004C2197">
            <w:pPr>
              <w:rPr>
                <w:rFonts w:ascii="宋体"/>
              </w:rPr>
            </w:pPr>
          </w:p>
        </w:tc>
        <w:tc>
          <w:tcPr>
            <w:tcW w:w="0" w:type="auto"/>
            <w:shd w:val="clear" w:color="auto" w:fill="auto"/>
          </w:tcPr>
          <w:p w14:paraId="0D8DFA35" w14:textId="77777777" w:rsidR="004C2197" w:rsidRDefault="004C2197">
            <w:pPr>
              <w:rPr>
                <w:rFonts w:ascii="宋体"/>
              </w:rPr>
            </w:pPr>
          </w:p>
        </w:tc>
        <w:tc>
          <w:tcPr>
            <w:tcW w:w="0" w:type="auto"/>
            <w:shd w:val="clear" w:color="auto" w:fill="auto"/>
          </w:tcPr>
          <w:p w14:paraId="0D8DFA36" w14:textId="77777777" w:rsidR="004C2197" w:rsidRDefault="004C2197">
            <w:pPr>
              <w:rPr>
                <w:rFonts w:ascii="宋体"/>
              </w:rPr>
            </w:pPr>
          </w:p>
        </w:tc>
        <w:tc>
          <w:tcPr>
            <w:tcW w:w="0" w:type="auto"/>
            <w:shd w:val="clear" w:color="auto" w:fill="auto"/>
          </w:tcPr>
          <w:p w14:paraId="0D8DFA37" w14:textId="77777777" w:rsidR="004C2197" w:rsidRDefault="004C2197">
            <w:pPr>
              <w:rPr>
                <w:rFonts w:ascii="宋体"/>
              </w:rPr>
            </w:pPr>
          </w:p>
        </w:tc>
        <w:tc>
          <w:tcPr>
            <w:tcW w:w="0" w:type="auto"/>
            <w:shd w:val="clear" w:color="auto" w:fill="auto"/>
          </w:tcPr>
          <w:p w14:paraId="0D8DFA38" w14:textId="77777777" w:rsidR="004C2197" w:rsidRDefault="004C2197">
            <w:pPr>
              <w:rPr>
                <w:rFonts w:ascii="宋体"/>
              </w:rPr>
            </w:pPr>
          </w:p>
        </w:tc>
        <w:tc>
          <w:tcPr>
            <w:tcW w:w="0" w:type="auto"/>
            <w:shd w:val="clear" w:color="auto" w:fill="auto"/>
          </w:tcPr>
          <w:p w14:paraId="0D8DFA39" w14:textId="77777777" w:rsidR="004C2197" w:rsidRDefault="004C2197">
            <w:pPr>
              <w:rPr>
                <w:rFonts w:ascii="宋体"/>
              </w:rPr>
            </w:pPr>
          </w:p>
        </w:tc>
        <w:tc>
          <w:tcPr>
            <w:tcW w:w="0" w:type="auto"/>
            <w:shd w:val="clear" w:color="auto" w:fill="auto"/>
          </w:tcPr>
          <w:p w14:paraId="0D8DFA3A" w14:textId="77777777" w:rsidR="004C2197" w:rsidRDefault="004C2197">
            <w:pPr>
              <w:rPr>
                <w:rFonts w:ascii="宋体"/>
              </w:rPr>
            </w:pPr>
          </w:p>
        </w:tc>
      </w:tr>
    </w:tbl>
    <w:p w14:paraId="0D8DFA3C" w14:textId="77777777" w:rsidR="004C2197" w:rsidRDefault="00863B83">
      <w:pPr>
        <w:spacing w:after="180"/>
        <w:ind w:hanging="360"/>
        <w:jc w:val="both"/>
      </w:pPr>
      <w:r>
        <w:rPr>
          <w:rFonts w:ascii="sans-serif" w:eastAsia="sans-serif" w:hAnsi="sans-serif" w:cs="sans-serif"/>
          <w:color w:val="000000"/>
          <w:sz w:val="16"/>
          <w:szCs w:val="16"/>
        </w:rPr>
        <w:t xml:space="preserve">(1)  As of July 26, 2020, acquisition-related intangible assets include the fair value of a Mellanox IPR&amp;D </w:t>
      </w:r>
      <w:r>
        <w:rPr>
          <w:rFonts w:ascii="sans-serif" w:eastAsia="sans-serif" w:hAnsi="sans-serif" w:cs="sans-serif"/>
          <w:color w:val="000000"/>
          <w:sz w:val="16"/>
          <w:szCs w:val="16"/>
        </w:rPr>
        <w:t>project of $630 million, which initially will not be amortized. Once the project reaches technological feasibility, we will begin to amortize the intangible asset over its estimated useful life. Refer to Note 2 of these Notes to Condensed Consolidated Fina</w:t>
      </w:r>
      <w:r>
        <w:rPr>
          <w:rFonts w:ascii="sans-serif" w:eastAsia="sans-serif" w:hAnsi="sans-serif" w:cs="sans-serif"/>
          <w:color w:val="000000"/>
          <w:sz w:val="16"/>
          <w:szCs w:val="16"/>
        </w:rPr>
        <w:t>ncial Statements for further details.</w:t>
      </w:r>
    </w:p>
    <w:p w14:paraId="0D8DFA3D" w14:textId="77777777" w:rsidR="004C2197" w:rsidRDefault="00863B83">
      <w:pPr>
        <w:spacing w:after="180"/>
        <w:jc w:val="both"/>
      </w:pPr>
      <w:r>
        <w:rPr>
          <w:rFonts w:ascii="sans-serif" w:eastAsia="sans-serif" w:hAnsi="sans-serif" w:cs="sans-serif"/>
          <w:color w:val="000000"/>
          <w:sz w:val="20"/>
          <w:szCs w:val="20"/>
        </w:rPr>
        <w:t>Amortization expense associated with intangible assets was $284 million and $291 million for the second quarter and first half of fiscal year 2021, respectively, and $6 million and $13 million for the second quarter an</w:t>
      </w:r>
      <w:r>
        <w:rPr>
          <w:rFonts w:ascii="sans-serif" w:eastAsia="sans-serif" w:hAnsi="sans-serif" w:cs="sans-serif"/>
          <w:color w:val="000000"/>
          <w:sz w:val="20"/>
          <w:szCs w:val="20"/>
        </w:rPr>
        <w:t>d first half of fiscal year 2020, respectively. Future amortization expense related to the net carrying amount of intangible assets as of July 26, 2020 is estimated to be $316 million for the remainder of fiscal year 2021, $532 million in fiscal year 2022,</w:t>
      </w:r>
      <w:r>
        <w:rPr>
          <w:rFonts w:ascii="sans-serif" w:eastAsia="sans-serif" w:hAnsi="sans-serif" w:cs="sans-serif"/>
          <w:color w:val="000000"/>
          <w:sz w:val="20"/>
          <w:szCs w:val="20"/>
        </w:rPr>
        <w:t xml:space="preserve"> $529 million in fiscal year 2023, $407 million in fiscal year 2024, $354 million in fiscal year 2025, and $716 million in fiscal year 2026 and thereafter. Refer to Note 2 of these Notes to Condensed Consolidated Financial Statements for further details on</w:t>
      </w:r>
      <w:r>
        <w:rPr>
          <w:rFonts w:ascii="sans-serif" w:eastAsia="sans-serif" w:hAnsi="sans-serif" w:cs="sans-serif"/>
          <w:color w:val="000000"/>
          <w:sz w:val="20"/>
          <w:szCs w:val="20"/>
        </w:rPr>
        <w:t xml:space="preserve"> acquisition-related intangible assets.</w:t>
      </w:r>
    </w:p>
    <w:p w14:paraId="0D8DFA3E" w14:textId="77777777" w:rsidR="004C2197" w:rsidRDefault="004C2197">
      <w:pPr>
        <w:spacing w:after="180"/>
        <w:jc w:val="both"/>
      </w:pPr>
    </w:p>
    <w:p w14:paraId="0D8DFA3F" w14:textId="77777777" w:rsidR="004C2197" w:rsidRDefault="00863B83">
      <w:pPr>
        <w:spacing w:before="180" w:after="120"/>
        <w:jc w:val="both"/>
      </w:pPr>
      <w:r>
        <w:rPr>
          <w:rFonts w:ascii="sans-serif" w:eastAsia="sans-serif" w:hAnsi="sans-serif" w:cs="sans-serif"/>
          <w:b/>
          <w:bCs/>
          <w:color w:val="76B900"/>
          <w:sz w:val="22"/>
          <w:szCs w:val="22"/>
        </w:rPr>
        <w:t>Note 10 - Balance Sheet Components </w:t>
      </w:r>
    </w:p>
    <w:p w14:paraId="0D8DFA40" w14:textId="77777777" w:rsidR="004C2197" w:rsidRDefault="00863B83">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5736"/>
        <w:gridCol w:w="37"/>
        <w:gridCol w:w="137"/>
        <w:gridCol w:w="939"/>
        <w:gridCol w:w="41"/>
        <w:gridCol w:w="36"/>
        <w:gridCol w:w="36"/>
        <w:gridCol w:w="36"/>
        <w:gridCol w:w="138"/>
        <w:gridCol w:w="893"/>
        <w:gridCol w:w="41"/>
        <w:gridCol w:w="36"/>
        <w:gridCol w:w="36"/>
        <w:gridCol w:w="36"/>
        <w:gridCol w:w="36"/>
        <w:gridCol w:w="36"/>
        <w:gridCol w:w="36"/>
      </w:tblGrid>
      <w:tr w:rsidR="004C2197" w14:paraId="0D8DFA4D" w14:textId="77777777">
        <w:trPr>
          <w:gridAfter w:val="6"/>
        </w:trPr>
        <w:tc>
          <w:tcPr>
            <w:tcW w:w="50" w:type="pct"/>
            <w:shd w:val="clear" w:color="auto" w:fill="auto"/>
          </w:tcPr>
          <w:p w14:paraId="0D8DFA41" w14:textId="77777777" w:rsidR="004C2197" w:rsidRDefault="004C2197">
            <w:pPr>
              <w:rPr>
                <w:rFonts w:ascii="宋体"/>
              </w:rPr>
            </w:pPr>
          </w:p>
        </w:tc>
        <w:tc>
          <w:tcPr>
            <w:tcW w:w="3575" w:type="pct"/>
            <w:shd w:val="clear" w:color="auto" w:fill="auto"/>
          </w:tcPr>
          <w:p w14:paraId="0D8DFA42" w14:textId="77777777" w:rsidR="004C2197" w:rsidRDefault="004C2197">
            <w:pPr>
              <w:rPr>
                <w:rFonts w:ascii="宋体"/>
              </w:rPr>
            </w:pPr>
          </w:p>
        </w:tc>
        <w:tc>
          <w:tcPr>
            <w:tcW w:w="5" w:type="pct"/>
            <w:shd w:val="clear" w:color="auto" w:fill="auto"/>
          </w:tcPr>
          <w:p w14:paraId="0D8DFA43" w14:textId="77777777" w:rsidR="004C2197" w:rsidRDefault="004C2197">
            <w:pPr>
              <w:rPr>
                <w:rFonts w:ascii="宋体"/>
              </w:rPr>
            </w:pPr>
          </w:p>
        </w:tc>
        <w:tc>
          <w:tcPr>
            <w:tcW w:w="50" w:type="pct"/>
            <w:shd w:val="clear" w:color="auto" w:fill="auto"/>
          </w:tcPr>
          <w:p w14:paraId="0D8DFA44" w14:textId="77777777" w:rsidR="004C2197" w:rsidRDefault="004C2197">
            <w:pPr>
              <w:rPr>
                <w:rFonts w:ascii="宋体"/>
              </w:rPr>
            </w:pPr>
          </w:p>
        </w:tc>
        <w:tc>
          <w:tcPr>
            <w:tcW w:w="611" w:type="pct"/>
            <w:shd w:val="clear" w:color="auto" w:fill="auto"/>
          </w:tcPr>
          <w:p w14:paraId="0D8DFA45" w14:textId="77777777" w:rsidR="004C2197" w:rsidRDefault="004C2197">
            <w:pPr>
              <w:rPr>
                <w:rFonts w:ascii="宋体"/>
              </w:rPr>
            </w:pPr>
          </w:p>
        </w:tc>
        <w:tc>
          <w:tcPr>
            <w:tcW w:w="5" w:type="pct"/>
            <w:shd w:val="clear" w:color="auto" w:fill="auto"/>
          </w:tcPr>
          <w:p w14:paraId="0D8DFA46" w14:textId="77777777" w:rsidR="004C2197" w:rsidRDefault="004C2197">
            <w:pPr>
              <w:rPr>
                <w:rFonts w:ascii="宋体"/>
              </w:rPr>
            </w:pPr>
          </w:p>
        </w:tc>
        <w:tc>
          <w:tcPr>
            <w:tcW w:w="5" w:type="pct"/>
            <w:shd w:val="clear" w:color="auto" w:fill="auto"/>
          </w:tcPr>
          <w:p w14:paraId="0D8DFA47" w14:textId="77777777" w:rsidR="004C2197" w:rsidRDefault="004C2197">
            <w:pPr>
              <w:rPr>
                <w:rFonts w:ascii="宋体"/>
              </w:rPr>
            </w:pPr>
          </w:p>
        </w:tc>
        <w:tc>
          <w:tcPr>
            <w:tcW w:w="26" w:type="pct"/>
            <w:shd w:val="clear" w:color="auto" w:fill="auto"/>
          </w:tcPr>
          <w:p w14:paraId="0D8DFA48" w14:textId="77777777" w:rsidR="004C2197" w:rsidRDefault="004C2197">
            <w:pPr>
              <w:rPr>
                <w:rFonts w:ascii="宋体"/>
              </w:rPr>
            </w:pPr>
          </w:p>
        </w:tc>
        <w:tc>
          <w:tcPr>
            <w:tcW w:w="5" w:type="pct"/>
            <w:shd w:val="clear" w:color="auto" w:fill="auto"/>
          </w:tcPr>
          <w:p w14:paraId="0D8DFA49" w14:textId="77777777" w:rsidR="004C2197" w:rsidRDefault="004C2197">
            <w:pPr>
              <w:rPr>
                <w:rFonts w:ascii="宋体"/>
              </w:rPr>
            </w:pPr>
          </w:p>
        </w:tc>
        <w:tc>
          <w:tcPr>
            <w:tcW w:w="50" w:type="pct"/>
            <w:shd w:val="clear" w:color="auto" w:fill="auto"/>
          </w:tcPr>
          <w:p w14:paraId="0D8DFA4A" w14:textId="77777777" w:rsidR="004C2197" w:rsidRDefault="004C2197">
            <w:pPr>
              <w:rPr>
                <w:rFonts w:ascii="宋体"/>
              </w:rPr>
            </w:pPr>
          </w:p>
        </w:tc>
        <w:tc>
          <w:tcPr>
            <w:tcW w:w="611" w:type="pct"/>
            <w:shd w:val="clear" w:color="auto" w:fill="auto"/>
          </w:tcPr>
          <w:p w14:paraId="0D8DFA4B" w14:textId="77777777" w:rsidR="004C2197" w:rsidRDefault="004C2197">
            <w:pPr>
              <w:rPr>
                <w:rFonts w:ascii="宋体"/>
              </w:rPr>
            </w:pPr>
          </w:p>
        </w:tc>
        <w:tc>
          <w:tcPr>
            <w:tcW w:w="5" w:type="pct"/>
            <w:shd w:val="clear" w:color="auto" w:fill="auto"/>
          </w:tcPr>
          <w:p w14:paraId="0D8DFA4C" w14:textId="77777777" w:rsidR="004C2197" w:rsidRDefault="004C2197">
            <w:pPr>
              <w:rPr>
                <w:rFonts w:ascii="宋体"/>
              </w:rPr>
            </w:pPr>
          </w:p>
        </w:tc>
      </w:tr>
      <w:tr w:rsidR="004C2197" w14:paraId="0D8DFA52" w14:textId="77777777">
        <w:trPr>
          <w:gridAfter w:val="6"/>
        </w:trPr>
        <w:tc>
          <w:tcPr>
            <w:tcW w:w="0" w:type="auto"/>
            <w:gridSpan w:val="3"/>
            <w:shd w:val="clear" w:color="auto" w:fill="auto"/>
            <w:tcMar>
              <w:left w:w="20" w:type="dxa"/>
              <w:right w:w="20" w:type="dxa"/>
            </w:tcMar>
            <w:vAlign w:val="bottom"/>
          </w:tcPr>
          <w:p w14:paraId="0D8DFA4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4F"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left w:w="20" w:type="dxa"/>
              <w:right w:w="20" w:type="dxa"/>
            </w:tcMar>
            <w:vAlign w:val="bottom"/>
          </w:tcPr>
          <w:p w14:paraId="0D8DFA5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51" w14:textId="77777777" w:rsidR="004C2197" w:rsidRDefault="00863B83">
            <w:pPr>
              <w:jc w:val="center"/>
              <w:textAlignment w:val="bottom"/>
            </w:pPr>
            <w:r>
              <w:rPr>
                <w:rFonts w:ascii="sans-serif" w:eastAsia="sans-serif" w:hAnsi="sans-serif" w:cs="sans-serif"/>
                <w:b/>
                <w:bCs/>
                <w:color w:val="000000"/>
                <w:sz w:val="20"/>
                <w:szCs w:val="20"/>
              </w:rPr>
              <w:t>January 26,</w:t>
            </w:r>
          </w:p>
        </w:tc>
      </w:tr>
      <w:tr w:rsidR="004C2197" w14:paraId="0D8DFA57" w14:textId="77777777">
        <w:trPr>
          <w:gridAfter w:val="6"/>
        </w:trPr>
        <w:tc>
          <w:tcPr>
            <w:tcW w:w="0" w:type="auto"/>
            <w:gridSpan w:val="3"/>
            <w:shd w:val="clear" w:color="auto" w:fill="auto"/>
            <w:tcMar>
              <w:top w:w="40" w:type="dxa"/>
              <w:left w:w="20" w:type="dxa"/>
              <w:bottom w:w="40" w:type="dxa"/>
              <w:right w:w="20" w:type="dxa"/>
            </w:tcMar>
            <w:vAlign w:val="bottom"/>
          </w:tcPr>
          <w:p w14:paraId="0D8DFA53"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A54"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FA55"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56" w14:textId="77777777" w:rsidR="004C2197" w:rsidRDefault="00863B83">
            <w:pPr>
              <w:jc w:val="center"/>
              <w:textAlignment w:val="bottom"/>
            </w:pPr>
            <w:r>
              <w:rPr>
                <w:rFonts w:ascii="sans-serif" w:eastAsia="sans-serif" w:hAnsi="sans-serif" w:cs="sans-serif"/>
                <w:b/>
                <w:bCs/>
                <w:color w:val="000000"/>
                <w:sz w:val="20"/>
                <w:szCs w:val="20"/>
              </w:rPr>
              <w:t>2020</w:t>
            </w:r>
          </w:p>
        </w:tc>
      </w:tr>
      <w:tr w:rsidR="004C2197" w14:paraId="0D8DFA5C" w14:textId="77777777">
        <w:trPr>
          <w:gridAfter w:val="6"/>
          <w:trHeight w:val="60"/>
        </w:trPr>
        <w:tc>
          <w:tcPr>
            <w:tcW w:w="0" w:type="auto"/>
            <w:gridSpan w:val="3"/>
            <w:shd w:val="clear" w:color="auto" w:fill="auto"/>
            <w:tcMar>
              <w:left w:w="20" w:type="dxa"/>
              <w:right w:w="20" w:type="dxa"/>
            </w:tcMar>
            <w:vAlign w:val="bottom"/>
          </w:tcPr>
          <w:p w14:paraId="0D8DFA58"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A5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A5A"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A5B" w14:textId="77777777" w:rsidR="004C2197" w:rsidRDefault="004C2197">
            <w:pPr>
              <w:rPr>
                <w:rFonts w:ascii="宋体"/>
              </w:rPr>
            </w:pPr>
          </w:p>
        </w:tc>
      </w:tr>
      <w:tr w:rsidR="004C2197" w14:paraId="0D8DFA61" w14:textId="77777777">
        <w:tc>
          <w:tcPr>
            <w:tcW w:w="0" w:type="auto"/>
            <w:gridSpan w:val="3"/>
            <w:shd w:val="clear" w:color="auto" w:fill="auto"/>
            <w:tcMar>
              <w:top w:w="40" w:type="dxa"/>
              <w:left w:w="20" w:type="dxa"/>
              <w:bottom w:w="40" w:type="dxa"/>
              <w:right w:w="20" w:type="dxa"/>
            </w:tcMar>
            <w:vAlign w:val="bottom"/>
          </w:tcPr>
          <w:p w14:paraId="0D8DFA5D" w14:textId="77777777" w:rsidR="004C2197" w:rsidRDefault="00863B83">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0D8DFA5E"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A5F" w14:textId="77777777" w:rsidR="004C2197" w:rsidRDefault="004C2197">
            <w:pPr>
              <w:rPr>
                <w:rFonts w:ascii="宋体"/>
                <w:vanish/>
              </w:rPr>
            </w:pPr>
          </w:p>
        </w:tc>
        <w:tc>
          <w:tcPr>
            <w:tcW w:w="0" w:type="auto"/>
            <w:gridSpan w:val="3"/>
            <w:shd w:val="clear" w:color="auto" w:fill="auto"/>
          </w:tcPr>
          <w:p w14:paraId="0D8DFA60" w14:textId="77777777" w:rsidR="004C2197" w:rsidRDefault="004C2197">
            <w:pPr>
              <w:rPr>
                <w:rFonts w:ascii="宋体"/>
                <w:vanish/>
              </w:rPr>
            </w:pPr>
          </w:p>
        </w:tc>
      </w:tr>
      <w:tr w:rsidR="004C2197" w14:paraId="0D8DFA70" w14:textId="77777777">
        <w:tc>
          <w:tcPr>
            <w:tcW w:w="0" w:type="auto"/>
            <w:gridSpan w:val="3"/>
            <w:shd w:val="clear" w:color="auto" w:fill="E2EFD9"/>
            <w:tcMar>
              <w:top w:w="40" w:type="dxa"/>
              <w:left w:w="20" w:type="dxa"/>
              <w:bottom w:w="40" w:type="dxa"/>
              <w:right w:w="20" w:type="dxa"/>
            </w:tcMar>
            <w:vAlign w:val="bottom"/>
          </w:tcPr>
          <w:p w14:paraId="0D8DFA62" w14:textId="77777777" w:rsidR="004C2197" w:rsidRDefault="00863B83">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tcMar>
            <w:vAlign w:val="bottom"/>
          </w:tcPr>
          <w:p w14:paraId="0D8DFA6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A64" w14:textId="77777777" w:rsidR="004C2197" w:rsidRDefault="00863B83">
            <w:pPr>
              <w:jc w:val="right"/>
              <w:textAlignment w:val="bottom"/>
            </w:pPr>
            <w:r>
              <w:rPr>
                <w:rFonts w:ascii="sans-serif" w:eastAsia="sans-serif" w:hAnsi="sans-serif" w:cs="sans-serif"/>
                <w:color w:val="000000"/>
                <w:sz w:val="20"/>
                <w:szCs w:val="20"/>
              </w:rPr>
              <w:t>320 </w:t>
            </w:r>
          </w:p>
        </w:tc>
        <w:tc>
          <w:tcPr>
            <w:tcW w:w="0" w:type="auto"/>
            <w:shd w:val="clear" w:color="auto" w:fill="E2EFD9"/>
            <w:tcMar>
              <w:top w:w="40" w:type="dxa"/>
              <w:bottom w:w="40" w:type="dxa"/>
              <w:right w:w="20" w:type="dxa"/>
            </w:tcMar>
            <w:vAlign w:val="bottom"/>
          </w:tcPr>
          <w:p w14:paraId="0D8DFA6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6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A6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A68" w14:textId="77777777" w:rsidR="004C2197" w:rsidRDefault="00863B83">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bottom w:w="40" w:type="dxa"/>
              <w:right w:w="20" w:type="dxa"/>
            </w:tcMar>
            <w:vAlign w:val="bottom"/>
          </w:tcPr>
          <w:p w14:paraId="0D8DFA69" w14:textId="77777777" w:rsidR="004C2197" w:rsidRDefault="004C2197">
            <w:pPr>
              <w:jc w:val="right"/>
              <w:rPr>
                <w:rFonts w:ascii="宋体"/>
              </w:rPr>
            </w:pPr>
          </w:p>
        </w:tc>
        <w:tc>
          <w:tcPr>
            <w:tcW w:w="0" w:type="auto"/>
            <w:shd w:val="clear" w:color="auto" w:fill="auto"/>
          </w:tcPr>
          <w:p w14:paraId="0D8DFA6A" w14:textId="77777777" w:rsidR="004C2197" w:rsidRDefault="004C2197">
            <w:pPr>
              <w:rPr>
                <w:rFonts w:ascii="宋体"/>
              </w:rPr>
            </w:pPr>
          </w:p>
        </w:tc>
        <w:tc>
          <w:tcPr>
            <w:tcW w:w="0" w:type="auto"/>
            <w:shd w:val="clear" w:color="auto" w:fill="auto"/>
          </w:tcPr>
          <w:p w14:paraId="0D8DFA6B" w14:textId="77777777" w:rsidR="004C2197" w:rsidRDefault="004C2197">
            <w:pPr>
              <w:rPr>
                <w:rFonts w:ascii="宋体"/>
              </w:rPr>
            </w:pPr>
          </w:p>
        </w:tc>
        <w:tc>
          <w:tcPr>
            <w:tcW w:w="0" w:type="auto"/>
            <w:shd w:val="clear" w:color="auto" w:fill="auto"/>
          </w:tcPr>
          <w:p w14:paraId="0D8DFA6C" w14:textId="77777777" w:rsidR="004C2197" w:rsidRDefault="004C2197">
            <w:pPr>
              <w:rPr>
                <w:rFonts w:ascii="宋体"/>
              </w:rPr>
            </w:pPr>
          </w:p>
        </w:tc>
        <w:tc>
          <w:tcPr>
            <w:tcW w:w="0" w:type="auto"/>
            <w:shd w:val="clear" w:color="auto" w:fill="auto"/>
          </w:tcPr>
          <w:p w14:paraId="0D8DFA6D" w14:textId="77777777" w:rsidR="004C2197" w:rsidRDefault="004C2197">
            <w:pPr>
              <w:rPr>
                <w:rFonts w:ascii="宋体"/>
              </w:rPr>
            </w:pPr>
          </w:p>
        </w:tc>
        <w:tc>
          <w:tcPr>
            <w:tcW w:w="0" w:type="auto"/>
            <w:shd w:val="clear" w:color="auto" w:fill="auto"/>
          </w:tcPr>
          <w:p w14:paraId="0D8DFA6E" w14:textId="77777777" w:rsidR="004C2197" w:rsidRDefault="004C2197">
            <w:pPr>
              <w:rPr>
                <w:rFonts w:ascii="宋体"/>
              </w:rPr>
            </w:pPr>
          </w:p>
        </w:tc>
        <w:tc>
          <w:tcPr>
            <w:tcW w:w="0" w:type="auto"/>
            <w:shd w:val="clear" w:color="auto" w:fill="auto"/>
          </w:tcPr>
          <w:p w14:paraId="0D8DFA6F" w14:textId="77777777" w:rsidR="004C2197" w:rsidRDefault="004C2197">
            <w:pPr>
              <w:rPr>
                <w:rFonts w:ascii="宋体"/>
              </w:rPr>
            </w:pPr>
          </w:p>
        </w:tc>
      </w:tr>
      <w:tr w:rsidR="004C2197" w14:paraId="0D8DFA7D" w14:textId="77777777">
        <w:tc>
          <w:tcPr>
            <w:tcW w:w="0" w:type="auto"/>
            <w:gridSpan w:val="3"/>
            <w:shd w:val="clear" w:color="auto" w:fill="FFFFFF"/>
            <w:tcMar>
              <w:top w:w="40" w:type="dxa"/>
              <w:left w:w="20" w:type="dxa"/>
              <w:bottom w:w="40" w:type="dxa"/>
              <w:right w:w="20" w:type="dxa"/>
            </w:tcMar>
            <w:vAlign w:val="bottom"/>
          </w:tcPr>
          <w:p w14:paraId="0D8DFA71" w14:textId="77777777" w:rsidR="004C2197" w:rsidRDefault="00863B83">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0D8DFA72" w14:textId="77777777" w:rsidR="004C2197" w:rsidRDefault="00863B83">
            <w:pPr>
              <w:jc w:val="right"/>
              <w:textAlignment w:val="bottom"/>
            </w:pPr>
            <w:r>
              <w:rPr>
                <w:rFonts w:ascii="sans-serif" w:eastAsia="sans-serif" w:hAnsi="sans-serif" w:cs="sans-serif"/>
                <w:color w:val="000000"/>
                <w:sz w:val="20"/>
                <w:szCs w:val="20"/>
              </w:rPr>
              <w:t>516 </w:t>
            </w:r>
          </w:p>
        </w:tc>
        <w:tc>
          <w:tcPr>
            <w:tcW w:w="0" w:type="auto"/>
            <w:shd w:val="clear" w:color="auto" w:fill="FFFFFF"/>
            <w:tcMar>
              <w:top w:w="40" w:type="dxa"/>
              <w:bottom w:w="40" w:type="dxa"/>
              <w:right w:w="20" w:type="dxa"/>
            </w:tcMar>
            <w:vAlign w:val="bottom"/>
          </w:tcPr>
          <w:p w14:paraId="0D8DFA7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A7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A75" w14:textId="77777777" w:rsidR="004C2197" w:rsidRDefault="00863B83">
            <w:pPr>
              <w:jc w:val="right"/>
              <w:textAlignment w:val="bottom"/>
            </w:pPr>
            <w:r>
              <w:rPr>
                <w:rFonts w:ascii="sans-serif" w:eastAsia="sans-serif" w:hAnsi="sans-serif" w:cs="sans-serif"/>
                <w:color w:val="000000"/>
                <w:sz w:val="20"/>
                <w:szCs w:val="20"/>
              </w:rPr>
              <w:t>265 </w:t>
            </w:r>
          </w:p>
        </w:tc>
        <w:tc>
          <w:tcPr>
            <w:tcW w:w="0" w:type="auto"/>
            <w:shd w:val="clear" w:color="auto" w:fill="FFFFFF"/>
            <w:tcMar>
              <w:top w:w="40" w:type="dxa"/>
              <w:bottom w:w="40" w:type="dxa"/>
              <w:right w:w="20" w:type="dxa"/>
            </w:tcMar>
            <w:vAlign w:val="bottom"/>
          </w:tcPr>
          <w:p w14:paraId="0D8DFA76" w14:textId="77777777" w:rsidR="004C2197" w:rsidRDefault="004C2197">
            <w:pPr>
              <w:jc w:val="right"/>
              <w:rPr>
                <w:rFonts w:ascii="宋体"/>
              </w:rPr>
            </w:pPr>
          </w:p>
        </w:tc>
        <w:tc>
          <w:tcPr>
            <w:tcW w:w="0" w:type="auto"/>
            <w:shd w:val="clear" w:color="auto" w:fill="auto"/>
          </w:tcPr>
          <w:p w14:paraId="0D8DFA77" w14:textId="77777777" w:rsidR="004C2197" w:rsidRDefault="004C2197">
            <w:pPr>
              <w:rPr>
                <w:rFonts w:ascii="宋体"/>
              </w:rPr>
            </w:pPr>
          </w:p>
        </w:tc>
        <w:tc>
          <w:tcPr>
            <w:tcW w:w="0" w:type="auto"/>
            <w:shd w:val="clear" w:color="auto" w:fill="auto"/>
          </w:tcPr>
          <w:p w14:paraId="0D8DFA78" w14:textId="77777777" w:rsidR="004C2197" w:rsidRDefault="004C2197">
            <w:pPr>
              <w:rPr>
                <w:rFonts w:ascii="宋体"/>
              </w:rPr>
            </w:pPr>
          </w:p>
        </w:tc>
        <w:tc>
          <w:tcPr>
            <w:tcW w:w="0" w:type="auto"/>
            <w:shd w:val="clear" w:color="auto" w:fill="auto"/>
          </w:tcPr>
          <w:p w14:paraId="0D8DFA79" w14:textId="77777777" w:rsidR="004C2197" w:rsidRDefault="004C2197">
            <w:pPr>
              <w:rPr>
                <w:rFonts w:ascii="宋体"/>
              </w:rPr>
            </w:pPr>
          </w:p>
        </w:tc>
        <w:tc>
          <w:tcPr>
            <w:tcW w:w="0" w:type="auto"/>
            <w:shd w:val="clear" w:color="auto" w:fill="auto"/>
          </w:tcPr>
          <w:p w14:paraId="0D8DFA7A" w14:textId="77777777" w:rsidR="004C2197" w:rsidRDefault="004C2197">
            <w:pPr>
              <w:rPr>
                <w:rFonts w:ascii="宋体"/>
              </w:rPr>
            </w:pPr>
          </w:p>
        </w:tc>
        <w:tc>
          <w:tcPr>
            <w:tcW w:w="0" w:type="auto"/>
            <w:shd w:val="clear" w:color="auto" w:fill="auto"/>
          </w:tcPr>
          <w:p w14:paraId="0D8DFA7B" w14:textId="77777777" w:rsidR="004C2197" w:rsidRDefault="004C2197">
            <w:pPr>
              <w:rPr>
                <w:rFonts w:ascii="宋体"/>
              </w:rPr>
            </w:pPr>
          </w:p>
        </w:tc>
        <w:tc>
          <w:tcPr>
            <w:tcW w:w="0" w:type="auto"/>
            <w:shd w:val="clear" w:color="auto" w:fill="auto"/>
          </w:tcPr>
          <w:p w14:paraId="0D8DFA7C" w14:textId="77777777" w:rsidR="004C2197" w:rsidRDefault="004C2197">
            <w:pPr>
              <w:rPr>
                <w:rFonts w:ascii="宋体"/>
              </w:rPr>
            </w:pPr>
          </w:p>
        </w:tc>
      </w:tr>
      <w:tr w:rsidR="004C2197" w14:paraId="0D8DFA8A" w14:textId="77777777">
        <w:tc>
          <w:tcPr>
            <w:tcW w:w="0" w:type="auto"/>
            <w:gridSpan w:val="3"/>
            <w:shd w:val="clear" w:color="auto" w:fill="E2EFD9"/>
            <w:tcMar>
              <w:top w:w="40" w:type="dxa"/>
              <w:left w:w="20" w:type="dxa"/>
              <w:bottom w:w="40" w:type="dxa"/>
              <w:right w:w="20" w:type="dxa"/>
            </w:tcMar>
            <w:vAlign w:val="bottom"/>
          </w:tcPr>
          <w:p w14:paraId="0D8DFA7E" w14:textId="77777777" w:rsidR="004C2197" w:rsidRDefault="00863B83">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0D8DFA7F" w14:textId="77777777" w:rsidR="004C2197" w:rsidRDefault="00863B83">
            <w:pPr>
              <w:jc w:val="right"/>
              <w:textAlignment w:val="bottom"/>
            </w:pPr>
            <w:r>
              <w:rPr>
                <w:rFonts w:ascii="sans-serif" w:eastAsia="sans-serif" w:hAnsi="sans-serif" w:cs="sans-serif"/>
                <w:color w:val="000000"/>
                <w:sz w:val="20"/>
                <w:szCs w:val="20"/>
              </w:rPr>
              <w:t>565 </w:t>
            </w:r>
          </w:p>
        </w:tc>
        <w:tc>
          <w:tcPr>
            <w:tcW w:w="0" w:type="auto"/>
            <w:shd w:val="clear" w:color="auto" w:fill="E2EFD9"/>
            <w:tcMar>
              <w:top w:w="40" w:type="dxa"/>
              <w:bottom w:w="40" w:type="dxa"/>
              <w:right w:w="20" w:type="dxa"/>
            </w:tcMar>
            <w:vAlign w:val="bottom"/>
          </w:tcPr>
          <w:p w14:paraId="0D8DFA8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81"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A82" w14:textId="77777777" w:rsidR="004C2197" w:rsidRDefault="00863B83">
            <w:pPr>
              <w:jc w:val="right"/>
              <w:textAlignment w:val="bottom"/>
            </w:pPr>
            <w:r>
              <w:rPr>
                <w:rFonts w:ascii="sans-serif" w:eastAsia="sans-serif" w:hAnsi="sans-serif" w:cs="sans-serif"/>
                <w:color w:val="000000"/>
                <w:sz w:val="20"/>
                <w:szCs w:val="20"/>
              </w:rPr>
              <w:t>465 </w:t>
            </w:r>
          </w:p>
        </w:tc>
        <w:tc>
          <w:tcPr>
            <w:tcW w:w="0" w:type="auto"/>
            <w:shd w:val="clear" w:color="auto" w:fill="E2EFD9"/>
            <w:tcMar>
              <w:top w:w="40" w:type="dxa"/>
              <w:bottom w:w="40" w:type="dxa"/>
              <w:right w:w="20" w:type="dxa"/>
            </w:tcMar>
            <w:vAlign w:val="bottom"/>
          </w:tcPr>
          <w:p w14:paraId="0D8DFA83" w14:textId="77777777" w:rsidR="004C2197" w:rsidRDefault="004C2197">
            <w:pPr>
              <w:jc w:val="right"/>
              <w:rPr>
                <w:rFonts w:ascii="宋体"/>
              </w:rPr>
            </w:pPr>
          </w:p>
        </w:tc>
        <w:tc>
          <w:tcPr>
            <w:tcW w:w="0" w:type="auto"/>
            <w:shd w:val="clear" w:color="auto" w:fill="auto"/>
          </w:tcPr>
          <w:p w14:paraId="0D8DFA84" w14:textId="77777777" w:rsidR="004C2197" w:rsidRDefault="004C2197">
            <w:pPr>
              <w:rPr>
                <w:rFonts w:ascii="宋体"/>
              </w:rPr>
            </w:pPr>
          </w:p>
        </w:tc>
        <w:tc>
          <w:tcPr>
            <w:tcW w:w="0" w:type="auto"/>
            <w:shd w:val="clear" w:color="auto" w:fill="auto"/>
          </w:tcPr>
          <w:p w14:paraId="0D8DFA85" w14:textId="77777777" w:rsidR="004C2197" w:rsidRDefault="004C2197">
            <w:pPr>
              <w:rPr>
                <w:rFonts w:ascii="宋体"/>
              </w:rPr>
            </w:pPr>
          </w:p>
        </w:tc>
        <w:tc>
          <w:tcPr>
            <w:tcW w:w="0" w:type="auto"/>
            <w:shd w:val="clear" w:color="auto" w:fill="auto"/>
          </w:tcPr>
          <w:p w14:paraId="0D8DFA86" w14:textId="77777777" w:rsidR="004C2197" w:rsidRDefault="004C2197">
            <w:pPr>
              <w:rPr>
                <w:rFonts w:ascii="宋体"/>
              </w:rPr>
            </w:pPr>
          </w:p>
        </w:tc>
        <w:tc>
          <w:tcPr>
            <w:tcW w:w="0" w:type="auto"/>
            <w:shd w:val="clear" w:color="auto" w:fill="auto"/>
          </w:tcPr>
          <w:p w14:paraId="0D8DFA87" w14:textId="77777777" w:rsidR="004C2197" w:rsidRDefault="004C2197">
            <w:pPr>
              <w:rPr>
                <w:rFonts w:ascii="宋体"/>
              </w:rPr>
            </w:pPr>
          </w:p>
        </w:tc>
        <w:tc>
          <w:tcPr>
            <w:tcW w:w="0" w:type="auto"/>
            <w:shd w:val="clear" w:color="auto" w:fill="auto"/>
          </w:tcPr>
          <w:p w14:paraId="0D8DFA88" w14:textId="77777777" w:rsidR="004C2197" w:rsidRDefault="004C2197">
            <w:pPr>
              <w:rPr>
                <w:rFonts w:ascii="宋体"/>
              </w:rPr>
            </w:pPr>
          </w:p>
        </w:tc>
        <w:tc>
          <w:tcPr>
            <w:tcW w:w="0" w:type="auto"/>
            <w:shd w:val="clear" w:color="auto" w:fill="auto"/>
          </w:tcPr>
          <w:p w14:paraId="0D8DFA89" w14:textId="77777777" w:rsidR="004C2197" w:rsidRDefault="004C2197">
            <w:pPr>
              <w:rPr>
                <w:rFonts w:ascii="宋体"/>
              </w:rPr>
            </w:pPr>
          </w:p>
        </w:tc>
      </w:tr>
      <w:tr w:rsidR="004C2197" w14:paraId="0D8DFA99" w14:textId="77777777">
        <w:tc>
          <w:tcPr>
            <w:tcW w:w="0" w:type="auto"/>
            <w:gridSpan w:val="3"/>
            <w:shd w:val="clear" w:color="auto" w:fill="FFFFFF"/>
            <w:tcMar>
              <w:top w:w="40" w:type="dxa"/>
              <w:left w:w="360" w:type="dxa"/>
              <w:bottom w:w="40" w:type="dxa"/>
              <w:right w:w="20" w:type="dxa"/>
            </w:tcMar>
            <w:vAlign w:val="bottom"/>
          </w:tcPr>
          <w:p w14:paraId="0D8DFA8B" w14:textId="77777777" w:rsidR="004C2197" w:rsidRDefault="00863B83">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A8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A8D" w14:textId="77777777" w:rsidR="004C2197" w:rsidRDefault="00863B83">
            <w:pPr>
              <w:jc w:val="right"/>
              <w:textAlignment w:val="bottom"/>
            </w:pPr>
            <w:r>
              <w:rPr>
                <w:rFonts w:ascii="sans-serif" w:eastAsia="sans-serif" w:hAnsi="sans-serif" w:cs="sans-serif"/>
                <w:color w:val="000000"/>
                <w:sz w:val="20"/>
                <w:szCs w:val="20"/>
              </w:rPr>
              <w:t>1,401 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A8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A8F"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A9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A91" w14:textId="77777777" w:rsidR="004C2197" w:rsidRDefault="00863B83">
            <w:pPr>
              <w:jc w:val="right"/>
              <w:textAlignment w:val="bottom"/>
            </w:pPr>
            <w:r>
              <w:rPr>
                <w:rFonts w:ascii="sans-serif" w:eastAsia="sans-serif" w:hAnsi="sans-serif" w:cs="sans-serif"/>
                <w:color w:val="000000"/>
                <w:sz w:val="20"/>
                <w:szCs w:val="20"/>
              </w:rPr>
              <w:t>979 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A92" w14:textId="77777777" w:rsidR="004C2197" w:rsidRDefault="004C2197">
            <w:pPr>
              <w:jc w:val="right"/>
              <w:rPr>
                <w:rFonts w:ascii="宋体"/>
              </w:rPr>
            </w:pPr>
          </w:p>
        </w:tc>
        <w:tc>
          <w:tcPr>
            <w:tcW w:w="0" w:type="auto"/>
            <w:shd w:val="clear" w:color="auto" w:fill="auto"/>
          </w:tcPr>
          <w:p w14:paraId="0D8DFA93" w14:textId="77777777" w:rsidR="004C2197" w:rsidRDefault="004C2197">
            <w:pPr>
              <w:rPr>
                <w:rFonts w:ascii="宋体"/>
              </w:rPr>
            </w:pPr>
          </w:p>
        </w:tc>
        <w:tc>
          <w:tcPr>
            <w:tcW w:w="0" w:type="auto"/>
            <w:shd w:val="clear" w:color="auto" w:fill="auto"/>
          </w:tcPr>
          <w:p w14:paraId="0D8DFA94" w14:textId="77777777" w:rsidR="004C2197" w:rsidRDefault="004C2197">
            <w:pPr>
              <w:rPr>
                <w:rFonts w:ascii="宋体"/>
              </w:rPr>
            </w:pPr>
          </w:p>
        </w:tc>
        <w:tc>
          <w:tcPr>
            <w:tcW w:w="0" w:type="auto"/>
            <w:shd w:val="clear" w:color="auto" w:fill="auto"/>
          </w:tcPr>
          <w:p w14:paraId="0D8DFA95" w14:textId="77777777" w:rsidR="004C2197" w:rsidRDefault="004C2197">
            <w:pPr>
              <w:rPr>
                <w:rFonts w:ascii="宋体"/>
              </w:rPr>
            </w:pPr>
          </w:p>
        </w:tc>
        <w:tc>
          <w:tcPr>
            <w:tcW w:w="0" w:type="auto"/>
            <w:shd w:val="clear" w:color="auto" w:fill="auto"/>
          </w:tcPr>
          <w:p w14:paraId="0D8DFA96" w14:textId="77777777" w:rsidR="004C2197" w:rsidRDefault="004C2197">
            <w:pPr>
              <w:rPr>
                <w:rFonts w:ascii="宋体"/>
              </w:rPr>
            </w:pPr>
          </w:p>
        </w:tc>
        <w:tc>
          <w:tcPr>
            <w:tcW w:w="0" w:type="auto"/>
            <w:shd w:val="clear" w:color="auto" w:fill="auto"/>
          </w:tcPr>
          <w:p w14:paraId="0D8DFA97" w14:textId="77777777" w:rsidR="004C2197" w:rsidRDefault="004C2197">
            <w:pPr>
              <w:rPr>
                <w:rFonts w:ascii="宋体"/>
              </w:rPr>
            </w:pPr>
          </w:p>
        </w:tc>
        <w:tc>
          <w:tcPr>
            <w:tcW w:w="0" w:type="auto"/>
            <w:shd w:val="clear" w:color="auto" w:fill="auto"/>
          </w:tcPr>
          <w:p w14:paraId="0D8DFA98" w14:textId="77777777" w:rsidR="004C2197" w:rsidRDefault="004C2197">
            <w:pPr>
              <w:rPr>
                <w:rFonts w:ascii="宋体"/>
              </w:rPr>
            </w:pPr>
          </w:p>
        </w:tc>
      </w:tr>
    </w:tbl>
    <w:p w14:paraId="0D8DFA9A" w14:textId="77777777" w:rsidR="004C2197" w:rsidRDefault="004C2197"/>
    <w:p w14:paraId="0D8DFA9B" w14:textId="77777777" w:rsidR="004C2197" w:rsidRDefault="00863B83">
      <w:pPr>
        <w:spacing w:after="180"/>
        <w:jc w:val="center"/>
      </w:pPr>
      <w:r>
        <w:rPr>
          <w:rFonts w:ascii="sans-serif" w:eastAsia="sans-serif" w:hAnsi="sans-serif" w:cs="sans-serif"/>
          <w:color w:val="000000"/>
          <w:sz w:val="20"/>
          <w:szCs w:val="20"/>
        </w:rPr>
        <w:t>18</w:t>
      </w:r>
    </w:p>
    <w:p w14:paraId="0D8DFA9C" w14:textId="77777777" w:rsidR="004C2197" w:rsidRDefault="00863B83">
      <w:r>
        <w:pict w14:anchorId="0D8E0CB6">
          <v:rect id="_x0000_i1042" style="width:415.3pt;height:1.5pt" o:hralign="center" o:hrstd="t" o:hr="t" fillcolor="#a0a0a0" stroked="f"/>
        </w:pict>
      </w:r>
    </w:p>
    <w:p w14:paraId="0D8DFA9D" w14:textId="77777777" w:rsidR="004C2197" w:rsidRDefault="00863B83">
      <w:pPr>
        <w:jc w:val="center"/>
      </w:pPr>
      <w:r>
        <w:rPr>
          <w:rFonts w:ascii="sans-serif" w:eastAsia="sans-serif" w:hAnsi="sans-serif" w:cs="sans-serif"/>
          <w:b/>
          <w:bCs/>
          <w:color w:val="000000"/>
          <w:sz w:val="20"/>
          <w:szCs w:val="20"/>
        </w:rPr>
        <w:t>NVIDIA CORPORATION AND SUBSIDIARIES</w:t>
      </w:r>
    </w:p>
    <w:p w14:paraId="0D8DFA9E"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A9F" w14:textId="77777777" w:rsidR="004C2197" w:rsidRDefault="00863B83">
      <w:pPr>
        <w:jc w:val="center"/>
      </w:pPr>
      <w:r>
        <w:rPr>
          <w:rFonts w:ascii="sans-serif" w:eastAsia="sans-serif" w:hAnsi="sans-serif" w:cs="sans-serif"/>
          <w:b/>
          <w:bCs/>
          <w:color w:val="000000"/>
          <w:sz w:val="20"/>
          <w:szCs w:val="20"/>
        </w:rPr>
        <w:t>(Unaudited)</w:t>
      </w:r>
    </w:p>
    <w:p w14:paraId="0D8DFAA0" w14:textId="77777777" w:rsidR="004C2197" w:rsidRDefault="004C2197">
      <w:pPr>
        <w:spacing w:after="180"/>
        <w:jc w:val="both"/>
      </w:pPr>
    </w:p>
    <w:p w14:paraId="0D8DFAA1" w14:textId="77777777" w:rsidR="004C2197" w:rsidRDefault="004C2197">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735"/>
        <w:gridCol w:w="38"/>
        <w:gridCol w:w="137"/>
        <w:gridCol w:w="939"/>
        <w:gridCol w:w="41"/>
        <w:gridCol w:w="36"/>
        <w:gridCol w:w="36"/>
        <w:gridCol w:w="36"/>
        <w:gridCol w:w="137"/>
        <w:gridCol w:w="893"/>
        <w:gridCol w:w="41"/>
        <w:gridCol w:w="36"/>
        <w:gridCol w:w="36"/>
        <w:gridCol w:w="36"/>
        <w:gridCol w:w="36"/>
        <w:gridCol w:w="36"/>
        <w:gridCol w:w="36"/>
      </w:tblGrid>
      <w:tr w:rsidR="004C2197" w14:paraId="0D8DFAAE" w14:textId="77777777">
        <w:trPr>
          <w:gridAfter w:val="6"/>
        </w:trPr>
        <w:tc>
          <w:tcPr>
            <w:tcW w:w="50" w:type="pct"/>
            <w:shd w:val="clear" w:color="auto" w:fill="auto"/>
          </w:tcPr>
          <w:p w14:paraId="0D8DFAA2" w14:textId="77777777" w:rsidR="004C2197" w:rsidRDefault="004C2197">
            <w:pPr>
              <w:rPr>
                <w:rFonts w:ascii="宋体"/>
              </w:rPr>
            </w:pPr>
          </w:p>
        </w:tc>
        <w:tc>
          <w:tcPr>
            <w:tcW w:w="3575" w:type="pct"/>
            <w:shd w:val="clear" w:color="auto" w:fill="auto"/>
          </w:tcPr>
          <w:p w14:paraId="0D8DFAA3" w14:textId="77777777" w:rsidR="004C2197" w:rsidRDefault="004C2197">
            <w:pPr>
              <w:rPr>
                <w:rFonts w:ascii="宋体"/>
              </w:rPr>
            </w:pPr>
          </w:p>
        </w:tc>
        <w:tc>
          <w:tcPr>
            <w:tcW w:w="5" w:type="pct"/>
            <w:shd w:val="clear" w:color="auto" w:fill="auto"/>
          </w:tcPr>
          <w:p w14:paraId="0D8DFAA4" w14:textId="77777777" w:rsidR="004C2197" w:rsidRDefault="004C2197">
            <w:pPr>
              <w:rPr>
                <w:rFonts w:ascii="宋体"/>
              </w:rPr>
            </w:pPr>
          </w:p>
        </w:tc>
        <w:tc>
          <w:tcPr>
            <w:tcW w:w="50" w:type="pct"/>
            <w:shd w:val="clear" w:color="auto" w:fill="auto"/>
          </w:tcPr>
          <w:p w14:paraId="0D8DFAA5" w14:textId="77777777" w:rsidR="004C2197" w:rsidRDefault="004C2197">
            <w:pPr>
              <w:rPr>
                <w:rFonts w:ascii="宋体"/>
              </w:rPr>
            </w:pPr>
          </w:p>
        </w:tc>
        <w:tc>
          <w:tcPr>
            <w:tcW w:w="611" w:type="pct"/>
            <w:shd w:val="clear" w:color="auto" w:fill="auto"/>
          </w:tcPr>
          <w:p w14:paraId="0D8DFAA6" w14:textId="77777777" w:rsidR="004C2197" w:rsidRDefault="004C2197">
            <w:pPr>
              <w:rPr>
                <w:rFonts w:ascii="宋体"/>
              </w:rPr>
            </w:pPr>
          </w:p>
        </w:tc>
        <w:tc>
          <w:tcPr>
            <w:tcW w:w="5" w:type="pct"/>
            <w:shd w:val="clear" w:color="auto" w:fill="auto"/>
          </w:tcPr>
          <w:p w14:paraId="0D8DFAA7" w14:textId="77777777" w:rsidR="004C2197" w:rsidRDefault="004C2197">
            <w:pPr>
              <w:rPr>
                <w:rFonts w:ascii="宋体"/>
              </w:rPr>
            </w:pPr>
          </w:p>
        </w:tc>
        <w:tc>
          <w:tcPr>
            <w:tcW w:w="5" w:type="pct"/>
            <w:shd w:val="clear" w:color="auto" w:fill="auto"/>
          </w:tcPr>
          <w:p w14:paraId="0D8DFAA8" w14:textId="77777777" w:rsidR="004C2197" w:rsidRDefault="004C2197">
            <w:pPr>
              <w:rPr>
                <w:rFonts w:ascii="宋体"/>
              </w:rPr>
            </w:pPr>
          </w:p>
        </w:tc>
        <w:tc>
          <w:tcPr>
            <w:tcW w:w="26" w:type="pct"/>
            <w:shd w:val="clear" w:color="auto" w:fill="auto"/>
          </w:tcPr>
          <w:p w14:paraId="0D8DFAA9" w14:textId="77777777" w:rsidR="004C2197" w:rsidRDefault="004C2197">
            <w:pPr>
              <w:rPr>
                <w:rFonts w:ascii="宋体"/>
              </w:rPr>
            </w:pPr>
          </w:p>
        </w:tc>
        <w:tc>
          <w:tcPr>
            <w:tcW w:w="5" w:type="pct"/>
            <w:shd w:val="clear" w:color="auto" w:fill="auto"/>
          </w:tcPr>
          <w:p w14:paraId="0D8DFAAA" w14:textId="77777777" w:rsidR="004C2197" w:rsidRDefault="004C2197">
            <w:pPr>
              <w:rPr>
                <w:rFonts w:ascii="宋体"/>
              </w:rPr>
            </w:pPr>
          </w:p>
        </w:tc>
        <w:tc>
          <w:tcPr>
            <w:tcW w:w="50" w:type="pct"/>
            <w:shd w:val="clear" w:color="auto" w:fill="auto"/>
          </w:tcPr>
          <w:p w14:paraId="0D8DFAAB" w14:textId="77777777" w:rsidR="004C2197" w:rsidRDefault="004C2197">
            <w:pPr>
              <w:rPr>
                <w:rFonts w:ascii="宋体"/>
              </w:rPr>
            </w:pPr>
          </w:p>
        </w:tc>
        <w:tc>
          <w:tcPr>
            <w:tcW w:w="611" w:type="pct"/>
            <w:shd w:val="clear" w:color="auto" w:fill="auto"/>
          </w:tcPr>
          <w:p w14:paraId="0D8DFAAC" w14:textId="77777777" w:rsidR="004C2197" w:rsidRDefault="004C2197">
            <w:pPr>
              <w:rPr>
                <w:rFonts w:ascii="宋体"/>
              </w:rPr>
            </w:pPr>
          </w:p>
        </w:tc>
        <w:tc>
          <w:tcPr>
            <w:tcW w:w="5" w:type="pct"/>
            <w:shd w:val="clear" w:color="auto" w:fill="auto"/>
          </w:tcPr>
          <w:p w14:paraId="0D8DFAAD" w14:textId="77777777" w:rsidR="004C2197" w:rsidRDefault="004C2197">
            <w:pPr>
              <w:rPr>
                <w:rFonts w:ascii="宋体"/>
              </w:rPr>
            </w:pPr>
          </w:p>
        </w:tc>
      </w:tr>
      <w:tr w:rsidR="004C2197" w14:paraId="0D8DFAB3" w14:textId="77777777">
        <w:trPr>
          <w:gridAfter w:val="6"/>
        </w:trPr>
        <w:tc>
          <w:tcPr>
            <w:tcW w:w="0" w:type="auto"/>
            <w:gridSpan w:val="3"/>
            <w:shd w:val="clear" w:color="auto" w:fill="auto"/>
            <w:tcMar>
              <w:left w:w="20" w:type="dxa"/>
              <w:right w:w="20" w:type="dxa"/>
            </w:tcMar>
            <w:vAlign w:val="bottom"/>
          </w:tcPr>
          <w:p w14:paraId="0D8DFAAF"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B0"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left w:w="20" w:type="dxa"/>
              <w:right w:w="20" w:type="dxa"/>
            </w:tcMar>
            <w:vAlign w:val="bottom"/>
          </w:tcPr>
          <w:p w14:paraId="0D8DFAB1"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B2" w14:textId="77777777" w:rsidR="004C2197" w:rsidRDefault="00863B83">
            <w:pPr>
              <w:jc w:val="center"/>
              <w:textAlignment w:val="bottom"/>
            </w:pPr>
            <w:r>
              <w:rPr>
                <w:rFonts w:ascii="sans-serif" w:eastAsia="sans-serif" w:hAnsi="sans-serif" w:cs="sans-serif"/>
                <w:b/>
                <w:bCs/>
                <w:color w:val="000000"/>
                <w:sz w:val="20"/>
                <w:szCs w:val="20"/>
              </w:rPr>
              <w:t>January 26,</w:t>
            </w:r>
          </w:p>
        </w:tc>
      </w:tr>
      <w:tr w:rsidR="004C2197" w14:paraId="0D8DFAB8" w14:textId="77777777">
        <w:trPr>
          <w:gridAfter w:val="6"/>
        </w:trPr>
        <w:tc>
          <w:tcPr>
            <w:tcW w:w="0" w:type="auto"/>
            <w:gridSpan w:val="3"/>
            <w:shd w:val="clear" w:color="auto" w:fill="auto"/>
            <w:tcMar>
              <w:top w:w="40" w:type="dxa"/>
              <w:left w:w="20" w:type="dxa"/>
              <w:bottom w:w="40" w:type="dxa"/>
              <w:right w:w="20" w:type="dxa"/>
            </w:tcMar>
            <w:vAlign w:val="bottom"/>
          </w:tcPr>
          <w:p w14:paraId="0D8DFAB4"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AB5"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FAB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AB7" w14:textId="77777777" w:rsidR="004C2197" w:rsidRDefault="00863B83">
            <w:pPr>
              <w:jc w:val="center"/>
              <w:textAlignment w:val="bottom"/>
            </w:pPr>
            <w:r>
              <w:rPr>
                <w:rFonts w:ascii="sans-serif" w:eastAsia="sans-serif" w:hAnsi="sans-serif" w:cs="sans-serif"/>
                <w:b/>
                <w:bCs/>
                <w:color w:val="000000"/>
                <w:sz w:val="20"/>
                <w:szCs w:val="20"/>
              </w:rPr>
              <w:t>2020</w:t>
            </w:r>
          </w:p>
        </w:tc>
      </w:tr>
      <w:tr w:rsidR="004C2197" w14:paraId="0D8DFABD" w14:textId="77777777">
        <w:trPr>
          <w:gridAfter w:val="6"/>
          <w:trHeight w:val="60"/>
        </w:trPr>
        <w:tc>
          <w:tcPr>
            <w:tcW w:w="0" w:type="auto"/>
            <w:gridSpan w:val="3"/>
            <w:shd w:val="clear" w:color="auto" w:fill="auto"/>
            <w:tcMar>
              <w:left w:w="20" w:type="dxa"/>
              <w:right w:w="20" w:type="dxa"/>
            </w:tcMar>
            <w:vAlign w:val="bottom"/>
          </w:tcPr>
          <w:p w14:paraId="0D8DFAB9"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AB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ABB"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ABC" w14:textId="77777777" w:rsidR="004C2197" w:rsidRDefault="004C2197">
            <w:pPr>
              <w:rPr>
                <w:rFonts w:ascii="宋体"/>
              </w:rPr>
            </w:pPr>
          </w:p>
        </w:tc>
      </w:tr>
      <w:tr w:rsidR="004C2197" w14:paraId="0D8DFAC2" w14:textId="77777777">
        <w:tc>
          <w:tcPr>
            <w:tcW w:w="0" w:type="auto"/>
            <w:gridSpan w:val="3"/>
            <w:shd w:val="clear" w:color="auto" w:fill="auto"/>
            <w:tcMar>
              <w:top w:w="40" w:type="dxa"/>
              <w:left w:w="20" w:type="dxa"/>
              <w:bottom w:w="40" w:type="dxa"/>
              <w:right w:w="20" w:type="dxa"/>
            </w:tcMar>
            <w:vAlign w:val="bottom"/>
          </w:tcPr>
          <w:p w14:paraId="0D8DFABE" w14:textId="77777777" w:rsidR="004C2197" w:rsidRDefault="00863B83">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0D8DFABF"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AC0" w14:textId="77777777" w:rsidR="004C2197" w:rsidRDefault="004C2197">
            <w:pPr>
              <w:rPr>
                <w:rFonts w:ascii="宋体"/>
                <w:vanish/>
              </w:rPr>
            </w:pPr>
          </w:p>
        </w:tc>
        <w:tc>
          <w:tcPr>
            <w:tcW w:w="0" w:type="auto"/>
            <w:gridSpan w:val="3"/>
            <w:shd w:val="clear" w:color="auto" w:fill="auto"/>
          </w:tcPr>
          <w:p w14:paraId="0D8DFAC1" w14:textId="77777777" w:rsidR="004C2197" w:rsidRDefault="004C2197">
            <w:pPr>
              <w:rPr>
                <w:rFonts w:ascii="宋体"/>
                <w:vanish/>
              </w:rPr>
            </w:pPr>
          </w:p>
        </w:tc>
      </w:tr>
      <w:tr w:rsidR="004C2197" w14:paraId="0D8DFAD1" w14:textId="77777777">
        <w:tc>
          <w:tcPr>
            <w:tcW w:w="0" w:type="auto"/>
            <w:gridSpan w:val="3"/>
            <w:shd w:val="clear" w:color="auto" w:fill="E2EFD9"/>
            <w:tcMar>
              <w:top w:w="40" w:type="dxa"/>
              <w:left w:w="20" w:type="dxa"/>
              <w:bottom w:w="40" w:type="dxa"/>
              <w:right w:w="20" w:type="dxa"/>
            </w:tcMar>
            <w:vAlign w:val="bottom"/>
          </w:tcPr>
          <w:p w14:paraId="0D8DFAC3" w14:textId="77777777" w:rsidR="004C2197" w:rsidRDefault="00863B83">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tcMar>
            <w:vAlign w:val="bottom"/>
          </w:tcPr>
          <w:p w14:paraId="0D8DFAC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AC5" w14:textId="77777777" w:rsidR="004C2197" w:rsidRDefault="00863B83">
            <w:pPr>
              <w:jc w:val="right"/>
              <w:textAlignment w:val="bottom"/>
            </w:pPr>
            <w:r>
              <w:rPr>
                <w:rFonts w:ascii="sans-serif" w:eastAsia="sans-serif" w:hAnsi="sans-serif" w:cs="sans-serif"/>
                <w:color w:val="000000"/>
                <w:sz w:val="20"/>
                <w:szCs w:val="20"/>
              </w:rPr>
              <w:t>506 </w:t>
            </w:r>
          </w:p>
        </w:tc>
        <w:tc>
          <w:tcPr>
            <w:tcW w:w="0" w:type="auto"/>
            <w:shd w:val="clear" w:color="auto" w:fill="E2EFD9"/>
            <w:tcMar>
              <w:top w:w="40" w:type="dxa"/>
              <w:bottom w:w="40" w:type="dxa"/>
              <w:right w:w="20" w:type="dxa"/>
            </w:tcMar>
            <w:vAlign w:val="bottom"/>
          </w:tcPr>
          <w:p w14:paraId="0D8DFAC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C7"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AC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AC9" w14:textId="77777777" w:rsidR="004C2197" w:rsidRDefault="00863B83">
            <w:pPr>
              <w:jc w:val="right"/>
              <w:textAlignment w:val="bottom"/>
            </w:pPr>
            <w:r>
              <w:rPr>
                <w:rFonts w:ascii="sans-serif" w:eastAsia="sans-serif" w:hAnsi="sans-serif" w:cs="sans-serif"/>
                <w:color w:val="000000"/>
                <w:sz w:val="20"/>
                <w:szCs w:val="20"/>
              </w:rPr>
              <w:t>462 </w:t>
            </w:r>
          </w:p>
        </w:tc>
        <w:tc>
          <w:tcPr>
            <w:tcW w:w="0" w:type="auto"/>
            <w:shd w:val="clear" w:color="auto" w:fill="E2EFD9"/>
            <w:tcMar>
              <w:top w:w="40" w:type="dxa"/>
              <w:bottom w:w="40" w:type="dxa"/>
              <w:right w:w="20" w:type="dxa"/>
            </w:tcMar>
            <w:vAlign w:val="bottom"/>
          </w:tcPr>
          <w:p w14:paraId="0D8DFACA" w14:textId="77777777" w:rsidR="004C2197" w:rsidRDefault="004C2197">
            <w:pPr>
              <w:jc w:val="right"/>
              <w:rPr>
                <w:rFonts w:ascii="宋体"/>
              </w:rPr>
            </w:pPr>
          </w:p>
        </w:tc>
        <w:tc>
          <w:tcPr>
            <w:tcW w:w="0" w:type="auto"/>
            <w:shd w:val="clear" w:color="auto" w:fill="auto"/>
          </w:tcPr>
          <w:p w14:paraId="0D8DFACB" w14:textId="77777777" w:rsidR="004C2197" w:rsidRDefault="004C2197">
            <w:pPr>
              <w:rPr>
                <w:rFonts w:ascii="宋体"/>
              </w:rPr>
            </w:pPr>
          </w:p>
        </w:tc>
        <w:tc>
          <w:tcPr>
            <w:tcW w:w="0" w:type="auto"/>
            <w:shd w:val="clear" w:color="auto" w:fill="auto"/>
          </w:tcPr>
          <w:p w14:paraId="0D8DFACC" w14:textId="77777777" w:rsidR="004C2197" w:rsidRDefault="004C2197">
            <w:pPr>
              <w:rPr>
                <w:rFonts w:ascii="宋体"/>
              </w:rPr>
            </w:pPr>
          </w:p>
        </w:tc>
        <w:tc>
          <w:tcPr>
            <w:tcW w:w="0" w:type="auto"/>
            <w:shd w:val="clear" w:color="auto" w:fill="auto"/>
          </w:tcPr>
          <w:p w14:paraId="0D8DFACD" w14:textId="77777777" w:rsidR="004C2197" w:rsidRDefault="004C2197">
            <w:pPr>
              <w:rPr>
                <w:rFonts w:ascii="宋体"/>
              </w:rPr>
            </w:pPr>
          </w:p>
        </w:tc>
        <w:tc>
          <w:tcPr>
            <w:tcW w:w="0" w:type="auto"/>
            <w:shd w:val="clear" w:color="auto" w:fill="auto"/>
          </w:tcPr>
          <w:p w14:paraId="0D8DFACE" w14:textId="77777777" w:rsidR="004C2197" w:rsidRDefault="004C2197">
            <w:pPr>
              <w:rPr>
                <w:rFonts w:ascii="宋体"/>
              </w:rPr>
            </w:pPr>
          </w:p>
        </w:tc>
        <w:tc>
          <w:tcPr>
            <w:tcW w:w="0" w:type="auto"/>
            <w:shd w:val="clear" w:color="auto" w:fill="auto"/>
          </w:tcPr>
          <w:p w14:paraId="0D8DFACF" w14:textId="77777777" w:rsidR="004C2197" w:rsidRDefault="004C2197">
            <w:pPr>
              <w:rPr>
                <w:rFonts w:ascii="宋体"/>
              </w:rPr>
            </w:pPr>
          </w:p>
        </w:tc>
        <w:tc>
          <w:tcPr>
            <w:tcW w:w="0" w:type="auto"/>
            <w:shd w:val="clear" w:color="auto" w:fill="auto"/>
          </w:tcPr>
          <w:p w14:paraId="0D8DFAD0" w14:textId="77777777" w:rsidR="004C2197" w:rsidRDefault="004C2197">
            <w:pPr>
              <w:rPr>
                <w:rFonts w:ascii="宋体"/>
              </w:rPr>
            </w:pPr>
          </w:p>
        </w:tc>
      </w:tr>
      <w:tr w:rsidR="004C2197" w14:paraId="0D8DFADE" w14:textId="77777777">
        <w:tc>
          <w:tcPr>
            <w:tcW w:w="0" w:type="auto"/>
            <w:gridSpan w:val="3"/>
            <w:shd w:val="clear" w:color="auto" w:fill="FFFFFF"/>
            <w:tcMar>
              <w:top w:w="40" w:type="dxa"/>
              <w:left w:w="20" w:type="dxa"/>
              <w:bottom w:w="40" w:type="dxa"/>
              <w:right w:w="20" w:type="dxa"/>
            </w:tcMar>
            <w:vAlign w:val="bottom"/>
          </w:tcPr>
          <w:p w14:paraId="0D8DFAD2" w14:textId="77777777" w:rsidR="004C2197" w:rsidRDefault="00863B83">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0D8DFAD3" w14:textId="77777777" w:rsidR="004C2197" w:rsidRDefault="00863B83">
            <w:pPr>
              <w:jc w:val="right"/>
              <w:textAlignment w:val="bottom"/>
            </w:pPr>
            <w:r>
              <w:rPr>
                <w:rFonts w:ascii="sans-serif" w:eastAsia="sans-serif" w:hAnsi="sans-serif" w:cs="sans-serif"/>
                <w:color w:val="000000"/>
                <w:sz w:val="20"/>
                <w:szCs w:val="20"/>
              </w:rPr>
              <w:t>322 </w:t>
            </w:r>
          </w:p>
        </w:tc>
        <w:tc>
          <w:tcPr>
            <w:tcW w:w="0" w:type="auto"/>
            <w:shd w:val="clear" w:color="auto" w:fill="FFFFFF"/>
            <w:tcMar>
              <w:top w:w="40" w:type="dxa"/>
              <w:bottom w:w="40" w:type="dxa"/>
              <w:right w:w="20" w:type="dxa"/>
            </w:tcMar>
            <w:vAlign w:val="bottom"/>
          </w:tcPr>
          <w:p w14:paraId="0D8DFAD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AD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AD6" w14:textId="77777777" w:rsidR="004C2197" w:rsidRDefault="00863B83">
            <w:pPr>
              <w:jc w:val="right"/>
              <w:textAlignment w:val="bottom"/>
            </w:pPr>
            <w:r>
              <w:rPr>
                <w:rFonts w:ascii="sans-serif" w:eastAsia="sans-serif" w:hAnsi="sans-serif" w:cs="sans-serif"/>
                <w:color w:val="000000"/>
                <w:sz w:val="20"/>
                <w:szCs w:val="20"/>
              </w:rPr>
              <w:t>185 </w:t>
            </w:r>
          </w:p>
        </w:tc>
        <w:tc>
          <w:tcPr>
            <w:tcW w:w="0" w:type="auto"/>
            <w:shd w:val="clear" w:color="auto" w:fill="FFFFFF"/>
            <w:tcMar>
              <w:top w:w="40" w:type="dxa"/>
              <w:bottom w:w="40" w:type="dxa"/>
              <w:right w:w="20" w:type="dxa"/>
            </w:tcMar>
            <w:vAlign w:val="bottom"/>
          </w:tcPr>
          <w:p w14:paraId="0D8DFAD7" w14:textId="77777777" w:rsidR="004C2197" w:rsidRDefault="004C2197">
            <w:pPr>
              <w:jc w:val="right"/>
              <w:rPr>
                <w:rFonts w:ascii="宋体"/>
              </w:rPr>
            </w:pPr>
          </w:p>
        </w:tc>
        <w:tc>
          <w:tcPr>
            <w:tcW w:w="0" w:type="auto"/>
            <w:shd w:val="clear" w:color="auto" w:fill="auto"/>
          </w:tcPr>
          <w:p w14:paraId="0D8DFAD8" w14:textId="77777777" w:rsidR="004C2197" w:rsidRDefault="004C2197">
            <w:pPr>
              <w:rPr>
                <w:rFonts w:ascii="宋体"/>
              </w:rPr>
            </w:pPr>
          </w:p>
        </w:tc>
        <w:tc>
          <w:tcPr>
            <w:tcW w:w="0" w:type="auto"/>
            <w:shd w:val="clear" w:color="auto" w:fill="auto"/>
          </w:tcPr>
          <w:p w14:paraId="0D8DFAD9" w14:textId="77777777" w:rsidR="004C2197" w:rsidRDefault="004C2197">
            <w:pPr>
              <w:rPr>
                <w:rFonts w:ascii="宋体"/>
              </w:rPr>
            </w:pPr>
          </w:p>
        </w:tc>
        <w:tc>
          <w:tcPr>
            <w:tcW w:w="0" w:type="auto"/>
            <w:shd w:val="clear" w:color="auto" w:fill="auto"/>
          </w:tcPr>
          <w:p w14:paraId="0D8DFADA" w14:textId="77777777" w:rsidR="004C2197" w:rsidRDefault="004C2197">
            <w:pPr>
              <w:rPr>
                <w:rFonts w:ascii="宋体"/>
              </w:rPr>
            </w:pPr>
          </w:p>
        </w:tc>
        <w:tc>
          <w:tcPr>
            <w:tcW w:w="0" w:type="auto"/>
            <w:shd w:val="clear" w:color="auto" w:fill="auto"/>
          </w:tcPr>
          <w:p w14:paraId="0D8DFADB" w14:textId="77777777" w:rsidR="004C2197" w:rsidRDefault="004C2197">
            <w:pPr>
              <w:rPr>
                <w:rFonts w:ascii="宋体"/>
              </w:rPr>
            </w:pPr>
          </w:p>
        </w:tc>
        <w:tc>
          <w:tcPr>
            <w:tcW w:w="0" w:type="auto"/>
            <w:shd w:val="clear" w:color="auto" w:fill="auto"/>
          </w:tcPr>
          <w:p w14:paraId="0D8DFADC" w14:textId="77777777" w:rsidR="004C2197" w:rsidRDefault="004C2197">
            <w:pPr>
              <w:rPr>
                <w:rFonts w:ascii="宋体"/>
              </w:rPr>
            </w:pPr>
          </w:p>
        </w:tc>
        <w:tc>
          <w:tcPr>
            <w:tcW w:w="0" w:type="auto"/>
            <w:shd w:val="clear" w:color="auto" w:fill="auto"/>
          </w:tcPr>
          <w:p w14:paraId="0D8DFADD" w14:textId="77777777" w:rsidR="004C2197" w:rsidRDefault="004C2197">
            <w:pPr>
              <w:rPr>
                <w:rFonts w:ascii="宋体"/>
              </w:rPr>
            </w:pPr>
          </w:p>
        </w:tc>
      </w:tr>
      <w:tr w:rsidR="004C2197" w14:paraId="0D8DFAEB" w14:textId="77777777">
        <w:tc>
          <w:tcPr>
            <w:tcW w:w="0" w:type="auto"/>
            <w:gridSpan w:val="3"/>
            <w:shd w:val="clear" w:color="auto" w:fill="E2EFD9"/>
            <w:tcMar>
              <w:top w:w="40" w:type="dxa"/>
              <w:left w:w="20" w:type="dxa"/>
              <w:bottom w:w="40" w:type="dxa"/>
              <w:right w:w="20" w:type="dxa"/>
            </w:tcMar>
            <w:vAlign w:val="bottom"/>
          </w:tcPr>
          <w:p w14:paraId="0D8DFADF" w14:textId="77777777" w:rsidR="004C2197" w:rsidRDefault="00863B83">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0D8DFAE0" w14:textId="77777777" w:rsidR="004C2197" w:rsidRDefault="00863B83">
            <w:pPr>
              <w:jc w:val="right"/>
              <w:textAlignment w:val="bottom"/>
            </w:pPr>
            <w:r>
              <w:rPr>
                <w:rFonts w:ascii="sans-serif" w:eastAsia="sans-serif" w:hAnsi="sans-serif" w:cs="sans-serif"/>
                <w:color w:val="000000"/>
                <w:sz w:val="20"/>
                <w:szCs w:val="20"/>
              </w:rPr>
              <w:t>222 </w:t>
            </w:r>
          </w:p>
        </w:tc>
        <w:tc>
          <w:tcPr>
            <w:tcW w:w="0" w:type="auto"/>
            <w:shd w:val="clear" w:color="auto" w:fill="E2EFD9"/>
            <w:tcMar>
              <w:top w:w="40" w:type="dxa"/>
              <w:bottom w:w="40" w:type="dxa"/>
              <w:right w:w="20" w:type="dxa"/>
            </w:tcMar>
            <w:vAlign w:val="bottom"/>
          </w:tcPr>
          <w:p w14:paraId="0D8DFAE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E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AE3" w14:textId="77777777" w:rsidR="004C2197" w:rsidRDefault="00863B83">
            <w:pPr>
              <w:jc w:val="right"/>
              <w:textAlignment w:val="bottom"/>
            </w:pPr>
            <w:r>
              <w:rPr>
                <w:rFonts w:ascii="sans-serif" w:eastAsia="sans-serif" w:hAnsi="sans-serif" w:cs="sans-serif"/>
                <w:color w:val="000000"/>
                <w:sz w:val="20"/>
                <w:szCs w:val="20"/>
              </w:rPr>
              <w:t>141 </w:t>
            </w:r>
          </w:p>
        </w:tc>
        <w:tc>
          <w:tcPr>
            <w:tcW w:w="0" w:type="auto"/>
            <w:shd w:val="clear" w:color="auto" w:fill="E2EFD9"/>
            <w:tcMar>
              <w:top w:w="40" w:type="dxa"/>
              <w:bottom w:w="40" w:type="dxa"/>
              <w:right w:w="20" w:type="dxa"/>
            </w:tcMar>
            <w:vAlign w:val="bottom"/>
          </w:tcPr>
          <w:p w14:paraId="0D8DFAE4" w14:textId="77777777" w:rsidR="004C2197" w:rsidRDefault="004C2197">
            <w:pPr>
              <w:jc w:val="right"/>
              <w:rPr>
                <w:rFonts w:ascii="宋体"/>
              </w:rPr>
            </w:pPr>
          </w:p>
        </w:tc>
        <w:tc>
          <w:tcPr>
            <w:tcW w:w="0" w:type="auto"/>
            <w:shd w:val="clear" w:color="auto" w:fill="auto"/>
          </w:tcPr>
          <w:p w14:paraId="0D8DFAE5" w14:textId="77777777" w:rsidR="004C2197" w:rsidRDefault="004C2197">
            <w:pPr>
              <w:rPr>
                <w:rFonts w:ascii="宋体"/>
              </w:rPr>
            </w:pPr>
          </w:p>
        </w:tc>
        <w:tc>
          <w:tcPr>
            <w:tcW w:w="0" w:type="auto"/>
            <w:shd w:val="clear" w:color="auto" w:fill="auto"/>
          </w:tcPr>
          <w:p w14:paraId="0D8DFAE6" w14:textId="77777777" w:rsidR="004C2197" w:rsidRDefault="004C2197">
            <w:pPr>
              <w:rPr>
                <w:rFonts w:ascii="宋体"/>
              </w:rPr>
            </w:pPr>
          </w:p>
        </w:tc>
        <w:tc>
          <w:tcPr>
            <w:tcW w:w="0" w:type="auto"/>
            <w:shd w:val="clear" w:color="auto" w:fill="auto"/>
          </w:tcPr>
          <w:p w14:paraId="0D8DFAE7" w14:textId="77777777" w:rsidR="004C2197" w:rsidRDefault="004C2197">
            <w:pPr>
              <w:rPr>
                <w:rFonts w:ascii="宋体"/>
              </w:rPr>
            </w:pPr>
          </w:p>
        </w:tc>
        <w:tc>
          <w:tcPr>
            <w:tcW w:w="0" w:type="auto"/>
            <w:shd w:val="clear" w:color="auto" w:fill="auto"/>
          </w:tcPr>
          <w:p w14:paraId="0D8DFAE8" w14:textId="77777777" w:rsidR="004C2197" w:rsidRDefault="004C2197">
            <w:pPr>
              <w:rPr>
                <w:rFonts w:ascii="宋体"/>
              </w:rPr>
            </w:pPr>
          </w:p>
        </w:tc>
        <w:tc>
          <w:tcPr>
            <w:tcW w:w="0" w:type="auto"/>
            <w:shd w:val="clear" w:color="auto" w:fill="auto"/>
          </w:tcPr>
          <w:p w14:paraId="0D8DFAE9" w14:textId="77777777" w:rsidR="004C2197" w:rsidRDefault="004C2197">
            <w:pPr>
              <w:rPr>
                <w:rFonts w:ascii="宋体"/>
              </w:rPr>
            </w:pPr>
          </w:p>
        </w:tc>
        <w:tc>
          <w:tcPr>
            <w:tcW w:w="0" w:type="auto"/>
            <w:shd w:val="clear" w:color="auto" w:fill="auto"/>
          </w:tcPr>
          <w:p w14:paraId="0D8DFAEA" w14:textId="77777777" w:rsidR="004C2197" w:rsidRDefault="004C2197">
            <w:pPr>
              <w:rPr>
                <w:rFonts w:ascii="宋体"/>
              </w:rPr>
            </w:pPr>
          </w:p>
        </w:tc>
      </w:tr>
      <w:tr w:rsidR="004C2197" w14:paraId="0D8DFAF8" w14:textId="77777777">
        <w:tc>
          <w:tcPr>
            <w:tcW w:w="0" w:type="auto"/>
            <w:gridSpan w:val="3"/>
            <w:shd w:val="clear" w:color="auto" w:fill="FFFFFF"/>
            <w:tcMar>
              <w:top w:w="40" w:type="dxa"/>
              <w:left w:w="20" w:type="dxa"/>
              <w:bottom w:w="40" w:type="dxa"/>
              <w:right w:w="20" w:type="dxa"/>
            </w:tcMar>
            <w:vAlign w:val="bottom"/>
          </w:tcPr>
          <w:p w14:paraId="0D8DFAEC" w14:textId="77777777" w:rsidR="004C2197" w:rsidRDefault="00863B83">
            <w:pPr>
              <w:textAlignment w:val="bottom"/>
            </w:pPr>
            <w:r>
              <w:rPr>
                <w:rFonts w:ascii="sans-serif" w:eastAsia="sans-serif" w:hAnsi="sans-serif" w:cs="sans-serif"/>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0D8DFAED" w14:textId="77777777" w:rsidR="004C2197" w:rsidRDefault="00863B83">
            <w:pPr>
              <w:jc w:val="right"/>
              <w:textAlignment w:val="bottom"/>
            </w:pPr>
            <w:r>
              <w:rPr>
                <w:rFonts w:ascii="sans-serif" w:eastAsia="sans-serif" w:hAnsi="sans-serif" w:cs="sans-serif"/>
                <w:color w:val="000000"/>
                <w:sz w:val="20"/>
                <w:szCs w:val="20"/>
              </w:rPr>
              <w:t>124 </w:t>
            </w:r>
          </w:p>
        </w:tc>
        <w:tc>
          <w:tcPr>
            <w:tcW w:w="0" w:type="auto"/>
            <w:shd w:val="clear" w:color="auto" w:fill="FFFFFF"/>
            <w:tcMar>
              <w:top w:w="40" w:type="dxa"/>
              <w:bottom w:w="40" w:type="dxa"/>
              <w:right w:w="20" w:type="dxa"/>
            </w:tcMar>
            <w:vAlign w:val="bottom"/>
          </w:tcPr>
          <w:p w14:paraId="0D8DFAE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AE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AF0" w14:textId="77777777" w:rsidR="004C2197" w:rsidRDefault="00863B83">
            <w:pPr>
              <w:jc w:val="right"/>
              <w:textAlignment w:val="bottom"/>
            </w:pPr>
            <w:r>
              <w:rPr>
                <w:rFonts w:ascii="sans-serif" w:eastAsia="sans-serif" w:hAnsi="sans-serif" w:cs="sans-serif"/>
                <w:color w:val="000000"/>
                <w:sz w:val="20"/>
                <w:szCs w:val="20"/>
              </w:rPr>
              <w:t>91 </w:t>
            </w:r>
          </w:p>
        </w:tc>
        <w:tc>
          <w:tcPr>
            <w:tcW w:w="0" w:type="auto"/>
            <w:shd w:val="clear" w:color="auto" w:fill="FFFFFF"/>
            <w:tcMar>
              <w:top w:w="40" w:type="dxa"/>
              <w:bottom w:w="40" w:type="dxa"/>
              <w:right w:w="20" w:type="dxa"/>
            </w:tcMar>
            <w:vAlign w:val="bottom"/>
          </w:tcPr>
          <w:p w14:paraId="0D8DFAF1" w14:textId="77777777" w:rsidR="004C2197" w:rsidRDefault="004C2197">
            <w:pPr>
              <w:jc w:val="right"/>
              <w:rPr>
                <w:rFonts w:ascii="宋体"/>
              </w:rPr>
            </w:pPr>
          </w:p>
        </w:tc>
        <w:tc>
          <w:tcPr>
            <w:tcW w:w="0" w:type="auto"/>
            <w:shd w:val="clear" w:color="auto" w:fill="auto"/>
          </w:tcPr>
          <w:p w14:paraId="0D8DFAF2" w14:textId="77777777" w:rsidR="004C2197" w:rsidRDefault="004C2197">
            <w:pPr>
              <w:rPr>
                <w:rFonts w:ascii="宋体"/>
              </w:rPr>
            </w:pPr>
          </w:p>
        </w:tc>
        <w:tc>
          <w:tcPr>
            <w:tcW w:w="0" w:type="auto"/>
            <w:shd w:val="clear" w:color="auto" w:fill="auto"/>
          </w:tcPr>
          <w:p w14:paraId="0D8DFAF3" w14:textId="77777777" w:rsidR="004C2197" w:rsidRDefault="004C2197">
            <w:pPr>
              <w:rPr>
                <w:rFonts w:ascii="宋体"/>
              </w:rPr>
            </w:pPr>
          </w:p>
        </w:tc>
        <w:tc>
          <w:tcPr>
            <w:tcW w:w="0" w:type="auto"/>
            <w:shd w:val="clear" w:color="auto" w:fill="auto"/>
          </w:tcPr>
          <w:p w14:paraId="0D8DFAF4" w14:textId="77777777" w:rsidR="004C2197" w:rsidRDefault="004C2197">
            <w:pPr>
              <w:rPr>
                <w:rFonts w:ascii="宋体"/>
              </w:rPr>
            </w:pPr>
          </w:p>
        </w:tc>
        <w:tc>
          <w:tcPr>
            <w:tcW w:w="0" w:type="auto"/>
            <w:shd w:val="clear" w:color="auto" w:fill="auto"/>
          </w:tcPr>
          <w:p w14:paraId="0D8DFAF5" w14:textId="77777777" w:rsidR="004C2197" w:rsidRDefault="004C2197">
            <w:pPr>
              <w:rPr>
                <w:rFonts w:ascii="宋体"/>
              </w:rPr>
            </w:pPr>
          </w:p>
        </w:tc>
        <w:tc>
          <w:tcPr>
            <w:tcW w:w="0" w:type="auto"/>
            <w:shd w:val="clear" w:color="auto" w:fill="auto"/>
          </w:tcPr>
          <w:p w14:paraId="0D8DFAF6" w14:textId="77777777" w:rsidR="004C2197" w:rsidRDefault="004C2197">
            <w:pPr>
              <w:rPr>
                <w:rFonts w:ascii="宋体"/>
              </w:rPr>
            </w:pPr>
          </w:p>
        </w:tc>
        <w:tc>
          <w:tcPr>
            <w:tcW w:w="0" w:type="auto"/>
            <w:shd w:val="clear" w:color="auto" w:fill="auto"/>
          </w:tcPr>
          <w:p w14:paraId="0D8DFAF7" w14:textId="77777777" w:rsidR="004C2197" w:rsidRDefault="004C2197">
            <w:pPr>
              <w:rPr>
                <w:rFonts w:ascii="宋体"/>
              </w:rPr>
            </w:pPr>
          </w:p>
        </w:tc>
      </w:tr>
      <w:tr w:rsidR="004C2197" w14:paraId="0D8DFB05" w14:textId="77777777">
        <w:tc>
          <w:tcPr>
            <w:tcW w:w="0" w:type="auto"/>
            <w:gridSpan w:val="3"/>
            <w:shd w:val="clear" w:color="auto" w:fill="E2EFD9"/>
            <w:tcMar>
              <w:top w:w="40" w:type="dxa"/>
              <w:left w:w="20" w:type="dxa"/>
              <w:bottom w:w="40" w:type="dxa"/>
              <w:right w:w="20" w:type="dxa"/>
            </w:tcMar>
            <w:vAlign w:val="bottom"/>
          </w:tcPr>
          <w:p w14:paraId="0D8DFAF9" w14:textId="77777777" w:rsidR="004C2197" w:rsidRDefault="00863B83">
            <w:pPr>
              <w:textAlignment w:val="bottom"/>
            </w:pPr>
            <w:r>
              <w:rPr>
                <w:rFonts w:ascii="sans-serif" w:eastAsia="sans-serif" w:hAnsi="sans-serif" w:cs="sans-serif"/>
                <w:color w:val="000000"/>
                <w:sz w:val="20"/>
                <w:szCs w:val="20"/>
              </w:rPr>
              <w:t>Licenses and royalties</w:t>
            </w:r>
          </w:p>
        </w:tc>
        <w:tc>
          <w:tcPr>
            <w:tcW w:w="0" w:type="auto"/>
            <w:gridSpan w:val="2"/>
            <w:shd w:val="clear" w:color="auto" w:fill="E2EFD9"/>
            <w:tcMar>
              <w:top w:w="40" w:type="dxa"/>
              <w:left w:w="20" w:type="dxa"/>
              <w:bottom w:w="40" w:type="dxa"/>
              <w:right w:w="0" w:type="dxa"/>
            </w:tcMar>
            <w:vAlign w:val="bottom"/>
          </w:tcPr>
          <w:p w14:paraId="0D8DFAFA" w14:textId="77777777" w:rsidR="004C2197" w:rsidRDefault="00863B83">
            <w:pPr>
              <w:jc w:val="right"/>
              <w:textAlignment w:val="bottom"/>
            </w:pPr>
            <w:r>
              <w:rPr>
                <w:rFonts w:ascii="sans-serif" w:eastAsia="sans-serif" w:hAnsi="sans-serif" w:cs="sans-serif"/>
                <w:color w:val="000000"/>
                <w:sz w:val="20"/>
                <w:szCs w:val="20"/>
              </w:rPr>
              <w:t>101 </w:t>
            </w:r>
          </w:p>
        </w:tc>
        <w:tc>
          <w:tcPr>
            <w:tcW w:w="0" w:type="auto"/>
            <w:shd w:val="clear" w:color="auto" w:fill="E2EFD9"/>
            <w:tcMar>
              <w:top w:w="40" w:type="dxa"/>
              <w:bottom w:w="40" w:type="dxa"/>
              <w:right w:w="20" w:type="dxa"/>
            </w:tcMar>
            <w:vAlign w:val="bottom"/>
          </w:tcPr>
          <w:p w14:paraId="0D8DFAF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AF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AFD" w14:textId="77777777" w:rsidR="004C2197" w:rsidRDefault="00863B83">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bottom w:w="40" w:type="dxa"/>
              <w:right w:w="20" w:type="dxa"/>
            </w:tcMar>
            <w:vAlign w:val="bottom"/>
          </w:tcPr>
          <w:p w14:paraId="0D8DFAFE" w14:textId="77777777" w:rsidR="004C2197" w:rsidRDefault="004C2197">
            <w:pPr>
              <w:jc w:val="right"/>
              <w:rPr>
                <w:rFonts w:ascii="宋体"/>
              </w:rPr>
            </w:pPr>
          </w:p>
        </w:tc>
        <w:tc>
          <w:tcPr>
            <w:tcW w:w="0" w:type="auto"/>
            <w:shd w:val="clear" w:color="auto" w:fill="auto"/>
          </w:tcPr>
          <w:p w14:paraId="0D8DFAFF" w14:textId="77777777" w:rsidR="004C2197" w:rsidRDefault="004C2197">
            <w:pPr>
              <w:rPr>
                <w:rFonts w:ascii="宋体"/>
              </w:rPr>
            </w:pPr>
          </w:p>
        </w:tc>
        <w:tc>
          <w:tcPr>
            <w:tcW w:w="0" w:type="auto"/>
            <w:shd w:val="clear" w:color="auto" w:fill="auto"/>
          </w:tcPr>
          <w:p w14:paraId="0D8DFB00" w14:textId="77777777" w:rsidR="004C2197" w:rsidRDefault="004C2197">
            <w:pPr>
              <w:rPr>
                <w:rFonts w:ascii="宋体"/>
              </w:rPr>
            </w:pPr>
          </w:p>
        </w:tc>
        <w:tc>
          <w:tcPr>
            <w:tcW w:w="0" w:type="auto"/>
            <w:shd w:val="clear" w:color="auto" w:fill="auto"/>
          </w:tcPr>
          <w:p w14:paraId="0D8DFB01" w14:textId="77777777" w:rsidR="004C2197" w:rsidRDefault="004C2197">
            <w:pPr>
              <w:rPr>
                <w:rFonts w:ascii="宋体"/>
              </w:rPr>
            </w:pPr>
          </w:p>
        </w:tc>
        <w:tc>
          <w:tcPr>
            <w:tcW w:w="0" w:type="auto"/>
            <w:shd w:val="clear" w:color="auto" w:fill="auto"/>
          </w:tcPr>
          <w:p w14:paraId="0D8DFB02" w14:textId="77777777" w:rsidR="004C2197" w:rsidRDefault="004C2197">
            <w:pPr>
              <w:rPr>
                <w:rFonts w:ascii="宋体"/>
              </w:rPr>
            </w:pPr>
          </w:p>
        </w:tc>
        <w:tc>
          <w:tcPr>
            <w:tcW w:w="0" w:type="auto"/>
            <w:shd w:val="clear" w:color="auto" w:fill="auto"/>
          </w:tcPr>
          <w:p w14:paraId="0D8DFB03" w14:textId="77777777" w:rsidR="004C2197" w:rsidRDefault="004C2197">
            <w:pPr>
              <w:rPr>
                <w:rFonts w:ascii="宋体"/>
              </w:rPr>
            </w:pPr>
          </w:p>
        </w:tc>
        <w:tc>
          <w:tcPr>
            <w:tcW w:w="0" w:type="auto"/>
            <w:shd w:val="clear" w:color="auto" w:fill="auto"/>
          </w:tcPr>
          <w:p w14:paraId="0D8DFB04" w14:textId="77777777" w:rsidR="004C2197" w:rsidRDefault="004C2197">
            <w:pPr>
              <w:rPr>
                <w:rFonts w:ascii="宋体"/>
              </w:rPr>
            </w:pPr>
          </w:p>
        </w:tc>
      </w:tr>
      <w:tr w:rsidR="004C2197" w14:paraId="0D8DFB12" w14:textId="77777777">
        <w:tc>
          <w:tcPr>
            <w:tcW w:w="0" w:type="auto"/>
            <w:gridSpan w:val="3"/>
            <w:shd w:val="clear" w:color="auto" w:fill="FFFFFF"/>
            <w:tcMar>
              <w:top w:w="40" w:type="dxa"/>
              <w:left w:w="20" w:type="dxa"/>
              <w:bottom w:w="40" w:type="dxa"/>
              <w:right w:w="20" w:type="dxa"/>
            </w:tcMar>
            <w:vAlign w:val="bottom"/>
          </w:tcPr>
          <w:p w14:paraId="0D8DFB06" w14:textId="77777777" w:rsidR="004C2197" w:rsidRDefault="00863B83">
            <w:pPr>
              <w:textAlignment w:val="bottom"/>
            </w:pPr>
            <w:r>
              <w:rPr>
                <w:rFonts w:ascii="sans-serif" w:eastAsia="sans-serif" w:hAnsi="sans-serif" w:cs="sans-serif"/>
                <w:color w:val="000000"/>
                <w:sz w:val="20"/>
                <w:szCs w:val="20"/>
              </w:rPr>
              <w:t>Coupon interest on debt obligations</w:t>
            </w:r>
          </w:p>
        </w:tc>
        <w:tc>
          <w:tcPr>
            <w:tcW w:w="0" w:type="auto"/>
            <w:gridSpan w:val="2"/>
            <w:shd w:val="clear" w:color="auto" w:fill="FFFFFF"/>
            <w:tcMar>
              <w:top w:w="40" w:type="dxa"/>
              <w:left w:w="20" w:type="dxa"/>
              <w:bottom w:w="40" w:type="dxa"/>
              <w:right w:w="0" w:type="dxa"/>
            </w:tcMar>
            <w:vAlign w:val="bottom"/>
          </w:tcPr>
          <w:p w14:paraId="0D8DFB07" w14:textId="77777777" w:rsidR="004C2197" w:rsidRDefault="00863B83">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bottom w:w="40" w:type="dxa"/>
              <w:right w:w="20" w:type="dxa"/>
            </w:tcMar>
            <w:vAlign w:val="bottom"/>
          </w:tcPr>
          <w:p w14:paraId="0D8DFB0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B0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B0A" w14:textId="77777777" w:rsidR="004C2197" w:rsidRDefault="00863B83">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bottom w:w="40" w:type="dxa"/>
              <w:right w:w="20" w:type="dxa"/>
            </w:tcMar>
            <w:vAlign w:val="bottom"/>
          </w:tcPr>
          <w:p w14:paraId="0D8DFB0B" w14:textId="77777777" w:rsidR="004C2197" w:rsidRDefault="004C2197">
            <w:pPr>
              <w:jc w:val="right"/>
              <w:rPr>
                <w:rFonts w:ascii="宋体"/>
              </w:rPr>
            </w:pPr>
          </w:p>
        </w:tc>
        <w:tc>
          <w:tcPr>
            <w:tcW w:w="0" w:type="auto"/>
            <w:shd w:val="clear" w:color="auto" w:fill="auto"/>
          </w:tcPr>
          <w:p w14:paraId="0D8DFB0C" w14:textId="77777777" w:rsidR="004C2197" w:rsidRDefault="004C2197">
            <w:pPr>
              <w:rPr>
                <w:rFonts w:ascii="宋体"/>
              </w:rPr>
            </w:pPr>
          </w:p>
        </w:tc>
        <w:tc>
          <w:tcPr>
            <w:tcW w:w="0" w:type="auto"/>
            <w:shd w:val="clear" w:color="auto" w:fill="auto"/>
          </w:tcPr>
          <w:p w14:paraId="0D8DFB0D" w14:textId="77777777" w:rsidR="004C2197" w:rsidRDefault="004C2197">
            <w:pPr>
              <w:rPr>
                <w:rFonts w:ascii="宋体"/>
              </w:rPr>
            </w:pPr>
          </w:p>
        </w:tc>
        <w:tc>
          <w:tcPr>
            <w:tcW w:w="0" w:type="auto"/>
            <w:shd w:val="clear" w:color="auto" w:fill="auto"/>
          </w:tcPr>
          <w:p w14:paraId="0D8DFB0E" w14:textId="77777777" w:rsidR="004C2197" w:rsidRDefault="004C2197">
            <w:pPr>
              <w:rPr>
                <w:rFonts w:ascii="宋体"/>
              </w:rPr>
            </w:pPr>
          </w:p>
        </w:tc>
        <w:tc>
          <w:tcPr>
            <w:tcW w:w="0" w:type="auto"/>
            <w:shd w:val="clear" w:color="auto" w:fill="auto"/>
          </w:tcPr>
          <w:p w14:paraId="0D8DFB0F" w14:textId="77777777" w:rsidR="004C2197" w:rsidRDefault="004C2197">
            <w:pPr>
              <w:rPr>
                <w:rFonts w:ascii="宋体"/>
              </w:rPr>
            </w:pPr>
          </w:p>
        </w:tc>
        <w:tc>
          <w:tcPr>
            <w:tcW w:w="0" w:type="auto"/>
            <w:shd w:val="clear" w:color="auto" w:fill="auto"/>
          </w:tcPr>
          <w:p w14:paraId="0D8DFB10" w14:textId="77777777" w:rsidR="004C2197" w:rsidRDefault="004C2197">
            <w:pPr>
              <w:rPr>
                <w:rFonts w:ascii="宋体"/>
              </w:rPr>
            </w:pPr>
          </w:p>
        </w:tc>
        <w:tc>
          <w:tcPr>
            <w:tcW w:w="0" w:type="auto"/>
            <w:shd w:val="clear" w:color="auto" w:fill="auto"/>
          </w:tcPr>
          <w:p w14:paraId="0D8DFB11" w14:textId="77777777" w:rsidR="004C2197" w:rsidRDefault="004C2197">
            <w:pPr>
              <w:rPr>
                <w:rFonts w:ascii="宋体"/>
              </w:rPr>
            </w:pPr>
          </w:p>
        </w:tc>
      </w:tr>
      <w:tr w:rsidR="004C2197" w14:paraId="0D8DFB1F" w14:textId="77777777">
        <w:tc>
          <w:tcPr>
            <w:tcW w:w="0" w:type="auto"/>
            <w:gridSpan w:val="3"/>
            <w:shd w:val="clear" w:color="auto" w:fill="E2EFD9"/>
            <w:tcMar>
              <w:top w:w="40" w:type="dxa"/>
              <w:left w:w="20" w:type="dxa"/>
              <w:bottom w:w="40" w:type="dxa"/>
              <w:right w:w="20" w:type="dxa"/>
            </w:tcMar>
            <w:vAlign w:val="bottom"/>
          </w:tcPr>
          <w:p w14:paraId="0D8DFB13" w14:textId="77777777" w:rsidR="004C2197" w:rsidRDefault="00863B83">
            <w:pPr>
              <w:textAlignment w:val="bottom"/>
            </w:pPr>
            <w:r>
              <w:rPr>
                <w:rFonts w:ascii="sans-serif" w:eastAsia="sans-serif" w:hAnsi="sans-serif" w:cs="sans-serif"/>
                <w:color w:val="000000"/>
                <w:sz w:val="20"/>
                <w:szCs w:val="20"/>
              </w:rPr>
              <w:t>Taxes payable</w:t>
            </w:r>
          </w:p>
        </w:tc>
        <w:tc>
          <w:tcPr>
            <w:tcW w:w="0" w:type="auto"/>
            <w:gridSpan w:val="2"/>
            <w:shd w:val="clear" w:color="auto" w:fill="E2EFD9"/>
            <w:tcMar>
              <w:top w:w="40" w:type="dxa"/>
              <w:left w:w="20" w:type="dxa"/>
              <w:bottom w:w="40" w:type="dxa"/>
              <w:right w:w="0" w:type="dxa"/>
            </w:tcMar>
            <w:vAlign w:val="bottom"/>
          </w:tcPr>
          <w:p w14:paraId="0D8DFB14" w14:textId="77777777" w:rsidR="004C2197" w:rsidRDefault="00863B83">
            <w:pPr>
              <w:jc w:val="right"/>
              <w:textAlignment w:val="bottom"/>
            </w:pPr>
            <w:r>
              <w:rPr>
                <w:rFonts w:ascii="sans-serif" w:eastAsia="sans-serif" w:hAnsi="sans-serif" w:cs="sans-serif"/>
                <w:color w:val="000000"/>
                <w:sz w:val="20"/>
                <w:szCs w:val="20"/>
              </w:rPr>
              <w:t>52 </w:t>
            </w:r>
          </w:p>
        </w:tc>
        <w:tc>
          <w:tcPr>
            <w:tcW w:w="0" w:type="auto"/>
            <w:shd w:val="clear" w:color="auto" w:fill="E2EFD9"/>
            <w:tcMar>
              <w:top w:w="40" w:type="dxa"/>
              <w:bottom w:w="40" w:type="dxa"/>
              <w:right w:w="20" w:type="dxa"/>
            </w:tcMar>
            <w:vAlign w:val="bottom"/>
          </w:tcPr>
          <w:p w14:paraId="0D8DFB1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B1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B17" w14:textId="77777777" w:rsidR="004C2197" w:rsidRDefault="00863B83">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bottom w:w="40" w:type="dxa"/>
              <w:right w:w="20" w:type="dxa"/>
            </w:tcMar>
            <w:vAlign w:val="bottom"/>
          </w:tcPr>
          <w:p w14:paraId="0D8DFB18" w14:textId="77777777" w:rsidR="004C2197" w:rsidRDefault="004C2197">
            <w:pPr>
              <w:jc w:val="right"/>
              <w:rPr>
                <w:rFonts w:ascii="宋体"/>
              </w:rPr>
            </w:pPr>
          </w:p>
        </w:tc>
        <w:tc>
          <w:tcPr>
            <w:tcW w:w="0" w:type="auto"/>
            <w:shd w:val="clear" w:color="auto" w:fill="auto"/>
          </w:tcPr>
          <w:p w14:paraId="0D8DFB19" w14:textId="77777777" w:rsidR="004C2197" w:rsidRDefault="004C2197">
            <w:pPr>
              <w:rPr>
                <w:rFonts w:ascii="宋体"/>
              </w:rPr>
            </w:pPr>
          </w:p>
        </w:tc>
        <w:tc>
          <w:tcPr>
            <w:tcW w:w="0" w:type="auto"/>
            <w:shd w:val="clear" w:color="auto" w:fill="auto"/>
          </w:tcPr>
          <w:p w14:paraId="0D8DFB1A" w14:textId="77777777" w:rsidR="004C2197" w:rsidRDefault="004C2197">
            <w:pPr>
              <w:rPr>
                <w:rFonts w:ascii="宋体"/>
              </w:rPr>
            </w:pPr>
          </w:p>
        </w:tc>
        <w:tc>
          <w:tcPr>
            <w:tcW w:w="0" w:type="auto"/>
            <w:shd w:val="clear" w:color="auto" w:fill="auto"/>
          </w:tcPr>
          <w:p w14:paraId="0D8DFB1B" w14:textId="77777777" w:rsidR="004C2197" w:rsidRDefault="004C2197">
            <w:pPr>
              <w:rPr>
                <w:rFonts w:ascii="宋体"/>
              </w:rPr>
            </w:pPr>
          </w:p>
        </w:tc>
        <w:tc>
          <w:tcPr>
            <w:tcW w:w="0" w:type="auto"/>
            <w:shd w:val="clear" w:color="auto" w:fill="auto"/>
          </w:tcPr>
          <w:p w14:paraId="0D8DFB1C" w14:textId="77777777" w:rsidR="004C2197" w:rsidRDefault="004C2197">
            <w:pPr>
              <w:rPr>
                <w:rFonts w:ascii="宋体"/>
              </w:rPr>
            </w:pPr>
          </w:p>
        </w:tc>
        <w:tc>
          <w:tcPr>
            <w:tcW w:w="0" w:type="auto"/>
            <w:shd w:val="clear" w:color="auto" w:fill="auto"/>
          </w:tcPr>
          <w:p w14:paraId="0D8DFB1D" w14:textId="77777777" w:rsidR="004C2197" w:rsidRDefault="004C2197">
            <w:pPr>
              <w:rPr>
                <w:rFonts w:ascii="宋体"/>
              </w:rPr>
            </w:pPr>
          </w:p>
        </w:tc>
        <w:tc>
          <w:tcPr>
            <w:tcW w:w="0" w:type="auto"/>
            <w:shd w:val="clear" w:color="auto" w:fill="auto"/>
          </w:tcPr>
          <w:p w14:paraId="0D8DFB1E" w14:textId="77777777" w:rsidR="004C2197" w:rsidRDefault="004C2197">
            <w:pPr>
              <w:rPr>
                <w:rFonts w:ascii="宋体"/>
              </w:rPr>
            </w:pPr>
          </w:p>
        </w:tc>
      </w:tr>
      <w:tr w:rsidR="004C2197" w14:paraId="0D8DFB2A" w14:textId="77777777">
        <w:trPr>
          <w:hidden/>
        </w:trPr>
        <w:tc>
          <w:tcPr>
            <w:tcW w:w="0" w:type="auto"/>
            <w:gridSpan w:val="3"/>
            <w:shd w:val="clear" w:color="auto" w:fill="auto"/>
          </w:tcPr>
          <w:p w14:paraId="0D8DFB20" w14:textId="77777777" w:rsidR="004C2197" w:rsidRDefault="004C2197">
            <w:pPr>
              <w:rPr>
                <w:rFonts w:ascii="宋体"/>
                <w:vanish/>
              </w:rPr>
            </w:pPr>
          </w:p>
        </w:tc>
        <w:tc>
          <w:tcPr>
            <w:tcW w:w="0" w:type="auto"/>
            <w:gridSpan w:val="3"/>
            <w:shd w:val="clear" w:color="auto" w:fill="auto"/>
          </w:tcPr>
          <w:p w14:paraId="0D8DFB21" w14:textId="77777777" w:rsidR="004C2197" w:rsidRDefault="004C2197">
            <w:pPr>
              <w:rPr>
                <w:rFonts w:ascii="宋体"/>
                <w:vanish/>
              </w:rPr>
            </w:pPr>
          </w:p>
        </w:tc>
        <w:tc>
          <w:tcPr>
            <w:tcW w:w="0" w:type="auto"/>
            <w:gridSpan w:val="3"/>
            <w:shd w:val="clear" w:color="auto" w:fill="auto"/>
          </w:tcPr>
          <w:p w14:paraId="0D8DFB22" w14:textId="77777777" w:rsidR="004C2197" w:rsidRDefault="004C2197">
            <w:pPr>
              <w:rPr>
                <w:rFonts w:ascii="宋体"/>
                <w:vanish/>
              </w:rPr>
            </w:pPr>
          </w:p>
        </w:tc>
        <w:tc>
          <w:tcPr>
            <w:tcW w:w="0" w:type="auto"/>
            <w:gridSpan w:val="3"/>
            <w:shd w:val="clear" w:color="auto" w:fill="auto"/>
          </w:tcPr>
          <w:p w14:paraId="0D8DFB23" w14:textId="77777777" w:rsidR="004C2197" w:rsidRDefault="004C2197">
            <w:pPr>
              <w:rPr>
                <w:rFonts w:ascii="宋体"/>
                <w:vanish/>
              </w:rPr>
            </w:pPr>
          </w:p>
        </w:tc>
        <w:tc>
          <w:tcPr>
            <w:tcW w:w="0" w:type="auto"/>
            <w:shd w:val="clear" w:color="auto" w:fill="auto"/>
          </w:tcPr>
          <w:p w14:paraId="0D8DFB24" w14:textId="77777777" w:rsidR="004C2197" w:rsidRDefault="004C2197">
            <w:pPr>
              <w:rPr>
                <w:rFonts w:ascii="宋体"/>
              </w:rPr>
            </w:pPr>
          </w:p>
        </w:tc>
        <w:tc>
          <w:tcPr>
            <w:tcW w:w="0" w:type="auto"/>
            <w:shd w:val="clear" w:color="auto" w:fill="auto"/>
          </w:tcPr>
          <w:p w14:paraId="0D8DFB25" w14:textId="77777777" w:rsidR="004C2197" w:rsidRDefault="004C2197">
            <w:pPr>
              <w:rPr>
                <w:rFonts w:ascii="宋体"/>
              </w:rPr>
            </w:pPr>
          </w:p>
        </w:tc>
        <w:tc>
          <w:tcPr>
            <w:tcW w:w="0" w:type="auto"/>
            <w:shd w:val="clear" w:color="auto" w:fill="auto"/>
          </w:tcPr>
          <w:p w14:paraId="0D8DFB26" w14:textId="77777777" w:rsidR="004C2197" w:rsidRDefault="004C2197">
            <w:pPr>
              <w:rPr>
                <w:rFonts w:ascii="宋体"/>
              </w:rPr>
            </w:pPr>
          </w:p>
        </w:tc>
        <w:tc>
          <w:tcPr>
            <w:tcW w:w="0" w:type="auto"/>
            <w:shd w:val="clear" w:color="auto" w:fill="auto"/>
          </w:tcPr>
          <w:p w14:paraId="0D8DFB27" w14:textId="77777777" w:rsidR="004C2197" w:rsidRDefault="004C2197">
            <w:pPr>
              <w:rPr>
                <w:rFonts w:ascii="宋体"/>
              </w:rPr>
            </w:pPr>
          </w:p>
        </w:tc>
        <w:tc>
          <w:tcPr>
            <w:tcW w:w="0" w:type="auto"/>
            <w:shd w:val="clear" w:color="auto" w:fill="auto"/>
          </w:tcPr>
          <w:p w14:paraId="0D8DFB28" w14:textId="77777777" w:rsidR="004C2197" w:rsidRDefault="004C2197">
            <w:pPr>
              <w:rPr>
                <w:rFonts w:ascii="宋体"/>
              </w:rPr>
            </w:pPr>
          </w:p>
        </w:tc>
        <w:tc>
          <w:tcPr>
            <w:tcW w:w="0" w:type="auto"/>
            <w:shd w:val="clear" w:color="auto" w:fill="auto"/>
          </w:tcPr>
          <w:p w14:paraId="0D8DFB29" w14:textId="77777777" w:rsidR="004C2197" w:rsidRDefault="004C2197">
            <w:pPr>
              <w:rPr>
                <w:rFonts w:ascii="宋体"/>
              </w:rPr>
            </w:pPr>
          </w:p>
        </w:tc>
      </w:tr>
      <w:tr w:rsidR="004C2197" w14:paraId="0D8DFB37" w14:textId="77777777">
        <w:tc>
          <w:tcPr>
            <w:tcW w:w="0" w:type="auto"/>
            <w:gridSpan w:val="3"/>
            <w:shd w:val="clear" w:color="auto" w:fill="FFFFFF"/>
            <w:tcMar>
              <w:top w:w="40" w:type="dxa"/>
              <w:left w:w="20" w:type="dxa"/>
              <w:bottom w:w="40" w:type="dxa"/>
              <w:right w:w="20" w:type="dxa"/>
            </w:tcMar>
            <w:vAlign w:val="bottom"/>
          </w:tcPr>
          <w:p w14:paraId="0D8DFB2B" w14:textId="77777777" w:rsidR="004C2197" w:rsidRDefault="00863B83">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FFFFFF"/>
            <w:tcMar>
              <w:top w:w="40" w:type="dxa"/>
              <w:left w:w="20" w:type="dxa"/>
              <w:bottom w:w="40" w:type="dxa"/>
              <w:right w:w="0" w:type="dxa"/>
            </w:tcMar>
            <w:vAlign w:val="bottom"/>
          </w:tcPr>
          <w:p w14:paraId="0D8DFB2C" w14:textId="77777777" w:rsidR="004C2197" w:rsidRDefault="00863B83">
            <w:pPr>
              <w:jc w:val="right"/>
              <w:textAlignment w:val="bottom"/>
            </w:pPr>
            <w:r>
              <w:rPr>
                <w:rFonts w:ascii="sans-serif" w:eastAsia="sans-serif" w:hAnsi="sans-serif" w:cs="sans-serif"/>
                <w:color w:val="000000"/>
                <w:sz w:val="20"/>
                <w:szCs w:val="20"/>
              </w:rPr>
              <w:t>31 </w:t>
            </w:r>
          </w:p>
        </w:tc>
        <w:tc>
          <w:tcPr>
            <w:tcW w:w="0" w:type="auto"/>
            <w:shd w:val="clear" w:color="auto" w:fill="FFFFFF"/>
            <w:tcMar>
              <w:top w:w="40" w:type="dxa"/>
              <w:bottom w:w="40" w:type="dxa"/>
              <w:right w:w="20" w:type="dxa"/>
            </w:tcMar>
            <w:vAlign w:val="bottom"/>
          </w:tcPr>
          <w:p w14:paraId="0D8DFB2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B2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B2F" w14:textId="77777777" w:rsidR="004C2197" w:rsidRDefault="00863B83">
            <w:pPr>
              <w:jc w:val="right"/>
              <w:textAlignment w:val="bottom"/>
            </w:pPr>
            <w:r>
              <w:rPr>
                <w:rFonts w:ascii="sans-serif" w:eastAsia="sans-serif" w:hAnsi="sans-serif" w:cs="sans-serif"/>
                <w:color w:val="000000"/>
                <w:sz w:val="20"/>
                <w:szCs w:val="20"/>
              </w:rPr>
              <w:t>24 </w:t>
            </w:r>
          </w:p>
        </w:tc>
        <w:tc>
          <w:tcPr>
            <w:tcW w:w="0" w:type="auto"/>
            <w:shd w:val="clear" w:color="auto" w:fill="FFFFFF"/>
            <w:tcMar>
              <w:top w:w="40" w:type="dxa"/>
              <w:bottom w:w="40" w:type="dxa"/>
              <w:right w:w="20" w:type="dxa"/>
            </w:tcMar>
            <w:vAlign w:val="bottom"/>
          </w:tcPr>
          <w:p w14:paraId="0D8DFB30" w14:textId="77777777" w:rsidR="004C2197" w:rsidRDefault="004C2197">
            <w:pPr>
              <w:jc w:val="right"/>
              <w:rPr>
                <w:rFonts w:ascii="宋体"/>
              </w:rPr>
            </w:pPr>
          </w:p>
        </w:tc>
        <w:tc>
          <w:tcPr>
            <w:tcW w:w="0" w:type="auto"/>
            <w:shd w:val="clear" w:color="auto" w:fill="auto"/>
          </w:tcPr>
          <w:p w14:paraId="0D8DFB31" w14:textId="77777777" w:rsidR="004C2197" w:rsidRDefault="004C2197">
            <w:pPr>
              <w:rPr>
                <w:rFonts w:ascii="宋体"/>
              </w:rPr>
            </w:pPr>
          </w:p>
        </w:tc>
        <w:tc>
          <w:tcPr>
            <w:tcW w:w="0" w:type="auto"/>
            <w:shd w:val="clear" w:color="auto" w:fill="auto"/>
          </w:tcPr>
          <w:p w14:paraId="0D8DFB32" w14:textId="77777777" w:rsidR="004C2197" w:rsidRDefault="004C2197">
            <w:pPr>
              <w:rPr>
                <w:rFonts w:ascii="宋体"/>
              </w:rPr>
            </w:pPr>
          </w:p>
        </w:tc>
        <w:tc>
          <w:tcPr>
            <w:tcW w:w="0" w:type="auto"/>
            <w:shd w:val="clear" w:color="auto" w:fill="auto"/>
          </w:tcPr>
          <w:p w14:paraId="0D8DFB33" w14:textId="77777777" w:rsidR="004C2197" w:rsidRDefault="004C2197">
            <w:pPr>
              <w:rPr>
                <w:rFonts w:ascii="宋体"/>
              </w:rPr>
            </w:pPr>
          </w:p>
        </w:tc>
        <w:tc>
          <w:tcPr>
            <w:tcW w:w="0" w:type="auto"/>
            <w:shd w:val="clear" w:color="auto" w:fill="auto"/>
          </w:tcPr>
          <w:p w14:paraId="0D8DFB34" w14:textId="77777777" w:rsidR="004C2197" w:rsidRDefault="004C2197">
            <w:pPr>
              <w:rPr>
                <w:rFonts w:ascii="宋体"/>
              </w:rPr>
            </w:pPr>
          </w:p>
        </w:tc>
        <w:tc>
          <w:tcPr>
            <w:tcW w:w="0" w:type="auto"/>
            <w:shd w:val="clear" w:color="auto" w:fill="auto"/>
          </w:tcPr>
          <w:p w14:paraId="0D8DFB35" w14:textId="77777777" w:rsidR="004C2197" w:rsidRDefault="004C2197">
            <w:pPr>
              <w:rPr>
                <w:rFonts w:ascii="宋体"/>
              </w:rPr>
            </w:pPr>
          </w:p>
        </w:tc>
        <w:tc>
          <w:tcPr>
            <w:tcW w:w="0" w:type="auto"/>
            <w:shd w:val="clear" w:color="auto" w:fill="auto"/>
          </w:tcPr>
          <w:p w14:paraId="0D8DFB36" w14:textId="77777777" w:rsidR="004C2197" w:rsidRDefault="004C2197">
            <w:pPr>
              <w:rPr>
                <w:rFonts w:ascii="宋体"/>
              </w:rPr>
            </w:pPr>
          </w:p>
        </w:tc>
      </w:tr>
      <w:tr w:rsidR="004C2197" w14:paraId="0D8DFB44" w14:textId="77777777">
        <w:tc>
          <w:tcPr>
            <w:tcW w:w="0" w:type="auto"/>
            <w:gridSpan w:val="3"/>
            <w:shd w:val="clear" w:color="auto" w:fill="E2EFD9"/>
            <w:tcMar>
              <w:top w:w="40" w:type="dxa"/>
              <w:left w:w="20" w:type="dxa"/>
              <w:bottom w:w="40" w:type="dxa"/>
              <w:right w:w="20" w:type="dxa"/>
            </w:tcMar>
            <w:vAlign w:val="bottom"/>
          </w:tcPr>
          <w:p w14:paraId="0D8DFB38" w14:textId="77777777" w:rsidR="004C2197" w:rsidRDefault="00863B83">
            <w:pPr>
              <w:textAlignment w:val="bottom"/>
            </w:pPr>
            <w:r>
              <w:rPr>
                <w:rFonts w:ascii="sans-serif" w:eastAsia="sans-serif" w:hAnsi="sans-serif" w:cs="sans-serif"/>
                <w:color w:val="000000"/>
                <w:sz w:val="20"/>
                <w:szCs w:val="20"/>
              </w:rPr>
              <w:t xml:space="preserve">Professional </w:t>
            </w:r>
            <w:r>
              <w:rPr>
                <w:rFonts w:ascii="sans-serif" w:eastAsia="sans-serif" w:hAnsi="sans-serif" w:cs="sans-serif"/>
                <w:color w:val="000000"/>
                <w:sz w:val="20"/>
                <w:szCs w:val="20"/>
              </w:rPr>
              <w:t>service fee</w:t>
            </w:r>
          </w:p>
        </w:tc>
        <w:tc>
          <w:tcPr>
            <w:tcW w:w="0" w:type="auto"/>
            <w:gridSpan w:val="2"/>
            <w:shd w:val="clear" w:color="auto" w:fill="E2EFD9"/>
            <w:tcMar>
              <w:top w:w="40" w:type="dxa"/>
              <w:left w:w="20" w:type="dxa"/>
              <w:bottom w:w="40" w:type="dxa"/>
              <w:right w:w="0" w:type="dxa"/>
            </w:tcMar>
            <w:vAlign w:val="bottom"/>
          </w:tcPr>
          <w:p w14:paraId="0D8DFB39" w14:textId="77777777" w:rsidR="004C2197" w:rsidRDefault="00863B83">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bottom w:w="40" w:type="dxa"/>
              <w:right w:w="20" w:type="dxa"/>
            </w:tcMar>
            <w:vAlign w:val="bottom"/>
          </w:tcPr>
          <w:p w14:paraId="0D8DFB3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B3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B3C" w14:textId="77777777" w:rsidR="004C2197" w:rsidRDefault="00863B83">
            <w:pPr>
              <w:jc w:val="right"/>
              <w:textAlignment w:val="bottom"/>
            </w:pPr>
            <w:r>
              <w:rPr>
                <w:rFonts w:ascii="sans-serif" w:eastAsia="sans-serif" w:hAnsi="sans-serif" w:cs="sans-serif"/>
                <w:color w:val="000000"/>
                <w:sz w:val="20"/>
                <w:szCs w:val="20"/>
              </w:rPr>
              <w:t>18 </w:t>
            </w:r>
          </w:p>
        </w:tc>
        <w:tc>
          <w:tcPr>
            <w:tcW w:w="0" w:type="auto"/>
            <w:shd w:val="clear" w:color="auto" w:fill="E2EFD9"/>
            <w:tcMar>
              <w:top w:w="40" w:type="dxa"/>
              <w:bottom w:w="40" w:type="dxa"/>
              <w:right w:w="20" w:type="dxa"/>
            </w:tcMar>
            <w:vAlign w:val="bottom"/>
          </w:tcPr>
          <w:p w14:paraId="0D8DFB3D" w14:textId="77777777" w:rsidR="004C2197" w:rsidRDefault="004C2197">
            <w:pPr>
              <w:jc w:val="right"/>
              <w:rPr>
                <w:rFonts w:ascii="宋体"/>
              </w:rPr>
            </w:pPr>
          </w:p>
        </w:tc>
        <w:tc>
          <w:tcPr>
            <w:tcW w:w="0" w:type="auto"/>
            <w:shd w:val="clear" w:color="auto" w:fill="auto"/>
          </w:tcPr>
          <w:p w14:paraId="0D8DFB3E" w14:textId="77777777" w:rsidR="004C2197" w:rsidRDefault="004C2197">
            <w:pPr>
              <w:rPr>
                <w:rFonts w:ascii="宋体"/>
              </w:rPr>
            </w:pPr>
          </w:p>
        </w:tc>
        <w:tc>
          <w:tcPr>
            <w:tcW w:w="0" w:type="auto"/>
            <w:shd w:val="clear" w:color="auto" w:fill="auto"/>
          </w:tcPr>
          <w:p w14:paraId="0D8DFB3F" w14:textId="77777777" w:rsidR="004C2197" w:rsidRDefault="004C2197">
            <w:pPr>
              <w:rPr>
                <w:rFonts w:ascii="宋体"/>
              </w:rPr>
            </w:pPr>
          </w:p>
        </w:tc>
        <w:tc>
          <w:tcPr>
            <w:tcW w:w="0" w:type="auto"/>
            <w:shd w:val="clear" w:color="auto" w:fill="auto"/>
          </w:tcPr>
          <w:p w14:paraId="0D8DFB40" w14:textId="77777777" w:rsidR="004C2197" w:rsidRDefault="004C2197">
            <w:pPr>
              <w:rPr>
                <w:rFonts w:ascii="宋体"/>
              </w:rPr>
            </w:pPr>
          </w:p>
        </w:tc>
        <w:tc>
          <w:tcPr>
            <w:tcW w:w="0" w:type="auto"/>
            <w:shd w:val="clear" w:color="auto" w:fill="auto"/>
          </w:tcPr>
          <w:p w14:paraId="0D8DFB41" w14:textId="77777777" w:rsidR="004C2197" w:rsidRDefault="004C2197">
            <w:pPr>
              <w:rPr>
                <w:rFonts w:ascii="宋体"/>
              </w:rPr>
            </w:pPr>
          </w:p>
        </w:tc>
        <w:tc>
          <w:tcPr>
            <w:tcW w:w="0" w:type="auto"/>
            <w:shd w:val="clear" w:color="auto" w:fill="auto"/>
          </w:tcPr>
          <w:p w14:paraId="0D8DFB42" w14:textId="77777777" w:rsidR="004C2197" w:rsidRDefault="004C2197">
            <w:pPr>
              <w:rPr>
                <w:rFonts w:ascii="宋体"/>
              </w:rPr>
            </w:pPr>
          </w:p>
        </w:tc>
        <w:tc>
          <w:tcPr>
            <w:tcW w:w="0" w:type="auto"/>
            <w:shd w:val="clear" w:color="auto" w:fill="auto"/>
          </w:tcPr>
          <w:p w14:paraId="0D8DFB43" w14:textId="77777777" w:rsidR="004C2197" w:rsidRDefault="004C2197">
            <w:pPr>
              <w:rPr>
                <w:rFonts w:ascii="宋体"/>
              </w:rPr>
            </w:pPr>
          </w:p>
        </w:tc>
      </w:tr>
      <w:tr w:rsidR="004C2197" w14:paraId="0D8DFB4F" w14:textId="77777777">
        <w:trPr>
          <w:hidden/>
        </w:trPr>
        <w:tc>
          <w:tcPr>
            <w:tcW w:w="0" w:type="auto"/>
            <w:gridSpan w:val="3"/>
            <w:shd w:val="clear" w:color="auto" w:fill="auto"/>
          </w:tcPr>
          <w:p w14:paraId="0D8DFB45" w14:textId="77777777" w:rsidR="004C2197" w:rsidRDefault="004C2197">
            <w:pPr>
              <w:rPr>
                <w:rFonts w:ascii="宋体"/>
                <w:vanish/>
              </w:rPr>
            </w:pPr>
          </w:p>
        </w:tc>
        <w:tc>
          <w:tcPr>
            <w:tcW w:w="0" w:type="auto"/>
            <w:gridSpan w:val="3"/>
            <w:shd w:val="clear" w:color="auto" w:fill="auto"/>
          </w:tcPr>
          <w:p w14:paraId="0D8DFB46" w14:textId="77777777" w:rsidR="004C2197" w:rsidRDefault="004C2197">
            <w:pPr>
              <w:rPr>
                <w:rFonts w:ascii="宋体"/>
                <w:vanish/>
              </w:rPr>
            </w:pPr>
          </w:p>
        </w:tc>
        <w:tc>
          <w:tcPr>
            <w:tcW w:w="0" w:type="auto"/>
            <w:gridSpan w:val="3"/>
            <w:shd w:val="clear" w:color="auto" w:fill="auto"/>
          </w:tcPr>
          <w:p w14:paraId="0D8DFB47" w14:textId="77777777" w:rsidR="004C2197" w:rsidRDefault="004C2197">
            <w:pPr>
              <w:rPr>
                <w:rFonts w:ascii="宋体"/>
                <w:vanish/>
              </w:rPr>
            </w:pPr>
          </w:p>
        </w:tc>
        <w:tc>
          <w:tcPr>
            <w:tcW w:w="0" w:type="auto"/>
            <w:gridSpan w:val="3"/>
            <w:shd w:val="clear" w:color="auto" w:fill="auto"/>
          </w:tcPr>
          <w:p w14:paraId="0D8DFB48" w14:textId="77777777" w:rsidR="004C2197" w:rsidRDefault="004C2197">
            <w:pPr>
              <w:rPr>
                <w:rFonts w:ascii="宋体"/>
                <w:vanish/>
              </w:rPr>
            </w:pPr>
          </w:p>
        </w:tc>
        <w:tc>
          <w:tcPr>
            <w:tcW w:w="0" w:type="auto"/>
            <w:shd w:val="clear" w:color="auto" w:fill="auto"/>
          </w:tcPr>
          <w:p w14:paraId="0D8DFB49" w14:textId="77777777" w:rsidR="004C2197" w:rsidRDefault="004C2197">
            <w:pPr>
              <w:rPr>
                <w:rFonts w:ascii="宋体"/>
              </w:rPr>
            </w:pPr>
          </w:p>
        </w:tc>
        <w:tc>
          <w:tcPr>
            <w:tcW w:w="0" w:type="auto"/>
            <w:shd w:val="clear" w:color="auto" w:fill="auto"/>
          </w:tcPr>
          <w:p w14:paraId="0D8DFB4A" w14:textId="77777777" w:rsidR="004C2197" w:rsidRDefault="004C2197">
            <w:pPr>
              <w:rPr>
                <w:rFonts w:ascii="宋体"/>
              </w:rPr>
            </w:pPr>
          </w:p>
        </w:tc>
        <w:tc>
          <w:tcPr>
            <w:tcW w:w="0" w:type="auto"/>
            <w:shd w:val="clear" w:color="auto" w:fill="auto"/>
          </w:tcPr>
          <w:p w14:paraId="0D8DFB4B" w14:textId="77777777" w:rsidR="004C2197" w:rsidRDefault="004C2197">
            <w:pPr>
              <w:rPr>
                <w:rFonts w:ascii="宋体"/>
              </w:rPr>
            </w:pPr>
          </w:p>
        </w:tc>
        <w:tc>
          <w:tcPr>
            <w:tcW w:w="0" w:type="auto"/>
            <w:shd w:val="clear" w:color="auto" w:fill="auto"/>
          </w:tcPr>
          <w:p w14:paraId="0D8DFB4C" w14:textId="77777777" w:rsidR="004C2197" w:rsidRDefault="004C2197">
            <w:pPr>
              <w:rPr>
                <w:rFonts w:ascii="宋体"/>
              </w:rPr>
            </w:pPr>
          </w:p>
        </w:tc>
        <w:tc>
          <w:tcPr>
            <w:tcW w:w="0" w:type="auto"/>
            <w:shd w:val="clear" w:color="auto" w:fill="auto"/>
          </w:tcPr>
          <w:p w14:paraId="0D8DFB4D" w14:textId="77777777" w:rsidR="004C2197" w:rsidRDefault="004C2197">
            <w:pPr>
              <w:rPr>
                <w:rFonts w:ascii="宋体"/>
              </w:rPr>
            </w:pPr>
          </w:p>
        </w:tc>
        <w:tc>
          <w:tcPr>
            <w:tcW w:w="0" w:type="auto"/>
            <w:shd w:val="clear" w:color="auto" w:fill="auto"/>
          </w:tcPr>
          <w:p w14:paraId="0D8DFB4E" w14:textId="77777777" w:rsidR="004C2197" w:rsidRDefault="004C2197">
            <w:pPr>
              <w:rPr>
                <w:rFonts w:ascii="宋体"/>
              </w:rPr>
            </w:pPr>
          </w:p>
        </w:tc>
      </w:tr>
      <w:tr w:rsidR="004C2197" w14:paraId="0D8DFB5A" w14:textId="77777777">
        <w:trPr>
          <w:hidden/>
        </w:trPr>
        <w:tc>
          <w:tcPr>
            <w:tcW w:w="0" w:type="auto"/>
            <w:gridSpan w:val="3"/>
            <w:shd w:val="clear" w:color="auto" w:fill="auto"/>
          </w:tcPr>
          <w:p w14:paraId="0D8DFB50" w14:textId="77777777" w:rsidR="004C2197" w:rsidRDefault="004C2197">
            <w:pPr>
              <w:rPr>
                <w:rFonts w:ascii="宋体"/>
                <w:vanish/>
              </w:rPr>
            </w:pPr>
          </w:p>
        </w:tc>
        <w:tc>
          <w:tcPr>
            <w:tcW w:w="0" w:type="auto"/>
            <w:gridSpan w:val="3"/>
            <w:shd w:val="clear" w:color="auto" w:fill="auto"/>
          </w:tcPr>
          <w:p w14:paraId="0D8DFB51" w14:textId="77777777" w:rsidR="004C2197" w:rsidRDefault="004C2197">
            <w:pPr>
              <w:rPr>
                <w:rFonts w:ascii="宋体"/>
                <w:vanish/>
              </w:rPr>
            </w:pPr>
          </w:p>
        </w:tc>
        <w:tc>
          <w:tcPr>
            <w:tcW w:w="0" w:type="auto"/>
            <w:gridSpan w:val="3"/>
            <w:shd w:val="clear" w:color="auto" w:fill="auto"/>
          </w:tcPr>
          <w:p w14:paraId="0D8DFB52" w14:textId="77777777" w:rsidR="004C2197" w:rsidRDefault="004C2197">
            <w:pPr>
              <w:rPr>
                <w:rFonts w:ascii="宋体"/>
                <w:vanish/>
              </w:rPr>
            </w:pPr>
          </w:p>
        </w:tc>
        <w:tc>
          <w:tcPr>
            <w:tcW w:w="0" w:type="auto"/>
            <w:gridSpan w:val="3"/>
            <w:shd w:val="clear" w:color="auto" w:fill="auto"/>
          </w:tcPr>
          <w:p w14:paraId="0D8DFB53" w14:textId="77777777" w:rsidR="004C2197" w:rsidRDefault="004C2197">
            <w:pPr>
              <w:rPr>
                <w:rFonts w:ascii="宋体"/>
                <w:vanish/>
              </w:rPr>
            </w:pPr>
          </w:p>
        </w:tc>
        <w:tc>
          <w:tcPr>
            <w:tcW w:w="0" w:type="auto"/>
            <w:shd w:val="clear" w:color="auto" w:fill="auto"/>
          </w:tcPr>
          <w:p w14:paraId="0D8DFB54" w14:textId="77777777" w:rsidR="004C2197" w:rsidRDefault="004C2197">
            <w:pPr>
              <w:rPr>
                <w:rFonts w:ascii="宋体"/>
              </w:rPr>
            </w:pPr>
          </w:p>
        </w:tc>
        <w:tc>
          <w:tcPr>
            <w:tcW w:w="0" w:type="auto"/>
            <w:shd w:val="clear" w:color="auto" w:fill="auto"/>
          </w:tcPr>
          <w:p w14:paraId="0D8DFB55" w14:textId="77777777" w:rsidR="004C2197" w:rsidRDefault="004C2197">
            <w:pPr>
              <w:rPr>
                <w:rFonts w:ascii="宋体"/>
              </w:rPr>
            </w:pPr>
          </w:p>
        </w:tc>
        <w:tc>
          <w:tcPr>
            <w:tcW w:w="0" w:type="auto"/>
            <w:shd w:val="clear" w:color="auto" w:fill="auto"/>
          </w:tcPr>
          <w:p w14:paraId="0D8DFB56" w14:textId="77777777" w:rsidR="004C2197" w:rsidRDefault="004C2197">
            <w:pPr>
              <w:rPr>
                <w:rFonts w:ascii="宋体"/>
              </w:rPr>
            </w:pPr>
          </w:p>
        </w:tc>
        <w:tc>
          <w:tcPr>
            <w:tcW w:w="0" w:type="auto"/>
            <w:shd w:val="clear" w:color="auto" w:fill="auto"/>
          </w:tcPr>
          <w:p w14:paraId="0D8DFB57" w14:textId="77777777" w:rsidR="004C2197" w:rsidRDefault="004C2197">
            <w:pPr>
              <w:rPr>
                <w:rFonts w:ascii="宋体"/>
              </w:rPr>
            </w:pPr>
          </w:p>
        </w:tc>
        <w:tc>
          <w:tcPr>
            <w:tcW w:w="0" w:type="auto"/>
            <w:shd w:val="clear" w:color="auto" w:fill="auto"/>
          </w:tcPr>
          <w:p w14:paraId="0D8DFB58" w14:textId="77777777" w:rsidR="004C2197" w:rsidRDefault="004C2197">
            <w:pPr>
              <w:rPr>
                <w:rFonts w:ascii="宋体"/>
              </w:rPr>
            </w:pPr>
          </w:p>
        </w:tc>
        <w:tc>
          <w:tcPr>
            <w:tcW w:w="0" w:type="auto"/>
            <w:shd w:val="clear" w:color="auto" w:fill="auto"/>
          </w:tcPr>
          <w:p w14:paraId="0D8DFB59" w14:textId="77777777" w:rsidR="004C2197" w:rsidRDefault="004C2197">
            <w:pPr>
              <w:rPr>
                <w:rFonts w:ascii="宋体"/>
              </w:rPr>
            </w:pPr>
          </w:p>
        </w:tc>
      </w:tr>
      <w:tr w:rsidR="004C2197" w14:paraId="0D8DFB65" w14:textId="77777777">
        <w:trPr>
          <w:hidden/>
        </w:trPr>
        <w:tc>
          <w:tcPr>
            <w:tcW w:w="0" w:type="auto"/>
            <w:gridSpan w:val="3"/>
            <w:shd w:val="clear" w:color="auto" w:fill="auto"/>
          </w:tcPr>
          <w:p w14:paraId="0D8DFB5B" w14:textId="77777777" w:rsidR="004C2197" w:rsidRDefault="004C2197">
            <w:pPr>
              <w:rPr>
                <w:rFonts w:ascii="宋体"/>
                <w:vanish/>
              </w:rPr>
            </w:pPr>
          </w:p>
        </w:tc>
        <w:tc>
          <w:tcPr>
            <w:tcW w:w="0" w:type="auto"/>
            <w:gridSpan w:val="3"/>
            <w:shd w:val="clear" w:color="auto" w:fill="auto"/>
          </w:tcPr>
          <w:p w14:paraId="0D8DFB5C" w14:textId="77777777" w:rsidR="004C2197" w:rsidRDefault="004C2197">
            <w:pPr>
              <w:rPr>
                <w:rFonts w:ascii="宋体"/>
                <w:vanish/>
              </w:rPr>
            </w:pPr>
          </w:p>
        </w:tc>
        <w:tc>
          <w:tcPr>
            <w:tcW w:w="0" w:type="auto"/>
            <w:gridSpan w:val="3"/>
            <w:shd w:val="clear" w:color="auto" w:fill="auto"/>
          </w:tcPr>
          <w:p w14:paraId="0D8DFB5D" w14:textId="77777777" w:rsidR="004C2197" w:rsidRDefault="004C2197">
            <w:pPr>
              <w:rPr>
                <w:rFonts w:ascii="宋体"/>
                <w:vanish/>
              </w:rPr>
            </w:pPr>
          </w:p>
        </w:tc>
        <w:tc>
          <w:tcPr>
            <w:tcW w:w="0" w:type="auto"/>
            <w:gridSpan w:val="3"/>
            <w:shd w:val="clear" w:color="auto" w:fill="auto"/>
          </w:tcPr>
          <w:p w14:paraId="0D8DFB5E" w14:textId="77777777" w:rsidR="004C2197" w:rsidRDefault="004C2197">
            <w:pPr>
              <w:rPr>
                <w:rFonts w:ascii="宋体"/>
                <w:vanish/>
              </w:rPr>
            </w:pPr>
          </w:p>
        </w:tc>
        <w:tc>
          <w:tcPr>
            <w:tcW w:w="0" w:type="auto"/>
            <w:shd w:val="clear" w:color="auto" w:fill="auto"/>
          </w:tcPr>
          <w:p w14:paraId="0D8DFB5F" w14:textId="77777777" w:rsidR="004C2197" w:rsidRDefault="004C2197">
            <w:pPr>
              <w:rPr>
                <w:rFonts w:ascii="宋体"/>
              </w:rPr>
            </w:pPr>
          </w:p>
        </w:tc>
        <w:tc>
          <w:tcPr>
            <w:tcW w:w="0" w:type="auto"/>
            <w:shd w:val="clear" w:color="auto" w:fill="auto"/>
          </w:tcPr>
          <w:p w14:paraId="0D8DFB60" w14:textId="77777777" w:rsidR="004C2197" w:rsidRDefault="004C2197">
            <w:pPr>
              <w:rPr>
                <w:rFonts w:ascii="宋体"/>
              </w:rPr>
            </w:pPr>
          </w:p>
        </w:tc>
        <w:tc>
          <w:tcPr>
            <w:tcW w:w="0" w:type="auto"/>
            <w:shd w:val="clear" w:color="auto" w:fill="auto"/>
          </w:tcPr>
          <w:p w14:paraId="0D8DFB61" w14:textId="77777777" w:rsidR="004C2197" w:rsidRDefault="004C2197">
            <w:pPr>
              <w:rPr>
                <w:rFonts w:ascii="宋体"/>
              </w:rPr>
            </w:pPr>
          </w:p>
        </w:tc>
        <w:tc>
          <w:tcPr>
            <w:tcW w:w="0" w:type="auto"/>
            <w:shd w:val="clear" w:color="auto" w:fill="auto"/>
          </w:tcPr>
          <w:p w14:paraId="0D8DFB62" w14:textId="77777777" w:rsidR="004C2197" w:rsidRDefault="004C2197">
            <w:pPr>
              <w:rPr>
                <w:rFonts w:ascii="宋体"/>
              </w:rPr>
            </w:pPr>
          </w:p>
        </w:tc>
        <w:tc>
          <w:tcPr>
            <w:tcW w:w="0" w:type="auto"/>
            <w:shd w:val="clear" w:color="auto" w:fill="auto"/>
          </w:tcPr>
          <w:p w14:paraId="0D8DFB63" w14:textId="77777777" w:rsidR="004C2197" w:rsidRDefault="004C2197">
            <w:pPr>
              <w:rPr>
                <w:rFonts w:ascii="宋体"/>
              </w:rPr>
            </w:pPr>
          </w:p>
        </w:tc>
        <w:tc>
          <w:tcPr>
            <w:tcW w:w="0" w:type="auto"/>
            <w:shd w:val="clear" w:color="auto" w:fill="auto"/>
          </w:tcPr>
          <w:p w14:paraId="0D8DFB64" w14:textId="77777777" w:rsidR="004C2197" w:rsidRDefault="004C2197">
            <w:pPr>
              <w:rPr>
                <w:rFonts w:ascii="宋体"/>
              </w:rPr>
            </w:pPr>
          </w:p>
        </w:tc>
      </w:tr>
      <w:tr w:rsidR="004C2197" w14:paraId="0D8DFB70" w14:textId="77777777">
        <w:trPr>
          <w:hidden/>
        </w:trPr>
        <w:tc>
          <w:tcPr>
            <w:tcW w:w="0" w:type="auto"/>
            <w:gridSpan w:val="3"/>
            <w:shd w:val="clear" w:color="auto" w:fill="auto"/>
          </w:tcPr>
          <w:p w14:paraId="0D8DFB66" w14:textId="77777777" w:rsidR="004C2197" w:rsidRDefault="004C2197">
            <w:pPr>
              <w:rPr>
                <w:rFonts w:ascii="宋体"/>
                <w:vanish/>
              </w:rPr>
            </w:pPr>
          </w:p>
        </w:tc>
        <w:tc>
          <w:tcPr>
            <w:tcW w:w="0" w:type="auto"/>
            <w:gridSpan w:val="3"/>
            <w:shd w:val="clear" w:color="auto" w:fill="auto"/>
          </w:tcPr>
          <w:p w14:paraId="0D8DFB67" w14:textId="77777777" w:rsidR="004C2197" w:rsidRDefault="004C2197">
            <w:pPr>
              <w:rPr>
                <w:rFonts w:ascii="宋体"/>
                <w:vanish/>
              </w:rPr>
            </w:pPr>
          </w:p>
        </w:tc>
        <w:tc>
          <w:tcPr>
            <w:tcW w:w="0" w:type="auto"/>
            <w:gridSpan w:val="3"/>
            <w:shd w:val="clear" w:color="auto" w:fill="auto"/>
          </w:tcPr>
          <w:p w14:paraId="0D8DFB68" w14:textId="77777777" w:rsidR="004C2197" w:rsidRDefault="004C2197">
            <w:pPr>
              <w:rPr>
                <w:rFonts w:ascii="宋体"/>
                <w:vanish/>
              </w:rPr>
            </w:pPr>
          </w:p>
        </w:tc>
        <w:tc>
          <w:tcPr>
            <w:tcW w:w="0" w:type="auto"/>
            <w:gridSpan w:val="3"/>
            <w:shd w:val="clear" w:color="auto" w:fill="auto"/>
          </w:tcPr>
          <w:p w14:paraId="0D8DFB69" w14:textId="77777777" w:rsidR="004C2197" w:rsidRDefault="004C2197">
            <w:pPr>
              <w:rPr>
                <w:rFonts w:ascii="宋体"/>
                <w:vanish/>
              </w:rPr>
            </w:pPr>
          </w:p>
        </w:tc>
        <w:tc>
          <w:tcPr>
            <w:tcW w:w="0" w:type="auto"/>
            <w:shd w:val="clear" w:color="auto" w:fill="auto"/>
          </w:tcPr>
          <w:p w14:paraId="0D8DFB6A" w14:textId="77777777" w:rsidR="004C2197" w:rsidRDefault="004C2197">
            <w:pPr>
              <w:rPr>
                <w:rFonts w:ascii="宋体"/>
              </w:rPr>
            </w:pPr>
          </w:p>
        </w:tc>
        <w:tc>
          <w:tcPr>
            <w:tcW w:w="0" w:type="auto"/>
            <w:shd w:val="clear" w:color="auto" w:fill="auto"/>
          </w:tcPr>
          <w:p w14:paraId="0D8DFB6B" w14:textId="77777777" w:rsidR="004C2197" w:rsidRDefault="004C2197">
            <w:pPr>
              <w:rPr>
                <w:rFonts w:ascii="宋体"/>
              </w:rPr>
            </w:pPr>
          </w:p>
        </w:tc>
        <w:tc>
          <w:tcPr>
            <w:tcW w:w="0" w:type="auto"/>
            <w:shd w:val="clear" w:color="auto" w:fill="auto"/>
          </w:tcPr>
          <w:p w14:paraId="0D8DFB6C" w14:textId="77777777" w:rsidR="004C2197" w:rsidRDefault="004C2197">
            <w:pPr>
              <w:rPr>
                <w:rFonts w:ascii="宋体"/>
              </w:rPr>
            </w:pPr>
          </w:p>
        </w:tc>
        <w:tc>
          <w:tcPr>
            <w:tcW w:w="0" w:type="auto"/>
            <w:shd w:val="clear" w:color="auto" w:fill="auto"/>
          </w:tcPr>
          <w:p w14:paraId="0D8DFB6D" w14:textId="77777777" w:rsidR="004C2197" w:rsidRDefault="004C2197">
            <w:pPr>
              <w:rPr>
                <w:rFonts w:ascii="宋体"/>
              </w:rPr>
            </w:pPr>
          </w:p>
        </w:tc>
        <w:tc>
          <w:tcPr>
            <w:tcW w:w="0" w:type="auto"/>
            <w:shd w:val="clear" w:color="auto" w:fill="auto"/>
          </w:tcPr>
          <w:p w14:paraId="0D8DFB6E" w14:textId="77777777" w:rsidR="004C2197" w:rsidRDefault="004C2197">
            <w:pPr>
              <w:rPr>
                <w:rFonts w:ascii="宋体"/>
              </w:rPr>
            </w:pPr>
          </w:p>
        </w:tc>
        <w:tc>
          <w:tcPr>
            <w:tcW w:w="0" w:type="auto"/>
            <w:shd w:val="clear" w:color="auto" w:fill="auto"/>
          </w:tcPr>
          <w:p w14:paraId="0D8DFB6F" w14:textId="77777777" w:rsidR="004C2197" w:rsidRDefault="004C2197">
            <w:pPr>
              <w:rPr>
                <w:rFonts w:ascii="宋体"/>
              </w:rPr>
            </w:pPr>
          </w:p>
        </w:tc>
      </w:tr>
      <w:tr w:rsidR="004C2197" w14:paraId="0D8DFB7B" w14:textId="77777777">
        <w:trPr>
          <w:hidden/>
        </w:trPr>
        <w:tc>
          <w:tcPr>
            <w:tcW w:w="0" w:type="auto"/>
            <w:gridSpan w:val="3"/>
            <w:shd w:val="clear" w:color="auto" w:fill="auto"/>
          </w:tcPr>
          <w:p w14:paraId="0D8DFB71" w14:textId="77777777" w:rsidR="004C2197" w:rsidRDefault="004C2197">
            <w:pPr>
              <w:rPr>
                <w:rFonts w:ascii="宋体"/>
                <w:vanish/>
              </w:rPr>
            </w:pPr>
          </w:p>
        </w:tc>
        <w:tc>
          <w:tcPr>
            <w:tcW w:w="0" w:type="auto"/>
            <w:gridSpan w:val="3"/>
            <w:shd w:val="clear" w:color="auto" w:fill="auto"/>
          </w:tcPr>
          <w:p w14:paraId="0D8DFB72" w14:textId="77777777" w:rsidR="004C2197" w:rsidRDefault="004C2197">
            <w:pPr>
              <w:rPr>
                <w:rFonts w:ascii="宋体"/>
                <w:vanish/>
              </w:rPr>
            </w:pPr>
          </w:p>
        </w:tc>
        <w:tc>
          <w:tcPr>
            <w:tcW w:w="0" w:type="auto"/>
            <w:gridSpan w:val="3"/>
            <w:shd w:val="clear" w:color="auto" w:fill="auto"/>
          </w:tcPr>
          <w:p w14:paraId="0D8DFB73" w14:textId="77777777" w:rsidR="004C2197" w:rsidRDefault="004C2197">
            <w:pPr>
              <w:rPr>
                <w:rFonts w:ascii="宋体"/>
                <w:vanish/>
              </w:rPr>
            </w:pPr>
          </w:p>
        </w:tc>
        <w:tc>
          <w:tcPr>
            <w:tcW w:w="0" w:type="auto"/>
            <w:gridSpan w:val="3"/>
            <w:shd w:val="clear" w:color="auto" w:fill="auto"/>
          </w:tcPr>
          <w:p w14:paraId="0D8DFB74" w14:textId="77777777" w:rsidR="004C2197" w:rsidRDefault="004C2197">
            <w:pPr>
              <w:rPr>
                <w:rFonts w:ascii="宋体"/>
                <w:vanish/>
              </w:rPr>
            </w:pPr>
          </w:p>
        </w:tc>
        <w:tc>
          <w:tcPr>
            <w:tcW w:w="0" w:type="auto"/>
            <w:shd w:val="clear" w:color="auto" w:fill="auto"/>
          </w:tcPr>
          <w:p w14:paraId="0D8DFB75" w14:textId="77777777" w:rsidR="004C2197" w:rsidRDefault="004C2197">
            <w:pPr>
              <w:rPr>
                <w:rFonts w:ascii="宋体"/>
              </w:rPr>
            </w:pPr>
          </w:p>
        </w:tc>
        <w:tc>
          <w:tcPr>
            <w:tcW w:w="0" w:type="auto"/>
            <w:shd w:val="clear" w:color="auto" w:fill="auto"/>
          </w:tcPr>
          <w:p w14:paraId="0D8DFB76" w14:textId="77777777" w:rsidR="004C2197" w:rsidRDefault="004C2197">
            <w:pPr>
              <w:rPr>
                <w:rFonts w:ascii="宋体"/>
              </w:rPr>
            </w:pPr>
          </w:p>
        </w:tc>
        <w:tc>
          <w:tcPr>
            <w:tcW w:w="0" w:type="auto"/>
            <w:shd w:val="clear" w:color="auto" w:fill="auto"/>
          </w:tcPr>
          <w:p w14:paraId="0D8DFB77" w14:textId="77777777" w:rsidR="004C2197" w:rsidRDefault="004C2197">
            <w:pPr>
              <w:rPr>
                <w:rFonts w:ascii="宋体"/>
              </w:rPr>
            </w:pPr>
          </w:p>
        </w:tc>
        <w:tc>
          <w:tcPr>
            <w:tcW w:w="0" w:type="auto"/>
            <w:shd w:val="clear" w:color="auto" w:fill="auto"/>
          </w:tcPr>
          <w:p w14:paraId="0D8DFB78" w14:textId="77777777" w:rsidR="004C2197" w:rsidRDefault="004C2197">
            <w:pPr>
              <w:rPr>
                <w:rFonts w:ascii="宋体"/>
              </w:rPr>
            </w:pPr>
          </w:p>
        </w:tc>
        <w:tc>
          <w:tcPr>
            <w:tcW w:w="0" w:type="auto"/>
            <w:shd w:val="clear" w:color="auto" w:fill="auto"/>
          </w:tcPr>
          <w:p w14:paraId="0D8DFB79" w14:textId="77777777" w:rsidR="004C2197" w:rsidRDefault="004C2197">
            <w:pPr>
              <w:rPr>
                <w:rFonts w:ascii="宋体"/>
              </w:rPr>
            </w:pPr>
          </w:p>
        </w:tc>
        <w:tc>
          <w:tcPr>
            <w:tcW w:w="0" w:type="auto"/>
            <w:shd w:val="clear" w:color="auto" w:fill="auto"/>
          </w:tcPr>
          <w:p w14:paraId="0D8DFB7A" w14:textId="77777777" w:rsidR="004C2197" w:rsidRDefault="004C2197">
            <w:pPr>
              <w:rPr>
                <w:rFonts w:ascii="宋体"/>
              </w:rPr>
            </w:pPr>
          </w:p>
        </w:tc>
      </w:tr>
      <w:tr w:rsidR="004C2197" w14:paraId="0D8DFB86" w14:textId="77777777">
        <w:trPr>
          <w:hidden/>
        </w:trPr>
        <w:tc>
          <w:tcPr>
            <w:tcW w:w="0" w:type="auto"/>
            <w:gridSpan w:val="3"/>
            <w:shd w:val="clear" w:color="auto" w:fill="auto"/>
          </w:tcPr>
          <w:p w14:paraId="0D8DFB7C" w14:textId="77777777" w:rsidR="004C2197" w:rsidRDefault="004C2197">
            <w:pPr>
              <w:rPr>
                <w:rFonts w:ascii="宋体"/>
                <w:vanish/>
              </w:rPr>
            </w:pPr>
          </w:p>
        </w:tc>
        <w:tc>
          <w:tcPr>
            <w:tcW w:w="0" w:type="auto"/>
            <w:gridSpan w:val="3"/>
            <w:shd w:val="clear" w:color="auto" w:fill="auto"/>
          </w:tcPr>
          <w:p w14:paraId="0D8DFB7D" w14:textId="77777777" w:rsidR="004C2197" w:rsidRDefault="004C2197">
            <w:pPr>
              <w:rPr>
                <w:rFonts w:ascii="宋体"/>
                <w:vanish/>
              </w:rPr>
            </w:pPr>
          </w:p>
        </w:tc>
        <w:tc>
          <w:tcPr>
            <w:tcW w:w="0" w:type="auto"/>
            <w:gridSpan w:val="3"/>
            <w:shd w:val="clear" w:color="auto" w:fill="auto"/>
          </w:tcPr>
          <w:p w14:paraId="0D8DFB7E" w14:textId="77777777" w:rsidR="004C2197" w:rsidRDefault="004C2197">
            <w:pPr>
              <w:rPr>
                <w:rFonts w:ascii="宋体"/>
                <w:vanish/>
              </w:rPr>
            </w:pPr>
          </w:p>
        </w:tc>
        <w:tc>
          <w:tcPr>
            <w:tcW w:w="0" w:type="auto"/>
            <w:gridSpan w:val="3"/>
            <w:shd w:val="clear" w:color="auto" w:fill="auto"/>
          </w:tcPr>
          <w:p w14:paraId="0D8DFB7F" w14:textId="77777777" w:rsidR="004C2197" w:rsidRDefault="004C2197">
            <w:pPr>
              <w:rPr>
                <w:rFonts w:ascii="宋体"/>
                <w:vanish/>
              </w:rPr>
            </w:pPr>
          </w:p>
        </w:tc>
        <w:tc>
          <w:tcPr>
            <w:tcW w:w="0" w:type="auto"/>
            <w:shd w:val="clear" w:color="auto" w:fill="auto"/>
          </w:tcPr>
          <w:p w14:paraId="0D8DFB80" w14:textId="77777777" w:rsidR="004C2197" w:rsidRDefault="004C2197">
            <w:pPr>
              <w:rPr>
                <w:rFonts w:ascii="宋体"/>
              </w:rPr>
            </w:pPr>
          </w:p>
        </w:tc>
        <w:tc>
          <w:tcPr>
            <w:tcW w:w="0" w:type="auto"/>
            <w:shd w:val="clear" w:color="auto" w:fill="auto"/>
          </w:tcPr>
          <w:p w14:paraId="0D8DFB81" w14:textId="77777777" w:rsidR="004C2197" w:rsidRDefault="004C2197">
            <w:pPr>
              <w:rPr>
                <w:rFonts w:ascii="宋体"/>
              </w:rPr>
            </w:pPr>
          </w:p>
        </w:tc>
        <w:tc>
          <w:tcPr>
            <w:tcW w:w="0" w:type="auto"/>
            <w:shd w:val="clear" w:color="auto" w:fill="auto"/>
          </w:tcPr>
          <w:p w14:paraId="0D8DFB82" w14:textId="77777777" w:rsidR="004C2197" w:rsidRDefault="004C2197">
            <w:pPr>
              <w:rPr>
                <w:rFonts w:ascii="宋体"/>
              </w:rPr>
            </w:pPr>
          </w:p>
        </w:tc>
        <w:tc>
          <w:tcPr>
            <w:tcW w:w="0" w:type="auto"/>
            <w:shd w:val="clear" w:color="auto" w:fill="auto"/>
          </w:tcPr>
          <w:p w14:paraId="0D8DFB83" w14:textId="77777777" w:rsidR="004C2197" w:rsidRDefault="004C2197">
            <w:pPr>
              <w:rPr>
                <w:rFonts w:ascii="宋体"/>
              </w:rPr>
            </w:pPr>
          </w:p>
        </w:tc>
        <w:tc>
          <w:tcPr>
            <w:tcW w:w="0" w:type="auto"/>
            <w:shd w:val="clear" w:color="auto" w:fill="auto"/>
          </w:tcPr>
          <w:p w14:paraId="0D8DFB84" w14:textId="77777777" w:rsidR="004C2197" w:rsidRDefault="004C2197">
            <w:pPr>
              <w:rPr>
                <w:rFonts w:ascii="宋体"/>
              </w:rPr>
            </w:pPr>
          </w:p>
        </w:tc>
        <w:tc>
          <w:tcPr>
            <w:tcW w:w="0" w:type="auto"/>
            <w:shd w:val="clear" w:color="auto" w:fill="auto"/>
          </w:tcPr>
          <w:p w14:paraId="0D8DFB85" w14:textId="77777777" w:rsidR="004C2197" w:rsidRDefault="004C2197">
            <w:pPr>
              <w:rPr>
                <w:rFonts w:ascii="宋体"/>
              </w:rPr>
            </w:pPr>
          </w:p>
        </w:tc>
      </w:tr>
      <w:tr w:rsidR="004C2197" w14:paraId="0D8DFB91" w14:textId="77777777">
        <w:trPr>
          <w:hidden/>
        </w:trPr>
        <w:tc>
          <w:tcPr>
            <w:tcW w:w="0" w:type="auto"/>
            <w:gridSpan w:val="3"/>
            <w:shd w:val="clear" w:color="auto" w:fill="auto"/>
          </w:tcPr>
          <w:p w14:paraId="0D8DFB87" w14:textId="77777777" w:rsidR="004C2197" w:rsidRDefault="004C2197">
            <w:pPr>
              <w:rPr>
                <w:rFonts w:ascii="宋体"/>
                <w:vanish/>
              </w:rPr>
            </w:pPr>
          </w:p>
        </w:tc>
        <w:tc>
          <w:tcPr>
            <w:tcW w:w="0" w:type="auto"/>
            <w:gridSpan w:val="3"/>
            <w:shd w:val="clear" w:color="auto" w:fill="auto"/>
          </w:tcPr>
          <w:p w14:paraId="0D8DFB88" w14:textId="77777777" w:rsidR="004C2197" w:rsidRDefault="004C2197">
            <w:pPr>
              <w:rPr>
                <w:rFonts w:ascii="宋体"/>
                <w:vanish/>
              </w:rPr>
            </w:pPr>
          </w:p>
        </w:tc>
        <w:tc>
          <w:tcPr>
            <w:tcW w:w="0" w:type="auto"/>
            <w:gridSpan w:val="3"/>
            <w:shd w:val="clear" w:color="auto" w:fill="auto"/>
          </w:tcPr>
          <w:p w14:paraId="0D8DFB89" w14:textId="77777777" w:rsidR="004C2197" w:rsidRDefault="004C2197">
            <w:pPr>
              <w:rPr>
                <w:rFonts w:ascii="宋体"/>
                <w:vanish/>
              </w:rPr>
            </w:pPr>
          </w:p>
        </w:tc>
        <w:tc>
          <w:tcPr>
            <w:tcW w:w="0" w:type="auto"/>
            <w:gridSpan w:val="3"/>
            <w:shd w:val="clear" w:color="auto" w:fill="auto"/>
          </w:tcPr>
          <w:p w14:paraId="0D8DFB8A" w14:textId="77777777" w:rsidR="004C2197" w:rsidRDefault="004C2197">
            <w:pPr>
              <w:rPr>
                <w:rFonts w:ascii="宋体"/>
                <w:vanish/>
              </w:rPr>
            </w:pPr>
          </w:p>
        </w:tc>
        <w:tc>
          <w:tcPr>
            <w:tcW w:w="0" w:type="auto"/>
            <w:shd w:val="clear" w:color="auto" w:fill="auto"/>
          </w:tcPr>
          <w:p w14:paraId="0D8DFB8B" w14:textId="77777777" w:rsidR="004C2197" w:rsidRDefault="004C2197">
            <w:pPr>
              <w:rPr>
                <w:rFonts w:ascii="宋体"/>
              </w:rPr>
            </w:pPr>
          </w:p>
        </w:tc>
        <w:tc>
          <w:tcPr>
            <w:tcW w:w="0" w:type="auto"/>
            <w:shd w:val="clear" w:color="auto" w:fill="auto"/>
          </w:tcPr>
          <w:p w14:paraId="0D8DFB8C" w14:textId="77777777" w:rsidR="004C2197" w:rsidRDefault="004C2197">
            <w:pPr>
              <w:rPr>
                <w:rFonts w:ascii="宋体"/>
              </w:rPr>
            </w:pPr>
          </w:p>
        </w:tc>
        <w:tc>
          <w:tcPr>
            <w:tcW w:w="0" w:type="auto"/>
            <w:shd w:val="clear" w:color="auto" w:fill="auto"/>
          </w:tcPr>
          <w:p w14:paraId="0D8DFB8D" w14:textId="77777777" w:rsidR="004C2197" w:rsidRDefault="004C2197">
            <w:pPr>
              <w:rPr>
                <w:rFonts w:ascii="宋体"/>
              </w:rPr>
            </w:pPr>
          </w:p>
        </w:tc>
        <w:tc>
          <w:tcPr>
            <w:tcW w:w="0" w:type="auto"/>
            <w:shd w:val="clear" w:color="auto" w:fill="auto"/>
          </w:tcPr>
          <w:p w14:paraId="0D8DFB8E" w14:textId="77777777" w:rsidR="004C2197" w:rsidRDefault="004C2197">
            <w:pPr>
              <w:rPr>
                <w:rFonts w:ascii="宋体"/>
              </w:rPr>
            </w:pPr>
          </w:p>
        </w:tc>
        <w:tc>
          <w:tcPr>
            <w:tcW w:w="0" w:type="auto"/>
            <w:shd w:val="clear" w:color="auto" w:fill="auto"/>
          </w:tcPr>
          <w:p w14:paraId="0D8DFB8F" w14:textId="77777777" w:rsidR="004C2197" w:rsidRDefault="004C2197">
            <w:pPr>
              <w:rPr>
                <w:rFonts w:ascii="宋体"/>
              </w:rPr>
            </w:pPr>
          </w:p>
        </w:tc>
        <w:tc>
          <w:tcPr>
            <w:tcW w:w="0" w:type="auto"/>
            <w:shd w:val="clear" w:color="auto" w:fill="auto"/>
          </w:tcPr>
          <w:p w14:paraId="0D8DFB90" w14:textId="77777777" w:rsidR="004C2197" w:rsidRDefault="004C2197">
            <w:pPr>
              <w:rPr>
                <w:rFonts w:ascii="宋体"/>
              </w:rPr>
            </w:pPr>
          </w:p>
        </w:tc>
      </w:tr>
      <w:tr w:rsidR="004C2197" w14:paraId="0D8DFB9C" w14:textId="77777777">
        <w:trPr>
          <w:hidden/>
        </w:trPr>
        <w:tc>
          <w:tcPr>
            <w:tcW w:w="0" w:type="auto"/>
            <w:gridSpan w:val="3"/>
            <w:shd w:val="clear" w:color="auto" w:fill="auto"/>
          </w:tcPr>
          <w:p w14:paraId="0D8DFB92" w14:textId="77777777" w:rsidR="004C2197" w:rsidRDefault="004C2197">
            <w:pPr>
              <w:rPr>
                <w:rFonts w:ascii="宋体"/>
                <w:vanish/>
              </w:rPr>
            </w:pPr>
          </w:p>
        </w:tc>
        <w:tc>
          <w:tcPr>
            <w:tcW w:w="0" w:type="auto"/>
            <w:gridSpan w:val="3"/>
            <w:shd w:val="clear" w:color="auto" w:fill="auto"/>
          </w:tcPr>
          <w:p w14:paraId="0D8DFB93" w14:textId="77777777" w:rsidR="004C2197" w:rsidRDefault="004C2197">
            <w:pPr>
              <w:rPr>
                <w:rFonts w:ascii="宋体"/>
                <w:vanish/>
              </w:rPr>
            </w:pPr>
          </w:p>
        </w:tc>
        <w:tc>
          <w:tcPr>
            <w:tcW w:w="0" w:type="auto"/>
            <w:gridSpan w:val="3"/>
            <w:shd w:val="clear" w:color="auto" w:fill="auto"/>
          </w:tcPr>
          <w:p w14:paraId="0D8DFB94" w14:textId="77777777" w:rsidR="004C2197" w:rsidRDefault="004C2197">
            <w:pPr>
              <w:rPr>
                <w:rFonts w:ascii="宋体"/>
                <w:vanish/>
              </w:rPr>
            </w:pPr>
          </w:p>
        </w:tc>
        <w:tc>
          <w:tcPr>
            <w:tcW w:w="0" w:type="auto"/>
            <w:gridSpan w:val="3"/>
            <w:shd w:val="clear" w:color="auto" w:fill="auto"/>
          </w:tcPr>
          <w:p w14:paraId="0D8DFB95" w14:textId="77777777" w:rsidR="004C2197" w:rsidRDefault="004C2197">
            <w:pPr>
              <w:rPr>
                <w:rFonts w:ascii="宋体"/>
                <w:vanish/>
              </w:rPr>
            </w:pPr>
          </w:p>
        </w:tc>
        <w:tc>
          <w:tcPr>
            <w:tcW w:w="0" w:type="auto"/>
            <w:shd w:val="clear" w:color="auto" w:fill="auto"/>
          </w:tcPr>
          <w:p w14:paraId="0D8DFB96" w14:textId="77777777" w:rsidR="004C2197" w:rsidRDefault="004C2197">
            <w:pPr>
              <w:rPr>
                <w:rFonts w:ascii="宋体"/>
              </w:rPr>
            </w:pPr>
          </w:p>
        </w:tc>
        <w:tc>
          <w:tcPr>
            <w:tcW w:w="0" w:type="auto"/>
            <w:shd w:val="clear" w:color="auto" w:fill="auto"/>
          </w:tcPr>
          <w:p w14:paraId="0D8DFB97" w14:textId="77777777" w:rsidR="004C2197" w:rsidRDefault="004C2197">
            <w:pPr>
              <w:rPr>
                <w:rFonts w:ascii="宋体"/>
              </w:rPr>
            </w:pPr>
          </w:p>
        </w:tc>
        <w:tc>
          <w:tcPr>
            <w:tcW w:w="0" w:type="auto"/>
            <w:shd w:val="clear" w:color="auto" w:fill="auto"/>
          </w:tcPr>
          <w:p w14:paraId="0D8DFB98" w14:textId="77777777" w:rsidR="004C2197" w:rsidRDefault="004C2197">
            <w:pPr>
              <w:rPr>
                <w:rFonts w:ascii="宋体"/>
              </w:rPr>
            </w:pPr>
          </w:p>
        </w:tc>
        <w:tc>
          <w:tcPr>
            <w:tcW w:w="0" w:type="auto"/>
            <w:shd w:val="clear" w:color="auto" w:fill="auto"/>
          </w:tcPr>
          <w:p w14:paraId="0D8DFB99" w14:textId="77777777" w:rsidR="004C2197" w:rsidRDefault="004C2197">
            <w:pPr>
              <w:rPr>
                <w:rFonts w:ascii="宋体"/>
              </w:rPr>
            </w:pPr>
          </w:p>
        </w:tc>
        <w:tc>
          <w:tcPr>
            <w:tcW w:w="0" w:type="auto"/>
            <w:shd w:val="clear" w:color="auto" w:fill="auto"/>
          </w:tcPr>
          <w:p w14:paraId="0D8DFB9A" w14:textId="77777777" w:rsidR="004C2197" w:rsidRDefault="004C2197">
            <w:pPr>
              <w:rPr>
                <w:rFonts w:ascii="宋体"/>
              </w:rPr>
            </w:pPr>
          </w:p>
        </w:tc>
        <w:tc>
          <w:tcPr>
            <w:tcW w:w="0" w:type="auto"/>
            <w:shd w:val="clear" w:color="auto" w:fill="auto"/>
          </w:tcPr>
          <w:p w14:paraId="0D8DFB9B" w14:textId="77777777" w:rsidR="004C2197" w:rsidRDefault="004C2197">
            <w:pPr>
              <w:rPr>
                <w:rFonts w:ascii="宋体"/>
              </w:rPr>
            </w:pPr>
          </w:p>
        </w:tc>
      </w:tr>
      <w:tr w:rsidR="004C2197" w14:paraId="0D8DFBA9" w14:textId="77777777">
        <w:tc>
          <w:tcPr>
            <w:tcW w:w="0" w:type="auto"/>
            <w:gridSpan w:val="3"/>
            <w:shd w:val="clear" w:color="auto" w:fill="FFFFFF"/>
            <w:tcMar>
              <w:top w:w="40" w:type="dxa"/>
              <w:left w:w="20" w:type="dxa"/>
              <w:bottom w:w="40" w:type="dxa"/>
              <w:right w:w="20" w:type="dxa"/>
            </w:tcMar>
            <w:vAlign w:val="bottom"/>
          </w:tcPr>
          <w:p w14:paraId="0D8DFB9D" w14:textId="77777777" w:rsidR="004C2197" w:rsidRDefault="00863B83">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D8DFB9E" w14:textId="77777777" w:rsidR="004C2197" w:rsidRDefault="00863B83">
            <w:pPr>
              <w:jc w:val="right"/>
              <w:textAlignment w:val="bottom"/>
            </w:pPr>
            <w:r>
              <w:rPr>
                <w:rFonts w:ascii="sans-serif" w:eastAsia="sans-serif" w:hAnsi="sans-serif" w:cs="sans-serif"/>
                <w:color w:val="000000"/>
                <w:sz w:val="20"/>
                <w:szCs w:val="20"/>
              </w:rPr>
              <w:t>65 </w:t>
            </w:r>
          </w:p>
        </w:tc>
        <w:tc>
          <w:tcPr>
            <w:tcW w:w="0" w:type="auto"/>
            <w:shd w:val="clear" w:color="auto" w:fill="FFFFFF"/>
            <w:tcMar>
              <w:top w:w="40" w:type="dxa"/>
              <w:bottom w:w="40" w:type="dxa"/>
              <w:right w:w="20" w:type="dxa"/>
            </w:tcMar>
            <w:vAlign w:val="bottom"/>
          </w:tcPr>
          <w:p w14:paraId="0D8DFB9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BA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BA1" w14:textId="77777777" w:rsidR="004C2197" w:rsidRDefault="00863B83">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bottom w:w="40" w:type="dxa"/>
              <w:right w:w="20" w:type="dxa"/>
            </w:tcMar>
            <w:vAlign w:val="bottom"/>
          </w:tcPr>
          <w:p w14:paraId="0D8DFBA2" w14:textId="77777777" w:rsidR="004C2197" w:rsidRDefault="004C2197">
            <w:pPr>
              <w:jc w:val="right"/>
              <w:rPr>
                <w:rFonts w:ascii="宋体"/>
              </w:rPr>
            </w:pPr>
          </w:p>
        </w:tc>
        <w:tc>
          <w:tcPr>
            <w:tcW w:w="0" w:type="auto"/>
            <w:shd w:val="clear" w:color="auto" w:fill="auto"/>
          </w:tcPr>
          <w:p w14:paraId="0D8DFBA3" w14:textId="77777777" w:rsidR="004C2197" w:rsidRDefault="004C2197">
            <w:pPr>
              <w:rPr>
                <w:rFonts w:ascii="宋体"/>
              </w:rPr>
            </w:pPr>
          </w:p>
        </w:tc>
        <w:tc>
          <w:tcPr>
            <w:tcW w:w="0" w:type="auto"/>
            <w:shd w:val="clear" w:color="auto" w:fill="auto"/>
          </w:tcPr>
          <w:p w14:paraId="0D8DFBA4" w14:textId="77777777" w:rsidR="004C2197" w:rsidRDefault="004C2197">
            <w:pPr>
              <w:rPr>
                <w:rFonts w:ascii="宋体"/>
              </w:rPr>
            </w:pPr>
          </w:p>
        </w:tc>
        <w:tc>
          <w:tcPr>
            <w:tcW w:w="0" w:type="auto"/>
            <w:shd w:val="clear" w:color="auto" w:fill="auto"/>
          </w:tcPr>
          <w:p w14:paraId="0D8DFBA5" w14:textId="77777777" w:rsidR="004C2197" w:rsidRDefault="004C2197">
            <w:pPr>
              <w:rPr>
                <w:rFonts w:ascii="宋体"/>
              </w:rPr>
            </w:pPr>
          </w:p>
        </w:tc>
        <w:tc>
          <w:tcPr>
            <w:tcW w:w="0" w:type="auto"/>
            <w:shd w:val="clear" w:color="auto" w:fill="auto"/>
          </w:tcPr>
          <w:p w14:paraId="0D8DFBA6" w14:textId="77777777" w:rsidR="004C2197" w:rsidRDefault="004C2197">
            <w:pPr>
              <w:rPr>
                <w:rFonts w:ascii="宋体"/>
              </w:rPr>
            </w:pPr>
          </w:p>
        </w:tc>
        <w:tc>
          <w:tcPr>
            <w:tcW w:w="0" w:type="auto"/>
            <w:shd w:val="clear" w:color="auto" w:fill="auto"/>
          </w:tcPr>
          <w:p w14:paraId="0D8DFBA7" w14:textId="77777777" w:rsidR="004C2197" w:rsidRDefault="004C2197">
            <w:pPr>
              <w:rPr>
                <w:rFonts w:ascii="宋体"/>
              </w:rPr>
            </w:pPr>
          </w:p>
        </w:tc>
        <w:tc>
          <w:tcPr>
            <w:tcW w:w="0" w:type="auto"/>
            <w:shd w:val="clear" w:color="auto" w:fill="auto"/>
          </w:tcPr>
          <w:p w14:paraId="0D8DFBA8" w14:textId="77777777" w:rsidR="004C2197" w:rsidRDefault="004C2197">
            <w:pPr>
              <w:rPr>
                <w:rFonts w:ascii="宋体"/>
              </w:rPr>
            </w:pPr>
          </w:p>
        </w:tc>
      </w:tr>
      <w:tr w:rsidR="004C2197" w14:paraId="0D8DFBB8" w14:textId="77777777">
        <w:tc>
          <w:tcPr>
            <w:tcW w:w="0" w:type="auto"/>
            <w:gridSpan w:val="3"/>
            <w:shd w:val="clear" w:color="auto" w:fill="E2EFD9"/>
            <w:tcMar>
              <w:top w:w="40" w:type="dxa"/>
              <w:left w:w="360" w:type="dxa"/>
              <w:bottom w:w="40" w:type="dxa"/>
              <w:right w:w="20" w:type="dxa"/>
            </w:tcMar>
            <w:vAlign w:val="bottom"/>
          </w:tcPr>
          <w:p w14:paraId="0D8DFBAA" w14:textId="77777777" w:rsidR="004C2197" w:rsidRDefault="00863B83">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BA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BAC" w14:textId="77777777" w:rsidR="004C2197" w:rsidRDefault="00863B83">
            <w:pPr>
              <w:jc w:val="right"/>
              <w:textAlignment w:val="bottom"/>
            </w:pPr>
            <w:r>
              <w:rPr>
                <w:rFonts w:ascii="sans-serif" w:eastAsia="sans-serif" w:hAnsi="sans-serif" w:cs="sans-serif"/>
                <w:color w:val="000000"/>
                <w:sz w:val="20"/>
                <w:szCs w:val="20"/>
              </w:rPr>
              <w:t>1,517 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BA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BAE"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BA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BB0" w14:textId="77777777" w:rsidR="004C2197" w:rsidRDefault="00863B83">
            <w:pPr>
              <w:jc w:val="right"/>
              <w:textAlignment w:val="bottom"/>
            </w:pPr>
            <w:r>
              <w:rPr>
                <w:rFonts w:ascii="sans-serif" w:eastAsia="sans-serif" w:hAnsi="sans-serif" w:cs="sans-serif"/>
                <w:color w:val="000000"/>
                <w:sz w:val="20"/>
                <w:szCs w:val="20"/>
              </w:rPr>
              <w:t>1,097 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BB1" w14:textId="77777777" w:rsidR="004C2197" w:rsidRDefault="004C2197">
            <w:pPr>
              <w:jc w:val="right"/>
              <w:rPr>
                <w:rFonts w:ascii="宋体"/>
              </w:rPr>
            </w:pPr>
          </w:p>
        </w:tc>
        <w:tc>
          <w:tcPr>
            <w:tcW w:w="0" w:type="auto"/>
            <w:shd w:val="clear" w:color="auto" w:fill="auto"/>
          </w:tcPr>
          <w:p w14:paraId="0D8DFBB2" w14:textId="77777777" w:rsidR="004C2197" w:rsidRDefault="004C2197">
            <w:pPr>
              <w:rPr>
                <w:rFonts w:ascii="宋体"/>
              </w:rPr>
            </w:pPr>
          </w:p>
        </w:tc>
        <w:tc>
          <w:tcPr>
            <w:tcW w:w="0" w:type="auto"/>
            <w:shd w:val="clear" w:color="auto" w:fill="auto"/>
          </w:tcPr>
          <w:p w14:paraId="0D8DFBB3" w14:textId="77777777" w:rsidR="004C2197" w:rsidRDefault="004C2197">
            <w:pPr>
              <w:rPr>
                <w:rFonts w:ascii="宋体"/>
              </w:rPr>
            </w:pPr>
          </w:p>
        </w:tc>
        <w:tc>
          <w:tcPr>
            <w:tcW w:w="0" w:type="auto"/>
            <w:shd w:val="clear" w:color="auto" w:fill="auto"/>
          </w:tcPr>
          <w:p w14:paraId="0D8DFBB4" w14:textId="77777777" w:rsidR="004C2197" w:rsidRDefault="004C2197">
            <w:pPr>
              <w:rPr>
                <w:rFonts w:ascii="宋体"/>
              </w:rPr>
            </w:pPr>
          </w:p>
        </w:tc>
        <w:tc>
          <w:tcPr>
            <w:tcW w:w="0" w:type="auto"/>
            <w:shd w:val="clear" w:color="auto" w:fill="auto"/>
          </w:tcPr>
          <w:p w14:paraId="0D8DFBB5" w14:textId="77777777" w:rsidR="004C2197" w:rsidRDefault="004C2197">
            <w:pPr>
              <w:rPr>
                <w:rFonts w:ascii="宋体"/>
              </w:rPr>
            </w:pPr>
          </w:p>
        </w:tc>
        <w:tc>
          <w:tcPr>
            <w:tcW w:w="0" w:type="auto"/>
            <w:shd w:val="clear" w:color="auto" w:fill="auto"/>
          </w:tcPr>
          <w:p w14:paraId="0D8DFBB6" w14:textId="77777777" w:rsidR="004C2197" w:rsidRDefault="004C2197">
            <w:pPr>
              <w:rPr>
                <w:rFonts w:ascii="宋体"/>
              </w:rPr>
            </w:pPr>
          </w:p>
        </w:tc>
        <w:tc>
          <w:tcPr>
            <w:tcW w:w="0" w:type="auto"/>
            <w:shd w:val="clear" w:color="auto" w:fill="auto"/>
          </w:tcPr>
          <w:p w14:paraId="0D8DFBB7" w14:textId="77777777" w:rsidR="004C2197" w:rsidRDefault="004C2197">
            <w:pPr>
              <w:rPr>
                <w:rFonts w:ascii="宋体"/>
              </w:rPr>
            </w:pPr>
          </w:p>
        </w:tc>
      </w:tr>
    </w:tbl>
    <w:p w14:paraId="0D8DFBB9" w14:textId="77777777" w:rsidR="004C2197" w:rsidRDefault="00863B83">
      <w:pPr>
        <w:spacing w:after="60"/>
        <w:ind w:hanging="360"/>
      </w:pPr>
      <w:r>
        <w:rPr>
          <w:rFonts w:ascii="sans-serif" w:eastAsia="sans-serif" w:hAnsi="sans-serif" w:cs="sans-serif"/>
          <w:color w:val="000000"/>
          <w:sz w:val="16"/>
          <w:szCs w:val="16"/>
        </w:rPr>
        <w:t xml:space="preserve">(1) Deferred revenue primarily includes customer advances and deferrals related to license and development arrangements and post contract customer support, or PCS. </w:t>
      </w:r>
    </w:p>
    <w:tbl>
      <w:tblPr>
        <w:tblW w:w="4993" w:type="pct"/>
        <w:tblCellMar>
          <w:top w:w="15" w:type="dxa"/>
          <w:left w:w="15" w:type="dxa"/>
          <w:bottom w:w="15" w:type="dxa"/>
          <w:right w:w="15" w:type="dxa"/>
        </w:tblCellMar>
        <w:tblLook w:val="04A0" w:firstRow="1" w:lastRow="0" w:firstColumn="1" w:lastColumn="0" w:noHBand="0" w:noVBand="1"/>
      </w:tblPr>
      <w:tblGrid>
        <w:gridCol w:w="38"/>
        <w:gridCol w:w="5736"/>
        <w:gridCol w:w="37"/>
        <w:gridCol w:w="137"/>
        <w:gridCol w:w="939"/>
        <w:gridCol w:w="41"/>
        <w:gridCol w:w="36"/>
        <w:gridCol w:w="36"/>
        <w:gridCol w:w="36"/>
        <w:gridCol w:w="138"/>
        <w:gridCol w:w="893"/>
        <w:gridCol w:w="41"/>
        <w:gridCol w:w="36"/>
        <w:gridCol w:w="36"/>
        <w:gridCol w:w="36"/>
        <w:gridCol w:w="36"/>
        <w:gridCol w:w="36"/>
        <w:gridCol w:w="36"/>
      </w:tblGrid>
      <w:tr w:rsidR="004C2197" w14:paraId="0D8DFBC6" w14:textId="77777777">
        <w:trPr>
          <w:gridAfter w:val="6"/>
        </w:trPr>
        <w:tc>
          <w:tcPr>
            <w:tcW w:w="50" w:type="pct"/>
            <w:shd w:val="clear" w:color="auto" w:fill="auto"/>
          </w:tcPr>
          <w:p w14:paraId="0D8DFBBA" w14:textId="77777777" w:rsidR="004C2197" w:rsidRDefault="004C2197">
            <w:pPr>
              <w:rPr>
                <w:rFonts w:ascii="宋体"/>
              </w:rPr>
            </w:pPr>
          </w:p>
        </w:tc>
        <w:tc>
          <w:tcPr>
            <w:tcW w:w="3575" w:type="pct"/>
            <w:shd w:val="clear" w:color="auto" w:fill="auto"/>
          </w:tcPr>
          <w:p w14:paraId="0D8DFBBB" w14:textId="77777777" w:rsidR="004C2197" w:rsidRDefault="004C2197">
            <w:pPr>
              <w:rPr>
                <w:rFonts w:ascii="宋体"/>
              </w:rPr>
            </w:pPr>
          </w:p>
        </w:tc>
        <w:tc>
          <w:tcPr>
            <w:tcW w:w="5" w:type="pct"/>
            <w:shd w:val="clear" w:color="auto" w:fill="auto"/>
          </w:tcPr>
          <w:p w14:paraId="0D8DFBBC" w14:textId="77777777" w:rsidR="004C2197" w:rsidRDefault="004C2197">
            <w:pPr>
              <w:rPr>
                <w:rFonts w:ascii="宋体"/>
              </w:rPr>
            </w:pPr>
          </w:p>
        </w:tc>
        <w:tc>
          <w:tcPr>
            <w:tcW w:w="50" w:type="pct"/>
            <w:shd w:val="clear" w:color="auto" w:fill="auto"/>
          </w:tcPr>
          <w:p w14:paraId="0D8DFBBD" w14:textId="77777777" w:rsidR="004C2197" w:rsidRDefault="004C2197">
            <w:pPr>
              <w:rPr>
                <w:rFonts w:ascii="宋体"/>
              </w:rPr>
            </w:pPr>
          </w:p>
        </w:tc>
        <w:tc>
          <w:tcPr>
            <w:tcW w:w="611" w:type="pct"/>
            <w:shd w:val="clear" w:color="auto" w:fill="auto"/>
          </w:tcPr>
          <w:p w14:paraId="0D8DFBBE" w14:textId="77777777" w:rsidR="004C2197" w:rsidRDefault="004C2197">
            <w:pPr>
              <w:rPr>
                <w:rFonts w:ascii="宋体"/>
              </w:rPr>
            </w:pPr>
          </w:p>
        </w:tc>
        <w:tc>
          <w:tcPr>
            <w:tcW w:w="5" w:type="pct"/>
            <w:shd w:val="clear" w:color="auto" w:fill="auto"/>
          </w:tcPr>
          <w:p w14:paraId="0D8DFBBF" w14:textId="77777777" w:rsidR="004C2197" w:rsidRDefault="004C2197">
            <w:pPr>
              <w:rPr>
                <w:rFonts w:ascii="宋体"/>
              </w:rPr>
            </w:pPr>
          </w:p>
        </w:tc>
        <w:tc>
          <w:tcPr>
            <w:tcW w:w="5" w:type="pct"/>
            <w:shd w:val="clear" w:color="auto" w:fill="auto"/>
          </w:tcPr>
          <w:p w14:paraId="0D8DFBC0" w14:textId="77777777" w:rsidR="004C2197" w:rsidRDefault="004C2197">
            <w:pPr>
              <w:rPr>
                <w:rFonts w:ascii="宋体"/>
              </w:rPr>
            </w:pPr>
          </w:p>
        </w:tc>
        <w:tc>
          <w:tcPr>
            <w:tcW w:w="26" w:type="pct"/>
            <w:shd w:val="clear" w:color="auto" w:fill="auto"/>
          </w:tcPr>
          <w:p w14:paraId="0D8DFBC1" w14:textId="77777777" w:rsidR="004C2197" w:rsidRDefault="004C2197">
            <w:pPr>
              <w:rPr>
                <w:rFonts w:ascii="宋体"/>
              </w:rPr>
            </w:pPr>
          </w:p>
        </w:tc>
        <w:tc>
          <w:tcPr>
            <w:tcW w:w="5" w:type="pct"/>
            <w:shd w:val="clear" w:color="auto" w:fill="auto"/>
          </w:tcPr>
          <w:p w14:paraId="0D8DFBC2" w14:textId="77777777" w:rsidR="004C2197" w:rsidRDefault="004C2197">
            <w:pPr>
              <w:rPr>
                <w:rFonts w:ascii="宋体"/>
              </w:rPr>
            </w:pPr>
          </w:p>
        </w:tc>
        <w:tc>
          <w:tcPr>
            <w:tcW w:w="50" w:type="pct"/>
            <w:shd w:val="clear" w:color="auto" w:fill="auto"/>
          </w:tcPr>
          <w:p w14:paraId="0D8DFBC3" w14:textId="77777777" w:rsidR="004C2197" w:rsidRDefault="004C2197">
            <w:pPr>
              <w:rPr>
                <w:rFonts w:ascii="宋体"/>
              </w:rPr>
            </w:pPr>
          </w:p>
        </w:tc>
        <w:tc>
          <w:tcPr>
            <w:tcW w:w="611" w:type="pct"/>
            <w:shd w:val="clear" w:color="auto" w:fill="auto"/>
          </w:tcPr>
          <w:p w14:paraId="0D8DFBC4" w14:textId="77777777" w:rsidR="004C2197" w:rsidRDefault="004C2197">
            <w:pPr>
              <w:rPr>
                <w:rFonts w:ascii="宋体"/>
              </w:rPr>
            </w:pPr>
          </w:p>
        </w:tc>
        <w:tc>
          <w:tcPr>
            <w:tcW w:w="5" w:type="pct"/>
            <w:shd w:val="clear" w:color="auto" w:fill="auto"/>
          </w:tcPr>
          <w:p w14:paraId="0D8DFBC5" w14:textId="77777777" w:rsidR="004C2197" w:rsidRDefault="004C2197">
            <w:pPr>
              <w:rPr>
                <w:rFonts w:ascii="宋体"/>
              </w:rPr>
            </w:pPr>
          </w:p>
        </w:tc>
      </w:tr>
      <w:tr w:rsidR="004C2197" w14:paraId="0D8DFBCB" w14:textId="77777777">
        <w:trPr>
          <w:gridAfter w:val="6"/>
        </w:trPr>
        <w:tc>
          <w:tcPr>
            <w:tcW w:w="0" w:type="auto"/>
            <w:gridSpan w:val="3"/>
            <w:shd w:val="clear" w:color="auto" w:fill="auto"/>
            <w:tcMar>
              <w:left w:w="20" w:type="dxa"/>
              <w:right w:w="20" w:type="dxa"/>
            </w:tcMar>
            <w:vAlign w:val="bottom"/>
          </w:tcPr>
          <w:p w14:paraId="0D8DFBC7"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BC8"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left w:w="20" w:type="dxa"/>
              <w:right w:w="20" w:type="dxa"/>
            </w:tcMar>
            <w:vAlign w:val="bottom"/>
          </w:tcPr>
          <w:p w14:paraId="0D8DFBC9"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BCA" w14:textId="77777777" w:rsidR="004C2197" w:rsidRDefault="00863B83">
            <w:pPr>
              <w:jc w:val="center"/>
              <w:textAlignment w:val="bottom"/>
            </w:pPr>
            <w:r>
              <w:rPr>
                <w:rFonts w:ascii="sans-serif" w:eastAsia="sans-serif" w:hAnsi="sans-serif" w:cs="sans-serif"/>
                <w:b/>
                <w:bCs/>
                <w:color w:val="000000"/>
                <w:sz w:val="20"/>
                <w:szCs w:val="20"/>
              </w:rPr>
              <w:t>January 26,</w:t>
            </w:r>
          </w:p>
        </w:tc>
      </w:tr>
      <w:tr w:rsidR="004C2197" w14:paraId="0D8DFBD0" w14:textId="77777777">
        <w:trPr>
          <w:gridAfter w:val="6"/>
        </w:trPr>
        <w:tc>
          <w:tcPr>
            <w:tcW w:w="0" w:type="auto"/>
            <w:gridSpan w:val="3"/>
            <w:shd w:val="clear" w:color="auto" w:fill="auto"/>
            <w:tcMar>
              <w:top w:w="40" w:type="dxa"/>
              <w:left w:w="20" w:type="dxa"/>
              <w:bottom w:w="40" w:type="dxa"/>
              <w:right w:w="20" w:type="dxa"/>
            </w:tcMar>
            <w:vAlign w:val="bottom"/>
          </w:tcPr>
          <w:p w14:paraId="0D8DFBC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BCD"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FBC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BCF" w14:textId="77777777" w:rsidR="004C2197" w:rsidRDefault="00863B83">
            <w:pPr>
              <w:jc w:val="center"/>
              <w:textAlignment w:val="bottom"/>
            </w:pPr>
            <w:r>
              <w:rPr>
                <w:rFonts w:ascii="sans-serif" w:eastAsia="sans-serif" w:hAnsi="sans-serif" w:cs="sans-serif"/>
                <w:b/>
                <w:bCs/>
                <w:color w:val="000000"/>
                <w:sz w:val="20"/>
                <w:szCs w:val="20"/>
              </w:rPr>
              <w:t>2020</w:t>
            </w:r>
          </w:p>
        </w:tc>
      </w:tr>
      <w:tr w:rsidR="004C2197" w14:paraId="0D8DFBD5" w14:textId="77777777">
        <w:trPr>
          <w:gridAfter w:val="6"/>
          <w:trHeight w:val="60"/>
        </w:trPr>
        <w:tc>
          <w:tcPr>
            <w:tcW w:w="0" w:type="auto"/>
            <w:gridSpan w:val="3"/>
            <w:shd w:val="clear" w:color="auto" w:fill="auto"/>
            <w:tcMar>
              <w:left w:w="20" w:type="dxa"/>
              <w:right w:w="20" w:type="dxa"/>
            </w:tcMar>
            <w:vAlign w:val="bottom"/>
          </w:tcPr>
          <w:p w14:paraId="0D8DFBD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BD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BD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BD4" w14:textId="77777777" w:rsidR="004C2197" w:rsidRDefault="004C2197">
            <w:pPr>
              <w:rPr>
                <w:rFonts w:ascii="宋体"/>
              </w:rPr>
            </w:pPr>
          </w:p>
        </w:tc>
      </w:tr>
      <w:tr w:rsidR="004C2197" w14:paraId="0D8DFBDA" w14:textId="77777777">
        <w:tc>
          <w:tcPr>
            <w:tcW w:w="0" w:type="auto"/>
            <w:gridSpan w:val="3"/>
            <w:shd w:val="clear" w:color="auto" w:fill="auto"/>
            <w:tcMar>
              <w:top w:w="40" w:type="dxa"/>
              <w:left w:w="20" w:type="dxa"/>
              <w:bottom w:w="40" w:type="dxa"/>
              <w:right w:w="20" w:type="dxa"/>
            </w:tcMar>
            <w:vAlign w:val="bottom"/>
          </w:tcPr>
          <w:p w14:paraId="0D8DFBD6" w14:textId="77777777" w:rsidR="004C2197" w:rsidRDefault="00863B83">
            <w:pPr>
              <w:textAlignment w:val="bottom"/>
            </w:pPr>
            <w:r>
              <w:rPr>
                <w:rFonts w:ascii="sans-serif" w:eastAsia="sans-serif" w:hAnsi="sans-serif" w:cs="sans-serif"/>
                <w:b/>
                <w:bCs/>
                <w:color w:val="000000"/>
                <w:sz w:val="20"/>
                <w:szCs w:val="20"/>
              </w:rPr>
              <w:t xml:space="preserve">Other Long-Term </w:t>
            </w:r>
            <w:r>
              <w:rPr>
                <w:rFonts w:ascii="sans-serif" w:eastAsia="sans-serif" w:hAnsi="sans-serif" w:cs="sans-serif"/>
                <w:b/>
                <w:bCs/>
                <w:color w:val="000000"/>
                <w:sz w:val="20"/>
                <w:szCs w:val="20"/>
              </w:rPr>
              <w:t>Liabilities:</w:t>
            </w:r>
          </w:p>
        </w:tc>
        <w:tc>
          <w:tcPr>
            <w:tcW w:w="0" w:type="auto"/>
            <w:gridSpan w:val="9"/>
            <w:shd w:val="clear" w:color="auto" w:fill="auto"/>
            <w:tcMar>
              <w:top w:w="40" w:type="dxa"/>
              <w:left w:w="20" w:type="dxa"/>
              <w:bottom w:w="40" w:type="dxa"/>
              <w:right w:w="20" w:type="dxa"/>
            </w:tcMar>
            <w:vAlign w:val="bottom"/>
          </w:tcPr>
          <w:p w14:paraId="0D8DFBD7"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BD8" w14:textId="77777777" w:rsidR="004C2197" w:rsidRDefault="004C2197">
            <w:pPr>
              <w:rPr>
                <w:rFonts w:ascii="宋体"/>
                <w:vanish/>
              </w:rPr>
            </w:pPr>
          </w:p>
        </w:tc>
        <w:tc>
          <w:tcPr>
            <w:tcW w:w="0" w:type="auto"/>
            <w:gridSpan w:val="3"/>
            <w:shd w:val="clear" w:color="auto" w:fill="auto"/>
          </w:tcPr>
          <w:p w14:paraId="0D8DFBD9" w14:textId="77777777" w:rsidR="004C2197" w:rsidRDefault="004C2197">
            <w:pPr>
              <w:rPr>
                <w:rFonts w:ascii="宋体"/>
                <w:vanish/>
              </w:rPr>
            </w:pPr>
          </w:p>
        </w:tc>
      </w:tr>
      <w:tr w:rsidR="004C2197" w14:paraId="0D8DFBE9" w14:textId="77777777">
        <w:tc>
          <w:tcPr>
            <w:tcW w:w="0" w:type="auto"/>
            <w:gridSpan w:val="3"/>
            <w:shd w:val="clear" w:color="auto" w:fill="E2EFD9"/>
            <w:tcMar>
              <w:top w:w="40" w:type="dxa"/>
              <w:left w:w="20" w:type="dxa"/>
              <w:bottom w:w="40" w:type="dxa"/>
              <w:right w:w="20" w:type="dxa"/>
            </w:tcMar>
            <w:vAlign w:val="bottom"/>
          </w:tcPr>
          <w:p w14:paraId="0D8DFBDB" w14:textId="77777777" w:rsidR="004C2197" w:rsidRDefault="00863B83">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tcMar>
            <w:vAlign w:val="bottom"/>
          </w:tcPr>
          <w:p w14:paraId="0D8DFBD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BDD" w14:textId="77777777" w:rsidR="004C2197" w:rsidRDefault="00863B83">
            <w:pPr>
              <w:jc w:val="right"/>
              <w:textAlignment w:val="bottom"/>
            </w:pPr>
            <w:r>
              <w:rPr>
                <w:rFonts w:ascii="sans-serif" w:eastAsia="sans-serif" w:hAnsi="sans-serif" w:cs="sans-serif"/>
                <w:color w:val="000000"/>
                <w:sz w:val="20"/>
                <w:szCs w:val="20"/>
              </w:rPr>
              <w:t>721 </w:t>
            </w:r>
          </w:p>
        </w:tc>
        <w:tc>
          <w:tcPr>
            <w:tcW w:w="0" w:type="auto"/>
            <w:shd w:val="clear" w:color="auto" w:fill="E2EFD9"/>
            <w:tcMar>
              <w:top w:w="40" w:type="dxa"/>
              <w:bottom w:w="40" w:type="dxa"/>
              <w:right w:w="20" w:type="dxa"/>
            </w:tcMar>
            <w:vAlign w:val="bottom"/>
          </w:tcPr>
          <w:p w14:paraId="0D8DFBD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BD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BE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BE1" w14:textId="77777777" w:rsidR="004C2197" w:rsidRDefault="00863B83">
            <w:pPr>
              <w:jc w:val="right"/>
              <w:textAlignment w:val="bottom"/>
            </w:pPr>
            <w:r>
              <w:rPr>
                <w:rFonts w:ascii="sans-serif" w:eastAsia="sans-serif" w:hAnsi="sans-serif" w:cs="sans-serif"/>
                <w:color w:val="000000"/>
                <w:sz w:val="20"/>
                <w:szCs w:val="20"/>
              </w:rPr>
              <w:t>528 </w:t>
            </w:r>
          </w:p>
        </w:tc>
        <w:tc>
          <w:tcPr>
            <w:tcW w:w="0" w:type="auto"/>
            <w:shd w:val="clear" w:color="auto" w:fill="E2EFD9"/>
            <w:tcMar>
              <w:top w:w="40" w:type="dxa"/>
              <w:bottom w:w="40" w:type="dxa"/>
              <w:right w:w="20" w:type="dxa"/>
            </w:tcMar>
            <w:vAlign w:val="bottom"/>
          </w:tcPr>
          <w:p w14:paraId="0D8DFBE2" w14:textId="77777777" w:rsidR="004C2197" w:rsidRDefault="004C2197">
            <w:pPr>
              <w:jc w:val="right"/>
              <w:rPr>
                <w:rFonts w:ascii="宋体"/>
              </w:rPr>
            </w:pPr>
          </w:p>
        </w:tc>
        <w:tc>
          <w:tcPr>
            <w:tcW w:w="0" w:type="auto"/>
            <w:shd w:val="clear" w:color="auto" w:fill="auto"/>
          </w:tcPr>
          <w:p w14:paraId="0D8DFBE3" w14:textId="77777777" w:rsidR="004C2197" w:rsidRDefault="004C2197">
            <w:pPr>
              <w:rPr>
                <w:rFonts w:ascii="宋体"/>
              </w:rPr>
            </w:pPr>
          </w:p>
        </w:tc>
        <w:tc>
          <w:tcPr>
            <w:tcW w:w="0" w:type="auto"/>
            <w:shd w:val="clear" w:color="auto" w:fill="auto"/>
          </w:tcPr>
          <w:p w14:paraId="0D8DFBE4" w14:textId="77777777" w:rsidR="004C2197" w:rsidRDefault="004C2197">
            <w:pPr>
              <w:rPr>
                <w:rFonts w:ascii="宋体"/>
              </w:rPr>
            </w:pPr>
          </w:p>
        </w:tc>
        <w:tc>
          <w:tcPr>
            <w:tcW w:w="0" w:type="auto"/>
            <w:shd w:val="clear" w:color="auto" w:fill="auto"/>
          </w:tcPr>
          <w:p w14:paraId="0D8DFBE5" w14:textId="77777777" w:rsidR="004C2197" w:rsidRDefault="004C2197">
            <w:pPr>
              <w:rPr>
                <w:rFonts w:ascii="宋体"/>
              </w:rPr>
            </w:pPr>
          </w:p>
        </w:tc>
        <w:tc>
          <w:tcPr>
            <w:tcW w:w="0" w:type="auto"/>
            <w:shd w:val="clear" w:color="auto" w:fill="auto"/>
          </w:tcPr>
          <w:p w14:paraId="0D8DFBE6" w14:textId="77777777" w:rsidR="004C2197" w:rsidRDefault="004C2197">
            <w:pPr>
              <w:rPr>
                <w:rFonts w:ascii="宋体"/>
              </w:rPr>
            </w:pPr>
          </w:p>
        </w:tc>
        <w:tc>
          <w:tcPr>
            <w:tcW w:w="0" w:type="auto"/>
            <w:shd w:val="clear" w:color="auto" w:fill="auto"/>
          </w:tcPr>
          <w:p w14:paraId="0D8DFBE7" w14:textId="77777777" w:rsidR="004C2197" w:rsidRDefault="004C2197">
            <w:pPr>
              <w:rPr>
                <w:rFonts w:ascii="宋体"/>
              </w:rPr>
            </w:pPr>
          </w:p>
        </w:tc>
        <w:tc>
          <w:tcPr>
            <w:tcW w:w="0" w:type="auto"/>
            <w:shd w:val="clear" w:color="auto" w:fill="auto"/>
          </w:tcPr>
          <w:p w14:paraId="0D8DFBE8" w14:textId="77777777" w:rsidR="004C2197" w:rsidRDefault="004C2197">
            <w:pPr>
              <w:rPr>
                <w:rFonts w:ascii="宋体"/>
              </w:rPr>
            </w:pPr>
          </w:p>
        </w:tc>
      </w:tr>
      <w:tr w:rsidR="004C2197" w14:paraId="0D8DFBF6" w14:textId="77777777">
        <w:tc>
          <w:tcPr>
            <w:tcW w:w="0" w:type="auto"/>
            <w:gridSpan w:val="3"/>
            <w:shd w:val="clear" w:color="auto" w:fill="FFFFFF"/>
            <w:tcMar>
              <w:top w:w="40" w:type="dxa"/>
              <w:left w:w="20" w:type="dxa"/>
              <w:bottom w:w="40" w:type="dxa"/>
              <w:right w:w="20" w:type="dxa"/>
            </w:tcMar>
            <w:vAlign w:val="bottom"/>
          </w:tcPr>
          <w:p w14:paraId="0D8DFBEA" w14:textId="77777777" w:rsidR="004C2197" w:rsidRDefault="00863B83">
            <w:pPr>
              <w:textAlignment w:val="bottom"/>
            </w:pPr>
            <w:r>
              <w:rPr>
                <w:rFonts w:ascii="sans-serif" w:eastAsia="sans-serif" w:hAnsi="sans-serif" w:cs="sans-serif"/>
                <w:color w:val="000000"/>
                <w:sz w:val="20"/>
                <w:szCs w:val="20"/>
              </w:rPr>
              <w:t>Deferred income tax (2)</w:t>
            </w:r>
          </w:p>
        </w:tc>
        <w:tc>
          <w:tcPr>
            <w:tcW w:w="0" w:type="auto"/>
            <w:gridSpan w:val="2"/>
            <w:shd w:val="clear" w:color="auto" w:fill="FFFFFF"/>
            <w:tcMar>
              <w:top w:w="40" w:type="dxa"/>
              <w:left w:w="20" w:type="dxa"/>
              <w:bottom w:w="40" w:type="dxa"/>
              <w:right w:w="0" w:type="dxa"/>
            </w:tcMar>
            <w:vAlign w:val="bottom"/>
          </w:tcPr>
          <w:p w14:paraId="0D8DFBEB" w14:textId="77777777" w:rsidR="004C2197" w:rsidRDefault="00863B83">
            <w:pPr>
              <w:jc w:val="right"/>
              <w:textAlignment w:val="bottom"/>
            </w:pPr>
            <w:r>
              <w:rPr>
                <w:rFonts w:ascii="sans-serif" w:eastAsia="sans-serif" w:hAnsi="sans-serif" w:cs="sans-serif"/>
                <w:color w:val="000000"/>
                <w:sz w:val="20"/>
                <w:szCs w:val="20"/>
              </w:rPr>
              <w:t>274 </w:t>
            </w:r>
          </w:p>
        </w:tc>
        <w:tc>
          <w:tcPr>
            <w:tcW w:w="0" w:type="auto"/>
            <w:shd w:val="clear" w:color="auto" w:fill="FFFFFF"/>
            <w:tcMar>
              <w:top w:w="40" w:type="dxa"/>
              <w:bottom w:w="40" w:type="dxa"/>
              <w:right w:w="20" w:type="dxa"/>
            </w:tcMar>
            <w:vAlign w:val="bottom"/>
          </w:tcPr>
          <w:p w14:paraId="0D8DFBE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BED" w14:textId="77777777" w:rsidR="004C2197" w:rsidRDefault="004C2197">
            <w:pPr>
              <w:jc w:val="right"/>
              <w:rPr>
                <w:rFonts w:ascii="宋体"/>
              </w:rPr>
            </w:pPr>
          </w:p>
        </w:tc>
        <w:tc>
          <w:tcPr>
            <w:tcW w:w="0" w:type="auto"/>
            <w:gridSpan w:val="2"/>
            <w:shd w:val="clear" w:color="auto" w:fill="FFFFFF"/>
            <w:tcMar>
              <w:top w:w="40" w:type="dxa"/>
              <w:left w:w="20" w:type="dxa"/>
              <w:bottom w:w="40" w:type="dxa"/>
              <w:right w:w="0" w:type="dxa"/>
            </w:tcMar>
            <w:vAlign w:val="bottom"/>
          </w:tcPr>
          <w:p w14:paraId="0D8DFBEE" w14:textId="77777777" w:rsidR="004C2197" w:rsidRDefault="00863B83">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bottom w:w="40" w:type="dxa"/>
              <w:right w:w="20" w:type="dxa"/>
            </w:tcMar>
            <w:vAlign w:val="bottom"/>
          </w:tcPr>
          <w:p w14:paraId="0D8DFBEF" w14:textId="77777777" w:rsidR="004C2197" w:rsidRDefault="004C2197">
            <w:pPr>
              <w:jc w:val="right"/>
              <w:rPr>
                <w:rFonts w:ascii="宋体"/>
              </w:rPr>
            </w:pPr>
          </w:p>
        </w:tc>
        <w:tc>
          <w:tcPr>
            <w:tcW w:w="0" w:type="auto"/>
            <w:shd w:val="clear" w:color="auto" w:fill="auto"/>
          </w:tcPr>
          <w:p w14:paraId="0D8DFBF0" w14:textId="77777777" w:rsidR="004C2197" w:rsidRDefault="004C2197">
            <w:pPr>
              <w:rPr>
                <w:rFonts w:ascii="宋体"/>
              </w:rPr>
            </w:pPr>
          </w:p>
        </w:tc>
        <w:tc>
          <w:tcPr>
            <w:tcW w:w="0" w:type="auto"/>
            <w:shd w:val="clear" w:color="auto" w:fill="auto"/>
          </w:tcPr>
          <w:p w14:paraId="0D8DFBF1" w14:textId="77777777" w:rsidR="004C2197" w:rsidRDefault="004C2197">
            <w:pPr>
              <w:rPr>
                <w:rFonts w:ascii="宋体"/>
              </w:rPr>
            </w:pPr>
          </w:p>
        </w:tc>
        <w:tc>
          <w:tcPr>
            <w:tcW w:w="0" w:type="auto"/>
            <w:shd w:val="clear" w:color="auto" w:fill="auto"/>
          </w:tcPr>
          <w:p w14:paraId="0D8DFBF2" w14:textId="77777777" w:rsidR="004C2197" w:rsidRDefault="004C2197">
            <w:pPr>
              <w:rPr>
                <w:rFonts w:ascii="宋体"/>
              </w:rPr>
            </w:pPr>
          </w:p>
        </w:tc>
        <w:tc>
          <w:tcPr>
            <w:tcW w:w="0" w:type="auto"/>
            <w:shd w:val="clear" w:color="auto" w:fill="auto"/>
          </w:tcPr>
          <w:p w14:paraId="0D8DFBF3" w14:textId="77777777" w:rsidR="004C2197" w:rsidRDefault="004C2197">
            <w:pPr>
              <w:rPr>
                <w:rFonts w:ascii="宋体"/>
              </w:rPr>
            </w:pPr>
          </w:p>
        </w:tc>
        <w:tc>
          <w:tcPr>
            <w:tcW w:w="0" w:type="auto"/>
            <w:shd w:val="clear" w:color="auto" w:fill="auto"/>
          </w:tcPr>
          <w:p w14:paraId="0D8DFBF4" w14:textId="77777777" w:rsidR="004C2197" w:rsidRDefault="004C2197">
            <w:pPr>
              <w:rPr>
                <w:rFonts w:ascii="宋体"/>
              </w:rPr>
            </w:pPr>
          </w:p>
        </w:tc>
        <w:tc>
          <w:tcPr>
            <w:tcW w:w="0" w:type="auto"/>
            <w:shd w:val="clear" w:color="auto" w:fill="auto"/>
          </w:tcPr>
          <w:p w14:paraId="0D8DFBF5" w14:textId="77777777" w:rsidR="004C2197" w:rsidRDefault="004C2197">
            <w:pPr>
              <w:rPr>
                <w:rFonts w:ascii="宋体"/>
              </w:rPr>
            </w:pPr>
          </w:p>
        </w:tc>
      </w:tr>
      <w:tr w:rsidR="004C2197" w14:paraId="0D8DFC03" w14:textId="77777777">
        <w:tc>
          <w:tcPr>
            <w:tcW w:w="0" w:type="auto"/>
            <w:gridSpan w:val="3"/>
            <w:shd w:val="clear" w:color="auto" w:fill="E2EFD9"/>
            <w:tcMar>
              <w:top w:w="40" w:type="dxa"/>
              <w:left w:w="20" w:type="dxa"/>
              <w:bottom w:w="40" w:type="dxa"/>
              <w:right w:w="20" w:type="dxa"/>
            </w:tcMar>
            <w:vAlign w:val="bottom"/>
          </w:tcPr>
          <w:p w14:paraId="0D8DFBF7" w14:textId="77777777" w:rsidR="004C2197" w:rsidRDefault="00863B83">
            <w:pPr>
              <w:textAlignment w:val="bottom"/>
            </w:pPr>
            <w:r>
              <w:rPr>
                <w:rFonts w:ascii="sans-serif" w:eastAsia="sans-serif" w:hAnsi="sans-serif" w:cs="sans-serif"/>
                <w:color w:val="000000"/>
                <w:sz w:val="20"/>
                <w:szCs w:val="20"/>
              </w:rPr>
              <w:t>Deferred revenue (3)</w:t>
            </w:r>
          </w:p>
        </w:tc>
        <w:tc>
          <w:tcPr>
            <w:tcW w:w="0" w:type="auto"/>
            <w:gridSpan w:val="2"/>
            <w:shd w:val="clear" w:color="auto" w:fill="E2EFD9"/>
            <w:tcMar>
              <w:top w:w="40" w:type="dxa"/>
              <w:left w:w="20" w:type="dxa"/>
              <w:bottom w:w="40" w:type="dxa"/>
              <w:right w:w="0" w:type="dxa"/>
            </w:tcMar>
            <w:vAlign w:val="bottom"/>
          </w:tcPr>
          <w:p w14:paraId="0D8DFBF8" w14:textId="77777777" w:rsidR="004C2197" w:rsidRDefault="00863B83">
            <w:pPr>
              <w:jc w:val="right"/>
              <w:textAlignment w:val="bottom"/>
            </w:pPr>
            <w:r>
              <w:rPr>
                <w:rFonts w:ascii="sans-serif" w:eastAsia="sans-serif" w:hAnsi="sans-serif" w:cs="sans-serif"/>
                <w:color w:val="000000"/>
                <w:sz w:val="20"/>
                <w:szCs w:val="20"/>
              </w:rPr>
              <w:t>120 </w:t>
            </w:r>
          </w:p>
        </w:tc>
        <w:tc>
          <w:tcPr>
            <w:tcW w:w="0" w:type="auto"/>
            <w:shd w:val="clear" w:color="auto" w:fill="E2EFD9"/>
            <w:tcMar>
              <w:top w:w="40" w:type="dxa"/>
              <w:bottom w:w="40" w:type="dxa"/>
              <w:right w:w="20" w:type="dxa"/>
            </w:tcMar>
            <w:vAlign w:val="bottom"/>
          </w:tcPr>
          <w:p w14:paraId="0D8DFBF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BF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BFB" w14:textId="77777777" w:rsidR="004C2197" w:rsidRDefault="00863B83">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bottom w:w="40" w:type="dxa"/>
              <w:right w:w="20" w:type="dxa"/>
            </w:tcMar>
            <w:vAlign w:val="bottom"/>
          </w:tcPr>
          <w:p w14:paraId="0D8DFBFC" w14:textId="77777777" w:rsidR="004C2197" w:rsidRDefault="004C2197">
            <w:pPr>
              <w:jc w:val="right"/>
              <w:rPr>
                <w:rFonts w:ascii="宋体"/>
              </w:rPr>
            </w:pPr>
          </w:p>
        </w:tc>
        <w:tc>
          <w:tcPr>
            <w:tcW w:w="0" w:type="auto"/>
            <w:shd w:val="clear" w:color="auto" w:fill="auto"/>
          </w:tcPr>
          <w:p w14:paraId="0D8DFBFD" w14:textId="77777777" w:rsidR="004C2197" w:rsidRDefault="004C2197">
            <w:pPr>
              <w:rPr>
                <w:rFonts w:ascii="宋体"/>
              </w:rPr>
            </w:pPr>
          </w:p>
        </w:tc>
        <w:tc>
          <w:tcPr>
            <w:tcW w:w="0" w:type="auto"/>
            <w:shd w:val="clear" w:color="auto" w:fill="auto"/>
          </w:tcPr>
          <w:p w14:paraId="0D8DFBFE" w14:textId="77777777" w:rsidR="004C2197" w:rsidRDefault="004C2197">
            <w:pPr>
              <w:rPr>
                <w:rFonts w:ascii="宋体"/>
              </w:rPr>
            </w:pPr>
          </w:p>
        </w:tc>
        <w:tc>
          <w:tcPr>
            <w:tcW w:w="0" w:type="auto"/>
            <w:shd w:val="clear" w:color="auto" w:fill="auto"/>
          </w:tcPr>
          <w:p w14:paraId="0D8DFBFF" w14:textId="77777777" w:rsidR="004C2197" w:rsidRDefault="004C2197">
            <w:pPr>
              <w:rPr>
                <w:rFonts w:ascii="宋体"/>
              </w:rPr>
            </w:pPr>
          </w:p>
        </w:tc>
        <w:tc>
          <w:tcPr>
            <w:tcW w:w="0" w:type="auto"/>
            <w:shd w:val="clear" w:color="auto" w:fill="auto"/>
          </w:tcPr>
          <w:p w14:paraId="0D8DFC00" w14:textId="77777777" w:rsidR="004C2197" w:rsidRDefault="004C2197">
            <w:pPr>
              <w:rPr>
                <w:rFonts w:ascii="宋体"/>
              </w:rPr>
            </w:pPr>
          </w:p>
        </w:tc>
        <w:tc>
          <w:tcPr>
            <w:tcW w:w="0" w:type="auto"/>
            <w:shd w:val="clear" w:color="auto" w:fill="auto"/>
          </w:tcPr>
          <w:p w14:paraId="0D8DFC01" w14:textId="77777777" w:rsidR="004C2197" w:rsidRDefault="004C2197">
            <w:pPr>
              <w:rPr>
                <w:rFonts w:ascii="宋体"/>
              </w:rPr>
            </w:pPr>
          </w:p>
        </w:tc>
        <w:tc>
          <w:tcPr>
            <w:tcW w:w="0" w:type="auto"/>
            <w:shd w:val="clear" w:color="auto" w:fill="auto"/>
          </w:tcPr>
          <w:p w14:paraId="0D8DFC02" w14:textId="77777777" w:rsidR="004C2197" w:rsidRDefault="004C2197">
            <w:pPr>
              <w:rPr>
                <w:rFonts w:ascii="宋体"/>
              </w:rPr>
            </w:pPr>
          </w:p>
        </w:tc>
      </w:tr>
      <w:tr w:rsidR="004C2197" w14:paraId="0D8DFC10" w14:textId="77777777">
        <w:tc>
          <w:tcPr>
            <w:tcW w:w="0" w:type="auto"/>
            <w:gridSpan w:val="3"/>
            <w:shd w:val="clear" w:color="auto" w:fill="FFFFFF"/>
            <w:tcMar>
              <w:top w:w="40" w:type="dxa"/>
              <w:left w:w="20" w:type="dxa"/>
              <w:bottom w:w="40" w:type="dxa"/>
              <w:right w:w="20" w:type="dxa"/>
            </w:tcMar>
            <w:vAlign w:val="bottom"/>
          </w:tcPr>
          <w:p w14:paraId="0D8DFC04" w14:textId="77777777" w:rsidR="004C2197" w:rsidRDefault="00863B83">
            <w:pPr>
              <w:textAlignment w:val="bottom"/>
            </w:pPr>
            <w:r>
              <w:rPr>
                <w:rFonts w:ascii="sans-serif" w:eastAsia="sans-serif" w:hAnsi="sans-serif" w:cs="sans-serif"/>
                <w:color w:val="000000"/>
                <w:sz w:val="20"/>
                <w:szCs w:val="20"/>
              </w:rPr>
              <w:t>Licenses payable</w:t>
            </w:r>
          </w:p>
        </w:tc>
        <w:tc>
          <w:tcPr>
            <w:tcW w:w="0" w:type="auto"/>
            <w:gridSpan w:val="2"/>
            <w:shd w:val="clear" w:color="auto" w:fill="FFFFFF"/>
            <w:tcMar>
              <w:top w:w="40" w:type="dxa"/>
              <w:left w:w="20" w:type="dxa"/>
              <w:bottom w:w="40" w:type="dxa"/>
              <w:right w:w="0" w:type="dxa"/>
            </w:tcMar>
            <w:vAlign w:val="bottom"/>
          </w:tcPr>
          <w:p w14:paraId="0D8DFC05" w14:textId="77777777" w:rsidR="004C2197" w:rsidRDefault="00863B83">
            <w:pPr>
              <w:jc w:val="right"/>
              <w:textAlignment w:val="bottom"/>
            </w:pPr>
            <w:r>
              <w:rPr>
                <w:rFonts w:ascii="sans-serif" w:eastAsia="sans-serif" w:hAnsi="sans-serif" w:cs="sans-serif"/>
                <w:color w:val="000000"/>
                <w:sz w:val="20"/>
                <w:szCs w:val="20"/>
              </w:rPr>
              <w:t>89 </w:t>
            </w:r>
          </w:p>
        </w:tc>
        <w:tc>
          <w:tcPr>
            <w:tcW w:w="0" w:type="auto"/>
            <w:shd w:val="clear" w:color="auto" w:fill="FFFFFF"/>
            <w:tcMar>
              <w:top w:w="40" w:type="dxa"/>
              <w:bottom w:w="40" w:type="dxa"/>
              <w:right w:w="20" w:type="dxa"/>
            </w:tcMar>
            <w:vAlign w:val="bottom"/>
          </w:tcPr>
          <w:p w14:paraId="0D8DFC0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C0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C08" w14:textId="77777777" w:rsidR="004C2197" w:rsidRDefault="00863B83">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bottom w:w="40" w:type="dxa"/>
              <w:right w:w="20" w:type="dxa"/>
            </w:tcMar>
            <w:vAlign w:val="bottom"/>
          </w:tcPr>
          <w:p w14:paraId="0D8DFC09" w14:textId="77777777" w:rsidR="004C2197" w:rsidRDefault="004C2197">
            <w:pPr>
              <w:jc w:val="right"/>
              <w:rPr>
                <w:rFonts w:ascii="宋体"/>
              </w:rPr>
            </w:pPr>
          </w:p>
        </w:tc>
        <w:tc>
          <w:tcPr>
            <w:tcW w:w="0" w:type="auto"/>
            <w:shd w:val="clear" w:color="auto" w:fill="auto"/>
          </w:tcPr>
          <w:p w14:paraId="0D8DFC0A" w14:textId="77777777" w:rsidR="004C2197" w:rsidRDefault="004C2197">
            <w:pPr>
              <w:rPr>
                <w:rFonts w:ascii="宋体"/>
              </w:rPr>
            </w:pPr>
          </w:p>
        </w:tc>
        <w:tc>
          <w:tcPr>
            <w:tcW w:w="0" w:type="auto"/>
            <w:shd w:val="clear" w:color="auto" w:fill="auto"/>
          </w:tcPr>
          <w:p w14:paraId="0D8DFC0B" w14:textId="77777777" w:rsidR="004C2197" w:rsidRDefault="004C2197">
            <w:pPr>
              <w:rPr>
                <w:rFonts w:ascii="宋体"/>
              </w:rPr>
            </w:pPr>
          </w:p>
        </w:tc>
        <w:tc>
          <w:tcPr>
            <w:tcW w:w="0" w:type="auto"/>
            <w:shd w:val="clear" w:color="auto" w:fill="auto"/>
          </w:tcPr>
          <w:p w14:paraId="0D8DFC0C" w14:textId="77777777" w:rsidR="004C2197" w:rsidRDefault="004C2197">
            <w:pPr>
              <w:rPr>
                <w:rFonts w:ascii="宋体"/>
              </w:rPr>
            </w:pPr>
          </w:p>
        </w:tc>
        <w:tc>
          <w:tcPr>
            <w:tcW w:w="0" w:type="auto"/>
            <w:shd w:val="clear" w:color="auto" w:fill="auto"/>
          </w:tcPr>
          <w:p w14:paraId="0D8DFC0D" w14:textId="77777777" w:rsidR="004C2197" w:rsidRDefault="004C2197">
            <w:pPr>
              <w:rPr>
                <w:rFonts w:ascii="宋体"/>
              </w:rPr>
            </w:pPr>
          </w:p>
        </w:tc>
        <w:tc>
          <w:tcPr>
            <w:tcW w:w="0" w:type="auto"/>
            <w:shd w:val="clear" w:color="auto" w:fill="auto"/>
          </w:tcPr>
          <w:p w14:paraId="0D8DFC0E" w14:textId="77777777" w:rsidR="004C2197" w:rsidRDefault="004C2197">
            <w:pPr>
              <w:rPr>
                <w:rFonts w:ascii="宋体"/>
              </w:rPr>
            </w:pPr>
          </w:p>
        </w:tc>
        <w:tc>
          <w:tcPr>
            <w:tcW w:w="0" w:type="auto"/>
            <w:shd w:val="clear" w:color="auto" w:fill="auto"/>
          </w:tcPr>
          <w:p w14:paraId="0D8DFC0F" w14:textId="77777777" w:rsidR="004C2197" w:rsidRDefault="004C2197">
            <w:pPr>
              <w:rPr>
                <w:rFonts w:ascii="宋体"/>
              </w:rPr>
            </w:pPr>
          </w:p>
        </w:tc>
      </w:tr>
      <w:tr w:rsidR="004C2197" w14:paraId="0D8DFC1D" w14:textId="77777777">
        <w:tc>
          <w:tcPr>
            <w:tcW w:w="0" w:type="auto"/>
            <w:gridSpan w:val="3"/>
            <w:shd w:val="clear" w:color="auto" w:fill="E2EFD9"/>
            <w:tcMar>
              <w:top w:w="40" w:type="dxa"/>
              <w:left w:w="20" w:type="dxa"/>
              <w:bottom w:w="40" w:type="dxa"/>
              <w:right w:w="20" w:type="dxa"/>
            </w:tcMar>
            <w:vAlign w:val="bottom"/>
          </w:tcPr>
          <w:p w14:paraId="0D8DFC11" w14:textId="77777777" w:rsidR="004C2197" w:rsidRDefault="00863B83">
            <w:pPr>
              <w:textAlignment w:val="bottom"/>
            </w:pPr>
            <w:r>
              <w:rPr>
                <w:rFonts w:ascii="sans-serif" w:eastAsia="sans-serif" w:hAnsi="sans-serif" w:cs="sans-serif"/>
                <w:color w:val="000000"/>
                <w:sz w:val="20"/>
                <w:szCs w:val="20"/>
              </w:rPr>
              <w:t>Employee benefits</w:t>
            </w:r>
          </w:p>
        </w:tc>
        <w:tc>
          <w:tcPr>
            <w:tcW w:w="0" w:type="auto"/>
            <w:gridSpan w:val="2"/>
            <w:shd w:val="clear" w:color="auto" w:fill="E2EFD9"/>
            <w:tcMar>
              <w:top w:w="40" w:type="dxa"/>
              <w:left w:w="20" w:type="dxa"/>
              <w:bottom w:w="40" w:type="dxa"/>
              <w:right w:w="0" w:type="dxa"/>
            </w:tcMar>
            <w:vAlign w:val="bottom"/>
          </w:tcPr>
          <w:p w14:paraId="0D8DFC12" w14:textId="77777777" w:rsidR="004C2197" w:rsidRDefault="00863B83">
            <w:pPr>
              <w:jc w:val="right"/>
              <w:textAlignment w:val="bottom"/>
            </w:pPr>
            <w:r>
              <w:rPr>
                <w:rFonts w:ascii="sans-serif" w:eastAsia="sans-serif" w:hAnsi="sans-serif" w:cs="sans-serif"/>
                <w:color w:val="000000"/>
                <w:sz w:val="20"/>
                <w:szCs w:val="20"/>
              </w:rPr>
              <w:t>38 </w:t>
            </w:r>
          </w:p>
        </w:tc>
        <w:tc>
          <w:tcPr>
            <w:tcW w:w="0" w:type="auto"/>
            <w:shd w:val="clear" w:color="auto" w:fill="E2EFD9"/>
            <w:tcMar>
              <w:top w:w="40" w:type="dxa"/>
              <w:bottom w:w="40" w:type="dxa"/>
              <w:right w:w="20" w:type="dxa"/>
            </w:tcMar>
            <w:vAlign w:val="bottom"/>
          </w:tcPr>
          <w:p w14:paraId="0D8DFC1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1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C15" w14:textId="77777777" w:rsidR="004C2197" w:rsidRDefault="00863B83">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bottom w:w="40" w:type="dxa"/>
              <w:right w:w="20" w:type="dxa"/>
            </w:tcMar>
            <w:vAlign w:val="bottom"/>
          </w:tcPr>
          <w:p w14:paraId="0D8DFC16" w14:textId="77777777" w:rsidR="004C2197" w:rsidRDefault="004C2197">
            <w:pPr>
              <w:jc w:val="right"/>
              <w:rPr>
                <w:rFonts w:ascii="宋体"/>
              </w:rPr>
            </w:pPr>
          </w:p>
        </w:tc>
        <w:tc>
          <w:tcPr>
            <w:tcW w:w="0" w:type="auto"/>
            <w:shd w:val="clear" w:color="auto" w:fill="auto"/>
          </w:tcPr>
          <w:p w14:paraId="0D8DFC17" w14:textId="77777777" w:rsidR="004C2197" w:rsidRDefault="004C2197">
            <w:pPr>
              <w:rPr>
                <w:rFonts w:ascii="宋体"/>
              </w:rPr>
            </w:pPr>
          </w:p>
        </w:tc>
        <w:tc>
          <w:tcPr>
            <w:tcW w:w="0" w:type="auto"/>
            <w:shd w:val="clear" w:color="auto" w:fill="auto"/>
          </w:tcPr>
          <w:p w14:paraId="0D8DFC18" w14:textId="77777777" w:rsidR="004C2197" w:rsidRDefault="004C2197">
            <w:pPr>
              <w:rPr>
                <w:rFonts w:ascii="宋体"/>
              </w:rPr>
            </w:pPr>
          </w:p>
        </w:tc>
        <w:tc>
          <w:tcPr>
            <w:tcW w:w="0" w:type="auto"/>
            <w:shd w:val="clear" w:color="auto" w:fill="auto"/>
          </w:tcPr>
          <w:p w14:paraId="0D8DFC19" w14:textId="77777777" w:rsidR="004C2197" w:rsidRDefault="004C2197">
            <w:pPr>
              <w:rPr>
                <w:rFonts w:ascii="宋体"/>
              </w:rPr>
            </w:pPr>
          </w:p>
        </w:tc>
        <w:tc>
          <w:tcPr>
            <w:tcW w:w="0" w:type="auto"/>
            <w:shd w:val="clear" w:color="auto" w:fill="auto"/>
          </w:tcPr>
          <w:p w14:paraId="0D8DFC1A" w14:textId="77777777" w:rsidR="004C2197" w:rsidRDefault="004C2197">
            <w:pPr>
              <w:rPr>
                <w:rFonts w:ascii="宋体"/>
              </w:rPr>
            </w:pPr>
          </w:p>
        </w:tc>
        <w:tc>
          <w:tcPr>
            <w:tcW w:w="0" w:type="auto"/>
            <w:shd w:val="clear" w:color="auto" w:fill="auto"/>
          </w:tcPr>
          <w:p w14:paraId="0D8DFC1B" w14:textId="77777777" w:rsidR="004C2197" w:rsidRDefault="004C2197">
            <w:pPr>
              <w:rPr>
                <w:rFonts w:ascii="宋体"/>
              </w:rPr>
            </w:pPr>
          </w:p>
        </w:tc>
        <w:tc>
          <w:tcPr>
            <w:tcW w:w="0" w:type="auto"/>
            <w:shd w:val="clear" w:color="auto" w:fill="auto"/>
          </w:tcPr>
          <w:p w14:paraId="0D8DFC1C" w14:textId="77777777" w:rsidR="004C2197" w:rsidRDefault="004C2197">
            <w:pPr>
              <w:rPr>
                <w:rFonts w:ascii="宋体"/>
              </w:rPr>
            </w:pPr>
          </w:p>
        </w:tc>
      </w:tr>
      <w:tr w:rsidR="004C2197" w14:paraId="0D8DFC28" w14:textId="77777777">
        <w:trPr>
          <w:hidden/>
        </w:trPr>
        <w:tc>
          <w:tcPr>
            <w:tcW w:w="0" w:type="auto"/>
            <w:gridSpan w:val="3"/>
            <w:shd w:val="clear" w:color="auto" w:fill="auto"/>
          </w:tcPr>
          <w:p w14:paraId="0D8DFC1E" w14:textId="77777777" w:rsidR="004C2197" w:rsidRDefault="004C2197">
            <w:pPr>
              <w:rPr>
                <w:rFonts w:ascii="宋体"/>
                <w:vanish/>
              </w:rPr>
            </w:pPr>
          </w:p>
        </w:tc>
        <w:tc>
          <w:tcPr>
            <w:tcW w:w="0" w:type="auto"/>
            <w:gridSpan w:val="3"/>
            <w:shd w:val="clear" w:color="auto" w:fill="auto"/>
          </w:tcPr>
          <w:p w14:paraId="0D8DFC1F" w14:textId="77777777" w:rsidR="004C2197" w:rsidRDefault="004C2197">
            <w:pPr>
              <w:rPr>
                <w:rFonts w:ascii="宋体"/>
                <w:vanish/>
              </w:rPr>
            </w:pPr>
          </w:p>
        </w:tc>
        <w:tc>
          <w:tcPr>
            <w:tcW w:w="0" w:type="auto"/>
            <w:gridSpan w:val="3"/>
            <w:shd w:val="clear" w:color="auto" w:fill="auto"/>
          </w:tcPr>
          <w:p w14:paraId="0D8DFC20" w14:textId="77777777" w:rsidR="004C2197" w:rsidRDefault="004C2197">
            <w:pPr>
              <w:rPr>
                <w:rFonts w:ascii="宋体"/>
                <w:vanish/>
              </w:rPr>
            </w:pPr>
          </w:p>
        </w:tc>
        <w:tc>
          <w:tcPr>
            <w:tcW w:w="0" w:type="auto"/>
            <w:gridSpan w:val="3"/>
            <w:shd w:val="clear" w:color="auto" w:fill="auto"/>
          </w:tcPr>
          <w:p w14:paraId="0D8DFC21" w14:textId="77777777" w:rsidR="004C2197" w:rsidRDefault="004C2197">
            <w:pPr>
              <w:rPr>
                <w:rFonts w:ascii="宋体"/>
                <w:vanish/>
              </w:rPr>
            </w:pPr>
          </w:p>
        </w:tc>
        <w:tc>
          <w:tcPr>
            <w:tcW w:w="0" w:type="auto"/>
            <w:shd w:val="clear" w:color="auto" w:fill="auto"/>
          </w:tcPr>
          <w:p w14:paraId="0D8DFC22" w14:textId="77777777" w:rsidR="004C2197" w:rsidRDefault="004C2197">
            <w:pPr>
              <w:rPr>
                <w:rFonts w:ascii="宋体"/>
              </w:rPr>
            </w:pPr>
          </w:p>
        </w:tc>
        <w:tc>
          <w:tcPr>
            <w:tcW w:w="0" w:type="auto"/>
            <w:shd w:val="clear" w:color="auto" w:fill="auto"/>
          </w:tcPr>
          <w:p w14:paraId="0D8DFC23" w14:textId="77777777" w:rsidR="004C2197" w:rsidRDefault="004C2197">
            <w:pPr>
              <w:rPr>
                <w:rFonts w:ascii="宋体"/>
              </w:rPr>
            </w:pPr>
          </w:p>
        </w:tc>
        <w:tc>
          <w:tcPr>
            <w:tcW w:w="0" w:type="auto"/>
            <w:shd w:val="clear" w:color="auto" w:fill="auto"/>
          </w:tcPr>
          <w:p w14:paraId="0D8DFC24" w14:textId="77777777" w:rsidR="004C2197" w:rsidRDefault="004C2197">
            <w:pPr>
              <w:rPr>
                <w:rFonts w:ascii="宋体"/>
              </w:rPr>
            </w:pPr>
          </w:p>
        </w:tc>
        <w:tc>
          <w:tcPr>
            <w:tcW w:w="0" w:type="auto"/>
            <w:shd w:val="clear" w:color="auto" w:fill="auto"/>
          </w:tcPr>
          <w:p w14:paraId="0D8DFC25" w14:textId="77777777" w:rsidR="004C2197" w:rsidRDefault="004C2197">
            <w:pPr>
              <w:rPr>
                <w:rFonts w:ascii="宋体"/>
              </w:rPr>
            </w:pPr>
          </w:p>
        </w:tc>
        <w:tc>
          <w:tcPr>
            <w:tcW w:w="0" w:type="auto"/>
            <w:shd w:val="clear" w:color="auto" w:fill="auto"/>
          </w:tcPr>
          <w:p w14:paraId="0D8DFC26" w14:textId="77777777" w:rsidR="004C2197" w:rsidRDefault="004C2197">
            <w:pPr>
              <w:rPr>
                <w:rFonts w:ascii="宋体"/>
              </w:rPr>
            </w:pPr>
          </w:p>
        </w:tc>
        <w:tc>
          <w:tcPr>
            <w:tcW w:w="0" w:type="auto"/>
            <w:shd w:val="clear" w:color="auto" w:fill="auto"/>
          </w:tcPr>
          <w:p w14:paraId="0D8DFC27" w14:textId="77777777" w:rsidR="004C2197" w:rsidRDefault="004C2197">
            <w:pPr>
              <w:rPr>
                <w:rFonts w:ascii="宋体"/>
              </w:rPr>
            </w:pPr>
          </w:p>
        </w:tc>
      </w:tr>
      <w:tr w:rsidR="004C2197" w14:paraId="0D8DFC35" w14:textId="77777777">
        <w:tc>
          <w:tcPr>
            <w:tcW w:w="0" w:type="auto"/>
            <w:gridSpan w:val="3"/>
            <w:shd w:val="clear" w:color="auto" w:fill="FFFFFF"/>
            <w:tcMar>
              <w:top w:w="40" w:type="dxa"/>
              <w:left w:w="20" w:type="dxa"/>
              <w:bottom w:w="40" w:type="dxa"/>
              <w:right w:w="20" w:type="dxa"/>
            </w:tcMar>
            <w:vAlign w:val="bottom"/>
          </w:tcPr>
          <w:p w14:paraId="0D8DFC29" w14:textId="77777777" w:rsidR="004C2197" w:rsidRDefault="00863B83">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D8DFC2A" w14:textId="77777777" w:rsidR="004C2197" w:rsidRDefault="00863B83">
            <w:pPr>
              <w:jc w:val="right"/>
              <w:textAlignment w:val="bottom"/>
            </w:pPr>
            <w:r>
              <w:rPr>
                <w:rFonts w:ascii="sans-serif" w:eastAsia="sans-serif" w:hAnsi="sans-serif" w:cs="sans-serif"/>
                <w:color w:val="000000"/>
                <w:sz w:val="20"/>
                <w:szCs w:val="20"/>
              </w:rPr>
              <w:t>43 </w:t>
            </w:r>
          </w:p>
        </w:tc>
        <w:tc>
          <w:tcPr>
            <w:tcW w:w="0" w:type="auto"/>
            <w:shd w:val="clear" w:color="auto" w:fill="FFFFFF"/>
            <w:tcMar>
              <w:top w:w="40" w:type="dxa"/>
              <w:bottom w:w="40" w:type="dxa"/>
              <w:right w:w="20" w:type="dxa"/>
            </w:tcMar>
            <w:vAlign w:val="bottom"/>
          </w:tcPr>
          <w:p w14:paraId="0D8DFC2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C2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C2D" w14:textId="77777777" w:rsidR="004C2197" w:rsidRDefault="00863B83">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bottom w:w="40" w:type="dxa"/>
              <w:right w:w="20" w:type="dxa"/>
            </w:tcMar>
            <w:vAlign w:val="bottom"/>
          </w:tcPr>
          <w:p w14:paraId="0D8DFC2E" w14:textId="77777777" w:rsidR="004C2197" w:rsidRDefault="004C2197">
            <w:pPr>
              <w:jc w:val="right"/>
              <w:rPr>
                <w:rFonts w:ascii="宋体"/>
              </w:rPr>
            </w:pPr>
          </w:p>
        </w:tc>
        <w:tc>
          <w:tcPr>
            <w:tcW w:w="0" w:type="auto"/>
            <w:shd w:val="clear" w:color="auto" w:fill="auto"/>
          </w:tcPr>
          <w:p w14:paraId="0D8DFC2F" w14:textId="77777777" w:rsidR="004C2197" w:rsidRDefault="004C2197">
            <w:pPr>
              <w:rPr>
                <w:rFonts w:ascii="宋体"/>
              </w:rPr>
            </w:pPr>
          </w:p>
        </w:tc>
        <w:tc>
          <w:tcPr>
            <w:tcW w:w="0" w:type="auto"/>
            <w:shd w:val="clear" w:color="auto" w:fill="auto"/>
          </w:tcPr>
          <w:p w14:paraId="0D8DFC30" w14:textId="77777777" w:rsidR="004C2197" w:rsidRDefault="004C2197">
            <w:pPr>
              <w:rPr>
                <w:rFonts w:ascii="宋体"/>
              </w:rPr>
            </w:pPr>
          </w:p>
        </w:tc>
        <w:tc>
          <w:tcPr>
            <w:tcW w:w="0" w:type="auto"/>
            <w:shd w:val="clear" w:color="auto" w:fill="auto"/>
          </w:tcPr>
          <w:p w14:paraId="0D8DFC31" w14:textId="77777777" w:rsidR="004C2197" w:rsidRDefault="004C2197">
            <w:pPr>
              <w:rPr>
                <w:rFonts w:ascii="宋体"/>
              </w:rPr>
            </w:pPr>
          </w:p>
        </w:tc>
        <w:tc>
          <w:tcPr>
            <w:tcW w:w="0" w:type="auto"/>
            <w:shd w:val="clear" w:color="auto" w:fill="auto"/>
          </w:tcPr>
          <w:p w14:paraId="0D8DFC32" w14:textId="77777777" w:rsidR="004C2197" w:rsidRDefault="004C2197">
            <w:pPr>
              <w:rPr>
                <w:rFonts w:ascii="宋体"/>
              </w:rPr>
            </w:pPr>
          </w:p>
        </w:tc>
        <w:tc>
          <w:tcPr>
            <w:tcW w:w="0" w:type="auto"/>
            <w:shd w:val="clear" w:color="auto" w:fill="auto"/>
          </w:tcPr>
          <w:p w14:paraId="0D8DFC33" w14:textId="77777777" w:rsidR="004C2197" w:rsidRDefault="004C2197">
            <w:pPr>
              <w:rPr>
                <w:rFonts w:ascii="宋体"/>
              </w:rPr>
            </w:pPr>
          </w:p>
        </w:tc>
        <w:tc>
          <w:tcPr>
            <w:tcW w:w="0" w:type="auto"/>
            <w:shd w:val="clear" w:color="auto" w:fill="auto"/>
          </w:tcPr>
          <w:p w14:paraId="0D8DFC34" w14:textId="77777777" w:rsidR="004C2197" w:rsidRDefault="004C2197">
            <w:pPr>
              <w:rPr>
                <w:rFonts w:ascii="宋体"/>
              </w:rPr>
            </w:pPr>
          </w:p>
        </w:tc>
      </w:tr>
      <w:tr w:rsidR="004C2197" w14:paraId="0D8DFC44" w14:textId="77777777">
        <w:tc>
          <w:tcPr>
            <w:tcW w:w="0" w:type="auto"/>
            <w:gridSpan w:val="3"/>
            <w:shd w:val="clear" w:color="auto" w:fill="E2EFD9"/>
            <w:tcMar>
              <w:top w:w="40" w:type="dxa"/>
              <w:left w:w="360" w:type="dxa"/>
              <w:bottom w:w="40" w:type="dxa"/>
              <w:right w:w="20" w:type="dxa"/>
            </w:tcMar>
            <w:vAlign w:val="bottom"/>
          </w:tcPr>
          <w:p w14:paraId="0D8DFC36" w14:textId="77777777" w:rsidR="004C2197" w:rsidRDefault="00863B83">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C3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C38" w14:textId="77777777" w:rsidR="004C2197" w:rsidRDefault="00863B83">
            <w:pPr>
              <w:jc w:val="right"/>
              <w:textAlignment w:val="bottom"/>
            </w:pPr>
            <w:r>
              <w:rPr>
                <w:rFonts w:ascii="sans-serif" w:eastAsia="sans-serif" w:hAnsi="sans-serif" w:cs="sans-serif"/>
                <w:color w:val="000000"/>
                <w:sz w:val="20"/>
                <w:szCs w:val="20"/>
              </w:rPr>
              <w:t>1,285 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C3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3A"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C3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C3C" w14:textId="77777777" w:rsidR="004C2197" w:rsidRDefault="00863B83">
            <w:pPr>
              <w:jc w:val="right"/>
              <w:textAlignment w:val="bottom"/>
            </w:pPr>
            <w:r>
              <w:rPr>
                <w:rFonts w:ascii="sans-serif" w:eastAsia="sans-serif" w:hAnsi="sans-serif" w:cs="sans-serif"/>
                <w:color w:val="000000"/>
                <w:sz w:val="20"/>
                <w:szCs w:val="20"/>
              </w:rPr>
              <w:t>775 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C3D" w14:textId="77777777" w:rsidR="004C2197" w:rsidRDefault="004C2197">
            <w:pPr>
              <w:jc w:val="right"/>
              <w:rPr>
                <w:rFonts w:ascii="宋体"/>
              </w:rPr>
            </w:pPr>
          </w:p>
        </w:tc>
        <w:tc>
          <w:tcPr>
            <w:tcW w:w="0" w:type="auto"/>
            <w:shd w:val="clear" w:color="auto" w:fill="auto"/>
          </w:tcPr>
          <w:p w14:paraId="0D8DFC3E" w14:textId="77777777" w:rsidR="004C2197" w:rsidRDefault="004C2197">
            <w:pPr>
              <w:rPr>
                <w:rFonts w:ascii="宋体"/>
              </w:rPr>
            </w:pPr>
          </w:p>
        </w:tc>
        <w:tc>
          <w:tcPr>
            <w:tcW w:w="0" w:type="auto"/>
            <w:shd w:val="clear" w:color="auto" w:fill="auto"/>
          </w:tcPr>
          <w:p w14:paraId="0D8DFC3F" w14:textId="77777777" w:rsidR="004C2197" w:rsidRDefault="004C2197">
            <w:pPr>
              <w:rPr>
                <w:rFonts w:ascii="宋体"/>
              </w:rPr>
            </w:pPr>
          </w:p>
        </w:tc>
        <w:tc>
          <w:tcPr>
            <w:tcW w:w="0" w:type="auto"/>
            <w:shd w:val="clear" w:color="auto" w:fill="auto"/>
          </w:tcPr>
          <w:p w14:paraId="0D8DFC40" w14:textId="77777777" w:rsidR="004C2197" w:rsidRDefault="004C2197">
            <w:pPr>
              <w:rPr>
                <w:rFonts w:ascii="宋体"/>
              </w:rPr>
            </w:pPr>
          </w:p>
        </w:tc>
        <w:tc>
          <w:tcPr>
            <w:tcW w:w="0" w:type="auto"/>
            <w:shd w:val="clear" w:color="auto" w:fill="auto"/>
          </w:tcPr>
          <w:p w14:paraId="0D8DFC41" w14:textId="77777777" w:rsidR="004C2197" w:rsidRDefault="004C2197">
            <w:pPr>
              <w:rPr>
                <w:rFonts w:ascii="宋体"/>
              </w:rPr>
            </w:pPr>
          </w:p>
        </w:tc>
        <w:tc>
          <w:tcPr>
            <w:tcW w:w="0" w:type="auto"/>
            <w:shd w:val="clear" w:color="auto" w:fill="auto"/>
          </w:tcPr>
          <w:p w14:paraId="0D8DFC42" w14:textId="77777777" w:rsidR="004C2197" w:rsidRDefault="004C2197">
            <w:pPr>
              <w:rPr>
                <w:rFonts w:ascii="宋体"/>
              </w:rPr>
            </w:pPr>
          </w:p>
        </w:tc>
        <w:tc>
          <w:tcPr>
            <w:tcW w:w="0" w:type="auto"/>
            <w:shd w:val="clear" w:color="auto" w:fill="auto"/>
          </w:tcPr>
          <w:p w14:paraId="0D8DFC43" w14:textId="77777777" w:rsidR="004C2197" w:rsidRDefault="004C2197">
            <w:pPr>
              <w:rPr>
                <w:rFonts w:ascii="宋体"/>
              </w:rPr>
            </w:pPr>
          </w:p>
        </w:tc>
      </w:tr>
    </w:tbl>
    <w:p w14:paraId="0D8DFC45" w14:textId="77777777" w:rsidR="004C2197" w:rsidRDefault="00863B83">
      <w:pPr>
        <w:spacing w:after="60"/>
        <w:ind w:hanging="360"/>
        <w:jc w:val="both"/>
      </w:pPr>
      <w:r>
        <w:rPr>
          <w:rFonts w:ascii="sans-serif" w:eastAsia="sans-serif" w:hAnsi="sans-serif" w:cs="sans-serif"/>
          <w:color w:val="000000"/>
          <w:sz w:val="16"/>
          <w:szCs w:val="16"/>
        </w:rPr>
        <w:t>(1) As of July 26, 2020, income tax payable represents the long-term portion of the one-time transition tax payable of $284 million, unrecognized tax benefits of $245 million, related interest and penalties of $41 million, and other foreign long-term tax p</w:t>
      </w:r>
      <w:r>
        <w:rPr>
          <w:rFonts w:ascii="sans-serif" w:eastAsia="sans-serif" w:hAnsi="sans-serif" w:cs="sans-serif"/>
          <w:color w:val="000000"/>
          <w:sz w:val="16"/>
          <w:szCs w:val="16"/>
        </w:rPr>
        <w:t xml:space="preserve">ayable of $151 million. </w:t>
      </w:r>
    </w:p>
    <w:p w14:paraId="0D8DFC46" w14:textId="77777777" w:rsidR="004C2197" w:rsidRDefault="00863B83">
      <w:pPr>
        <w:spacing w:after="60"/>
        <w:ind w:hanging="360"/>
        <w:jc w:val="both"/>
      </w:pPr>
      <w:r>
        <w:rPr>
          <w:rFonts w:ascii="sans-serif" w:eastAsia="sans-serif" w:hAnsi="sans-serif" w:cs="sans-serif"/>
          <w:color w:val="000000"/>
          <w:sz w:val="16"/>
          <w:szCs w:val="16"/>
        </w:rPr>
        <w:t xml:space="preserve">(2) Deferred income tax primarily relates to acquired intangible assets. </w:t>
      </w:r>
    </w:p>
    <w:p w14:paraId="0D8DFC47" w14:textId="77777777" w:rsidR="004C2197" w:rsidRDefault="00863B83">
      <w:pPr>
        <w:spacing w:after="60"/>
        <w:ind w:hanging="360"/>
        <w:jc w:val="both"/>
      </w:pPr>
      <w:r>
        <w:rPr>
          <w:rFonts w:ascii="sans-serif" w:eastAsia="sans-serif" w:hAnsi="sans-serif" w:cs="sans-serif"/>
          <w:color w:val="000000"/>
          <w:sz w:val="16"/>
          <w:szCs w:val="16"/>
        </w:rPr>
        <w:t>(3) Deferred revenue primarily includes deferrals related to PCS.</w:t>
      </w:r>
    </w:p>
    <w:p w14:paraId="0D8DFC48" w14:textId="77777777" w:rsidR="004C2197" w:rsidRDefault="00863B83">
      <w:pPr>
        <w:spacing w:before="240" w:after="60"/>
        <w:jc w:val="both"/>
      </w:pPr>
      <w:r>
        <w:rPr>
          <w:rFonts w:ascii="sans-serif" w:eastAsia="sans-serif" w:hAnsi="sans-serif" w:cs="sans-serif"/>
          <w:b/>
          <w:bCs/>
          <w:color w:val="76B900"/>
          <w:sz w:val="20"/>
          <w:szCs w:val="20"/>
        </w:rPr>
        <w:t xml:space="preserve">Deferred Revenue </w:t>
      </w:r>
    </w:p>
    <w:p w14:paraId="0D8DFC49" w14:textId="77777777" w:rsidR="004C2197" w:rsidRDefault="00863B83">
      <w:pPr>
        <w:spacing w:after="60"/>
      </w:pPr>
      <w:r>
        <w:rPr>
          <w:rFonts w:ascii="sans-serif" w:eastAsia="sans-serif" w:hAnsi="sans-serif" w:cs="sans-serif"/>
          <w:color w:val="000000"/>
          <w:sz w:val="20"/>
          <w:szCs w:val="20"/>
        </w:rPr>
        <w:t>The following table shows the changes in deferred revenue during the firs</w:t>
      </w:r>
      <w:r>
        <w:rPr>
          <w:rFonts w:ascii="sans-serif" w:eastAsia="sans-serif" w:hAnsi="sans-serif" w:cs="sans-serif"/>
          <w:color w:val="000000"/>
          <w:sz w:val="20"/>
          <w:szCs w:val="20"/>
        </w:rPr>
        <w:t>t half of fiscal years 2021 and 2020:</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737"/>
        <w:gridCol w:w="37"/>
        <w:gridCol w:w="137"/>
        <w:gridCol w:w="939"/>
        <w:gridCol w:w="41"/>
        <w:gridCol w:w="36"/>
        <w:gridCol w:w="36"/>
        <w:gridCol w:w="36"/>
        <w:gridCol w:w="137"/>
        <w:gridCol w:w="893"/>
        <w:gridCol w:w="41"/>
        <w:gridCol w:w="36"/>
        <w:gridCol w:w="36"/>
        <w:gridCol w:w="36"/>
        <w:gridCol w:w="36"/>
        <w:gridCol w:w="36"/>
        <w:gridCol w:w="36"/>
      </w:tblGrid>
      <w:tr w:rsidR="004C2197" w14:paraId="0D8DFC56" w14:textId="77777777">
        <w:trPr>
          <w:gridAfter w:val="6"/>
          <w:jc w:val="center"/>
        </w:trPr>
        <w:tc>
          <w:tcPr>
            <w:tcW w:w="50" w:type="pct"/>
            <w:shd w:val="clear" w:color="auto" w:fill="auto"/>
          </w:tcPr>
          <w:p w14:paraId="0D8DFC4A" w14:textId="77777777" w:rsidR="004C2197" w:rsidRDefault="004C2197">
            <w:pPr>
              <w:rPr>
                <w:rFonts w:ascii="宋体"/>
              </w:rPr>
            </w:pPr>
          </w:p>
        </w:tc>
        <w:tc>
          <w:tcPr>
            <w:tcW w:w="3575" w:type="pct"/>
            <w:shd w:val="clear" w:color="auto" w:fill="auto"/>
          </w:tcPr>
          <w:p w14:paraId="0D8DFC4B" w14:textId="77777777" w:rsidR="004C2197" w:rsidRDefault="004C2197">
            <w:pPr>
              <w:rPr>
                <w:rFonts w:ascii="宋体"/>
              </w:rPr>
            </w:pPr>
          </w:p>
        </w:tc>
        <w:tc>
          <w:tcPr>
            <w:tcW w:w="5" w:type="pct"/>
            <w:shd w:val="clear" w:color="auto" w:fill="auto"/>
          </w:tcPr>
          <w:p w14:paraId="0D8DFC4C" w14:textId="77777777" w:rsidR="004C2197" w:rsidRDefault="004C2197">
            <w:pPr>
              <w:rPr>
                <w:rFonts w:ascii="宋体"/>
              </w:rPr>
            </w:pPr>
          </w:p>
        </w:tc>
        <w:tc>
          <w:tcPr>
            <w:tcW w:w="50" w:type="pct"/>
            <w:shd w:val="clear" w:color="auto" w:fill="auto"/>
          </w:tcPr>
          <w:p w14:paraId="0D8DFC4D" w14:textId="77777777" w:rsidR="004C2197" w:rsidRDefault="004C2197">
            <w:pPr>
              <w:rPr>
                <w:rFonts w:ascii="宋体"/>
              </w:rPr>
            </w:pPr>
          </w:p>
        </w:tc>
        <w:tc>
          <w:tcPr>
            <w:tcW w:w="611" w:type="pct"/>
            <w:shd w:val="clear" w:color="auto" w:fill="auto"/>
          </w:tcPr>
          <w:p w14:paraId="0D8DFC4E" w14:textId="77777777" w:rsidR="004C2197" w:rsidRDefault="004C2197">
            <w:pPr>
              <w:rPr>
                <w:rFonts w:ascii="宋体"/>
              </w:rPr>
            </w:pPr>
          </w:p>
        </w:tc>
        <w:tc>
          <w:tcPr>
            <w:tcW w:w="5" w:type="pct"/>
            <w:shd w:val="clear" w:color="auto" w:fill="auto"/>
          </w:tcPr>
          <w:p w14:paraId="0D8DFC4F" w14:textId="77777777" w:rsidR="004C2197" w:rsidRDefault="004C2197">
            <w:pPr>
              <w:rPr>
                <w:rFonts w:ascii="宋体"/>
              </w:rPr>
            </w:pPr>
          </w:p>
        </w:tc>
        <w:tc>
          <w:tcPr>
            <w:tcW w:w="5" w:type="pct"/>
            <w:shd w:val="clear" w:color="auto" w:fill="auto"/>
          </w:tcPr>
          <w:p w14:paraId="0D8DFC50" w14:textId="77777777" w:rsidR="004C2197" w:rsidRDefault="004C2197">
            <w:pPr>
              <w:rPr>
                <w:rFonts w:ascii="宋体"/>
              </w:rPr>
            </w:pPr>
          </w:p>
        </w:tc>
        <w:tc>
          <w:tcPr>
            <w:tcW w:w="26" w:type="pct"/>
            <w:shd w:val="clear" w:color="auto" w:fill="auto"/>
          </w:tcPr>
          <w:p w14:paraId="0D8DFC51" w14:textId="77777777" w:rsidR="004C2197" w:rsidRDefault="004C2197">
            <w:pPr>
              <w:rPr>
                <w:rFonts w:ascii="宋体"/>
              </w:rPr>
            </w:pPr>
          </w:p>
        </w:tc>
        <w:tc>
          <w:tcPr>
            <w:tcW w:w="5" w:type="pct"/>
            <w:shd w:val="clear" w:color="auto" w:fill="auto"/>
          </w:tcPr>
          <w:p w14:paraId="0D8DFC52" w14:textId="77777777" w:rsidR="004C2197" w:rsidRDefault="004C2197">
            <w:pPr>
              <w:rPr>
                <w:rFonts w:ascii="宋体"/>
              </w:rPr>
            </w:pPr>
          </w:p>
        </w:tc>
        <w:tc>
          <w:tcPr>
            <w:tcW w:w="50" w:type="pct"/>
            <w:shd w:val="clear" w:color="auto" w:fill="auto"/>
          </w:tcPr>
          <w:p w14:paraId="0D8DFC53" w14:textId="77777777" w:rsidR="004C2197" w:rsidRDefault="004C2197">
            <w:pPr>
              <w:rPr>
                <w:rFonts w:ascii="宋体"/>
              </w:rPr>
            </w:pPr>
          </w:p>
        </w:tc>
        <w:tc>
          <w:tcPr>
            <w:tcW w:w="611" w:type="pct"/>
            <w:shd w:val="clear" w:color="auto" w:fill="auto"/>
          </w:tcPr>
          <w:p w14:paraId="0D8DFC54" w14:textId="77777777" w:rsidR="004C2197" w:rsidRDefault="004C2197">
            <w:pPr>
              <w:rPr>
                <w:rFonts w:ascii="宋体"/>
              </w:rPr>
            </w:pPr>
          </w:p>
        </w:tc>
        <w:tc>
          <w:tcPr>
            <w:tcW w:w="5" w:type="pct"/>
            <w:shd w:val="clear" w:color="auto" w:fill="auto"/>
          </w:tcPr>
          <w:p w14:paraId="0D8DFC55" w14:textId="77777777" w:rsidR="004C2197" w:rsidRDefault="004C2197">
            <w:pPr>
              <w:rPr>
                <w:rFonts w:ascii="宋体"/>
              </w:rPr>
            </w:pPr>
          </w:p>
        </w:tc>
      </w:tr>
      <w:tr w:rsidR="004C2197" w14:paraId="0D8DFC5B" w14:textId="77777777">
        <w:trPr>
          <w:gridAfter w:val="6"/>
          <w:jc w:val="center"/>
        </w:trPr>
        <w:tc>
          <w:tcPr>
            <w:tcW w:w="0" w:type="auto"/>
            <w:gridSpan w:val="3"/>
            <w:shd w:val="clear" w:color="auto" w:fill="auto"/>
            <w:tcMar>
              <w:left w:w="20" w:type="dxa"/>
              <w:right w:w="20" w:type="dxa"/>
            </w:tcMar>
            <w:vAlign w:val="bottom"/>
          </w:tcPr>
          <w:p w14:paraId="0D8DFC57"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C58"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shd w:val="clear" w:color="auto" w:fill="auto"/>
            <w:tcMar>
              <w:left w:w="20" w:type="dxa"/>
              <w:right w:w="20" w:type="dxa"/>
            </w:tcMar>
            <w:vAlign w:val="bottom"/>
          </w:tcPr>
          <w:p w14:paraId="0D8DFC59"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C5A" w14:textId="77777777" w:rsidR="004C2197" w:rsidRDefault="00863B83">
            <w:pPr>
              <w:jc w:val="center"/>
              <w:textAlignment w:val="bottom"/>
            </w:pPr>
            <w:r>
              <w:rPr>
                <w:rFonts w:ascii="sans-serif" w:eastAsia="sans-serif" w:hAnsi="sans-serif" w:cs="sans-serif"/>
                <w:b/>
                <w:bCs/>
                <w:color w:val="000000"/>
                <w:sz w:val="20"/>
                <w:szCs w:val="20"/>
              </w:rPr>
              <w:t>July 28,</w:t>
            </w:r>
          </w:p>
        </w:tc>
      </w:tr>
      <w:tr w:rsidR="004C2197" w14:paraId="0D8DFC60" w14:textId="77777777">
        <w:trPr>
          <w:gridAfter w:val="6"/>
          <w:jc w:val="center"/>
        </w:trPr>
        <w:tc>
          <w:tcPr>
            <w:tcW w:w="0" w:type="auto"/>
            <w:gridSpan w:val="3"/>
            <w:shd w:val="clear" w:color="auto" w:fill="auto"/>
            <w:tcMar>
              <w:top w:w="40" w:type="dxa"/>
              <w:left w:w="20" w:type="dxa"/>
              <w:bottom w:w="40" w:type="dxa"/>
              <w:right w:w="20" w:type="dxa"/>
            </w:tcMar>
            <w:vAlign w:val="bottom"/>
          </w:tcPr>
          <w:p w14:paraId="0D8DFC5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C5D"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DFC5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C5F" w14:textId="77777777" w:rsidR="004C2197" w:rsidRDefault="00863B83">
            <w:pPr>
              <w:jc w:val="center"/>
              <w:textAlignment w:val="bottom"/>
            </w:pPr>
            <w:r>
              <w:rPr>
                <w:rFonts w:ascii="sans-serif" w:eastAsia="sans-serif" w:hAnsi="sans-serif" w:cs="sans-serif"/>
                <w:b/>
                <w:bCs/>
                <w:color w:val="000000"/>
                <w:sz w:val="20"/>
                <w:szCs w:val="20"/>
              </w:rPr>
              <w:t>2019</w:t>
            </w:r>
          </w:p>
        </w:tc>
      </w:tr>
      <w:tr w:rsidR="004C2197" w14:paraId="0D8DFC65" w14:textId="77777777">
        <w:trPr>
          <w:gridAfter w:val="6"/>
          <w:trHeight w:val="60"/>
          <w:jc w:val="center"/>
        </w:trPr>
        <w:tc>
          <w:tcPr>
            <w:tcW w:w="0" w:type="auto"/>
            <w:gridSpan w:val="3"/>
            <w:shd w:val="clear" w:color="auto" w:fill="auto"/>
            <w:tcMar>
              <w:left w:w="20" w:type="dxa"/>
              <w:right w:w="20" w:type="dxa"/>
            </w:tcMar>
            <w:vAlign w:val="bottom"/>
          </w:tcPr>
          <w:p w14:paraId="0D8DFC6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C6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C6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C64" w14:textId="77777777" w:rsidR="004C2197" w:rsidRDefault="004C2197">
            <w:pPr>
              <w:rPr>
                <w:rFonts w:ascii="宋体"/>
              </w:rPr>
            </w:pPr>
          </w:p>
        </w:tc>
      </w:tr>
      <w:tr w:rsidR="004C2197" w14:paraId="0D8DFC6A" w14:textId="77777777">
        <w:trPr>
          <w:jc w:val="center"/>
        </w:trPr>
        <w:tc>
          <w:tcPr>
            <w:tcW w:w="0" w:type="auto"/>
            <w:gridSpan w:val="3"/>
            <w:shd w:val="clear" w:color="auto" w:fill="auto"/>
            <w:tcMar>
              <w:left w:w="20" w:type="dxa"/>
              <w:right w:w="20" w:type="dxa"/>
            </w:tcMar>
            <w:vAlign w:val="bottom"/>
          </w:tcPr>
          <w:p w14:paraId="0D8DFC66"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C67"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C68" w14:textId="77777777" w:rsidR="004C2197" w:rsidRDefault="004C2197">
            <w:pPr>
              <w:rPr>
                <w:rFonts w:ascii="宋体"/>
                <w:vanish/>
              </w:rPr>
            </w:pPr>
          </w:p>
        </w:tc>
        <w:tc>
          <w:tcPr>
            <w:tcW w:w="0" w:type="auto"/>
            <w:gridSpan w:val="3"/>
            <w:shd w:val="clear" w:color="auto" w:fill="auto"/>
          </w:tcPr>
          <w:p w14:paraId="0D8DFC69" w14:textId="77777777" w:rsidR="004C2197" w:rsidRDefault="004C2197">
            <w:pPr>
              <w:rPr>
                <w:rFonts w:ascii="宋体"/>
                <w:vanish/>
              </w:rPr>
            </w:pPr>
          </w:p>
        </w:tc>
      </w:tr>
      <w:tr w:rsidR="004C2197" w14:paraId="0D8DFC79" w14:textId="77777777">
        <w:trPr>
          <w:jc w:val="center"/>
        </w:trPr>
        <w:tc>
          <w:tcPr>
            <w:tcW w:w="0" w:type="auto"/>
            <w:gridSpan w:val="3"/>
            <w:shd w:val="clear" w:color="auto" w:fill="E2EFD9"/>
            <w:tcMar>
              <w:top w:w="40" w:type="dxa"/>
              <w:left w:w="20" w:type="dxa"/>
              <w:bottom w:w="40" w:type="dxa"/>
              <w:right w:w="20" w:type="dxa"/>
            </w:tcMar>
            <w:vAlign w:val="bottom"/>
          </w:tcPr>
          <w:p w14:paraId="0D8DFC6B" w14:textId="77777777" w:rsidR="004C2197" w:rsidRDefault="00863B83">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tcMar>
            <w:vAlign w:val="bottom"/>
          </w:tcPr>
          <w:p w14:paraId="0D8DFC6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C6D" w14:textId="77777777" w:rsidR="004C2197" w:rsidRDefault="00863B83">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bottom w:w="40" w:type="dxa"/>
              <w:right w:w="20" w:type="dxa"/>
            </w:tcMar>
            <w:vAlign w:val="bottom"/>
          </w:tcPr>
          <w:p w14:paraId="0D8DFC6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6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C7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C71" w14:textId="77777777" w:rsidR="004C2197" w:rsidRDefault="00863B83">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bottom w:w="40" w:type="dxa"/>
              <w:right w:w="20" w:type="dxa"/>
            </w:tcMar>
            <w:vAlign w:val="bottom"/>
          </w:tcPr>
          <w:p w14:paraId="0D8DFC72" w14:textId="77777777" w:rsidR="004C2197" w:rsidRDefault="004C2197">
            <w:pPr>
              <w:jc w:val="right"/>
              <w:rPr>
                <w:rFonts w:ascii="宋体"/>
              </w:rPr>
            </w:pPr>
          </w:p>
        </w:tc>
        <w:tc>
          <w:tcPr>
            <w:tcW w:w="0" w:type="auto"/>
            <w:shd w:val="clear" w:color="auto" w:fill="auto"/>
          </w:tcPr>
          <w:p w14:paraId="0D8DFC73" w14:textId="77777777" w:rsidR="004C2197" w:rsidRDefault="004C2197">
            <w:pPr>
              <w:rPr>
                <w:rFonts w:ascii="宋体"/>
              </w:rPr>
            </w:pPr>
          </w:p>
        </w:tc>
        <w:tc>
          <w:tcPr>
            <w:tcW w:w="0" w:type="auto"/>
            <w:shd w:val="clear" w:color="auto" w:fill="auto"/>
          </w:tcPr>
          <w:p w14:paraId="0D8DFC74" w14:textId="77777777" w:rsidR="004C2197" w:rsidRDefault="004C2197">
            <w:pPr>
              <w:rPr>
                <w:rFonts w:ascii="宋体"/>
              </w:rPr>
            </w:pPr>
          </w:p>
        </w:tc>
        <w:tc>
          <w:tcPr>
            <w:tcW w:w="0" w:type="auto"/>
            <w:shd w:val="clear" w:color="auto" w:fill="auto"/>
          </w:tcPr>
          <w:p w14:paraId="0D8DFC75" w14:textId="77777777" w:rsidR="004C2197" w:rsidRDefault="004C2197">
            <w:pPr>
              <w:rPr>
                <w:rFonts w:ascii="宋体"/>
              </w:rPr>
            </w:pPr>
          </w:p>
        </w:tc>
        <w:tc>
          <w:tcPr>
            <w:tcW w:w="0" w:type="auto"/>
            <w:shd w:val="clear" w:color="auto" w:fill="auto"/>
          </w:tcPr>
          <w:p w14:paraId="0D8DFC76" w14:textId="77777777" w:rsidR="004C2197" w:rsidRDefault="004C2197">
            <w:pPr>
              <w:rPr>
                <w:rFonts w:ascii="宋体"/>
              </w:rPr>
            </w:pPr>
          </w:p>
        </w:tc>
        <w:tc>
          <w:tcPr>
            <w:tcW w:w="0" w:type="auto"/>
            <w:shd w:val="clear" w:color="auto" w:fill="auto"/>
          </w:tcPr>
          <w:p w14:paraId="0D8DFC77" w14:textId="77777777" w:rsidR="004C2197" w:rsidRDefault="004C2197">
            <w:pPr>
              <w:rPr>
                <w:rFonts w:ascii="宋体"/>
              </w:rPr>
            </w:pPr>
          </w:p>
        </w:tc>
        <w:tc>
          <w:tcPr>
            <w:tcW w:w="0" w:type="auto"/>
            <w:shd w:val="clear" w:color="auto" w:fill="auto"/>
          </w:tcPr>
          <w:p w14:paraId="0D8DFC78" w14:textId="77777777" w:rsidR="004C2197" w:rsidRDefault="004C2197">
            <w:pPr>
              <w:rPr>
                <w:rFonts w:ascii="宋体"/>
              </w:rPr>
            </w:pPr>
          </w:p>
        </w:tc>
      </w:tr>
      <w:tr w:rsidR="004C2197" w14:paraId="0D8DFC86" w14:textId="77777777">
        <w:trPr>
          <w:jc w:val="center"/>
        </w:trPr>
        <w:tc>
          <w:tcPr>
            <w:tcW w:w="0" w:type="auto"/>
            <w:gridSpan w:val="3"/>
            <w:shd w:val="clear" w:color="auto" w:fill="FFFFFF"/>
            <w:tcMar>
              <w:top w:w="40" w:type="dxa"/>
              <w:left w:w="20" w:type="dxa"/>
              <w:bottom w:w="40" w:type="dxa"/>
              <w:right w:w="20" w:type="dxa"/>
            </w:tcMar>
            <w:vAlign w:val="bottom"/>
          </w:tcPr>
          <w:p w14:paraId="0D8DFC7A" w14:textId="77777777" w:rsidR="004C2197" w:rsidRDefault="00863B83">
            <w:pPr>
              <w:textAlignment w:val="bottom"/>
            </w:pPr>
            <w:r>
              <w:rPr>
                <w:rFonts w:ascii="sans-serif" w:eastAsia="sans-serif" w:hAnsi="sans-serif" w:cs="sans-serif"/>
                <w:color w:val="000000"/>
                <w:sz w:val="20"/>
                <w:szCs w:val="20"/>
              </w:rPr>
              <w:t>Deferred revenue added during the period</w:t>
            </w:r>
          </w:p>
        </w:tc>
        <w:tc>
          <w:tcPr>
            <w:tcW w:w="0" w:type="auto"/>
            <w:gridSpan w:val="2"/>
            <w:shd w:val="clear" w:color="auto" w:fill="FFFFFF"/>
            <w:tcMar>
              <w:top w:w="40" w:type="dxa"/>
              <w:left w:w="20" w:type="dxa"/>
              <w:bottom w:w="40" w:type="dxa"/>
              <w:right w:w="0" w:type="dxa"/>
            </w:tcMar>
            <w:vAlign w:val="bottom"/>
          </w:tcPr>
          <w:p w14:paraId="0D8DFC7B" w14:textId="77777777" w:rsidR="004C2197" w:rsidRDefault="00863B83">
            <w:pPr>
              <w:jc w:val="right"/>
              <w:textAlignment w:val="bottom"/>
            </w:pPr>
            <w:r>
              <w:rPr>
                <w:rFonts w:ascii="sans-serif" w:eastAsia="sans-serif" w:hAnsi="sans-serif" w:cs="sans-serif"/>
                <w:color w:val="000000"/>
                <w:sz w:val="20"/>
                <w:szCs w:val="20"/>
              </w:rPr>
              <w:t>213 </w:t>
            </w:r>
          </w:p>
        </w:tc>
        <w:tc>
          <w:tcPr>
            <w:tcW w:w="0" w:type="auto"/>
            <w:shd w:val="clear" w:color="auto" w:fill="FFFFFF"/>
            <w:tcMar>
              <w:top w:w="40" w:type="dxa"/>
              <w:bottom w:w="40" w:type="dxa"/>
              <w:right w:w="20" w:type="dxa"/>
            </w:tcMar>
            <w:vAlign w:val="bottom"/>
          </w:tcPr>
          <w:p w14:paraId="0D8DFC7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C7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C7E" w14:textId="77777777" w:rsidR="004C2197" w:rsidRDefault="00863B83">
            <w:pPr>
              <w:jc w:val="right"/>
              <w:textAlignment w:val="bottom"/>
            </w:pPr>
            <w:r>
              <w:rPr>
                <w:rFonts w:ascii="sans-serif" w:eastAsia="sans-serif" w:hAnsi="sans-serif" w:cs="sans-serif"/>
                <w:color w:val="000000"/>
                <w:sz w:val="20"/>
                <w:szCs w:val="20"/>
              </w:rPr>
              <w:t>161 </w:t>
            </w:r>
          </w:p>
        </w:tc>
        <w:tc>
          <w:tcPr>
            <w:tcW w:w="0" w:type="auto"/>
            <w:shd w:val="clear" w:color="auto" w:fill="FFFFFF"/>
            <w:tcMar>
              <w:top w:w="40" w:type="dxa"/>
              <w:bottom w:w="40" w:type="dxa"/>
              <w:right w:w="20" w:type="dxa"/>
            </w:tcMar>
            <w:vAlign w:val="bottom"/>
          </w:tcPr>
          <w:p w14:paraId="0D8DFC7F" w14:textId="77777777" w:rsidR="004C2197" w:rsidRDefault="004C2197">
            <w:pPr>
              <w:jc w:val="right"/>
              <w:rPr>
                <w:rFonts w:ascii="宋体"/>
              </w:rPr>
            </w:pPr>
          </w:p>
        </w:tc>
        <w:tc>
          <w:tcPr>
            <w:tcW w:w="0" w:type="auto"/>
            <w:shd w:val="clear" w:color="auto" w:fill="auto"/>
          </w:tcPr>
          <w:p w14:paraId="0D8DFC80" w14:textId="77777777" w:rsidR="004C2197" w:rsidRDefault="004C2197">
            <w:pPr>
              <w:rPr>
                <w:rFonts w:ascii="宋体"/>
              </w:rPr>
            </w:pPr>
          </w:p>
        </w:tc>
        <w:tc>
          <w:tcPr>
            <w:tcW w:w="0" w:type="auto"/>
            <w:shd w:val="clear" w:color="auto" w:fill="auto"/>
          </w:tcPr>
          <w:p w14:paraId="0D8DFC81" w14:textId="77777777" w:rsidR="004C2197" w:rsidRDefault="004C2197">
            <w:pPr>
              <w:rPr>
                <w:rFonts w:ascii="宋体"/>
              </w:rPr>
            </w:pPr>
          </w:p>
        </w:tc>
        <w:tc>
          <w:tcPr>
            <w:tcW w:w="0" w:type="auto"/>
            <w:shd w:val="clear" w:color="auto" w:fill="auto"/>
          </w:tcPr>
          <w:p w14:paraId="0D8DFC82" w14:textId="77777777" w:rsidR="004C2197" w:rsidRDefault="004C2197">
            <w:pPr>
              <w:rPr>
                <w:rFonts w:ascii="宋体"/>
              </w:rPr>
            </w:pPr>
          </w:p>
        </w:tc>
        <w:tc>
          <w:tcPr>
            <w:tcW w:w="0" w:type="auto"/>
            <w:shd w:val="clear" w:color="auto" w:fill="auto"/>
          </w:tcPr>
          <w:p w14:paraId="0D8DFC83" w14:textId="77777777" w:rsidR="004C2197" w:rsidRDefault="004C2197">
            <w:pPr>
              <w:rPr>
                <w:rFonts w:ascii="宋体"/>
              </w:rPr>
            </w:pPr>
          </w:p>
        </w:tc>
        <w:tc>
          <w:tcPr>
            <w:tcW w:w="0" w:type="auto"/>
            <w:shd w:val="clear" w:color="auto" w:fill="auto"/>
          </w:tcPr>
          <w:p w14:paraId="0D8DFC84" w14:textId="77777777" w:rsidR="004C2197" w:rsidRDefault="004C2197">
            <w:pPr>
              <w:rPr>
                <w:rFonts w:ascii="宋体"/>
              </w:rPr>
            </w:pPr>
          </w:p>
        </w:tc>
        <w:tc>
          <w:tcPr>
            <w:tcW w:w="0" w:type="auto"/>
            <w:shd w:val="clear" w:color="auto" w:fill="auto"/>
          </w:tcPr>
          <w:p w14:paraId="0D8DFC85" w14:textId="77777777" w:rsidR="004C2197" w:rsidRDefault="004C2197">
            <w:pPr>
              <w:rPr>
                <w:rFonts w:ascii="宋体"/>
              </w:rPr>
            </w:pPr>
          </w:p>
        </w:tc>
      </w:tr>
      <w:tr w:rsidR="004C2197" w14:paraId="0D8DFC93" w14:textId="77777777">
        <w:trPr>
          <w:jc w:val="center"/>
        </w:trPr>
        <w:tc>
          <w:tcPr>
            <w:tcW w:w="0" w:type="auto"/>
            <w:gridSpan w:val="3"/>
            <w:shd w:val="clear" w:color="auto" w:fill="E2EFD9"/>
            <w:tcMar>
              <w:top w:w="40" w:type="dxa"/>
              <w:left w:w="20" w:type="dxa"/>
              <w:bottom w:w="40" w:type="dxa"/>
              <w:right w:w="20" w:type="dxa"/>
            </w:tcMar>
            <w:vAlign w:val="bottom"/>
          </w:tcPr>
          <w:p w14:paraId="0D8DFC87" w14:textId="77777777" w:rsidR="004C2197" w:rsidRDefault="00863B83">
            <w:pPr>
              <w:textAlignment w:val="bottom"/>
            </w:pPr>
            <w:r>
              <w:rPr>
                <w:rFonts w:ascii="sans-serif" w:eastAsia="sans-serif" w:hAnsi="sans-serif" w:cs="sans-serif"/>
                <w:color w:val="000000"/>
                <w:sz w:val="20"/>
                <w:szCs w:val="20"/>
              </w:rPr>
              <w:t xml:space="preserve">Addition due to </w:t>
            </w:r>
            <w:r>
              <w:rPr>
                <w:rFonts w:ascii="sans-serif" w:eastAsia="sans-serif" w:hAnsi="sans-serif" w:cs="sans-serif"/>
                <w:color w:val="000000"/>
                <w:sz w:val="20"/>
                <w:szCs w:val="20"/>
              </w:rPr>
              <w:t>business combinations</w:t>
            </w:r>
          </w:p>
        </w:tc>
        <w:tc>
          <w:tcPr>
            <w:tcW w:w="0" w:type="auto"/>
            <w:gridSpan w:val="2"/>
            <w:shd w:val="clear" w:color="auto" w:fill="E2EFD9"/>
            <w:tcMar>
              <w:top w:w="40" w:type="dxa"/>
              <w:left w:w="20" w:type="dxa"/>
              <w:bottom w:w="40" w:type="dxa"/>
              <w:right w:w="0" w:type="dxa"/>
            </w:tcMar>
            <w:vAlign w:val="bottom"/>
          </w:tcPr>
          <w:p w14:paraId="0D8DFC88" w14:textId="77777777" w:rsidR="004C2197" w:rsidRDefault="00863B83">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bottom w:w="40" w:type="dxa"/>
              <w:right w:w="20" w:type="dxa"/>
            </w:tcMar>
            <w:vAlign w:val="bottom"/>
          </w:tcPr>
          <w:p w14:paraId="0D8DFC8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8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C8B"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C8C" w14:textId="77777777" w:rsidR="004C2197" w:rsidRDefault="004C2197">
            <w:pPr>
              <w:jc w:val="right"/>
              <w:rPr>
                <w:rFonts w:ascii="宋体"/>
              </w:rPr>
            </w:pPr>
          </w:p>
        </w:tc>
        <w:tc>
          <w:tcPr>
            <w:tcW w:w="0" w:type="auto"/>
            <w:shd w:val="clear" w:color="auto" w:fill="auto"/>
          </w:tcPr>
          <w:p w14:paraId="0D8DFC8D" w14:textId="77777777" w:rsidR="004C2197" w:rsidRDefault="004C2197">
            <w:pPr>
              <w:rPr>
                <w:rFonts w:ascii="宋体"/>
              </w:rPr>
            </w:pPr>
          </w:p>
        </w:tc>
        <w:tc>
          <w:tcPr>
            <w:tcW w:w="0" w:type="auto"/>
            <w:shd w:val="clear" w:color="auto" w:fill="auto"/>
          </w:tcPr>
          <w:p w14:paraId="0D8DFC8E" w14:textId="77777777" w:rsidR="004C2197" w:rsidRDefault="004C2197">
            <w:pPr>
              <w:rPr>
                <w:rFonts w:ascii="宋体"/>
              </w:rPr>
            </w:pPr>
          </w:p>
        </w:tc>
        <w:tc>
          <w:tcPr>
            <w:tcW w:w="0" w:type="auto"/>
            <w:shd w:val="clear" w:color="auto" w:fill="auto"/>
          </w:tcPr>
          <w:p w14:paraId="0D8DFC8F" w14:textId="77777777" w:rsidR="004C2197" w:rsidRDefault="004C2197">
            <w:pPr>
              <w:rPr>
                <w:rFonts w:ascii="宋体"/>
              </w:rPr>
            </w:pPr>
          </w:p>
        </w:tc>
        <w:tc>
          <w:tcPr>
            <w:tcW w:w="0" w:type="auto"/>
            <w:shd w:val="clear" w:color="auto" w:fill="auto"/>
          </w:tcPr>
          <w:p w14:paraId="0D8DFC90" w14:textId="77777777" w:rsidR="004C2197" w:rsidRDefault="004C2197">
            <w:pPr>
              <w:rPr>
                <w:rFonts w:ascii="宋体"/>
              </w:rPr>
            </w:pPr>
          </w:p>
        </w:tc>
        <w:tc>
          <w:tcPr>
            <w:tcW w:w="0" w:type="auto"/>
            <w:shd w:val="clear" w:color="auto" w:fill="auto"/>
          </w:tcPr>
          <w:p w14:paraId="0D8DFC91" w14:textId="77777777" w:rsidR="004C2197" w:rsidRDefault="004C2197">
            <w:pPr>
              <w:rPr>
                <w:rFonts w:ascii="宋体"/>
              </w:rPr>
            </w:pPr>
          </w:p>
        </w:tc>
        <w:tc>
          <w:tcPr>
            <w:tcW w:w="0" w:type="auto"/>
            <w:shd w:val="clear" w:color="auto" w:fill="auto"/>
          </w:tcPr>
          <w:p w14:paraId="0D8DFC92" w14:textId="77777777" w:rsidR="004C2197" w:rsidRDefault="004C2197">
            <w:pPr>
              <w:rPr>
                <w:rFonts w:ascii="宋体"/>
              </w:rPr>
            </w:pPr>
          </w:p>
        </w:tc>
      </w:tr>
      <w:tr w:rsidR="004C2197" w14:paraId="0D8DFCA0" w14:textId="77777777">
        <w:trPr>
          <w:jc w:val="center"/>
        </w:trPr>
        <w:tc>
          <w:tcPr>
            <w:tcW w:w="0" w:type="auto"/>
            <w:gridSpan w:val="3"/>
            <w:shd w:val="clear" w:color="auto" w:fill="FFFFFF"/>
            <w:tcMar>
              <w:top w:w="40" w:type="dxa"/>
              <w:left w:w="20" w:type="dxa"/>
              <w:bottom w:w="40" w:type="dxa"/>
              <w:right w:w="20" w:type="dxa"/>
            </w:tcMar>
            <w:vAlign w:val="bottom"/>
          </w:tcPr>
          <w:p w14:paraId="0D8DFC94" w14:textId="77777777" w:rsidR="004C2197" w:rsidRDefault="00863B83">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0D8DFC95" w14:textId="77777777" w:rsidR="004C2197" w:rsidRDefault="00863B83">
            <w:pPr>
              <w:jc w:val="right"/>
              <w:textAlignment w:val="bottom"/>
            </w:pPr>
            <w:r>
              <w:rPr>
                <w:rFonts w:ascii="sans-serif" w:eastAsia="sans-serif" w:hAnsi="sans-serif" w:cs="sans-serif"/>
                <w:color w:val="000000"/>
                <w:sz w:val="20"/>
                <w:szCs w:val="20"/>
              </w:rPr>
              <w:t>(147)</w:t>
            </w:r>
          </w:p>
        </w:tc>
        <w:tc>
          <w:tcPr>
            <w:tcW w:w="0" w:type="auto"/>
            <w:shd w:val="clear" w:color="auto" w:fill="FFFFFF"/>
            <w:tcMar>
              <w:top w:w="40" w:type="dxa"/>
              <w:bottom w:w="40" w:type="dxa"/>
              <w:right w:w="20" w:type="dxa"/>
            </w:tcMar>
            <w:vAlign w:val="bottom"/>
          </w:tcPr>
          <w:p w14:paraId="0D8DFC9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C9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C98" w14:textId="77777777" w:rsidR="004C2197" w:rsidRDefault="00863B83">
            <w:pPr>
              <w:jc w:val="right"/>
              <w:textAlignment w:val="bottom"/>
            </w:pPr>
            <w:r>
              <w:rPr>
                <w:rFonts w:ascii="sans-serif" w:eastAsia="sans-serif" w:hAnsi="sans-serif" w:cs="sans-serif"/>
                <w:color w:val="000000"/>
                <w:sz w:val="20"/>
                <w:szCs w:val="20"/>
              </w:rPr>
              <w:t>(118)</w:t>
            </w:r>
          </w:p>
        </w:tc>
        <w:tc>
          <w:tcPr>
            <w:tcW w:w="0" w:type="auto"/>
            <w:shd w:val="clear" w:color="auto" w:fill="FFFFFF"/>
            <w:tcMar>
              <w:top w:w="40" w:type="dxa"/>
              <w:bottom w:w="40" w:type="dxa"/>
              <w:right w:w="20" w:type="dxa"/>
            </w:tcMar>
            <w:vAlign w:val="bottom"/>
          </w:tcPr>
          <w:p w14:paraId="0D8DFC99" w14:textId="77777777" w:rsidR="004C2197" w:rsidRDefault="004C2197">
            <w:pPr>
              <w:jc w:val="right"/>
              <w:rPr>
                <w:rFonts w:ascii="宋体"/>
              </w:rPr>
            </w:pPr>
          </w:p>
        </w:tc>
        <w:tc>
          <w:tcPr>
            <w:tcW w:w="0" w:type="auto"/>
            <w:shd w:val="clear" w:color="auto" w:fill="auto"/>
          </w:tcPr>
          <w:p w14:paraId="0D8DFC9A" w14:textId="77777777" w:rsidR="004C2197" w:rsidRDefault="004C2197">
            <w:pPr>
              <w:rPr>
                <w:rFonts w:ascii="宋体"/>
              </w:rPr>
            </w:pPr>
          </w:p>
        </w:tc>
        <w:tc>
          <w:tcPr>
            <w:tcW w:w="0" w:type="auto"/>
            <w:shd w:val="clear" w:color="auto" w:fill="auto"/>
          </w:tcPr>
          <w:p w14:paraId="0D8DFC9B" w14:textId="77777777" w:rsidR="004C2197" w:rsidRDefault="004C2197">
            <w:pPr>
              <w:rPr>
                <w:rFonts w:ascii="宋体"/>
              </w:rPr>
            </w:pPr>
          </w:p>
        </w:tc>
        <w:tc>
          <w:tcPr>
            <w:tcW w:w="0" w:type="auto"/>
            <w:shd w:val="clear" w:color="auto" w:fill="auto"/>
          </w:tcPr>
          <w:p w14:paraId="0D8DFC9C" w14:textId="77777777" w:rsidR="004C2197" w:rsidRDefault="004C2197">
            <w:pPr>
              <w:rPr>
                <w:rFonts w:ascii="宋体"/>
              </w:rPr>
            </w:pPr>
          </w:p>
        </w:tc>
        <w:tc>
          <w:tcPr>
            <w:tcW w:w="0" w:type="auto"/>
            <w:shd w:val="clear" w:color="auto" w:fill="auto"/>
          </w:tcPr>
          <w:p w14:paraId="0D8DFC9D" w14:textId="77777777" w:rsidR="004C2197" w:rsidRDefault="004C2197">
            <w:pPr>
              <w:rPr>
                <w:rFonts w:ascii="宋体"/>
              </w:rPr>
            </w:pPr>
          </w:p>
        </w:tc>
        <w:tc>
          <w:tcPr>
            <w:tcW w:w="0" w:type="auto"/>
            <w:shd w:val="clear" w:color="auto" w:fill="auto"/>
          </w:tcPr>
          <w:p w14:paraId="0D8DFC9E" w14:textId="77777777" w:rsidR="004C2197" w:rsidRDefault="004C2197">
            <w:pPr>
              <w:rPr>
                <w:rFonts w:ascii="宋体"/>
              </w:rPr>
            </w:pPr>
          </w:p>
        </w:tc>
        <w:tc>
          <w:tcPr>
            <w:tcW w:w="0" w:type="auto"/>
            <w:shd w:val="clear" w:color="auto" w:fill="auto"/>
          </w:tcPr>
          <w:p w14:paraId="0D8DFC9F" w14:textId="77777777" w:rsidR="004C2197" w:rsidRDefault="004C2197">
            <w:pPr>
              <w:rPr>
                <w:rFonts w:ascii="宋体"/>
              </w:rPr>
            </w:pPr>
          </w:p>
        </w:tc>
      </w:tr>
      <w:tr w:rsidR="004C2197" w14:paraId="0D8DFCAF" w14:textId="77777777">
        <w:trPr>
          <w:jc w:val="center"/>
        </w:trPr>
        <w:tc>
          <w:tcPr>
            <w:tcW w:w="0" w:type="auto"/>
            <w:gridSpan w:val="3"/>
            <w:shd w:val="clear" w:color="auto" w:fill="E2EFD9"/>
            <w:tcMar>
              <w:top w:w="40" w:type="dxa"/>
              <w:left w:w="20" w:type="dxa"/>
              <w:bottom w:w="40" w:type="dxa"/>
              <w:right w:w="20" w:type="dxa"/>
            </w:tcMar>
            <w:vAlign w:val="bottom"/>
          </w:tcPr>
          <w:p w14:paraId="0D8DFCA1" w14:textId="77777777" w:rsidR="004C2197" w:rsidRDefault="00863B83">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CA2"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CA3" w14:textId="77777777" w:rsidR="004C2197" w:rsidRDefault="00863B83">
            <w:pPr>
              <w:jc w:val="right"/>
              <w:textAlignment w:val="bottom"/>
            </w:pPr>
            <w:r>
              <w:rPr>
                <w:rFonts w:ascii="sans-serif" w:eastAsia="sans-serif" w:hAnsi="sans-serif" w:cs="sans-serif"/>
                <w:color w:val="000000"/>
                <w:sz w:val="20"/>
                <w:szCs w:val="20"/>
              </w:rPr>
              <w:t>342 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CA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A5"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DFCA6"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DFCA7" w14:textId="77777777" w:rsidR="004C2197" w:rsidRDefault="00863B83">
            <w:pPr>
              <w:jc w:val="right"/>
              <w:textAlignment w:val="bottom"/>
            </w:pPr>
            <w:r>
              <w:rPr>
                <w:rFonts w:ascii="sans-serif" w:eastAsia="sans-serif" w:hAnsi="sans-serif" w:cs="sans-serif"/>
                <w:color w:val="000000"/>
                <w:sz w:val="20"/>
                <w:szCs w:val="20"/>
              </w:rPr>
              <w:t>181 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DFCA8" w14:textId="77777777" w:rsidR="004C2197" w:rsidRDefault="004C2197">
            <w:pPr>
              <w:jc w:val="right"/>
              <w:rPr>
                <w:rFonts w:ascii="宋体"/>
              </w:rPr>
            </w:pPr>
          </w:p>
        </w:tc>
        <w:tc>
          <w:tcPr>
            <w:tcW w:w="0" w:type="auto"/>
            <w:shd w:val="clear" w:color="auto" w:fill="auto"/>
          </w:tcPr>
          <w:p w14:paraId="0D8DFCA9" w14:textId="77777777" w:rsidR="004C2197" w:rsidRDefault="004C2197">
            <w:pPr>
              <w:rPr>
                <w:rFonts w:ascii="宋体"/>
              </w:rPr>
            </w:pPr>
          </w:p>
        </w:tc>
        <w:tc>
          <w:tcPr>
            <w:tcW w:w="0" w:type="auto"/>
            <w:shd w:val="clear" w:color="auto" w:fill="auto"/>
          </w:tcPr>
          <w:p w14:paraId="0D8DFCAA" w14:textId="77777777" w:rsidR="004C2197" w:rsidRDefault="004C2197">
            <w:pPr>
              <w:rPr>
                <w:rFonts w:ascii="宋体"/>
              </w:rPr>
            </w:pPr>
          </w:p>
        </w:tc>
        <w:tc>
          <w:tcPr>
            <w:tcW w:w="0" w:type="auto"/>
            <w:shd w:val="clear" w:color="auto" w:fill="auto"/>
          </w:tcPr>
          <w:p w14:paraId="0D8DFCAB" w14:textId="77777777" w:rsidR="004C2197" w:rsidRDefault="004C2197">
            <w:pPr>
              <w:rPr>
                <w:rFonts w:ascii="宋体"/>
              </w:rPr>
            </w:pPr>
          </w:p>
        </w:tc>
        <w:tc>
          <w:tcPr>
            <w:tcW w:w="0" w:type="auto"/>
            <w:shd w:val="clear" w:color="auto" w:fill="auto"/>
          </w:tcPr>
          <w:p w14:paraId="0D8DFCAC" w14:textId="77777777" w:rsidR="004C2197" w:rsidRDefault="004C2197">
            <w:pPr>
              <w:rPr>
                <w:rFonts w:ascii="宋体"/>
              </w:rPr>
            </w:pPr>
          </w:p>
        </w:tc>
        <w:tc>
          <w:tcPr>
            <w:tcW w:w="0" w:type="auto"/>
            <w:shd w:val="clear" w:color="auto" w:fill="auto"/>
          </w:tcPr>
          <w:p w14:paraId="0D8DFCAD" w14:textId="77777777" w:rsidR="004C2197" w:rsidRDefault="004C2197">
            <w:pPr>
              <w:rPr>
                <w:rFonts w:ascii="宋体"/>
              </w:rPr>
            </w:pPr>
          </w:p>
        </w:tc>
        <w:tc>
          <w:tcPr>
            <w:tcW w:w="0" w:type="auto"/>
            <w:shd w:val="clear" w:color="auto" w:fill="auto"/>
          </w:tcPr>
          <w:p w14:paraId="0D8DFCAE" w14:textId="77777777" w:rsidR="004C2197" w:rsidRDefault="004C2197">
            <w:pPr>
              <w:rPr>
                <w:rFonts w:ascii="宋体"/>
              </w:rPr>
            </w:pPr>
          </w:p>
        </w:tc>
      </w:tr>
    </w:tbl>
    <w:p w14:paraId="0D8DFCB0" w14:textId="77777777" w:rsidR="004C2197" w:rsidRDefault="004C2197">
      <w:pPr>
        <w:spacing w:after="60"/>
      </w:pPr>
    </w:p>
    <w:p w14:paraId="0D8DFCB1" w14:textId="77777777" w:rsidR="004C2197" w:rsidRDefault="00863B83">
      <w:pPr>
        <w:spacing w:after="180"/>
        <w:jc w:val="center"/>
      </w:pPr>
      <w:r>
        <w:rPr>
          <w:rFonts w:ascii="sans-serif" w:eastAsia="sans-serif" w:hAnsi="sans-serif" w:cs="sans-serif"/>
          <w:color w:val="000000"/>
          <w:sz w:val="20"/>
          <w:szCs w:val="20"/>
        </w:rPr>
        <w:t>19</w:t>
      </w:r>
    </w:p>
    <w:p w14:paraId="0D8DFCB2" w14:textId="77777777" w:rsidR="004C2197" w:rsidRDefault="00863B83">
      <w:r>
        <w:pict w14:anchorId="0D8E0CB7">
          <v:rect id="_x0000_i1043" style="width:415.3pt;height:1.5pt" o:hralign="center" o:hrstd="t" o:hr="t" fillcolor="#a0a0a0" stroked="f"/>
        </w:pict>
      </w:r>
    </w:p>
    <w:p w14:paraId="0D8DFCB3" w14:textId="77777777" w:rsidR="004C2197" w:rsidRDefault="00863B83">
      <w:pPr>
        <w:jc w:val="center"/>
      </w:pPr>
      <w:r>
        <w:rPr>
          <w:rFonts w:ascii="sans-serif" w:eastAsia="sans-serif" w:hAnsi="sans-serif" w:cs="sans-serif"/>
          <w:b/>
          <w:bCs/>
          <w:color w:val="000000"/>
          <w:sz w:val="20"/>
          <w:szCs w:val="20"/>
        </w:rPr>
        <w:t>NVIDIA CORPORATION AND SUBSIDIARIES</w:t>
      </w:r>
    </w:p>
    <w:p w14:paraId="0D8DFCB4" w14:textId="77777777" w:rsidR="004C2197" w:rsidRDefault="00863B83">
      <w:pPr>
        <w:jc w:val="center"/>
      </w:pPr>
      <w:r>
        <w:rPr>
          <w:rFonts w:ascii="sans-serif" w:eastAsia="sans-serif" w:hAnsi="sans-serif" w:cs="sans-serif"/>
          <w:b/>
          <w:bCs/>
          <w:color w:val="000000"/>
          <w:sz w:val="20"/>
          <w:szCs w:val="20"/>
        </w:rPr>
        <w:t xml:space="preserve">NOTES TO CONDENSED CONSOLIDATED FINANCIAL STATEMENTS </w:t>
      </w:r>
      <w:r>
        <w:rPr>
          <w:rFonts w:ascii="sans-serif" w:eastAsia="sans-serif" w:hAnsi="sans-serif" w:cs="sans-serif"/>
          <w:b/>
          <w:bCs/>
          <w:color w:val="000000"/>
          <w:sz w:val="20"/>
          <w:szCs w:val="20"/>
        </w:rPr>
        <w:t>(Continued)</w:t>
      </w:r>
    </w:p>
    <w:p w14:paraId="0D8DFCB5" w14:textId="77777777" w:rsidR="004C2197" w:rsidRDefault="00863B83">
      <w:pPr>
        <w:jc w:val="center"/>
      </w:pPr>
      <w:r>
        <w:rPr>
          <w:rFonts w:ascii="sans-serif" w:eastAsia="sans-serif" w:hAnsi="sans-serif" w:cs="sans-serif"/>
          <w:b/>
          <w:bCs/>
          <w:color w:val="000000"/>
          <w:sz w:val="20"/>
          <w:szCs w:val="20"/>
        </w:rPr>
        <w:t>(Unaudited)</w:t>
      </w:r>
    </w:p>
    <w:p w14:paraId="0D8DFCB6" w14:textId="77777777" w:rsidR="004C2197" w:rsidRDefault="004C2197">
      <w:pPr>
        <w:spacing w:after="180"/>
        <w:jc w:val="both"/>
      </w:pPr>
    </w:p>
    <w:p w14:paraId="0D8DFCB7" w14:textId="77777777" w:rsidR="004C2197" w:rsidRDefault="004C2197">
      <w:pPr>
        <w:spacing w:after="180"/>
        <w:jc w:val="both"/>
      </w:pPr>
    </w:p>
    <w:p w14:paraId="0D8DFCB8" w14:textId="77777777" w:rsidR="004C2197" w:rsidRDefault="00863B83">
      <w:pPr>
        <w:spacing w:after="60"/>
        <w:jc w:val="both"/>
      </w:pPr>
      <w:r>
        <w:rPr>
          <w:rFonts w:ascii="sans-serif" w:eastAsia="sans-serif" w:hAnsi="sans-serif" w:cs="sans-serif"/>
          <w:color w:val="000000"/>
          <w:sz w:val="20"/>
          <w:szCs w:val="20"/>
        </w:rPr>
        <w:t>Revenue related to remaining performance obligations represents the remaining contracted license, development arrangements and PCS that has not been recognized. This includes related deferred revenue currently recorded and amounts</w:t>
      </w:r>
      <w:r>
        <w:rPr>
          <w:rFonts w:ascii="sans-serif" w:eastAsia="sans-serif" w:hAnsi="sans-serif" w:cs="sans-serif"/>
          <w:color w:val="000000"/>
          <w:sz w:val="20"/>
          <w:szCs w:val="20"/>
        </w:rPr>
        <w:t xml:space="preserve"> that will be invoiced in future periods. As of July 26, 2020, the amount of our remaining performance obligations that has not been recognized as revenue was $670 million, of which we expect to recognize approximately 40% as revenue over the next twelve m</w:t>
      </w:r>
      <w:r>
        <w:rPr>
          <w:rFonts w:ascii="sans-serif" w:eastAsia="sans-serif" w:hAnsi="sans-serif" w:cs="sans-serif"/>
          <w:color w:val="000000"/>
          <w:sz w:val="20"/>
          <w:szCs w:val="20"/>
        </w:rPr>
        <w:t>onths and the remainder thereafter. This amount excludes the value of remaining performance obligations for contracts with an original expected length of one year or less.</w:t>
      </w:r>
    </w:p>
    <w:p w14:paraId="0D8DFCB9" w14:textId="77777777" w:rsidR="004C2197" w:rsidRDefault="004C2197">
      <w:pPr>
        <w:spacing w:after="60"/>
        <w:jc w:val="both"/>
      </w:pPr>
    </w:p>
    <w:p w14:paraId="0D8DFCBA" w14:textId="77777777" w:rsidR="004C2197" w:rsidRDefault="00863B83">
      <w:pPr>
        <w:spacing w:before="240" w:after="120"/>
        <w:jc w:val="both"/>
      </w:pPr>
      <w:r>
        <w:rPr>
          <w:rFonts w:ascii="sans-serif" w:eastAsia="sans-serif" w:hAnsi="sans-serif" w:cs="sans-serif"/>
          <w:b/>
          <w:bCs/>
          <w:color w:val="76B900"/>
          <w:sz w:val="22"/>
          <w:szCs w:val="22"/>
        </w:rPr>
        <w:t>Note 11 - Derivative Financial Instruments</w:t>
      </w:r>
    </w:p>
    <w:p w14:paraId="0D8DFCBB" w14:textId="77777777" w:rsidR="004C2197" w:rsidRDefault="00863B83">
      <w:pPr>
        <w:spacing w:after="180"/>
        <w:jc w:val="both"/>
      </w:pPr>
      <w:r>
        <w:rPr>
          <w:rFonts w:ascii="sans-serif" w:eastAsia="sans-serif" w:hAnsi="sans-serif" w:cs="sans-serif"/>
          <w:color w:val="000000"/>
          <w:sz w:val="20"/>
          <w:szCs w:val="20"/>
        </w:rPr>
        <w:t>We enter into foreign currency forward c</w:t>
      </w:r>
      <w:r>
        <w:rPr>
          <w:rFonts w:ascii="sans-serif" w:eastAsia="sans-serif" w:hAnsi="sans-serif" w:cs="sans-serif"/>
          <w:color w:val="000000"/>
          <w:sz w:val="20"/>
          <w:szCs w:val="20"/>
        </w:rPr>
        <w:t>ontracts to mitigate the impact of foreign currency exchange rate movements on our operating expenses. These contracts are designated as cash flow hedges for hedge accounting treatment. Gains or losses on the contracts are recorded in accumulated other com</w:t>
      </w:r>
      <w:r>
        <w:rPr>
          <w:rFonts w:ascii="sans-serif" w:eastAsia="sans-serif" w:hAnsi="sans-serif" w:cs="sans-serif"/>
          <w:color w:val="000000"/>
          <w:sz w:val="20"/>
          <w:szCs w:val="20"/>
        </w:rPr>
        <w:t>prehensive income or loss and reclassified to operating expense when the related operating expenses are recognized in earnings or ineffectiveness should occur. The fair value of the contracts was not significant as of July 26, 2020 and January 26, 2020.</w:t>
      </w:r>
    </w:p>
    <w:p w14:paraId="0D8DFCBC" w14:textId="77777777" w:rsidR="004C2197" w:rsidRDefault="00863B83">
      <w:pPr>
        <w:jc w:val="both"/>
      </w:pPr>
      <w:r>
        <w:rPr>
          <w:rFonts w:ascii="sans-serif" w:eastAsia="sans-serif" w:hAnsi="sans-serif" w:cs="sans-serif"/>
          <w:color w:val="000000"/>
          <w:sz w:val="20"/>
          <w:szCs w:val="20"/>
        </w:rPr>
        <w:t>We</w:t>
      </w:r>
      <w:r>
        <w:rPr>
          <w:rFonts w:ascii="sans-serif" w:eastAsia="sans-serif" w:hAnsi="sans-serif" w:cs="sans-serif"/>
          <w:color w:val="000000"/>
          <w:sz w:val="20"/>
          <w:szCs w:val="20"/>
        </w:rPr>
        <w:t xml:space="preserve"> also enter into foreign currency forward contracts to mitigate the impact of foreign currency movements on monetary assets and liabilities that are denominated in currencies other than the U.S. dollar, including intercompany hedging instruments, or interc</w:t>
      </w:r>
      <w:r>
        <w:rPr>
          <w:rFonts w:ascii="sans-serif" w:eastAsia="sans-serif" w:hAnsi="sans-serif" w:cs="sans-serif"/>
          <w:color w:val="000000"/>
          <w:sz w:val="20"/>
          <w:szCs w:val="20"/>
        </w:rPr>
        <w:t>ompany derivatives, with wholly-owned subsidiaries in order to hedge certain forecasted expenses denominated in currencies other than the U.S. dollar. These forward contracts were not designated for hedge accounting treatment. Therefore, the change in fair</w:t>
      </w:r>
      <w:r>
        <w:rPr>
          <w:rFonts w:ascii="sans-serif" w:eastAsia="sans-serif" w:hAnsi="sans-serif" w:cs="sans-serif"/>
          <w:color w:val="000000"/>
          <w:sz w:val="20"/>
          <w:szCs w:val="20"/>
        </w:rPr>
        <w:t xml:space="preserve"> value of these contracts is recorded in other income or expense and offsets the change in fair value of the hedged foreign currency denominated monetary assets and liabilities, which is also recorded in other income or expense. </w:t>
      </w:r>
    </w:p>
    <w:p w14:paraId="0D8DFCBD" w14:textId="77777777" w:rsidR="004C2197" w:rsidRDefault="004C2197"/>
    <w:p w14:paraId="0D8DFCBE" w14:textId="77777777" w:rsidR="004C2197" w:rsidRDefault="00863B83">
      <w:pPr>
        <w:spacing w:after="180"/>
        <w:jc w:val="both"/>
      </w:pPr>
      <w:r>
        <w:rPr>
          <w:rFonts w:ascii="sans-serif" w:eastAsia="sans-serif" w:hAnsi="sans-serif" w:cs="sans-serif"/>
          <w:color w:val="000000"/>
          <w:sz w:val="20"/>
          <w:szCs w:val="20"/>
        </w:rPr>
        <w:t xml:space="preserve">The table below presents </w:t>
      </w:r>
      <w:r>
        <w:rPr>
          <w:rFonts w:ascii="sans-serif" w:eastAsia="sans-serif" w:hAnsi="sans-serif" w:cs="sans-serif"/>
          <w:color w:val="000000"/>
          <w:sz w:val="20"/>
          <w:szCs w:val="20"/>
        </w:rPr>
        <w:t>the notional value of our foreign currency forward contracts outstanding as of July 26, 2020 and January 26,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5489"/>
        <w:gridCol w:w="36"/>
        <w:gridCol w:w="137"/>
        <w:gridCol w:w="1044"/>
        <w:gridCol w:w="41"/>
        <w:gridCol w:w="36"/>
        <w:gridCol w:w="38"/>
        <w:gridCol w:w="36"/>
        <w:gridCol w:w="138"/>
        <w:gridCol w:w="1047"/>
        <w:gridCol w:w="41"/>
        <w:gridCol w:w="36"/>
        <w:gridCol w:w="36"/>
        <w:gridCol w:w="36"/>
        <w:gridCol w:w="36"/>
        <w:gridCol w:w="36"/>
        <w:gridCol w:w="36"/>
      </w:tblGrid>
      <w:tr w:rsidR="004C2197" w14:paraId="0D8DFCCB" w14:textId="77777777">
        <w:trPr>
          <w:gridAfter w:val="6"/>
        </w:trPr>
        <w:tc>
          <w:tcPr>
            <w:tcW w:w="50" w:type="pct"/>
            <w:shd w:val="clear" w:color="auto" w:fill="auto"/>
          </w:tcPr>
          <w:p w14:paraId="0D8DFCBF" w14:textId="77777777" w:rsidR="004C2197" w:rsidRDefault="004C2197">
            <w:pPr>
              <w:rPr>
                <w:rFonts w:ascii="宋体"/>
              </w:rPr>
            </w:pPr>
          </w:p>
        </w:tc>
        <w:tc>
          <w:tcPr>
            <w:tcW w:w="3417" w:type="pct"/>
            <w:shd w:val="clear" w:color="auto" w:fill="auto"/>
          </w:tcPr>
          <w:p w14:paraId="0D8DFCC0" w14:textId="77777777" w:rsidR="004C2197" w:rsidRDefault="004C2197">
            <w:pPr>
              <w:rPr>
                <w:rFonts w:ascii="宋体"/>
              </w:rPr>
            </w:pPr>
          </w:p>
        </w:tc>
        <w:tc>
          <w:tcPr>
            <w:tcW w:w="5" w:type="pct"/>
            <w:shd w:val="clear" w:color="auto" w:fill="auto"/>
          </w:tcPr>
          <w:p w14:paraId="0D8DFCC1" w14:textId="77777777" w:rsidR="004C2197" w:rsidRDefault="004C2197">
            <w:pPr>
              <w:rPr>
                <w:rFonts w:ascii="宋体"/>
              </w:rPr>
            </w:pPr>
          </w:p>
        </w:tc>
        <w:tc>
          <w:tcPr>
            <w:tcW w:w="50" w:type="pct"/>
            <w:shd w:val="clear" w:color="auto" w:fill="auto"/>
          </w:tcPr>
          <w:p w14:paraId="0D8DFCC2" w14:textId="77777777" w:rsidR="004C2197" w:rsidRDefault="004C2197">
            <w:pPr>
              <w:rPr>
                <w:rFonts w:ascii="宋体"/>
              </w:rPr>
            </w:pPr>
          </w:p>
        </w:tc>
        <w:tc>
          <w:tcPr>
            <w:tcW w:w="675" w:type="pct"/>
            <w:shd w:val="clear" w:color="auto" w:fill="auto"/>
          </w:tcPr>
          <w:p w14:paraId="0D8DFCC3" w14:textId="77777777" w:rsidR="004C2197" w:rsidRDefault="004C2197">
            <w:pPr>
              <w:rPr>
                <w:rFonts w:ascii="宋体"/>
              </w:rPr>
            </w:pPr>
          </w:p>
        </w:tc>
        <w:tc>
          <w:tcPr>
            <w:tcW w:w="5" w:type="pct"/>
            <w:shd w:val="clear" w:color="auto" w:fill="auto"/>
          </w:tcPr>
          <w:p w14:paraId="0D8DFCC4" w14:textId="77777777" w:rsidR="004C2197" w:rsidRDefault="004C2197">
            <w:pPr>
              <w:rPr>
                <w:rFonts w:ascii="宋体"/>
              </w:rPr>
            </w:pPr>
          </w:p>
        </w:tc>
        <w:tc>
          <w:tcPr>
            <w:tcW w:w="5" w:type="pct"/>
            <w:shd w:val="clear" w:color="auto" w:fill="auto"/>
          </w:tcPr>
          <w:p w14:paraId="0D8DFCC5" w14:textId="77777777" w:rsidR="004C2197" w:rsidRDefault="004C2197">
            <w:pPr>
              <w:rPr>
                <w:rFonts w:ascii="宋体"/>
              </w:rPr>
            </w:pPr>
          </w:p>
        </w:tc>
        <w:tc>
          <w:tcPr>
            <w:tcW w:w="55" w:type="pct"/>
            <w:shd w:val="clear" w:color="auto" w:fill="auto"/>
          </w:tcPr>
          <w:p w14:paraId="0D8DFCC6" w14:textId="77777777" w:rsidR="004C2197" w:rsidRDefault="004C2197">
            <w:pPr>
              <w:rPr>
                <w:rFonts w:ascii="宋体"/>
              </w:rPr>
            </w:pPr>
          </w:p>
        </w:tc>
        <w:tc>
          <w:tcPr>
            <w:tcW w:w="5" w:type="pct"/>
            <w:shd w:val="clear" w:color="auto" w:fill="auto"/>
          </w:tcPr>
          <w:p w14:paraId="0D8DFCC7" w14:textId="77777777" w:rsidR="004C2197" w:rsidRDefault="004C2197">
            <w:pPr>
              <w:rPr>
                <w:rFonts w:ascii="宋体"/>
              </w:rPr>
            </w:pPr>
          </w:p>
        </w:tc>
        <w:tc>
          <w:tcPr>
            <w:tcW w:w="50" w:type="pct"/>
            <w:shd w:val="clear" w:color="auto" w:fill="auto"/>
          </w:tcPr>
          <w:p w14:paraId="0D8DFCC8" w14:textId="77777777" w:rsidR="004C2197" w:rsidRDefault="004C2197">
            <w:pPr>
              <w:rPr>
                <w:rFonts w:ascii="宋体"/>
              </w:rPr>
            </w:pPr>
          </w:p>
        </w:tc>
        <w:tc>
          <w:tcPr>
            <w:tcW w:w="676" w:type="pct"/>
            <w:shd w:val="clear" w:color="auto" w:fill="auto"/>
          </w:tcPr>
          <w:p w14:paraId="0D8DFCC9" w14:textId="77777777" w:rsidR="004C2197" w:rsidRDefault="004C2197">
            <w:pPr>
              <w:rPr>
                <w:rFonts w:ascii="宋体"/>
              </w:rPr>
            </w:pPr>
          </w:p>
        </w:tc>
        <w:tc>
          <w:tcPr>
            <w:tcW w:w="5" w:type="pct"/>
            <w:shd w:val="clear" w:color="auto" w:fill="auto"/>
          </w:tcPr>
          <w:p w14:paraId="0D8DFCCA" w14:textId="77777777" w:rsidR="004C2197" w:rsidRDefault="004C2197">
            <w:pPr>
              <w:rPr>
                <w:rFonts w:ascii="宋体"/>
              </w:rPr>
            </w:pPr>
          </w:p>
        </w:tc>
      </w:tr>
      <w:tr w:rsidR="004C2197" w14:paraId="0D8DFCD0" w14:textId="77777777">
        <w:trPr>
          <w:gridAfter w:val="6"/>
        </w:trPr>
        <w:tc>
          <w:tcPr>
            <w:tcW w:w="0" w:type="auto"/>
            <w:gridSpan w:val="3"/>
            <w:shd w:val="clear" w:color="auto" w:fill="auto"/>
            <w:tcMar>
              <w:top w:w="40" w:type="dxa"/>
              <w:left w:w="20" w:type="dxa"/>
              <w:bottom w:w="40" w:type="dxa"/>
              <w:right w:w="20" w:type="dxa"/>
            </w:tcMar>
            <w:vAlign w:val="bottom"/>
          </w:tcPr>
          <w:p w14:paraId="0D8DFCCC"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CCD"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shd w:val="clear" w:color="auto" w:fill="auto"/>
            <w:tcMar>
              <w:left w:w="20" w:type="dxa"/>
              <w:right w:w="20" w:type="dxa"/>
            </w:tcMar>
            <w:vAlign w:val="bottom"/>
          </w:tcPr>
          <w:p w14:paraId="0D8DFCC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CCF" w14:textId="77777777" w:rsidR="004C2197" w:rsidRDefault="00863B83">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4C2197" w14:paraId="0D8DFCD5" w14:textId="77777777">
        <w:trPr>
          <w:gridAfter w:val="6"/>
          <w:trHeight w:val="60"/>
        </w:trPr>
        <w:tc>
          <w:tcPr>
            <w:tcW w:w="0" w:type="auto"/>
            <w:gridSpan w:val="3"/>
            <w:shd w:val="clear" w:color="auto" w:fill="auto"/>
            <w:tcMar>
              <w:left w:w="20" w:type="dxa"/>
              <w:right w:w="20" w:type="dxa"/>
            </w:tcMar>
            <w:vAlign w:val="bottom"/>
          </w:tcPr>
          <w:p w14:paraId="0D8DFCD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CD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CD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CD4" w14:textId="77777777" w:rsidR="004C2197" w:rsidRDefault="004C2197">
            <w:pPr>
              <w:rPr>
                <w:rFonts w:ascii="宋体"/>
              </w:rPr>
            </w:pPr>
          </w:p>
        </w:tc>
      </w:tr>
      <w:tr w:rsidR="004C2197" w14:paraId="0D8DFCDA" w14:textId="77777777">
        <w:tc>
          <w:tcPr>
            <w:tcW w:w="0" w:type="auto"/>
            <w:gridSpan w:val="3"/>
            <w:shd w:val="clear" w:color="auto" w:fill="auto"/>
            <w:tcMar>
              <w:left w:w="20" w:type="dxa"/>
              <w:right w:w="20" w:type="dxa"/>
            </w:tcMar>
            <w:vAlign w:val="bottom"/>
          </w:tcPr>
          <w:p w14:paraId="0D8DFCD6"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CD7"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CD8" w14:textId="77777777" w:rsidR="004C2197" w:rsidRDefault="004C2197">
            <w:pPr>
              <w:rPr>
                <w:rFonts w:ascii="宋体"/>
                <w:vanish/>
              </w:rPr>
            </w:pPr>
          </w:p>
        </w:tc>
        <w:tc>
          <w:tcPr>
            <w:tcW w:w="0" w:type="auto"/>
            <w:gridSpan w:val="3"/>
            <w:shd w:val="clear" w:color="auto" w:fill="auto"/>
          </w:tcPr>
          <w:p w14:paraId="0D8DFCD9" w14:textId="77777777" w:rsidR="004C2197" w:rsidRDefault="004C2197">
            <w:pPr>
              <w:rPr>
                <w:rFonts w:ascii="宋体"/>
                <w:vanish/>
              </w:rPr>
            </w:pPr>
          </w:p>
        </w:tc>
      </w:tr>
      <w:tr w:rsidR="004C2197" w14:paraId="0D8DFCE9" w14:textId="77777777">
        <w:tc>
          <w:tcPr>
            <w:tcW w:w="0" w:type="auto"/>
            <w:gridSpan w:val="3"/>
            <w:shd w:val="clear" w:color="auto" w:fill="E2EFD9"/>
            <w:tcMar>
              <w:top w:w="40" w:type="dxa"/>
              <w:left w:w="20" w:type="dxa"/>
              <w:bottom w:w="40" w:type="dxa"/>
              <w:right w:w="20" w:type="dxa"/>
            </w:tcMar>
            <w:vAlign w:val="bottom"/>
          </w:tcPr>
          <w:p w14:paraId="0D8DFCDB" w14:textId="77777777" w:rsidR="004C2197" w:rsidRDefault="00863B83">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tcMar>
            <w:vAlign w:val="bottom"/>
          </w:tcPr>
          <w:p w14:paraId="0D8DFCD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CDD" w14:textId="77777777" w:rsidR="004C2197" w:rsidRDefault="00863B83">
            <w:pPr>
              <w:jc w:val="right"/>
              <w:textAlignment w:val="bottom"/>
            </w:pPr>
            <w:r>
              <w:rPr>
                <w:rFonts w:ascii="sans-serif" w:eastAsia="sans-serif" w:hAnsi="sans-serif" w:cs="sans-serif"/>
                <w:color w:val="000000"/>
                <w:sz w:val="20"/>
                <w:szCs w:val="20"/>
              </w:rPr>
              <w:t>575 </w:t>
            </w:r>
          </w:p>
        </w:tc>
        <w:tc>
          <w:tcPr>
            <w:tcW w:w="0" w:type="auto"/>
            <w:shd w:val="clear" w:color="auto" w:fill="E2EFD9"/>
            <w:tcMar>
              <w:top w:w="40" w:type="dxa"/>
              <w:bottom w:w="40" w:type="dxa"/>
              <w:right w:w="20" w:type="dxa"/>
            </w:tcMar>
            <w:vAlign w:val="bottom"/>
          </w:tcPr>
          <w:p w14:paraId="0D8DFCD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CD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CE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CE1" w14:textId="77777777" w:rsidR="004C2197" w:rsidRDefault="00863B83">
            <w:pPr>
              <w:jc w:val="right"/>
              <w:textAlignment w:val="bottom"/>
            </w:pPr>
            <w:r>
              <w:rPr>
                <w:rFonts w:ascii="sans-serif" w:eastAsia="sans-serif" w:hAnsi="sans-serif" w:cs="sans-serif"/>
                <w:color w:val="000000"/>
                <w:sz w:val="20"/>
                <w:szCs w:val="20"/>
              </w:rPr>
              <w:t>428 </w:t>
            </w:r>
          </w:p>
        </w:tc>
        <w:tc>
          <w:tcPr>
            <w:tcW w:w="0" w:type="auto"/>
            <w:shd w:val="clear" w:color="auto" w:fill="E2EFD9"/>
            <w:tcMar>
              <w:top w:w="40" w:type="dxa"/>
              <w:bottom w:w="40" w:type="dxa"/>
              <w:right w:w="20" w:type="dxa"/>
            </w:tcMar>
            <w:vAlign w:val="bottom"/>
          </w:tcPr>
          <w:p w14:paraId="0D8DFCE2" w14:textId="77777777" w:rsidR="004C2197" w:rsidRDefault="004C2197">
            <w:pPr>
              <w:jc w:val="right"/>
              <w:rPr>
                <w:rFonts w:ascii="宋体"/>
              </w:rPr>
            </w:pPr>
          </w:p>
        </w:tc>
        <w:tc>
          <w:tcPr>
            <w:tcW w:w="0" w:type="auto"/>
            <w:shd w:val="clear" w:color="auto" w:fill="auto"/>
          </w:tcPr>
          <w:p w14:paraId="0D8DFCE3" w14:textId="77777777" w:rsidR="004C2197" w:rsidRDefault="004C2197">
            <w:pPr>
              <w:rPr>
                <w:rFonts w:ascii="宋体"/>
              </w:rPr>
            </w:pPr>
          </w:p>
        </w:tc>
        <w:tc>
          <w:tcPr>
            <w:tcW w:w="0" w:type="auto"/>
            <w:shd w:val="clear" w:color="auto" w:fill="auto"/>
          </w:tcPr>
          <w:p w14:paraId="0D8DFCE4" w14:textId="77777777" w:rsidR="004C2197" w:rsidRDefault="004C2197">
            <w:pPr>
              <w:rPr>
                <w:rFonts w:ascii="宋体"/>
              </w:rPr>
            </w:pPr>
          </w:p>
        </w:tc>
        <w:tc>
          <w:tcPr>
            <w:tcW w:w="0" w:type="auto"/>
            <w:shd w:val="clear" w:color="auto" w:fill="auto"/>
          </w:tcPr>
          <w:p w14:paraId="0D8DFCE5" w14:textId="77777777" w:rsidR="004C2197" w:rsidRDefault="004C2197">
            <w:pPr>
              <w:rPr>
                <w:rFonts w:ascii="宋体"/>
              </w:rPr>
            </w:pPr>
          </w:p>
        </w:tc>
        <w:tc>
          <w:tcPr>
            <w:tcW w:w="0" w:type="auto"/>
            <w:shd w:val="clear" w:color="auto" w:fill="auto"/>
          </w:tcPr>
          <w:p w14:paraId="0D8DFCE6" w14:textId="77777777" w:rsidR="004C2197" w:rsidRDefault="004C2197">
            <w:pPr>
              <w:rPr>
                <w:rFonts w:ascii="宋体"/>
              </w:rPr>
            </w:pPr>
          </w:p>
        </w:tc>
        <w:tc>
          <w:tcPr>
            <w:tcW w:w="0" w:type="auto"/>
            <w:shd w:val="clear" w:color="auto" w:fill="auto"/>
          </w:tcPr>
          <w:p w14:paraId="0D8DFCE7" w14:textId="77777777" w:rsidR="004C2197" w:rsidRDefault="004C2197">
            <w:pPr>
              <w:rPr>
                <w:rFonts w:ascii="宋体"/>
              </w:rPr>
            </w:pPr>
          </w:p>
        </w:tc>
        <w:tc>
          <w:tcPr>
            <w:tcW w:w="0" w:type="auto"/>
            <w:shd w:val="clear" w:color="auto" w:fill="auto"/>
          </w:tcPr>
          <w:p w14:paraId="0D8DFCE8" w14:textId="77777777" w:rsidR="004C2197" w:rsidRDefault="004C2197">
            <w:pPr>
              <w:rPr>
                <w:rFonts w:ascii="宋体"/>
              </w:rPr>
            </w:pPr>
          </w:p>
        </w:tc>
      </w:tr>
      <w:tr w:rsidR="004C2197" w14:paraId="0D8DFCF8" w14:textId="77777777">
        <w:tc>
          <w:tcPr>
            <w:tcW w:w="0" w:type="auto"/>
            <w:gridSpan w:val="3"/>
            <w:shd w:val="clear" w:color="auto" w:fill="FFFFFF"/>
            <w:tcMar>
              <w:top w:w="40" w:type="dxa"/>
              <w:left w:w="20" w:type="dxa"/>
              <w:bottom w:w="40" w:type="dxa"/>
              <w:right w:w="20" w:type="dxa"/>
            </w:tcMar>
            <w:vAlign w:val="bottom"/>
          </w:tcPr>
          <w:p w14:paraId="0D8DFCEA" w14:textId="77777777" w:rsidR="004C2197" w:rsidRDefault="00863B83">
            <w:pPr>
              <w:textAlignment w:val="bottom"/>
            </w:pPr>
            <w:r>
              <w:rPr>
                <w:rFonts w:ascii="sans-serif" w:eastAsia="sans-serif" w:hAnsi="sans-serif" w:cs="sans-serif"/>
                <w:color w:val="000000"/>
                <w:sz w:val="20"/>
                <w:szCs w:val="20"/>
              </w:rPr>
              <w:t xml:space="preserve">Not </w:t>
            </w:r>
            <w:r>
              <w:rPr>
                <w:rFonts w:ascii="sans-serif" w:eastAsia="sans-serif" w:hAnsi="sans-serif" w:cs="sans-serif"/>
                <w:color w:val="000000"/>
                <w:sz w:val="20"/>
                <w:szCs w:val="20"/>
              </w:rPr>
              <w:t>designated for hedge accounting</w:t>
            </w:r>
          </w:p>
        </w:tc>
        <w:tc>
          <w:tcPr>
            <w:tcW w:w="0" w:type="auto"/>
            <w:shd w:val="clear" w:color="auto" w:fill="FFFFFF"/>
            <w:tcMar>
              <w:top w:w="40" w:type="dxa"/>
              <w:left w:w="20" w:type="dxa"/>
              <w:bottom w:w="40" w:type="dxa"/>
            </w:tcMar>
            <w:vAlign w:val="bottom"/>
          </w:tcPr>
          <w:p w14:paraId="0D8DFCE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CEC" w14:textId="77777777" w:rsidR="004C2197" w:rsidRDefault="00863B83">
            <w:pPr>
              <w:jc w:val="right"/>
              <w:textAlignment w:val="bottom"/>
            </w:pPr>
            <w:r>
              <w:rPr>
                <w:rFonts w:ascii="sans-serif" w:eastAsia="sans-serif" w:hAnsi="sans-serif" w:cs="sans-serif"/>
                <w:color w:val="000000"/>
                <w:sz w:val="20"/>
                <w:szCs w:val="20"/>
              </w:rPr>
              <w:t>373 </w:t>
            </w:r>
          </w:p>
        </w:tc>
        <w:tc>
          <w:tcPr>
            <w:tcW w:w="0" w:type="auto"/>
            <w:shd w:val="clear" w:color="auto" w:fill="FFFFFF"/>
            <w:tcMar>
              <w:top w:w="40" w:type="dxa"/>
              <w:bottom w:w="40" w:type="dxa"/>
              <w:right w:w="20" w:type="dxa"/>
            </w:tcMar>
            <w:vAlign w:val="bottom"/>
          </w:tcPr>
          <w:p w14:paraId="0D8DFCE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CEE"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CE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CF0" w14:textId="77777777" w:rsidR="004C2197" w:rsidRDefault="00863B83">
            <w:pPr>
              <w:jc w:val="right"/>
              <w:textAlignment w:val="bottom"/>
            </w:pPr>
            <w:r>
              <w:rPr>
                <w:rFonts w:ascii="sans-serif" w:eastAsia="sans-serif" w:hAnsi="sans-serif" w:cs="sans-serif"/>
                <w:color w:val="000000"/>
                <w:sz w:val="20"/>
                <w:szCs w:val="20"/>
              </w:rPr>
              <w:t>287 </w:t>
            </w:r>
          </w:p>
        </w:tc>
        <w:tc>
          <w:tcPr>
            <w:tcW w:w="0" w:type="auto"/>
            <w:shd w:val="clear" w:color="auto" w:fill="FFFFFF"/>
            <w:tcMar>
              <w:top w:w="40" w:type="dxa"/>
              <w:bottom w:w="40" w:type="dxa"/>
              <w:right w:w="20" w:type="dxa"/>
            </w:tcMar>
            <w:vAlign w:val="bottom"/>
          </w:tcPr>
          <w:p w14:paraId="0D8DFCF1" w14:textId="77777777" w:rsidR="004C2197" w:rsidRDefault="004C2197">
            <w:pPr>
              <w:jc w:val="right"/>
              <w:rPr>
                <w:rFonts w:ascii="宋体"/>
              </w:rPr>
            </w:pPr>
          </w:p>
        </w:tc>
        <w:tc>
          <w:tcPr>
            <w:tcW w:w="0" w:type="auto"/>
            <w:shd w:val="clear" w:color="auto" w:fill="auto"/>
          </w:tcPr>
          <w:p w14:paraId="0D8DFCF2" w14:textId="77777777" w:rsidR="004C2197" w:rsidRDefault="004C2197">
            <w:pPr>
              <w:rPr>
                <w:rFonts w:ascii="宋体"/>
              </w:rPr>
            </w:pPr>
          </w:p>
        </w:tc>
        <w:tc>
          <w:tcPr>
            <w:tcW w:w="0" w:type="auto"/>
            <w:shd w:val="clear" w:color="auto" w:fill="auto"/>
          </w:tcPr>
          <w:p w14:paraId="0D8DFCF3" w14:textId="77777777" w:rsidR="004C2197" w:rsidRDefault="004C2197">
            <w:pPr>
              <w:rPr>
                <w:rFonts w:ascii="宋体"/>
              </w:rPr>
            </w:pPr>
          </w:p>
        </w:tc>
        <w:tc>
          <w:tcPr>
            <w:tcW w:w="0" w:type="auto"/>
            <w:shd w:val="clear" w:color="auto" w:fill="auto"/>
          </w:tcPr>
          <w:p w14:paraId="0D8DFCF4" w14:textId="77777777" w:rsidR="004C2197" w:rsidRDefault="004C2197">
            <w:pPr>
              <w:rPr>
                <w:rFonts w:ascii="宋体"/>
              </w:rPr>
            </w:pPr>
          </w:p>
        </w:tc>
        <w:tc>
          <w:tcPr>
            <w:tcW w:w="0" w:type="auto"/>
            <w:shd w:val="clear" w:color="auto" w:fill="auto"/>
          </w:tcPr>
          <w:p w14:paraId="0D8DFCF5" w14:textId="77777777" w:rsidR="004C2197" w:rsidRDefault="004C2197">
            <w:pPr>
              <w:rPr>
                <w:rFonts w:ascii="宋体"/>
              </w:rPr>
            </w:pPr>
          </w:p>
        </w:tc>
        <w:tc>
          <w:tcPr>
            <w:tcW w:w="0" w:type="auto"/>
            <w:shd w:val="clear" w:color="auto" w:fill="auto"/>
          </w:tcPr>
          <w:p w14:paraId="0D8DFCF6" w14:textId="77777777" w:rsidR="004C2197" w:rsidRDefault="004C2197">
            <w:pPr>
              <w:rPr>
                <w:rFonts w:ascii="宋体"/>
              </w:rPr>
            </w:pPr>
          </w:p>
        </w:tc>
        <w:tc>
          <w:tcPr>
            <w:tcW w:w="0" w:type="auto"/>
            <w:shd w:val="clear" w:color="auto" w:fill="auto"/>
          </w:tcPr>
          <w:p w14:paraId="0D8DFCF7" w14:textId="77777777" w:rsidR="004C2197" w:rsidRDefault="004C2197">
            <w:pPr>
              <w:rPr>
                <w:rFonts w:ascii="宋体"/>
              </w:rPr>
            </w:pPr>
          </w:p>
        </w:tc>
      </w:tr>
    </w:tbl>
    <w:p w14:paraId="0D8DFCF9" w14:textId="77777777" w:rsidR="004C2197" w:rsidRDefault="00863B83">
      <w:pPr>
        <w:spacing w:before="360" w:after="180"/>
        <w:jc w:val="both"/>
      </w:pPr>
      <w:r>
        <w:rPr>
          <w:rFonts w:ascii="sans-serif" w:eastAsia="sans-serif" w:hAnsi="sans-serif" w:cs="sans-serif"/>
          <w:color w:val="000000"/>
          <w:sz w:val="20"/>
          <w:szCs w:val="20"/>
        </w:rPr>
        <w:t xml:space="preserve">As of July 26, 2020, all designated foreign currency forward contracts mature within eighteen months. The expected realized gains and losses deferred into accumulated other comprehensive income or </w:t>
      </w:r>
      <w:r>
        <w:rPr>
          <w:rFonts w:ascii="sans-serif" w:eastAsia="sans-serif" w:hAnsi="sans-serif" w:cs="sans-serif"/>
          <w:color w:val="000000"/>
          <w:sz w:val="20"/>
          <w:szCs w:val="20"/>
        </w:rPr>
        <w:t>loss related to foreign currency forward contracts within the next twelve months was not significant.</w:t>
      </w:r>
    </w:p>
    <w:p w14:paraId="0D8DFCFA" w14:textId="77777777" w:rsidR="004C2197" w:rsidRDefault="00863B83">
      <w:pPr>
        <w:spacing w:after="180"/>
        <w:jc w:val="both"/>
      </w:pPr>
      <w:r>
        <w:rPr>
          <w:rFonts w:ascii="sans-serif" w:eastAsia="sans-serif" w:hAnsi="sans-serif" w:cs="sans-serif"/>
          <w:color w:val="000000"/>
          <w:sz w:val="20"/>
          <w:szCs w:val="20"/>
        </w:rPr>
        <w:t>During the first half of fiscal years 2021 and 2020, the impact of derivative financial instruments designated for hedge accounting treatment on other com</w:t>
      </w:r>
      <w:r>
        <w:rPr>
          <w:rFonts w:ascii="sans-serif" w:eastAsia="sans-serif" w:hAnsi="sans-serif" w:cs="sans-serif"/>
          <w:color w:val="000000"/>
          <w:sz w:val="20"/>
          <w:szCs w:val="20"/>
        </w:rPr>
        <w:t>prehensive income or loss was not significant and all such instruments were determined to be highly effective. Therefore, there were no gains or losses associated with ineffectiveness.</w:t>
      </w:r>
    </w:p>
    <w:p w14:paraId="0D8DFCFB" w14:textId="77777777" w:rsidR="004C2197" w:rsidRDefault="004C2197">
      <w:pPr>
        <w:spacing w:after="180"/>
        <w:jc w:val="both"/>
      </w:pPr>
    </w:p>
    <w:p w14:paraId="0D8DFCFC" w14:textId="77777777" w:rsidR="004C2197" w:rsidRDefault="00863B83">
      <w:pPr>
        <w:spacing w:before="240" w:after="120"/>
        <w:jc w:val="both"/>
      </w:pPr>
      <w:r>
        <w:rPr>
          <w:rFonts w:ascii="sans-serif" w:eastAsia="sans-serif" w:hAnsi="sans-serif" w:cs="sans-serif"/>
          <w:b/>
          <w:bCs/>
          <w:color w:val="76B900"/>
          <w:sz w:val="22"/>
          <w:szCs w:val="22"/>
        </w:rPr>
        <w:t>Note 12 - Debt</w:t>
      </w:r>
    </w:p>
    <w:p w14:paraId="0D8DFCFD" w14:textId="77777777" w:rsidR="004C2197" w:rsidRDefault="00863B83">
      <w:pPr>
        <w:spacing w:before="240" w:after="60"/>
        <w:jc w:val="both"/>
      </w:pPr>
      <w:r>
        <w:rPr>
          <w:rFonts w:ascii="sans-serif" w:eastAsia="sans-serif" w:hAnsi="sans-serif" w:cs="sans-serif"/>
          <w:b/>
          <w:bCs/>
          <w:color w:val="76B900"/>
          <w:sz w:val="20"/>
          <w:szCs w:val="20"/>
        </w:rPr>
        <w:t>Long-Term Debt</w:t>
      </w:r>
    </w:p>
    <w:p w14:paraId="0D8DFCFE" w14:textId="77777777" w:rsidR="004C2197" w:rsidRDefault="00863B83">
      <w:pPr>
        <w:spacing w:before="120" w:after="120"/>
        <w:jc w:val="both"/>
      </w:pPr>
      <w:r>
        <w:rPr>
          <w:rFonts w:ascii="sans-serif" w:eastAsia="sans-serif" w:hAnsi="sans-serif" w:cs="sans-serif"/>
          <w:color w:val="000000"/>
          <w:sz w:val="20"/>
          <w:szCs w:val="20"/>
        </w:rPr>
        <w:t xml:space="preserve">In March 2020, we issued </w:t>
      </w:r>
      <w:r>
        <w:rPr>
          <w:rFonts w:ascii="sans-serif" w:eastAsia="sans-serif" w:hAnsi="sans-serif" w:cs="sans-serif"/>
          <w:color w:val="000000"/>
          <w:sz w:val="20"/>
          <w:szCs w:val="20"/>
        </w:rPr>
        <w:t>$1.50 billion of the 2.85% Notes Due 2030, $1.00 billion of the 3.50% Notes Due 2040, $2.00 billion of the 3.50% Notes Due 2050, and $500 million of the 3.70% Notes Due 2060, or collectively, the March 2020 Notes. Interest on the March 2020 Notes is payabl</w:t>
      </w:r>
      <w:r>
        <w:rPr>
          <w:rFonts w:ascii="sans-serif" w:eastAsia="sans-serif" w:hAnsi="sans-serif" w:cs="sans-serif"/>
          <w:color w:val="000000"/>
          <w:sz w:val="20"/>
          <w:szCs w:val="20"/>
        </w:rPr>
        <w:t>e on April 1 and October 1 of each year, beginning on October 1, 2020. Upon 30 days' notice to holders of the Notes, we may redeem the Notes for cash prior to maturity, at redemption prices that include accrued and unpaid interest, if any, and a make-whole</w:t>
      </w:r>
      <w:r>
        <w:rPr>
          <w:rFonts w:ascii="sans-serif" w:eastAsia="sans-serif" w:hAnsi="sans-serif" w:cs="sans-serif"/>
          <w:color w:val="000000"/>
          <w:sz w:val="20"/>
          <w:szCs w:val="20"/>
        </w:rPr>
        <w:t xml:space="preserve"> premium. However, no make-whole premium will be paid for redemptions of the Notes Due 2030 on or after January 1, 2030, the Notes Due 2040 on or after October 1, 2039, the Notes Due 2050 on or after October 1, 2049, or the Notes Due 2060 on or after Octob</w:t>
      </w:r>
      <w:r>
        <w:rPr>
          <w:rFonts w:ascii="sans-serif" w:eastAsia="sans-serif" w:hAnsi="sans-serif" w:cs="sans-serif"/>
          <w:color w:val="000000"/>
          <w:sz w:val="20"/>
          <w:szCs w:val="20"/>
        </w:rPr>
        <w:t>er 1, 2059. The net proceeds from the March 2020 Notes were $4.97 billion, after deducting debt discount and estimated issuance costs.</w:t>
      </w:r>
    </w:p>
    <w:p w14:paraId="0D8DFCFF" w14:textId="77777777" w:rsidR="004C2197" w:rsidRDefault="00863B83">
      <w:pPr>
        <w:spacing w:after="180"/>
        <w:jc w:val="center"/>
      </w:pPr>
      <w:r>
        <w:rPr>
          <w:rFonts w:ascii="sans-serif" w:eastAsia="sans-serif" w:hAnsi="sans-serif" w:cs="sans-serif"/>
          <w:color w:val="000000"/>
          <w:sz w:val="20"/>
          <w:szCs w:val="20"/>
        </w:rPr>
        <w:t>20</w:t>
      </w:r>
    </w:p>
    <w:p w14:paraId="0D8DFD00" w14:textId="77777777" w:rsidR="004C2197" w:rsidRDefault="00863B83">
      <w:r>
        <w:pict w14:anchorId="0D8E0CB8">
          <v:rect id="_x0000_i1044" style="width:415.3pt;height:1.5pt" o:hralign="center" o:hrstd="t" o:hr="t" fillcolor="#a0a0a0" stroked="f"/>
        </w:pict>
      </w:r>
    </w:p>
    <w:p w14:paraId="0D8DFD01" w14:textId="77777777" w:rsidR="004C2197" w:rsidRDefault="00863B83">
      <w:pPr>
        <w:jc w:val="center"/>
      </w:pPr>
      <w:r>
        <w:rPr>
          <w:rFonts w:ascii="sans-serif" w:eastAsia="sans-serif" w:hAnsi="sans-serif" w:cs="sans-serif"/>
          <w:b/>
          <w:bCs/>
          <w:color w:val="000000"/>
          <w:sz w:val="20"/>
          <w:szCs w:val="20"/>
        </w:rPr>
        <w:t>NVIDIA CORPORATION AND SUBSIDIARIES</w:t>
      </w:r>
    </w:p>
    <w:p w14:paraId="0D8DFD02"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D03" w14:textId="77777777" w:rsidR="004C2197" w:rsidRDefault="00863B83">
      <w:pPr>
        <w:jc w:val="center"/>
      </w:pPr>
      <w:r>
        <w:rPr>
          <w:rFonts w:ascii="sans-serif" w:eastAsia="sans-serif" w:hAnsi="sans-serif" w:cs="sans-serif"/>
          <w:b/>
          <w:bCs/>
          <w:color w:val="000000"/>
          <w:sz w:val="20"/>
          <w:szCs w:val="20"/>
        </w:rPr>
        <w:t>(Unaudited)</w:t>
      </w:r>
    </w:p>
    <w:p w14:paraId="0D8DFD04" w14:textId="77777777" w:rsidR="004C2197" w:rsidRDefault="004C2197">
      <w:pPr>
        <w:spacing w:after="180"/>
        <w:jc w:val="both"/>
      </w:pPr>
    </w:p>
    <w:p w14:paraId="0D8DFD05" w14:textId="77777777" w:rsidR="004C2197" w:rsidRDefault="004C2197">
      <w:pPr>
        <w:spacing w:after="180"/>
        <w:jc w:val="both"/>
      </w:pPr>
    </w:p>
    <w:p w14:paraId="0D8DFD06" w14:textId="77777777" w:rsidR="004C2197" w:rsidRDefault="00863B83">
      <w:pPr>
        <w:spacing w:before="120" w:after="120"/>
        <w:jc w:val="both"/>
      </w:pPr>
      <w:r>
        <w:rPr>
          <w:rFonts w:ascii="sans-serif" w:eastAsia="sans-serif" w:hAnsi="sans-serif" w:cs="sans-serif"/>
          <w:color w:val="000000"/>
          <w:sz w:val="20"/>
          <w:szCs w:val="20"/>
        </w:rPr>
        <w:t>I</w:t>
      </w:r>
      <w:r>
        <w:rPr>
          <w:rFonts w:ascii="sans-serif" w:eastAsia="sans-serif" w:hAnsi="sans-serif" w:cs="sans-serif"/>
          <w:color w:val="000000"/>
          <w:sz w:val="20"/>
          <w:szCs w:val="20"/>
        </w:rPr>
        <w:t xml:space="preserve">n September 2016, we issued $1.00 billion of the 2.20% Notes Due 2021 and $1.00 billion of the 3.20% Notes Due 2026, or collectively, the September 2016 Notes. Interest on the September 2016 Notes is payable on March 16 and September 16 of each year. Upon </w:t>
      </w:r>
      <w:r>
        <w:rPr>
          <w:rFonts w:ascii="sans-serif" w:eastAsia="sans-serif" w:hAnsi="sans-serif" w:cs="sans-serif"/>
          <w:color w:val="000000"/>
          <w:sz w:val="20"/>
          <w:szCs w:val="20"/>
        </w:rPr>
        <w:t>30 days' notice to holders of the Notes, we may redeem the Notes for cash prior to maturity, at redemption prices that include accrued and unpaid interest, if any, and a make-whole premium. However, no make-whole premium will be paid for redemptions of the</w:t>
      </w:r>
      <w:r>
        <w:rPr>
          <w:rFonts w:ascii="sans-serif" w:eastAsia="sans-serif" w:hAnsi="sans-serif" w:cs="sans-serif"/>
          <w:color w:val="000000"/>
          <w:sz w:val="20"/>
          <w:szCs w:val="20"/>
        </w:rPr>
        <w:t xml:space="preserve"> Notes Due 2021 on or after August 16, 2021, or for redemptions of the Notes Due 2026 on or after June 16, 2026. The net proceeds from the September 2016 Notes were $1.98 billion, after deducting debt discount and issuance costs.</w:t>
      </w:r>
    </w:p>
    <w:p w14:paraId="0D8DFD07" w14:textId="77777777" w:rsidR="004C2197" w:rsidRDefault="00863B83">
      <w:pPr>
        <w:spacing w:before="120" w:after="120"/>
        <w:jc w:val="both"/>
      </w:pPr>
      <w:r>
        <w:rPr>
          <w:rFonts w:ascii="sans-serif" w:eastAsia="sans-serif" w:hAnsi="sans-serif" w:cs="sans-serif"/>
          <w:color w:val="000000"/>
          <w:sz w:val="20"/>
          <w:szCs w:val="20"/>
        </w:rPr>
        <w:t>Both the September 2016 No</w:t>
      </w:r>
      <w:r>
        <w:rPr>
          <w:rFonts w:ascii="sans-serif" w:eastAsia="sans-serif" w:hAnsi="sans-serif" w:cs="sans-serif"/>
          <w:color w:val="000000"/>
          <w:sz w:val="20"/>
          <w:szCs w:val="20"/>
        </w:rPr>
        <w:t>tes and the March 2020 Notes, or collectively, the Notes, are our unsecured senior obligations and rank equally in right of payment with all existing and future unsecured and unsubordinated indebtedness. The Notes are structurally subordinated to the liabi</w:t>
      </w:r>
      <w:r>
        <w:rPr>
          <w:rFonts w:ascii="sans-serif" w:eastAsia="sans-serif" w:hAnsi="sans-serif" w:cs="sans-serif"/>
          <w:color w:val="000000"/>
          <w:sz w:val="20"/>
          <w:szCs w:val="20"/>
        </w:rPr>
        <w:t>lities of our subsidiaries and are effectively subordinated to any secured indebtedness to the extent of the value of the assets securing such indebtedness. All existing and future liabilities of our subsidiaries will be effectively senior to the Notes.</w:t>
      </w:r>
    </w:p>
    <w:p w14:paraId="0D8DFD08" w14:textId="77777777" w:rsidR="004C2197" w:rsidRDefault="004C2197">
      <w:pPr>
        <w:spacing w:after="180"/>
        <w:jc w:val="both"/>
      </w:pPr>
    </w:p>
    <w:p w14:paraId="0D8DFD09" w14:textId="77777777" w:rsidR="004C2197" w:rsidRDefault="00863B83">
      <w:pPr>
        <w:spacing w:after="180"/>
        <w:jc w:val="both"/>
      </w:pPr>
      <w:r>
        <w:rPr>
          <w:rFonts w:ascii="sans-serif" w:eastAsia="sans-serif" w:hAnsi="sans-serif" w:cs="sans-serif"/>
          <w:color w:val="000000"/>
          <w:sz w:val="20"/>
          <w:szCs w:val="20"/>
        </w:rPr>
        <w:t>T</w:t>
      </w:r>
      <w:r>
        <w:rPr>
          <w:rFonts w:ascii="sans-serif" w:eastAsia="sans-serif" w:hAnsi="sans-serif" w:cs="sans-serif"/>
          <w:color w:val="000000"/>
          <w:sz w:val="20"/>
          <w:szCs w:val="20"/>
        </w:rPr>
        <w:t>he carrying value of the Notes and the associated interest rates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10"/>
        <w:gridCol w:w="37"/>
        <w:gridCol w:w="36"/>
        <w:gridCol w:w="36"/>
        <w:gridCol w:w="36"/>
        <w:gridCol w:w="66"/>
        <w:gridCol w:w="949"/>
        <w:gridCol w:w="36"/>
        <w:gridCol w:w="36"/>
        <w:gridCol w:w="36"/>
        <w:gridCol w:w="36"/>
        <w:gridCol w:w="62"/>
        <w:gridCol w:w="849"/>
        <w:gridCol w:w="36"/>
        <w:gridCol w:w="36"/>
        <w:gridCol w:w="36"/>
        <w:gridCol w:w="36"/>
        <w:gridCol w:w="137"/>
        <w:gridCol w:w="823"/>
        <w:gridCol w:w="41"/>
        <w:gridCol w:w="36"/>
        <w:gridCol w:w="36"/>
        <w:gridCol w:w="36"/>
        <w:gridCol w:w="137"/>
        <w:gridCol w:w="823"/>
        <w:gridCol w:w="41"/>
        <w:gridCol w:w="36"/>
        <w:gridCol w:w="36"/>
        <w:gridCol w:w="36"/>
        <w:gridCol w:w="36"/>
        <w:gridCol w:w="36"/>
        <w:gridCol w:w="36"/>
      </w:tblGrid>
      <w:tr w:rsidR="004C2197" w14:paraId="0D8DFD25" w14:textId="77777777">
        <w:trPr>
          <w:gridAfter w:val="6"/>
          <w:jc w:val="center"/>
        </w:trPr>
        <w:tc>
          <w:tcPr>
            <w:tcW w:w="50" w:type="pct"/>
            <w:shd w:val="clear" w:color="auto" w:fill="auto"/>
          </w:tcPr>
          <w:p w14:paraId="0D8DFD0A" w14:textId="77777777" w:rsidR="004C2197" w:rsidRDefault="004C2197">
            <w:pPr>
              <w:rPr>
                <w:rFonts w:ascii="宋体"/>
              </w:rPr>
            </w:pPr>
          </w:p>
        </w:tc>
        <w:tc>
          <w:tcPr>
            <w:tcW w:w="2247" w:type="pct"/>
            <w:shd w:val="clear" w:color="auto" w:fill="auto"/>
          </w:tcPr>
          <w:p w14:paraId="0D8DFD0B" w14:textId="77777777" w:rsidR="004C2197" w:rsidRDefault="004C2197">
            <w:pPr>
              <w:rPr>
                <w:rFonts w:ascii="宋体"/>
              </w:rPr>
            </w:pPr>
          </w:p>
        </w:tc>
        <w:tc>
          <w:tcPr>
            <w:tcW w:w="5" w:type="pct"/>
            <w:shd w:val="clear" w:color="auto" w:fill="auto"/>
          </w:tcPr>
          <w:p w14:paraId="0D8DFD0C" w14:textId="77777777" w:rsidR="004C2197" w:rsidRDefault="004C2197">
            <w:pPr>
              <w:rPr>
                <w:rFonts w:ascii="宋体"/>
              </w:rPr>
            </w:pPr>
          </w:p>
        </w:tc>
        <w:tc>
          <w:tcPr>
            <w:tcW w:w="5" w:type="pct"/>
            <w:shd w:val="clear" w:color="auto" w:fill="auto"/>
          </w:tcPr>
          <w:p w14:paraId="0D8DFD0D" w14:textId="77777777" w:rsidR="004C2197" w:rsidRDefault="004C2197">
            <w:pPr>
              <w:rPr>
                <w:rFonts w:ascii="宋体"/>
              </w:rPr>
            </w:pPr>
          </w:p>
        </w:tc>
        <w:tc>
          <w:tcPr>
            <w:tcW w:w="26" w:type="pct"/>
            <w:shd w:val="clear" w:color="auto" w:fill="auto"/>
          </w:tcPr>
          <w:p w14:paraId="0D8DFD0E" w14:textId="77777777" w:rsidR="004C2197" w:rsidRDefault="004C2197">
            <w:pPr>
              <w:rPr>
                <w:rFonts w:ascii="宋体"/>
              </w:rPr>
            </w:pPr>
          </w:p>
        </w:tc>
        <w:tc>
          <w:tcPr>
            <w:tcW w:w="5" w:type="pct"/>
            <w:shd w:val="clear" w:color="auto" w:fill="auto"/>
          </w:tcPr>
          <w:p w14:paraId="0D8DFD0F" w14:textId="77777777" w:rsidR="004C2197" w:rsidRDefault="004C2197">
            <w:pPr>
              <w:rPr>
                <w:rFonts w:ascii="宋体"/>
              </w:rPr>
            </w:pPr>
          </w:p>
        </w:tc>
        <w:tc>
          <w:tcPr>
            <w:tcW w:w="50" w:type="pct"/>
            <w:shd w:val="clear" w:color="auto" w:fill="auto"/>
          </w:tcPr>
          <w:p w14:paraId="0D8DFD10" w14:textId="77777777" w:rsidR="004C2197" w:rsidRDefault="004C2197">
            <w:pPr>
              <w:rPr>
                <w:rFonts w:ascii="宋体"/>
              </w:rPr>
            </w:pPr>
          </w:p>
        </w:tc>
        <w:tc>
          <w:tcPr>
            <w:tcW w:w="646" w:type="pct"/>
            <w:shd w:val="clear" w:color="auto" w:fill="auto"/>
          </w:tcPr>
          <w:p w14:paraId="0D8DFD11" w14:textId="77777777" w:rsidR="004C2197" w:rsidRDefault="004C2197">
            <w:pPr>
              <w:rPr>
                <w:rFonts w:ascii="宋体"/>
              </w:rPr>
            </w:pPr>
          </w:p>
        </w:tc>
        <w:tc>
          <w:tcPr>
            <w:tcW w:w="5" w:type="pct"/>
            <w:shd w:val="clear" w:color="auto" w:fill="auto"/>
          </w:tcPr>
          <w:p w14:paraId="0D8DFD12" w14:textId="77777777" w:rsidR="004C2197" w:rsidRDefault="004C2197">
            <w:pPr>
              <w:rPr>
                <w:rFonts w:ascii="宋体"/>
              </w:rPr>
            </w:pPr>
          </w:p>
        </w:tc>
        <w:tc>
          <w:tcPr>
            <w:tcW w:w="5" w:type="pct"/>
            <w:shd w:val="clear" w:color="auto" w:fill="auto"/>
          </w:tcPr>
          <w:p w14:paraId="0D8DFD13" w14:textId="77777777" w:rsidR="004C2197" w:rsidRDefault="004C2197">
            <w:pPr>
              <w:rPr>
                <w:rFonts w:ascii="宋体"/>
              </w:rPr>
            </w:pPr>
          </w:p>
        </w:tc>
        <w:tc>
          <w:tcPr>
            <w:tcW w:w="41" w:type="pct"/>
            <w:shd w:val="clear" w:color="auto" w:fill="auto"/>
          </w:tcPr>
          <w:p w14:paraId="0D8DFD14" w14:textId="77777777" w:rsidR="004C2197" w:rsidRDefault="004C2197">
            <w:pPr>
              <w:rPr>
                <w:rFonts w:ascii="宋体"/>
              </w:rPr>
            </w:pPr>
          </w:p>
        </w:tc>
        <w:tc>
          <w:tcPr>
            <w:tcW w:w="5" w:type="pct"/>
            <w:shd w:val="clear" w:color="auto" w:fill="auto"/>
          </w:tcPr>
          <w:p w14:paraId="0D8DFD15" w14:textId="77777777" w:rsidR="004C2197" w:rsidRDefault="004C2197">
            <w:pPr>
              <w:rPr>
                <w:rFonts w:ascii="宋体"/>
              </w:rPr>
            </w:pPr>
          </w:p>
        </w:tc>
        <w:tc>
          <w:tcPr>
            <w:tcW w:w="50" w:type="pct"/>
            <w:shd w:val="clear" w:color="auto" w:fill="auto"/>
          </w:tcPr>
          <w:p w14:paraId="0D8DFD16" w14:textId="77777777" w:rsidR="004C2197" w:rsidRDefault="004C2197">
            <w:pPr>
              <w:rPr>
                <w:rFonts w:ascii="宋体"/>
              </w:rPr>
            </w:pPr>
          </w:p>
        </w:tc>
        <w:tc>
          <w:tcPr>
            <w:tcW w:w="566" w:type="pct"/>
            <w:shd w:val="clear" w:color="auto" w:fill="auto"/>
          </w:tcPr>
          <w:p w14:paraId="0D8DFD17" w14:textId="77777777" w:rsidR="004C2197" w:rsidRDefault="004C2197">
            <w:pPr>
              <w:rPr>
                <w:rFonts w:ascii="宋体"/>
              </w:rPr>
            </w:pPr>
          </w:p>
        </w:tc>
        <w:tc>
          <w:tcPr>
            <w:tcW w:w="5" w:type="pct"/>
            <w:shd w:val="clear" w:color="auto" w:fill="auto"/>
          </w:tcPr>
          <w:p w14:paraId="0D8DFD18" w14:textId="77777777" w:rsidR="004C2197" w:rsidRDefault="004C2197">
            <w:pPr>
              <w:rPr>
                <w:rFonts w:ascii="宋体"/>
              </w:rPr>
            </w:pPr>
          </w:p>
        </w:tc>
        <w:tc>
          <w:tcPr>
            <w:tcW w:w="5" w:type="pct"/>
            <w:shd w:val="clear" w:color="auto" w:fill="auto"/>
          </w:tcPr>
          <w:p w14:paraId="0D8DFD19" w14:textId="77777777" w:rsidR="004C2197" w:rsidRDefault="004C2197">
            <w:pPr>
              <w:rPr>
                <w:rFonts w:ascii="宋体"/>
              </w:rPr>
            </w:pPr>
          </w:p>
        </w:tc>
        <w:tc>
          <w:tcPr>
            <w:tcW w:w="41" w:type="pct"/>
            <w:shd w:val="clear" w:color="auto" w:fill="auto"/>
          </w:tcPr>
          <w:p w14:paraId="0D8DFD1A" w14:textId="77777777" w:rsidR="004C2197" w:rsidRDefault="004C2197">
            <w:pPr>
              <w:rPr>
                <w:rFonts w:ascii="宋体"/>
              </w:rPr>
            </w:pPr>
          </w:p>
        </w:tc>
        <w:tc>
          <w:tcPr>
            <w:tcW w:w="5" w:type="pct"/>
            <w:shd w:val="clear" w:color="auto" w:fill="auto"/>
          </w:tcPr>
          <w:p w14:paraId="0D8DFD1B" w14:textId="77777777" w:rsidR="004C2197" w:rsidRDefault="004C2197">
            <w:pPr>
              <w:rPr>
                <w:rFonts w:ascii="宋体"/>
              </w:rPr>
            </w:pPr>
          </w:p>
        </w:tc>
        <w:tc>
          <w:tcPr>
            <w:tcW w:w="50" w:type="pct"/>
            <w:shd w:val="clear" w:color="auto" w:fill="auto"/>
          </w:tcPr>
          <w:p w14:paraId="0D8DFD1C" w14:textId="77777777" w:rsidR="004C2197" w:rsidRDefault="004C2197">
            <w:pPr>
              <w:rPr>
                <w:rFonts w:ascii="宋体"/>
              </w:rPr>
            </w:pPr>
          </w:p>
        </w:tc>
        <w:tc>
          <w:tcPr>
            <w:tcW w:w="537" w:type="pct"/>
            <w:shd w:val="clear" w:color="auto" w:fill="auto"/>
          </w:tcPr>
          <w:p w14:paraId="0D8DFD1D" w14:textId="77777777" w:rsidR="004C2197" w:rsidRDefault="004C2197">
            <w:pPr>
              <w:rPr>
                <w:rFonts w:ascii="宋体"/>
              </w:rPr>
            </w:pPr>
          </w:p>
        </w:tc>
        <w:tc>
          <w:tcPr>
            <w:tcW w:w="5" w:type="pct"/>
            <w:shd w:val="clear" w:color="auto" w:fill="auto"/>
          </w:tcPr>
          <w:p w14:paraId="0D8DFD1E" w14:textId="77777777" w:rsidR="004C2197" w:rsidRDefault="004C2197">
            <w:pPr>
              <w:rPr>
                <w:rFonts w:ascii="宋体"/>
              </w:rPr>
            </w:pPr>
          </w:p>
        </w:tc>
        <w:tc>
          <w:tcPr>
            <w:tcW w:w="5" w:type="pct"/>
            <w:shd w:val="clear" w:color="auto" w:fill="auto"/>
          </w:tcPr>
          <w:p w14:paraId="0D8DFD1F" w14:textId="77777777" w:rsidR="004C2197" w:rsidRDefault="004C2197">
            <w:pPr>
              <w:rPr>
                <w:rFonts w:ascii="宋体"/>
              </w:rPr>
            </w:pPr>
          </w:p>
        </w:tc>
        <w:tc>
          <w:tcPr>
            <w:tcW w:w="41" w:type="pct"/>
            <w:shd w:val="clear" w:color="auto" w:fill="auto"/>
          </w:tcPr>
          <w:p w14:paraId="0D8DFD20" w14:textId="77777777" w:rsidR="004C2197" w:rsidRDefault="004C2197">
            <w:pPr>
              <w:rPr>
                <w:rFonts w:ascii="宋体"/>
              </w:rPr>
            </w:pPr>
          </w:p>
        </w:tc>
        <w:tc>
          <w:tcPr>
            <w:tcW w:w="5" w:type="pct"/>
            <w:shd w:val="clear" w:color="auto" w:fill="auto"/>
          </w:tcPr>
          <w:p w14:paraId="0D8DFD21" w14:textId="77777777" w:rsidR="004C2197" w:rsidRDefault="004C2197">
            <w:pPr>
              <w:rPr>
                <w:rFonts w:ascii="宋体"/>
              </w:rPr>
            </w:pPr>
          </w:p>
        </w:tc>
        <w:tc>
          <w:tcPr>
            <w:tcW w:w="50" w:type="pct"/>
            <w:shd w:val="clear" w:color="auto" w:fill="auto"/>
          </w:tcPr>
          <w:p w14:paraId="0D8DFD22" w14:textId="77777777" w:rsidR="004C2197" w:rsidRDefault="004C2197">
            <w:pPr>
              <w:rPr>
                <w:rFonts w:ascii="宋体"/>
              </w:rPr>
            </w:pPr>
          </w:p>
        </w:tc>
        <w:tc>
          <w:tcPr>
            <w:tcW w:w="537" w:type="pct"/>
            <w:shd w:val="clear" w:color="auto" w:fill="auto"/>
          </w:tcPr>
          <w:p w14:paraId="0D8DFD23" w14:textId="77777777" w:rsidR="004C2197" w:rsidRDefault="004C2197">
            <w:pPr>
              <w:rPr>
                <w:rFonts w:ascii="宋体"/>
              </w:rPr>
            </w:pPr>
          </w:p>
        </w:tc>
        <w:tc>
          <w:tcPr>
            <w:tcW w:w="5" w:type="pct"/>
            <w:shd w:val="clear" w:color="auto" w:fill="auto"/>
          </w:tcPr>
          <w:p w14:paraId="0D8DFD24" w14:textId="77777777" w:rsidR="004C2197" w:rsidRDefault="004C2197">
            <w:pPr>
              <w:rPr>
                <w:rFonts w:ascii="宋体"/>
              </w:rPr>
            </w:pPr>
          </w:p>
        </w:tc>
      </w:tr>
      <w:tr w:rsidR="004C2197" w14:paraId="0D8DFD30" w14:textId="77777777">
        <w:trPr>
          <w:gridAfter w:val="6"/>
          <w:jc w:val="center"/>
        </w:trPr>
        <w:tc>
          <w:tcPr>
            <w:tcW w:w="0" w:type="auto"/>
            <w:gridSpan w:val="3"/>
            <w:shd w:val="clear" w:color="auto" w:fill="auto"/>
            <w:tcMar>
              <w:left w:w="20" w:type="dxa"/>
              <w:right w:w="20" w:type="dxa"/>
            </w:tcMar>
            <w:vAlign w:val="bottom"/>
          </w:tcPr>
          <w:p w14:paraId="0D8DFD2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27"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D28" w14:textId="77777777" w:rsidR="004C2197" w:rsidRDefault="00863B83">
            <w:pPr>
              <w:jc w:val="center"/>
              <w:textAlignment w:val="bottom"/>
            </w:pPr>
            <w:r>
              <w:rPr>
                <w:rFonts w:ascii="sans-serif" w:eastAsia="sans-serif" w:hAnsi="sans-serif" w:cs="sans-serif"/>
                <w:b/>
                <w:bCs/>
                <w:color w:val="000000"/>
                <w:sz w:val="20"/>
                <w:szCs w:val="20"/>
              </w:rPr>
              <w:t>Expected</w:t>
            </w:r>
          </w:p>
          <w:p w14:paraId="0D8DFD29" w14:textId="77777777" w:rsidR="004C2197" w:rsidRDefault="00863B83">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left w:w="20" w:type="dxa"/>
              <w:right w:w="20" w:type="dxa"/>
            </w:tcMar>
            <w:vAlign w:val="bottom"/>
          </w:tcPr>
          <w:p w14:paraId="0D8DFD2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D2B" w14:textId="77777777" w:rsidR="004C2197" w:rsidRDefault="00863B83">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left w:w="20" w:type="dxa"/>
              <w:right w:w="20" w:type="dxa"/>
            </w:tcMar>
            <w:vAlign w:val="bottom"/>
          </w:tcPr>
          <w:p w14:paraId="0D8DFD2C"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D2D"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Mar>
              <w:left w:w="20" w:type="dxa"/>
              <w:right w:w="20" w:type="dxa"/>
            </w:tcMar>
            <w:vAlign w:val="bottom"/>
          </w:tcPr>
          <w:p w14:paraId="0D8DFD2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D2F" w14:textId="77777777" w:rsidR="004C2197" w:rsidRDefault="00863B83">
            <w:pPr>
              <w:jc w:val="center"/>
              <w:textAlignment w:val="bottom"/>
            </w:pPr>
            <w:r>
              <w:rPr>
                <w:rFonts w:ascii="sans-serif" w:eastAsia="sans-serif" w:hAnsi="sans-serif" w:cs="sans-serif"/>
                <w:b/>
                <w:bCs/>
                <w:color w:val="000000"/>
                <w:sz w:val="20"/>
                <w:szCs w:val="20"/>
              </w:rPr>
              <w:t>January 26, 2020</w:t>
            </w:r>
          </w:p>
        </w:tc>
      </w:tr>
      <w:tr w:rsidR="004C2197" w14:paraId="0D8DFD3A" w14:textId="77777777">
        <w:trPr>
          <w:gridAfter w:val="6"/>
          <w:trHeight w:val="60"/>
          <w:jc w:val="center"/>
        </w:trPr>
        <w:tc>
          <w:tcPr>
            <w:tcW w:w="0" w:type="auto"/>
            <w:gridSpan w:val="3"/>
            <w:shd w:val="clear" w:color="auto" w:fill="auto"/>
            <w:tcMar>
              <w:left w:w="20" w:type="dxa"/>
              <w:right w:w="20" w:type="dxa"/>
            </w:tcMar>
            <w:vAlign w:val="bottom"/>
          </w:tcPr>
          <w:p w14:paraId="0D8DFD3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D3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D3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D3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8"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D39" w14:textId="77777777" w:rsidR="004C2197" w:rsidRDefault="004C2197">
            <w:pPr>
              <w:rPr>
                <w:rFonts w:ascii="宋体"/>
              </w:rPr>
            </w:pPr>
          </w:p>
        </w:tc>
      </w:tr>
      <w:tr w:rsidR="004C2197" w14:paraId="0D8DFD44" w14:textId="77777777">
        <w:trPr>
          <w:jc w:val="center"/>
        </w:trPr>
        <w:tc>
          <w:tcPr>
            <w:tcW w:w="0" w:type="auto"/>
            <w:gridSpan w:val="3"/>
            <w:shd w:val="clear" w:color="auto" w:fill="auto"/>
            <w:tcMar>
              <w:left w:w="20" w:type="dxa"/>
              <w:right w:w="20" w:type="dxa"/>
            </w:tcMar>
            <w:vAlign w:val="bottom"/>
          </w:tcPr>
          <w:p w14:paraId="0D8DFD3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3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D40"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DFD41"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D42" w14:textId="77777777" w:rsidR="004C2197" w:rsidRDefault="004C2197">
            <w:pPr>
              <w:rPr>
                <w:rFonts w:ascii="宋体"/>
                <w:vanish/>
              </w:rPr>
            </w:pPr>
          </w:p>
        </w:tc>
        <w:tc>
          <w:tcPr>
            <w:tcW w:w="0" w:type="auto"/>
            <w:gridSpan w:val="3"/>
            <w:shd w:val="clear" w:color="auto" w:fill="auto"/>
          </w:tcPr>
          <w:p w14:paraId="0D8DFD43" w14:textId="77777777" w:rsidR="004C2197" w:rsidRDefault="004C2197">
            <w:pPr>
              <w:rPr>
                <w:rFonts w:ascii="宋体"/>
                <w:vanish/>
              </w:rPr>
            </w:pPr>
          </w:p>
        </w:tc>
      </w:tr>
      <w:tr w:rsidR="004C2197" w14:paraId="0D8DFD58" w14:textId="77777777">
        <w:trPr>
          <w:jc w:val="center"/>
        </w:trPr>
        <w:tc>
          <w:tcPr>
            <w:tcW w:w="0" w:type="auto"/>
            <w:gridSpan w:val="3"/>
            <w:shd w:val="clear" w:color="auto" w:fill="E2EFD9"/>
            <w:tcMar>
              <w:top w:w="40" w:type="dxa"/>
              <w:left w:w="20" w:type="dxa"/>
              <w:bottom w:w="40" w:type="dxa"/>
              <w:right w:w="20" w:type="dxa"/>
            </w:tcMar>
            <w:vAlign w:val="center"/>
          </w:tcPr>
          <w:p w14:paraId="0D8DFD45" w14:textId="77777777" w:rsidR="004C2197" w:rsidRDefault="00863B83">
            <w:pP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left w:w="20" w:type="dxa"/>
              <w:right w:w="20" w:type="dxa"/>
            </w:tcMar>
            <w:vAlign w:val="bottom"/>
          </w:tcPr>
          <w:p w14:paraId="0D8DFD46"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47" w14:textId="77777777" w:rsidR="004C2197" w:rsidRDefault="00863B83">
            <w:pPr>
              <w:jc w:val="center"/>
              <w:textAlignment w:val="bottom"/>
            </w:pPr>
            <w:r>
              <w:rPr>
                <w:rFonts w:ascii="sans-serif" w:eastAsia="sans-serif" w:hAnsi="sans-serif" w:cs="sans-serif"/>
                <w:color w:val="000000"/>
                <w:sz w:val="20"/>
                <w:szCs w:val="20"/>
              </w:rPr>
              <w:t>1.1</w:t>
            </w:r>
          </w:p>
        </w:tc>
        <w:tc>
          <w:tcPr>
            <w:tcW w:w="0" w:type="auto"/>
            <w:gridSpan w:val="3"/>
            <w:shd w:val="clear" w:color="auto" w:fill="E2EFD9"/>
            <w:tcMar>
              <w:left w:w="20" w:type="dxa"/>
              <w:right w:w="20" w:type="dxa"/>
            </w:tcMar>
            <w:vAlign w:val="bottom"/>
          </w:tcPr>
          <w:p w14:paraId="0D8DFD48"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49" w14:textId="77777777" w:rsidR="004C2197" w:rsidRDefault="00863B83">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left w:w="20" w:type="dxa"/>
              <w:right w:w="20" w:type="dxa"/>
            </w:tcMar>
            <w:vAlign w:val="bottom"/>
          </w:tcPr>
          <w:p w14:paraId="0D8DFD4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D4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D4C"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bottom w:w="40" w:type="dxa"/>
              <w:right w:w="20" w:type="dxa"/>
            </w:tcMar>
            <w:vAlign w:val="bottom"/>
          </w:tcPr>
          <w:p w14:paraId="0D8DFD4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D4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D4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D50"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bottom w:w="40" w:type="dxa"/>
              <w:right w:w="20" w:type="dxa"/>
            </w:tcMar>
            <w:vAlign w:val="bottom"/>
          </w:tcPr>
          <w:p w14:paraId="0D8DFD51" w14:textId="77777777" w:rsidR="004C2197" w:rsidRDefault="004C2197">
            <w:pPr>
              <w:jc w:val="right"/>
              <w:rPr>
                <w:rFonts w:ascii="宋体"/>
              </w:rPr>
            </w:pPr>
          </w:p>
        </w:tc>
        <w:tc>
          <w:tcPr>
            <w:tcW w:w="0" w:type="auto"/>
            <w:shd w:val="clear" w:color="auto" w:fill="auto"/>
          </w:tcPr>
          <w:p w14:paraId="0D8DFD52" w14:textId="77777777" w:rsidR="004C2197" w:rsidRDefault="004C2197">
            <w:pPr>
              <w:rPr>
                <w:rFonts w:ascii="宋体"/>
              </w:rPr>
            </w:pPr>
          </w:p>
        </w:tc>
        <w:tc>
          <w:tcPr>
            <w:tcW w:w="0" w:type="auto"/>
            <w:shd w:val="clear" w:color="auto" w:fill="auto"/>
          </w:tcPr>
          <w:p w14:paraId="0D8DFD53" w14:textId="77777777" w:rsidR="004C2197" w:rsidRDefault="004C2197">
            <w:pPr>
              <w:rPr>
                <w:rFonts w:ascii="宋体"/>
              </w:rPr>
            </w:pPr>
          </w:p>
        </w:tc>
        <w:tc>
          <w:tcPr>
            <w:tcW w:w="0" w:type="auto"/>
            <w:shd w:val="clear" w:color="auto" w:fill="auto"/>
          </w:tcPr>
          <w:p w14:paraId="0D8DFD54" w14:textId="77777777" w:rsidR="004C2197" w:rsidRDefault="004C2197">
            <w:pPr>
              <w:rPr>
                <w:rFonts w:ascii="宋体"/>
              </w:rPr>
            </w:pPr>
          </w:p>
        </w:tc>
        <w:tc>
          <w:tcPr>
            <w:tcW w:w="0" w:type="auto"/>
            <w:shd w:val="clear" w:color="auto" w:fill="auto"/>
          </w:tcPr>
          <w:p w14:paraId="0D8DFD55" w14:textId="77777777" w:rsidR="004C2197" w:rsidRDefault="004C2197">
            <w:pPr>
              <w:rPr>
                <w:rFonts w:ascii="宋体"/>
              </w:rPr>
            </w:pPr>
          </w:p>
        </w:tc>
        <w:tc>
          <w:tcPr>
            <w:tcW w:w="0" w:type="auto"/>
            <w:shd w:val="clear" w:color="auto" w:fill="auto"/>
          </w:tcPr>
          <w:p w14:paraId="0D8DFD56" w14:textId="77777777" w:rsidR="004C2197" w:rsidRDefault="004C2197">
            <w:pPr>
              <w:rPr>
                <w:rFonts w:ascii="宋体"/>
              </w:rPr>
            </w:pPr>
          </w:p>
        </w:tc>
        <w:tc>
          <w:tcPr>
            <w:tcW w:w="0" w:type="auto"/>
            <w:shd w:val="clear" w:color="auto" w:fill="auto"/>
          </w:tcPr>
          <w:p w14:paraId="0D8DFD57" w14:textId="77777777" w:rsidR="004C2197" w:rsidRDefault="004C2197">
            <w:pPr>
              <w:rPr>
                <w:rFonts w:ascii="宋体"/>
              </w:rPr>
            </w:pPr>
          </w:p>
        </w:tc>
      </w:tr>
      <w:tr w:rsidR="004C2197" w14:paraId="0D8DFD6A" w14:textId="77777777">
        <w:trPr>
          <w:jc w:val="center"/>
        </w:trPr>
        <w:tc>
          <w:tcPr>
            <w:tcW w:w="0" w:type="auto"/>
            <w:gridSpan w:val="3"/>
            <w:shd w:val="clear" w:color="auto" w:fill="FFFFFF"/>
            <w:tcMar>
              <w:top w:w="40" w:type="dxa"/>
              <w:left w:w="20" w:type="dxa"/>
              <w:bottom w:w="40" w:type="dxa"/>
              <w:right w:w="20" w:type="dxa"/>
            </w:tcMar>
            <w:vAlign w:val="center"/>
          </w:tcPr>
          <w:p w14:paraId="0D8DFD59" w14:textId="77777777" w:rsidR="004C2197" w:rsidRDefault="00863B83">
            <w:pP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left w:w="20" w:type="dxa"/>
              <w:right w:w="20" w:type="dxa"/>
            </w:tcMar>
            <w:vAlign w:val="bottom"/>
          </w:tcPr>
          <w:p w14:paraId="0D8DFD5A"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5B" w14:textId="77777777" w:rsidR="004C2197" w:rsidRDefault="00863B83">
            <w:pPr>
              <w:jc w:val="center"/>
              <w:textAlignment w:val="bottom"/>
            </w:pPr>
            <w:r>
              <w:rPr>
                <w:rFonts w:ascii="sans-serif" w:eastAsia="sans-serif" w:hAnsi="sans-serif" w:cs="sans-serif"/>
                <w:color w:val="000000"/>
                <w:sz w:val="20"/>
                <w:szCs w:val="20"/>
              </w:rPr>
              <w:t>6.1</w:t>
            </w:r>
          </w:p>
        </w:tc>
        <w:tc>
          <w:tcPr>
            <w:tcW w:w="0" w:type="auto"/>
            <w:gridSpan w:val="3"/>
            <w:shd w:val="clear" w:color="auto" w:fill="FFFFFF"/>
            <w:tcMar>
              <w:left w:w="20" w:type="dxa"/>
              <w:right w:w="20" w:type="dxa"/>
            </w:tcMar>
            <w:vAlign w:val="bottom"/>
          </w:tcPr>
          <w:p w14:paraId="0D8DFD5C"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5D" w14:textId="77777777" w:rsidR="004C2197" w:rsidRDefault="00863B83">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left w:w="20" w:type="dxa"/>
              <w:right w:w="20" w:type="dxa"/>
            </w:tcMar>
            <w:vAlign w:val="bottom"/>
          </w:tcPr>
          <w:p w14:paraId="0D8DFD5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5F"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0D8DFD6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D6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62"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0D8DFD63" w14:textId="77777777" w:rsidR="004C2197" w:rsidRDefault="004C2197">
            <w:pPr>
              <w:jc w:val="right"/>
              <w:rPr>
                <w:rFonts w:ascii="宋体"/>
              </w:rPr>
            </w:pPr>
          </w:p>
        </w:tc>
        <w:tc>
          <w:tcPr>
            <w:tcW w:w="0" w:type="auto"/>
            <w:shd w:val="clear" w:color="auto" w:fill="auto"/>
          </w:tcPr>
          <w:p w14:paraId="0D8DFD64" w14:textId="77777777" w:rsidR="004C2197" w:rsidRDefault="004C2197">
            <w:pPr>
              <w:rPr>
                <w:rFonts w:ascii="宋体"/>
              </w:rPr>
            </w:pPr>
          </w:p>
        </w:tc>
        <w:tc>
          <w:tcPr>
            <w:tcW w:w="0" w:type="auto"/>
            <w:shd w:val="clear" w:color="auto" w:fill="auto"/>
          </w:tcPr>
          <w:p w14:paraId="0D8DFD65" w14:textId="77777777" w:rsidR="004C2197" w:rsidRDefault="004C2197">
            <w:pPr>
              <w:rPr>
                <w:rFonts w:ascii="宋体"/>
              </w:rPr>
            </w:pPr>
          </w:p>
        </w:tc>
        <w:tc>
          <w:tcPr>
            <w:tcW w:w="0" w:type="auto"/>
            <w:shd w:val="clear" w:color="auto" w:fill="auto"/>
          </w:tcPr>
          <w:p w14:paraId="0D8DFD66" w14:textId="77777777" w:rsidR="004C2197" w:rsidRDefault="004C2197">
            <w:pPr>
              <w:rPr>
                <w:rFonts w:ascii="宋体"/>
              </w:rPr>
            </w:pPr>
          </w:p>
        </w:tc>
        <w:tc>
          <w:tcPr>
            <w:tcW w:w="0" w:type="auto"/>
            <w:shd w:val="clear" w:color="auto" w:fill="auto"/>
          </w:tcPr>
          <w:p w14:paraId="0D8DFD67" w14:textId="77777777" w:rsidR="004C2197" w:rsidRDefault="004C2197">
            <w:pPr>
              <w:rPr>
                <w:rFonts w:ascii="宋体"/>
              </w:rPr>
            </w:pPr>
          </w:p>
        </w:tc>
        <w:tc>
          <w:tcPr>
            <w:tcW w:w="0" w:type="auto"/>
            <w:shd w:val="clear" w:color="auto" w:fill="auto"/>
          </w:tcPr>
          <w:p w14:paraId="0D8DFD68" w14:textId="77777777" w:rsidR="004C2197" w:rsidRDefault="004C2197">
            <w:pPr>
              <w:rPr>
                <w:rFonts w:ascii="宋体"/>
              </w:rPr>
            </w:pPr>
          </w:p>
        </w:tc>
        <w:tc>
          <w:tcPr>
            <w:tcW w:w="0" w:type="auto"/>
            <w:shd w:val="clear" w:color="auto" w:fill="auto"/>
          </w:tcPr>
          <w:p w14:paraId="0D8DFD69" w14:textId="77777777" w:rsidR="004C2197" w:rsidRDefault="004C2197">
            <w:pPr>
              <w:rPr>
                <w:rFonts w:ascii="宋体"/>
              </w:rPr>
            </w:pPr>
          </w:p>
        </w:tc>
      </w:tr>
      <w:tr w:rsidR="004C2197" w14:paraId="0D8DFD7C" w14:textId="77777777">
        <w:trPr>
          <w:jc w:val="center"/>
        </w:trPr>
        <w:tc>
          <w:tcPr>
            <w:tcW w:w="0" w:type="auto"/>
            <w:gridSpan w:val="3"/>
            <w:shd w:val="clear" w:color="auto" w:fill="E2EFD9"/>
            <w:tcMar>
              <w:top w:w="40" w:type="dxa"/>
              <w:left w:w="20" w:type="dxa"/>
              <w:bottom w:w="40" w:type="dxa"/>
              <w:right w:w="20" w:type="dxa"/>
            </w:tcMar>
            <w:vAlign w:val="center"/>
          </w:tcPr>
          <w:p w14:paraId="0D8DFD6B" w14:textId="77777777" w:rsidR="004C2197" w:rsidRDefault="00863B83">
            <w:pPr>
              <w:textAlignment w:val="center"/>
            </w:pPr>
            <w:r>
              <w:rPr>
                <w:rFonts w:ascii="sans-serif" w:eastAsia="sans-serif" w:hAnsi="sans-serif" w:cs="sans-serif"/>
                <w:color w:val="000000"/>
                <w:sz w:val="20"/>
                <w:szCs w:val="20"/>
              </w:rPr>
              <w:t>2.8</w:t>
            </w:r>
            <w:r>
              <w:rPr>
                <w:rFonts w:ascii="sans-serif" w:eastAsia="sans-serif" w:hAnsi="sans-serif" w:cs="sans-serif"/>
                <w:color w:val="000000"/>
                <w:sz w:val="20"/>
                <w:szCs w:val="20"/>
              </w:rPr>
              <w:t>5% Notes Due 2030</w:t>
            </w:r>
          </w:p>
        </w:tc>
        <w:tc>
          <w:tcPr>
            <w:tcW w:w="0" w:type="auto"/>
            <w:gridSpan w:val="3"/>
            <w:shd w:val="clear" w:color="auto" w:fill="E2EFD9"/>
            <w:tcMar>
              <w:left w:w="20" w:type="dxa"/>
              <w:right w:w="20" w:type="dxa"/>
            </w:tcMar>
            <w:vAlign w:val="bottom"/>
          </w:tcPr>
          <w:p w14:paraId="0D8DFD6C"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6D" w14:textId="77777777" w:rsidR="004C2197" w:rsidRDefault="00863B83">
            <w:pPr>
              <w:jc w:val="center"/>
              <w:textAlignment w:val="bottom"/>
            </w:pPr>
            <w:r>
              <w:rPr>
                <w:rFonts w:ascii="sans-serif" w:eastAsia="sans-serif" w:hAnsi="sans-serif" w:cs="sans-serif"/>
                <w:color w:val="000000"/>
                <w:sz w:val="20"/>
                <w:szCs w:val="20"/>
              </w:rPr>
              <w:t>9.7</w:t>
            </w:r>
          </w:p>
        </w:tc>
        <w:tc>
          <w:tcPr>
            <w:tcW w:w="0" w:type="auto"/>
            <w:gridSpan w:val="3"/>
            <w:shd w:val="clear" w:color="auto" w:fill="E2EFD9"/>
            <w:tcMar>
              <w:left w:w="20" w:type="dxa"/>
              <w:right w:w="20" w:type="dxa"/>
            </w:tcMar>
            <w:vAlign w:val="bottom"/>
          </w:tcPr>
          <w:p w14:paraId="0D8DFD6E"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6F" w14:textId="77777777" w:rsidR="004C2197" w:rsidRDefault="00863B83">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left w:w="20" w:type="dxa"/>
              <w:right w:w="20" w:type="dxa"/>
            </w:tcMar>
            <w:vAlign w:val="bottom"/>
          </w:tcPr>
          <w:p w14:paraId="0D8DFD7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71" w14:textId="77777777" w:rsidR="004C2197" w:rsidRDefault="00863B83">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bottom w:w="40" w:type="dxa"/>
              <w:right w:w="20" w:type="dxa"/>
            </w:tcMar>
            <w:vAlign w:val="bottom"/>
          </w:tcPr>
          <w:p w14:paraId="0D8DFD7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D7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74"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D75" w14:textId="77777777" w:rsidR="004C2197" w:rsidRDefault="004C2197">
            <w:pPr>
              <w:jc w:val="right"/>
              <w:rPr>
                <w:rFonts w:ascii="宋体"/>
              </w:rPr>
            </w:pPr>
          </w:p>
        </w:tc>
        <w:tc>
          <w:tcPr>
            <w:tcW w:w="0" w:type="auto"/>
            <w:shd w:val="clear" w:color="auto" w:fill="auto"/>
          </w:tcPr>
          <w:p w14:paraId="0D8DFD76" w14:textId="77777777" w:rsidR="004C2197" w:rsidRDefault="004C2197">
            <w:pPr>
              <w:rPr>
                <w:rFonts w:ascii="宋体"/>
              </w:rPr>
            </w:pPr>
          </w:p>
        </w:tc>
        <w:tc>
          <w:tcPr>
            <w:tcW w:w="0" w:type="auto"/>
            <w:shd w:val="clear" w:color="auto" w:fill="auto"/>
          </w:tcPr>
          <w:p w14:paraId="0D8DFD77" w14:textId="77777777" w:rsidR="004C2197" w:rsidRDefault="004C2197">
            <w:pPr>
              <w:rPr>
                <w:rFonts w:ascii="宋体"/>
              </w:rPr>
            </w:pPr>
          </w:p>
        </w:tc>
        <w:tc>
          <w:tcPr>
            <w:tcW w:w="0" w:type="auto"/>
            <w:shd w:val="clear" w:color="auto" w:fill="auto"/>
          </w:tcPr>
          <w:p w14:paraId="0D8DFD78" w14:textId="77777777" w:rsidR="004C2197" w:rsidRDefault="004C2197">
            <w:pPr>
              <w:rPr>
                <w:rFonts w:ascii="宋体"/>
              </w:rPr>
            </w:pPr>
          </w:p>
        </w:tc>
        <w:tc>
          <w:tcPr>
            <w:tcW w:w="0" w:type="auto"/>
            <w:shd w:val="clear" w:color="auto" w:fill="auto"/>
          </w:tcPr>
          <w:p w14:paraId="0D8DFD79" w14:textId="77777777" w:rsidR="004C2197" w:rsidRDefault="004C2197">
            <w:pPr>
              <w:rPr>
                <w:rFonts w:ascii="宋体"/>
              </w:rPr>
            </w:pPr>
          </w:p>
        </w:tc>
        <w:tc>
          <w:tcPr>
            <w:tcW w:w="0" w:type="auto"/>
            <w:shd w:val="clear" w:color="auto" w:fill="auto"/>
          </w:tcPr>
          <w:p w14:paraId="0D8DFD7A" w14:textId="77777777" w:rsidR="004C2197" w:rsidRDefault="004C2197">
            <w:pPr>
              <w:rPr>
                <w:rFonts w:ascii="宋体"/>
              </w:rPr>
            </w:pPr>
          </w:p>
        </w:tc>
        <w:tc>
          <w:tcPr>
            <w:tcW w:w="0" w:type="auto"/>
            <w:shd w:val="clear" w:color="auto" w:fill="auto"/>
          </w:tcPr>
          <w:p w14:paraId="0D8DFD7B" w14:textId="77777777" w:rsidR="004C2197" w:rsidRDefault="004C2197">
            <w:pPr>
              <w:rPr>
                <w:rFonts w:ascii="宋体"/>
              </w:rPr>
            </w:pPr>
          </w:p>
        </w:tc>
      </w:tr>
      <w:tr w:rsidR="004C2197" w14:paraId="0D8DFD8E" w14:textId="77777777">
        <w:trPr>
          <w:jc w:val="center"/>
        </w:trPr>
        <w:tc>
          <w:tcPr>
            <w:tcW w:w="0" w:type="auto"/>
            <w:gridSpan w:val="3"/>
            <w:shd w:val="clear" w:color="auto" w:fill="FFFFFF"/>
            <w:tcMar>
              <w:top w:w="40" w:type="dxa"/>
              <w:left w:w="20" w:type="dxa"/>
              <w:bottom w:w="40" w:type="dxa"/>
              <w:right w:w="20" w:type="dxa"/>
            </w:tcMar>
            <w:vAlign w:val="center"/>
          </w:tcPr>
          <w:p w14:paraId="0D8DFD7D" w14:textId="77777777" w:rsidR="004C2197" w:rsidRDefault="00863B83">
            <w:pPr>
              <w:textAlignment w:val="center"/>
            </w:pPr>
            <w:r>
              <w:rPr>
                <w:rFonts w:ascii="sans-serif" w:eastAsia="sans-serif" w:hAnsi="sans-serif" w:cs="sans-serif"/>
                <w:color w:val="000000"/>
                <w:sz w:val="20"/>
                <w:szCs w:val="20"/>
              </w:rPr>
              <w:t>3.5</w:t>
            </w:r>
            <w:r>
              <w:rPr>
                <w:rFonts w:ascii="sans-serif" w:eastAsia="sans-serif" w:hAnsi="sans-serif" w:cs="sans-serif"/>
                <w:color w:val="000000"/>
                <w:sz w:val="20"/>
                <w:szCs w:val="20"/>
              </w:rPr>
              <w:t>0% Notes Due 2040</w:t>
            </w:r>
          </w:p>
        </w:tc>
        <w:tc>
          <w:tcPr>
            <w:tcW w:w="0" w:type="auto"/>
            <w:gridSpan w:val="3"/>
            <w:shd w:val="clear" w:color="auto" w:fill="FFFFFF"/>
            <w:tcMar>
              <w:left w:w="20" w:type="dxa"/>
              <w:right w:w="20" w:type="dxa"/>
            </w:tcMar>
            <w:vAlign w:val="bottom"/>
          </w:tcPr>
          <w:p w14:paraId="0D8DFD7E"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7F" w14:textId="77777777" w:rsidR="004C2197" w:rsidRDefault="00863B83">
            <w:pPr>
              <w:jc w:val="center"/>
              <w:textAlignment w:val="bottom"/>
            </w:pPr>
            <w:r>
              <w:rPr>
                <w:rFonts w:ascii="sans-serif" w:eastAsia="sans-serif" w:hAnsi="sans-serif" w:cs="sans-serif"/>
                <w:color w:val="000000"/>
                <w:sz w:val="20"/>
                <w:szCs w:val="20"/>
              </w:rPr>
              <w:t>19.7</w:t>
            </w:r>
          </w:p>
        </w:tc>
        <w:tc>
          <w:tcPr>
            <w:tcW w:w="0" w:type="auto"/>
            <w:gridSpan w:val="3"/>
            <w:shd w:val="clear" w:color="auto" w:fill="FFFFFF"/>
            <w:tcMar>
              <w:left w:w="20" w:type="dxa"/>
              <w:right w:w="20" w:type="dxa"/>
            </w:tcMar>
            <w:vAlign w:val="bottom"/>
          </w:tcPr>
          <w:p w14:paraId="0D8DFD80"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81" w14:textId="77777777" w:rsidR="004C2197" w:rsidRDefault="00863B83">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left w:w="20" w:type="dxa"/>
              <w:right w:w="20" w:type="dxa"/>
            </w:tcMar>
            <w:vAlign w:val="bottom"/>
          </w:tcPr>
          <w:p w14:paraId="0D8DFD8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83"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bottom w:w="40" w:type="dxa"/>
              <w:right w:w="20" w:type="dxa"/>
            </w:tcMar>
            <w:vAlign w:val="bottom"/>
          </w:tcPr>
          <w:p w14:paraId="0D8DFD8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D8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86"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D87" w14:textId="77777777" w:rsidR="004C2197" w:rsidRDefault="004C2197">
            <w:pPr>
              <w:jc w:val="right"/>
              <w:rPr>
                <w:rFonts w:ascii="宋体"/>
              </w:rPr>
            </w:pPr>
          </w:p>
        </w:tc>
        <w:tc>
          <w:tcPr>
            <w:tcW w:w="0" w:type="auto"/>
            <w:shd w:val="clear" w:color="auto" w:fill="auto"/>
          </w:tcPr>
          <w:p w14:paraId="0D8DFD88" w14:textId="77777777" w:rsidR="004C2197" w:rsidRDefault="004C2197">
            <w:pPr>
              <w:rPr>
                <w:rFonts w:ascii="宋体"/>
              </w:rPr>
            </w:pPr>
          </w:p>
        </w:tc>
        <w:tc>
          <w:tcPr>
            <w:tcW w:w="0" w:type="auto"/>
            <w:shd w:val="clear" w:color="auto" w:fill="auto"/>
          </w:tcPr>
          <w:p w14:paraId="0D8DFD89" w14:textId="77777777" w:rsidR="004C2197" w:rsidRDefault="004C2197">
            <w:pPr>
              <w:rPr>
                <w:rFonts w:ascii="宋体"/>
              </w:rPr>
            </w:pPr>
          </w:p>
        </w:tc>
        <w:tc>
          <w:tcPr>
            <w:tcW w:w="0" w:type="auto"/>
            <w:shd w:val="clear" w:color="auto" w:fill="auto"/>
          </w:tcPr>
          <w:p w14:paraId="0D8DFD8A" w14:textId="77777777" w:rsidR="004C2197" w:rsidRDefault="004C2197">
            <w:pPr>
              <w:rPr>
                <w:rFonts w:ascii="宋体"/>
              </w:rPr>
            </w:pPr>
          </w:p>
        </w:tc>
        <w:tc>
          <w:tcPr>
            <w:tcW w:w="0" w:type="auto"/>
            <w:shd w:val="clear" w:color="auto" w:fill="auto"/>
          </w:tcPr>
          <w:p w14:paraId="0D8DFD8B" w14:textId="77777777" w:rsidR="004C2197" w:rsidRDefault="004C2197">
            <w:pPr>
              <w:rPr>
                <w:rFonts w:ascii="宋体"/>
              </w:rPr>
            </w:pPr>
          </w:p>
        </w:tc>
        <w:tc>
          <w:tcPr>
            <w:tcW w:w="0" w:type="auto"/>
            <w:shd w:val="clear" w:color="auto" w:fill="auto"/>
          </w:tcPr>
          <w:p w14:paraId="0D8DFD8C" w14:textId="77777777" w:rsidR="004C2197" w:rsidRDefault="004C2197">
            <w:pPr>
              <w:rPr>
                <w:rFonts w:ascii="宋体"/>
              </w:rPr>
            </w:pPr>
          </w:p>
        </w:tc>
        <w:tc>
          <w:tcPr>
            <w:tcW w:w="0" w:type="auto"/>
            <w:shd w:val="clear" w:color="auto" w:fill="auto"/>
          </w:tcPr>
          <w:p w14:paraId="0D8DFD8D" w14:textId="77777777" w:rsidR="004C2197" w:rsidRDefault="004C2197">
            <w:pPr>
              <w:rPr>
                <w:rFonts w:ascii="宋体"/>
              </w:rPr>
            </w:pPr>
          </w:p>
        </w:tc>
      </w:tr>
      <w:tr w:rsidR="004C2197" w14:paraId="0D8DFDA0" w14:textId="77777777">
        <w:trPr>
          <w:jc w:val="center"/>
        </w:trPr>
        <w:tc>
          <w:tcPr>
            <w:tcW w:w="0" w:type="auto"/>
            <w:gridSpan w:val="3"/>
            <w:shd w:val="clear" w:color="auto" w:fill="E2EFD9"/>
            <w:tcMar>
              <w:top w:w="40" w:type="dxa"/>
              <w:left w:w="20" w:type="dxa"/>
              <w:bottom w:w="40" w:type="dxa"/>
              <w:right w:w="20" w:type="dxa"/>
            </w:tcMar>
            <w:vAlign w:val="center"/>
          </w:tcPr>
          <w:p w14:paraId="0D8DFD8F" w14:textId="77777777" w:rsidR="004C2197" w:rsidRDefault="00863B83">
            <w:pPr>
              <w:textAlignment w:val="center"/>
            </w:pPr>
            <w:r>
              <w:rPr>
                <w:rFonts w:ascii="sans-serif" w:eastAsia="sans-serif" w:hAnsi="sans-serif" w:cs="sans-serif"/>
                <w:color w:val="000000"/>
                <w:sz w:val="20"/>
                <w:szCs w:val="20"/>
              </w:rPr>
              <w:t>3.5</w:t>
            </w:r>
            <w:r>
              <w:rPr>
                <w:rFonts w:ascii="sans-serif" w:eastAsia="sans-serif" w:hAnsi="sans-serif" w:cs="sans-serif"/>
                <w:color w:val="000000"/>
                <w:sz w:val="20"/>
                <w:szCs w:val="20"/>
              </w:rPr>
              <w:t>0% Notes Due 2050</w:t>
            </w:r>
          </w:p>
        </w:tc>
        <w:tc>
          <w:tcPr>
            <w:tcW w:w="0" w:type="auto"/>
            <w:gridSpan w:val="3"/>
            <w:shd w:val="clear" w:color="auto" w:fill="E2EFD9"/>
            <w:tcMar>
              <w:left w:w="20" w:type="dxa"/>
              <w:right w:w="20" w:type="dxa"/>
            </w:tcMar>
            <w:vAlign w:val="bottom"/>
          </w:tcPr>
          <w:p w14:paraId="0D8DFD90"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91" w14:textId="77777777" w:rsidR="004C2197" w:rsidRDefault="00863B83">
            <w:pPr>
              <w:jc w:val="center"/>
              <w:textAlignment w:val="bottom"/>
            </w:pPr>
            <w:r>
              <w:rPr>
                <w:rFonts w:ascii="sans-serif" w:eastAsia="sans-serif" w:hAnsi="sans-serif" w:cs="sans-serif"/>
                <w:color w:val="000000"/>
                <w:sz w:val="20"/>
                <w:szCs w:val="20"/>
              </w:rPr>
              <w:t>29.7</w:t>
            </w:r>
          </w:p>
        </w:tc>
        <w:tc>
          <w:tcPr>
            <w:tcW w:w="0" w:type="auto"/>
            <w:gridSpan w:val="3"/>
            <w:shd w:val="clear" w:color="auto" w:fill="E2EFD9"/>
            <w:tcMar>
              <w:left w:w="20" w:type="dxa"/>
              <w:right w:w="20" w:type="dxa"/>
            </w:tcMar>
            <w:vAlign w:val="bottom"/>
          </w:tcPr>
          <w:p w14:paraId="0D8DFD92"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D93" w14:textId="77777777" w:rsidR="004C2197" w:rsidRDefault="00863B83">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left w:w="20" w:type="dxa"/>
              <w:right w:w="20" w:type="dxa"/>
            </w:tcMar>
            <w:vAlign w:val="bottom"/>
          </w:tcPr>
          <w:p w14:paraId="0D8DFD9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95" w14:textId="77777777" w:rsidR="004C2197" w:rsidRDefault="00863B83">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bottom w:w="40" w:type="dxa"/>
              <w:right w:w="20" w:type="dxa"/>
            </w:tcMar>
            <w:vAlign w:val="bottom"/>
          </w:tcPr>
          <w:p w14:paraId="0D8DFD9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D9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9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bottom w:w="40" w:type="dxa"/>
              <w:right w:w="20" w:type="dxa"/>
            </w:tcMar>
            <w:vAlign w:val="bottom"/>
          </w:tcPr>
          <w:p w14:paraId="0D8DFD99" w14:textId="77777777" w:rsidR="004C2197" w:rsidRDefault="004C2197">
            <w:pPr>
              <w:jc w:val="right"/>
              <w:rPr>
                <w:rFonts w:ascii="宋体"/>
              </w:rPr>
            </w:pPr>
          </w:p>
        </w:tc>
        <w:tc>
          <w:tcPr>
            <w:tcW w:w="0" w:type="auto"/>
            <w:shd w:val="clear" w:color="auto" w:fill="auto"/>
          </w:tcPr>
          <w:p w14:paraId="0D8DFD9A" w14:textId="77777777" w:rsidR="004C2197" w:rsidRDefault="004C2197">
            <w:pPr>
              <w:rPr>
                <w:rFonts w:ascii="宋体"/>
              </w:rPr>
            </w:pPr>
          </w:p>
        </w:tc>
        <w:tc>
          <w:tcPr>
            <w:tcW w:w="0" w:type="auto"/>
            <w:shd w:val="clear" w:color="auto" w:fill="auto"/>
          </w:tcPr>
          <w:p w14:paraId="0D8DFD9B" w14:textId="77777777" w:rsidR="004C2197" w:rsidRDefault="004C2197">
            <w:pPr>
              <w:rPr>
                <w:rFonts w:ascii="宋体"/>
              </w:rPr>
            </w:pPr>
          </w:p>
        </w:tc>
        <w:tc>
          <w:tcPr>
            <w:tcW w:w="0" w:type="auto"/>
            <w:shd w:val="clear" w:color="auto" w:fill="auto"/>
          </w:tcPr>
          <w:p w14:paraId="0D8DFD9C" w14:textId="77777777" w:rsidR="004C2197" w:rsidRDefault="004C2197">
            <w:pPr>
              <w:rPr>
                <w:rFonts w:ascii="宋体"/>
              </w:rPr>
            </w:pPr>
          </w:p>
        </w:tc>
        <w:tc>
          <w:tcPr>
            <w:tcW w:w="0" w:type="auto"/>
            <w:shd w:val="clear" w:color="auto" w:fill="auto"/>
          </w:tcPr>
          <w:p w14:paraId="0D8DFD9D" w14:textId="77777777" w:rsidR="004C2197" w:rsidRDefault="004C2197">
            <w:pPr>
              <w:rPr>
                <w:rFonts w:ascii="宋体"/>
              </w:rPr>
            </w:pPr>
          </w:p>
        </w:tc>
        <w:tc>
          <w:tcPr>
            <w:tcW w:w="0" w:type="auto"/>
            <w:shd w:val="clear" w:color="auto" w:fill="auto"/>
          </w:tcPr>
          <w:p w14:paraId="0D8DFD9E" w14:textId="77777777" w:rsidR="004C2197" w:rsidRDefault="004C2197">
            <w:pPr>
              <w:rPr>
                <w:rFonts w:ascii="宋体"/>
              </w:rPr>
            </w:pPr>
          </w:p>
        </w:tc>
        <w:tc>
          <w:tcPr>
            <w:tcW w:w="0" w:type="auto"/>
            <w:shd w:val="clear" w:color="auto" w:fill="auto"/>
          </w:tcPr>
          <w:p w14:paraId="0D8DFD9F" w14:textId="77777777" w:rsidR="004C2197" w:rsidRDefault="004C2197">
            <w:pPr>
              <w:rPr>
                <w:rFonts w:ascii="宋体"/>
              </w:rPr>
            </w:pPr>
          </w:p>
        </w:tc>
      </w:tr>
      <w:tr w:rsidR="004C2197" w14:paraId="0D8DFDB2" w14:textId="77777777">
        <w:trPr>
          <w:jc w:val="center"/>
        </w:trPr>
        <w:tc>
          <w:tcPr>
            <w:tcW w:w="0" w:type="auto"/>
            <w:gridSpan w:val="3"/>
            <w:shd w:val="clear" w:color="auto" w:fill="FFFFFF"/>
            <w:tcMar>
              <w:top w:w="40" w:type="dxa"/>
              <w:left w:w="20" w:type="dxa"/>
              <w:bottom w:w="40" w:type="dxa"/>
              <w:right w:w="20" w:type="dxa"/>
            </w:tcMar>
            <w:vAlign w:val="center"/>
          </w:tcPr>
          <w:p w14:paraId="0D8DFDA1" w14:textId="77777777" w:rsidR="004C2197" w:rsidRDefault="00863B83">
            <w:pPr>
              <w:textAlignment w:val="center"/>
            </w:pPr>
            <w:r>
              <w:rPr>
                <w:rFonts w:ascii="sans-serif" w:eastAsia="sans-serif" w:hAnsi="sans-serif" w:cs="sans-serif"/>
                <w:color w:val="000000"/>
                <w:sz w:val="20"/>
                <w:szCs w:val="20"/>
              </w:rPr>
              <w:t>3.7</w:t>
            </w:r>
            <w:r>
              <w:rPr>
                <w:rFonts w:ascii="sans-serif" w:eastAsia="sans-serif" w:hAnsi="sans-serif" w:cs="sans-serif"/>
                <w:color w:val="000000"/>
                <w:sz w:val="20"/>
                <w:szCs w:val="20"/>
              </w:rPr>
              <w:t>0% Notes Due 2060</w:t>
            </w:r>
          </w:p>
        </w:tc>
        <w:tc>
          <w:tcPr>
            <w:tcW w:w="0" w:type="auto"/>
            <w:gridSpan w:val="3"/>
            <w:shd w:val="clear" w:color="auto" w:fill="FFFFFF"/>
            <w:tcMar>
              <w:left w:w="20" w:type="dxa"/>
              <w:right w:w="20" w:type="dxa"/>
            </w:tcMar>
            <w:vAlign w:val="bottom"/>
          </w:tcPr>
          <w:p w14:paraId="0D8DFDA2"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A3" w14:textId="77777777" w:rsidR="004C2197" w:rsidRDefault="00863B83">
            <w:pPr>
              <w:jc w:val="center"/>
              <w:textAlignment w:val="bottom"/>
            </w:pPr>
            <w:r>
              <w:rPr>
                <w:rFonts w:ascii="sans-serif" w:eastAsia="sans-serif" w:hAnsi="sans-serif" w:cs="sans-serif"/>
                <w:color w:val="000000"/>
                <w:sz w:val="20"/>
                <w:szCs w:val="20"/>
              </w:rPr>
              <w:t>39.7</w:t>
            </w:r>
          </w:p>
        </w:tc>
        <w:tc>
          <w:tcPr>
            <w:tcW w:w="0" w:type="auto"/>
            <w:gridSpan w:val="3"/>
            <w:shd w:val="clear" w:color="auto" w:fill="FFFFFF"/>
            <w:tcMar>
              <w:left w:w="20" w:type="dxa"/>
              <w:right w:w="20" w:type="dxa"/>
            </w:tcMar>
            <w:vAlign w:val="bottom"/>
          </w:tcPr>
          <w:p w14:paraId="0D8DFDA4"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DFDA5" w14:textId="77777777" w:rsidR="004C2197" w:rsidRDefault="00863B83">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left w:w="20" w:type="dxa"/>
              <w:right w:w="20" w:type="dxa"/>
            </w:tcMar>
            <w:vAlign w:val="bottom"/>
          </w:tcPr>
          <w:p w14:paraId="0D8DFDA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A7" w14:textId="77777777" w:rsidR="004C2197" w:rsidRDefault="00863B83">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bottom w:w="40" w:type="dxa"/>
              <w:right w:w="20" w:type="dxa"/>
            </w:tcMar>
            <w:vAlign w:val="bottom"/>
          </w:tcPr>
          <w:p w14:paraId="0D8DFDA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DA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DFDAA"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DAB" w14:textId="77777777" w:rsidR="004C2197" w:rsidRDefault="004C2197">
            <w:pPr>
              <w:jc w:val="right"/>
              <w:rPr>
                <w:rFonts w:ascii="宋体"/>
              </w:rPr>
            </w:pPr>
          </w:p>
        </w:tc>
        <w:tc>
          <w:tcPr>
            <w:tcW w:w="0" w:type="auto"/>
            <w:shd w:val="clear" w:color="auto" w:fill="auto"/>
          </w:tcPr>
          <w:p w14:paraId="0D8DFDAC" w14:textId="77777777" w:rsidR="004C2197" w:rsidRDefault="004C2197">
            <w:pPr>
              <w:rPr>
                <w:rFonts w:ascii="宋体"/>
              </w:rPr>
            </w:pPr>
          </w:p>
        </w:tc>
        <w:tc>
          <w:tcPr>
            <w:tcW w:w="0" w:type="auto"/>
            <w:shd w:val="clear" w:color="auto" w:fill="auto"/>
          </w:tcPr>
          <w:p w14:paraId="0D8DFDAD" w14:textId="77777777" w:rsidR="004C2197" w:rsidRDefault="004C2197">
            <w:pPr>
              <w:rPr>
                <w:rFonts w:ascii="宋体"/>
              </w:rPr>
            </w:pPr>
          </w:p>
        </w:tc>
        <w:tc>
          <w:tcPr>
            <w:tcW w:w="0" w:type="auto"/>
            <w:shd w:val="clear" w:color="auto" w:fill="auto"/>
          </w:tcPr>
          <w:p w14:paraId="0D8DFDAE" w14:textId="77777777" w:rsidR="004C2197" w:rsidRDefault="004C2197">
            <w:pPr>
              <w:rPr>
                <w:rFonts w:ascii="宋体"/>
              </w:rPr>
            </w:pPr>
          </w:p>
        </w:tc>
        <w:tc>
          <w:tcPr>
            <w:tcW w:w="0" w:type="auto"/>
            <w:shd w:val="clear" w:color="auto" w:fill="auto"/>
          </w:tcPr>
          <w:p w14:paraId="0D8DFDAF" w14:textId="77777777" w:rsidR="004C2197" w:rsidRDefault="004C2197">
            <w:pPr>
              <w:rPr>
                <w:rFonts w:ascii="宋体"/>
              </w:rPr>
            </w:pPr>
          </w:p>
        </w:tc>
        <w:tc>
          <w:tcPr>
            <w:tcW w:w="0" w:type="auto"/>
            <w:shd w:val="clear" w:color="auto" w:fill="auto"/>
          </w:tcPr>
          <w:p w14:paraId="0D8DFDB0" w14:textId="77777777" w:rsidR="004C2197" w:rsidRDefault="004C2197">
            <w:pPr>
              <w:rPr>
                <w:rFonts w:ascii="宋体"/>
              </w:rPr>
            </w:pPr>
          </w:p>
        </w:tc>
        <w:tc>
          <w:tcPr>
            <w:tcW w:w="0" w:type="auto"/>
            <w:shd w:val="clear" w:color="auto" w:fill="auto"/>
          </w:tcPr>
          <w:p w14:paraId="0D8DFDB1" w14:textId="77777777" w:rsidR="004C2197" w:rsidRDefault="004C2197">
            <w:pPr>
              <w:rPr>
                <w:rFonts w:ascii="宋体"/>
              </w:rPr>
            </w:pPr>
          </w:p>
        </w:tc>
      </w:tr>
      <w:tr w:rsidR="004C2197" w14:paraId="0D8DFDC4" w14:textId="77777777">
        <w:trPr>
          <w:jc w:val="center"/>
        </w:trPr>
        <w:tc>
          <w:tcPr>
            <w:tcW w:w="0" w:type="auto"/>
            <w:gridSpan w:val="3"/>
            <w:shd w:val="clear" w:color="auto" w:fill="E2EFD9"/>
            <w:tcMar>
              <w:top w:w="40" w:type="dxa"/>
              <w:left w:w="20" w:type="dxa"/>
              <w:bottom w:w="40" w:type="dxa"/>
              <w:right w:w="20" w:type="dxa"/>
            </w:tcMar>
            <w:vAlign w:val="center"/>
          </w:tcPr>
          <w:p w14:paraId="0D8DFDB3" w14:textId="77777777" w:rsidR="004C2197" w:rsidRDefault="00863B83">
            <w:pPr>
              <w:textAlignment w:val="center"/>
            </w:pPr>
            <w:r>
              <w:rPr>
                <w:rFonts w:ascii="sans-serif" w:eastAsia="sans-serif" w:hAnsi="sans-serif" w:cs="sans-serif"/>
                <w:color w:val="000000"/>
                <w:sz w:val="20"/>
                <w:szCs w:val="20"/>
              </w:rPr>
              <w:t>Una</w:t>
            </w:r>
            <w:r>
              <w:rPr>
                <w:rFonts w:ascii="sans-serif" w:eastAsia="sans-serif" w:hAnsi="sans-serif" w:cs="sans-serif"/>
                <w:color w:val="000000"/>
                <w:sz w:val="20"/>
                <w:szCs w:val="20"/>
              </w:rPr>
              <w:t>mortized debt discount and issuance costs</w:t>
            </w:r>
          </w:p>
        </w:tc>
        <w:tc>
          <w:tcPr>
            <w:tcW w:w="0" w:type="auto"/>
            <w:gridSpan w:val="3"/>
            <w:shd w:val="clear" w:color="auto" w:fill="E2EFD9"/>
            <w:tcMar>
              <w:left w:w="20" w:type="dxa"/>
              <w:right w:w="20" w:type="dxa"/>
            </w:tcMar>
            <w:vAlign w:val="bottom"/>
          </w:tcPr>
          <w:p w14:paraId="0D8DFDB4"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DB5"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DB6"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DB7"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DB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B9" w14:textId="77777777" w:rsidR="004C2197" w:rsidRDefault="00863B83">
            <w:pPr>
              <w:jc w:val="right"/>
              <w:textAlignment w:val="bottom"/>
            </w:pPr>
            <w:r>
              <w:rPr>
                <w:rFonts w:ascii="sans-serif" w:eastAsia="sans-serif" w:hAnsi="sans-serif" w:cs="sans-serif"/>
                <w:color w:val="000000"/>
                <w:sz w:val="20"/>
                <w:szCs w:val="20"/>
              </w:rPr>
              <w:t>(40)</w:t>
            </w:r>
          </w:p>
        </w:tc>
        <w:tc>
          <w:tcPr>
            <w:tcW w:w="0" w:type="auto"/>
            <w:shd w:val="clear" w:color="auto" w:fill="E2EFD9"/>
            <w:tcMar>
              <w:top w:w="40" w:type="dxa"/>
              <w:bottom w:w="40" w:type="dxa"/>
              <w:right w:w="20" w:type="dxa"/>
            </w:tcMar>
            <w:vAlign w:val="bottom"/>
          </w:tcPr>
          <w:p w14:paraId="0D8DFDB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DB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DFDBC" w14:textId="77777777" w:rsidR="004C2197" w:rsidRDefault="00863B83">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bottom w:w="40" w:type="dxa"/>
              <w:right w:w="20" w:type="dxa"/>
            </w:tcMar>
            <w:vAlign w:val="bottom"/>
          </w:tcPr>
          <w:p w14:paraId="0D8DFDBD" w14:textId="77777777" w:rsidR="004C2197" w:rsidRDefault="004C2197">
            <w:pPr>
              <w:jc w:val="right"/>
              <w:rPr>
                <w:rFonts w:ascii="宋体"/>
              </w:rPr>
            </w:pPr>
          </w:p>
        </w:tc>
        <w:tc>
          <w:tcPr>
            <w:tcW w:w="0" w:type="auto"/>
            <w:shd w:val="clear" w:color="auto" w:fill="auto"/>
          </w:tcPr>
          <w:p w14:paraId="0D8DFDBE" w14:textId="77777777" w:rsidR="004C2197" w:rsidRDefault="004C2197">
            <w:pPr>
              <w:rPr>
                <w:rFonts w:ascii="宋体"/>
              </w:rPr>
            </w:pPr>
          </w:p>
        </w:tc>
        <w:tc>
          <w:tcPr>
            <w:tcW w:w="0" w:type="auto"/>
            <w:shd w:val="clear" w:color="auto" w:fill="auto"/>
          </w:tcPr>
          <w:p w14:paraId="0D8DFDBF" w14:textId="77777777" w:rsidR="004C2197" w:rsidRDefault="004C2197">
            <w:pPr>
              <w:rPr>
                <w:rFonts w:ascii="宋体"/>
              </w:rPr>
            </w:pPr>
          </w:p>
        </w:tc>
        <w:tc>
          <w:tcPr>
            <w:tcW w:w="0" w:type="auto"/>
            <w:shd w:val="clear" w:color="auto" w:fill="auto"/>
          </w:tcPr>
          <w:p w14:paraId="0D8DFDC0" w14:textId="77777777" w:rsidR="004C2197" w:rsidRDefault="004C2197">
            <w:pPr>
              <w:rPr>
                <w:rFonts w:ascii="宋体"/>
              </w:rPr>
            </w:pPr>
          </w:p>
        </w:tc>
        <w:tc>
          <w:tcPr>
            <w:tcW w:w="0" w:type="auto"/>
            <w:shd w:val="clear" w:color="auto" w:fill="auto"/>
          </w:tcPr>
          <w:p w14:paraId="0D8DFDC1" w14:textId="77777777" w:rsidR="004C2197" w:rsidRDefault="004C2197">
            <w:pPr>
              <w:rPr>
                <w:rFonts w:ascii="宋体"/>
              </w:rPr>
            </w:pPr>
          </w:p>
        </w:tc>
        <w:tc>
          <w:tcPr>
            <w:tcW w:w="0" w:type="auto"/>
            <w:shd w:val="clear" w:color="auto" w:fill="auto"/>
          </w:tcPr>
          <w:p w14:paraId="0D8DFDC2" w14:textId="77777777" w:rsidR="004C2197" w:rsidRDefault="004C2197">
            <w:pPr>
              <w:rPr>
                <w:rFonts w:ascii="宋体"/>
              </w:rPr>
            </w:pPr>
          </w:p>
        </w:tc>
        <w:tc>
          <w:tcPr>
            <w:tcW w:w="0" w:type="auto"/>
            <w:shd w:val="clear" w:color="auto" w:fill="auto"/>
          </w:tcPr>
          <w:p w14:paraId="0D8DFDC3" w14:textId="77777777" w:rsidR="004C2197" w:rsidRDefault="004C2197">
            <w:pPr>
              <w:rPr>
                <w:rFonts w:ascii="宋体"/>
              </w:rPr>
            </w:pPr>
          </w:p>
        </w:tc>
      </w:tr>
      <w:tr w:rsidR="004C2197" w14:paraId="0D8DFDD8" w14:textId="77777777">
        <w:trPr>
          <w:jc w:val="center"/>
        </w:trPr>
        <w:tc>
          <w:tcPr>
            <w:tcW w:w="0" w:type="auto"/>
            <w:gridSpan w:val="3"/>
            <w:shd w:val="clear" w:color="auto" w:fill="FFFFFF"/>
            <w:tcMar>
              <w:top w:w="40" w:type="dxa"/>
              <w:left w:w="20" w:type="dxa"/>
              <w:bottom w:w="40" w:type="dxa"/>
              <w:right w:w="20" w:type="dxa"/>
            </w:tcMar>
            <w:vAlign w:val="center"/>
          </w:tcPr>
          <w:p w14:paraId="0D8DFDC5" w14:textId="77777777" w:rsidR="004C2197" w:rsidRDefault="00863B83">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left w:w="20" w:type="dxa"/>
              <w:right w:w="20" w:type="dxa"/>
            </w:tcMar>
            <w:vAlign w:val="bottom"/>
          </w:tcPr>
          <w:p w14:paraId="0D8DFDC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DC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DC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DC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DCA"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DCB"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DCC" w14:textId="77777777" w:rsidR="004C2197" w:rsidRDefault="00863B83">
            <w:pPr>
              <w:jc w:val="right"/>
              <w:textAlignment w:val="bottom"/>
            </w:pPr>
            <w:r>
              <w:rPr>
                <w:rFonts w:ascii="sans-serif" w:eastAsia="sans-serif" w:hAnsi="sans-serif" w:cs="sans-serif"/>
                <w:color w:val="000000"/>
                <w:sz w:val="20"/>
                <w:szCs w:val="20"/>
              </w:rPr>
              <w:t>6,960 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DC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DCE"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DFDC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DFDD0" w14:textId="77777777" w:rsidR="004C2197" w:rsidRDefault="00863B83">
            <w:pPr>
              <w:jc w:val="right"/>
              <w:textAlignment w:val="bottom"/>
            </w:pPr>
            <w:r>
              <w:rPr>
                <w:rFonts w:ascii="sans-serif" w:eastAsia="sans-serif" w:hAnsi="sans-serif" w:cs="sans-serif"/>
                <w:color w:val="000000"/>
                <w:sz w:val="20"/>
                <w:szCs w:val="20"/>
              </w:rPr>
              <w:t>1,991 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DFDD1" w14:textId="77777777" w:rsidR="004C2197" w:rsidRDefault="004C2197">
            <w:pPr>
              <w:jc w:val="right"/>
              <w:rPr>
                <w:rFonts w:ascii="宋体"/>
              </w:rPr>
            </w:pPr>
          </w:p>
        </w:tc>
        <w:tc>
          <w:tcPr>
            <w:tcW w:w="0" w:type="auto"/>
            <w:shd w:val="clear" w:color="auto" w:fill="auto"/>
          </w:tcPr>
          <w:p w14:paraId="0D8DFDD2" w14:textId="77777777" w:rsidR="004C2197" w:rsidRDefault="004C2197">
            <w:pPr>
              <w:rPr>
                <w:rFonts w:ascii="宋体"/>
              </w:rPr>
            </w:pPr>
          </w:p>
        </w:tc>
        <w:tc>
          <w:tcPr>
            <w:tcW w:w="0" w:type="auto"/>
            <w:shd w:val="clear" w:color="auto" w:fill="auto"/>
          </w:tcPr>
          <w:p w14:paraId="0D8DFDD3" w14:textId="77777777" w:rsidR="004C2197" w:rsidRDefault="004C2197">
            <w:pPr>
              <w:rPr>
                <w:rFonts w:ascii="宋体"/>
              </w:rPr>
            </w:pPr>
          </w:p>
        </w:tc>
        <w:tc>
          <w:tcPr>
            <w:tcW w:w="0" w:type="auto"/>
            <w:shd w:val="clear" w:color="auto" w:fill="auto"/>
          </w:tcPr>
          <w:p w14:paraId="0D8DFDD4" w14:textId="77777777" w:rsidR="004C2197" w:rsidRDefault="004C2197">
            <w:pPr>
              <w:rPr>
                <w:rFonts w:ascii="宋体"/>
              </w:rPr>
            </w:pPr>
          </w:p>
        </w:tc>
        <w:tc>
          <w:tcPr>
            <w:tcW w:w="0" w:type="auto"/>
            <w:shd w:val="clear" w:color="auto" w:fill="auto"/>
          </w:tcPr>
          <w:p w14:paraId="0D8DFDD5" w14:textId="77777777" w:rsidR="004C2197" w:rsidRDefault="004C2197">
            <w:pPr>
              <w:rPr>
                <w:rFonts w:ascii="宋体"/>
              </w:rPr>
            </w:pPr>
          </w:p>
        </w:tc>
        <w:tc>
          <w:tcPr>
            <w:tcW w:w="0" w:type="auto"/>
            <w:shd w:val="clear" w:color="auto" w:fill="auto"/>
          </w:tcPr>
          <w:p w14:paraId="0D8DFDD6" w14:textId="77777777" w:rsidR="004C2197" w:rsidRDefault="004C2197">
            <w:pPr>
              <w:rPr>
                <w:rFonts w:ascii="宋体"/>
              </w:rPr>
            </w:pPr>
          </w:p>
        </w:tc>
        <w:tc>
          <w:tcPr>
            <w:tcW w:w="0" w:type="auto"/>
            <w:shd w:val="clear" w:color="auto" w:fill="auto"/>
          </w:tcPr>
          <w:p w14:paraId="0D8DFDD7" w14:textId="77777777" w:rsidR="004C2197" w:rsidRDefault="004C2197">
            <w:pPr>
              <w:rPr>
                <w:rFonts w:ascii="宋体"/>
              </w:rPr>
            </w:pPr>
          </w:p>
        </w:tc>
      </w:tr>
    </w:tbl>
    <w:p w14:paraId="0D8DFDD9" w14:textId="77777777" w:rsidR="004C2197" w:rsidRDefault="004C2197">
      <w:pPr>
        <w:jc w:val="both"/>
      </w:pPr>
    </w:p>
    <w:p w14:paraId="0D8DFDDA" w14:textId="77777777" w:rsidR="004C2197" w:rsidRDefault="00863B83">
      <w:r>
        <w:rPr>
          <w:rFonts w:ascii="sans-serif" w:eastAsia="sans-serif" w:hAnsi="sans-serif" w:cs="sans-serif"/>
          <w:color w:val="000000"/>
          <w:sz w:val="20"/>
          <w:szCs w:val="20"/>
        </w:rPr>
        <w:t xml:space="preserve">As of July 26, 2020, we were in compliance with the required covenants under the Notes. </w:t>
      </w:r>
    </w:p>
    <w:p w14:paraId="0D8DFDDB" w14:textId="77777777" w:rsidR="004C2197" w:rsidRDefault="00863B83">
      <w:pPr>
        <w:spacing w:before="240" w:after="60"/>
        <w:jc w:val="both"/>
      </w:pPr>
      <w:r>
        <w:rPr>
          <w:rFonts w:ascii="sans-serif" w:eastAsia="sans-serif" w:hAnsi="sans-serif" w:cs="sans-serif"/>
          <w:b/>
          <w:bCs/>
          <w:color w:val="76B900"/>
          <w:sz w:val="20"/>
          <w:szCs w:val="20"/>
        </w:rPr>
        <w:t>Revolving Credit Facility</w:t>
      </w:r>
    </w:p>
    <w:p w14:paraId="0D8DFDDC" w14:textId="77777777" w:rsidR="004C2197" w:rsidRDefault="00863B83">
      <w:pPr>
        <w:jc w:val="both"/>
      </w:pPr>
      <w:r>
        <w:rPr>
          <w:rFonts w:ascii="sans-serif" w:eastAsia="sans-serif" w:hAnsi="sans-serif" w:cs="sans-serif"/>
          <w:color w:val="000000"/>
          <w:sz w:val="20"/>
          <w:szCs w:val="20"/>
        </w:rPr>
        <w:t xml:space="preserve">We have a Credit Agreement under which we may borrow up to $575 million for general corporate purposes and can </w:t>
      </w:r>
      <w:r>
        <w:rPr>
          <w:rFonts w:ascii="sans-serif" w:eastAsia="sans-serif" w:hAnsi="sans-serif" w:cs="sans-serif"/>
          <w:color w:val="000000"/>
          <w:sz w:val="20"/>
          <w:szCs w:val="20"/>
        </w:rPr>
        <w:t>obtain revolving loan commitments up to $425 million. As of July 26, 2020, we had not borrowed any amounts and were in compliance with the required covenants under this agreement.</w:t>
      </w:r>
    </w:p>
    <w:p w14:paraId="0D8DFDDD" w14:textId="77777777" w:rsidR="004C2197" w:rsidRDefault="00863B83">
      <w:pPr>
        <w:spacing w:before="240" w:after="60"/>
        <w:jc w:val="both"/>
      </w:pPr>
      <w:r>
        <w:rPr>
          <w:rFonts w:ascii="sans-serif" w:eastAsia="sans-serif" w:hAnsi="sans-serif" w:cs="sans-serif"/>
          <w:b/>
          <w:bCs/>
          <w:color w:val="76B900"/>
          <w:sz w:val="20"/>
          <w:szCs w:val="20"/>
        </w:rPr>
        <w:t>Commercial Paper</w:t>
      </w:r>
    </w:p>
    <w:p w14:paraId="0D8DFDDE" w14:textId="77777777" w:rsidR="004C2197" w:rsidRDefault="00863B83">
      <w:pPr>
        <w:spacing w:after="180"/>
        <w:jc w:val="both"/>
      </w:pPr>
      <w:r>
        <w:rPr>
          <w:rFonts w:ascii="sans-serif" w:eastAsia="sans-serif" w:hAnsi="sans-serif" w:cs="sans-serif"/>
          <w:color w:val="000000"/>
          <w:sz w:val="20"/>
          <w:szCs w:val="20"/>
        </w:rPr>
        <w:t xml:space="preserve">We have a $575 million commercial paper program to support </w:t>
      </w:r>
      <w:r>
        <w:rPr>
          <w:rFonts w:ascii="sans-serif" w:eastAsia="sans-serif" w:hAnsi="sans-serif" w:cs="sans-serif"/>
          <w:color w:val="000000"/>
          <w:sz w:val="20"/>
          <w:szCs w:val="20"/>
        </w:rPr>
        <w:t>general corporate purposes. As of July 26, 2020, we had not issued any commercial paper.</w:t>
      </w:r>
    </w:p>
    <w:p w14:paraId="0D8DFDDF" w14:textId="77777777" w:rsidR="004C2197" w:rsidRDefault="004C2197">
      <w:pPr>
        <w:spacing w:after="180"/>
        <w:jc w:val="both"/>
      </w:pPr>
    </w:p>
    <w:p w14:paraId="0D8DFDE0" w14:textId="77777777" w:rsidR="004C2197" w:rsidRDefault="00863B83">
      <w:pPr>
        <w:spacing w:before="240" w:after="120"/>
        <w:jc w:val="both"/>
      </w:pPr>
      <w:r>
        <w:rPr>
          <w:rFonts w:ascii="sans-serif" w:eastAsia="sans-serif" w:hAnsi="sans-serif" w:cs="sans-serif"/>
          <w:b/>
          <w:bCs/>
          <w:color w:val="76B900"/>
          <w:sz w:val="22"/>
          <w:szCs w:val="22"/>
        </w:rPr>
        <w:t>Note 13 - Commitments and Contingencies</w:t>
      </w:r>
    </w:p>
    <w:p w14:paraId="0D8DFDE1" w14:textId="77777777" w:rsidR="004C2197" w:rsidRDefault="00863B83">
      <w:pPr>
        <w:spacing w:before="240" w:after="60"/>
        <w:jc w:val="both"/>
      </w:pPr>
      <w:r>
        <w:rPr>
          <w:rFonts w:ascii="sans-serif" w:eastAsia="sans-serif" w:hAnsi="sans-serif" w:cs="sans-serif"/>
          <w:b/>
          <w:bCs/>
          <w:color w:val="76B900"/>
          <w:sz w:val="20"/>
          <w:szCs w:val="20"/>
        </w:rPr>
        <w:t>Purchase Obligations</w:t>
      </w:r>
    </w:p>
    <w:p w14:paraId="0D8DFDE2" w14:textId="77777777" w:rsidR="004C2197" w:rsidRDefault="00863B83">
      <w:pPr>
        <w:spacing w:after="120"/>
        <w:jc w:val="both"/>
      </w:pPr>
      <w:r>
        <w:rPr>
          <w:rFonts w:ascii="sans-serif" w:eastAsia="sans-serif" w:hAnsi="sans-serif" w:cs="sans-serif"/>
          <w:color w:val="000000"/>
          <w:sz w:val="20"/>
          <w:szCs w:val="20"/>
        </w:rPr>
        <w:t>As of July 26, 2020, we had outstanding inventory purchase obligations totaling $2.04 billion and other p</w:t>
      </w:r>
      <w:r>
        <w:rPr>
          <w:rFonts w:ascii="sans-serif" w:eastAsia="sans-serif" w:hAnsi="sans-serif" w:cs="sans-serif"/>
          <w:color w:val="000000"/>
          <w:sz w:val="20"/>
          <w:szCs w:val="20"/>
        </w:rPr>
        <w:t>urchase obligations totaling $310 million.</w:t>
      </w:r>
    </w:p>
    <w:p w14:paraId="0D8DFDE3" w14:textId="77777777" w:rsidR="004C2197" w:rsidRDefault="00863B83">
      <w:pPr>
        <w:spacing w:before="240" w:after="60"/>
        <w:jc w:val="both"/>
      </w:pPr>
      <w:r>
        <w:rPr>
          <w:rFonts w:ascii="sans-serif" w:eastAsia="sans-serif" w:hAnsi="sans-serif" w:cs="sans-serif"/>
          <w:b/>
          <w:bCs/>
          <w:color w:val="76B900"/>
          <w:sz w:val="20"/>
          <w:szCs w:val="20"/>
        </w:rPr>
        <w:t>Accrual for Product Warranty Liabilities</w:t>
      </w:r>
    </w:p>
    <w:p w14:paraId="0D8DFDE4" w14:textId="77777777" w:rsidR="004C2197" w:rsidRDefault="00863B83">
      <w:pPr>
        <w:spacing w:after="180"/>
        <w:jc w:val="both"/>
      </w:pPr>
      <w:r>
        <w:rPr>
          <w:rFonts w:ascii="sans-serif" w:eastAsia="sans-serif" w:hAnsi="sans-serif" w:cs="sans-serif"/>
          <w:color w:val="000000"/>
          <w:sz w:val="20"/>
          <w:szCs w:val="20"/>
        </w:rPr>
        <w:t xml:space="preserve">The estimated amount of product returns and warranty liabilities was $19 million and $15 million as of July 26, 2020 and January 26, 2020, respectively, and the activities </w:t>
      </w:r>
      <w:r>
        <w:rPr>
          <w:rFonts w:ascii="sans-serif" w:eastAsia="sans-serif" w:hAnsi="sans-serif" w:cs="sans-serif"/>
          <w:color w:val="000000"/>
          <w:sz w:val="20"/>
          <w:szCs w:val="20"/>
        </w:rPr>
        <w:t>related to the warranty liabilities were not significant.</w:t>
      </w:r>
    </w:p>
    <w:p w14:paraId="0D8DFDE5" w14:textId="77777777" w:rsidR="004C2197" w:rsidRDefault="00863B83">
      <w:pPr>
        <w:spacing w:after="180"/>
        <w:jc w:val="center"/>
      </w:pPr>
      <w:r>
        <w:rPr>
          <w:rFonts w:ascii="sans-serif" w:eastAsia="sans-serif" w:hAnsi="sans-serif" w:cs="sans-serif"/>
          <w:color w:val="000000"/>
          <w:sz w:val="20"/>
          <w:szCs w:val="20"/>
        </w:rPr>
        <w:t>21</w:t>
      </w:r>
    </w:p>
    <w:p w14:paraId="0D8DFDE6" w14:textId="77777777" w:rsidR="004C2197" w:rsidRDefault="00863B83">
      <w:r>
        <w:pict w14:anchorId="0D8E0CB9">
          <v:rect id="_x0000_i1045" style="width:415.3pt;height:1.5pt" o:hralign="center" o:hrstd="t" o:hr="t" fillcolor="#a0a0a0" stroked="f"/>
        </w:pict>
      </w:r>
    </w:p>
    <w:p w14:paraId="0D8DFDE7" w14:textId="77777777" w:rsidR="004C2197" w:rsidRDefault="00863B83">
      <w:pPr>
        <w:jc w:val="center"/>
      </w:pPr>
      <w:r>
        <w:rPr>
          <w:rFonts w:ascii="sans-serif" w:eastAsia="sans-serif" w:hAnsi="sans-serif" w:cs="sans-serif"/>
          <w:b/>
          <w:bCs/>
          <w:color w:val="000000"/>
          <w:sz w:val="20"/>
          <w:szCs w:val="20"/>
        </w:rPr>
        <w:t>NVIDIA CORPORATION AND SUBSIDIARIES</w:t>
      </w:r>
    </w:p>
    <w:p w14:paraId="0D8DFDE8"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DE9" w14:textId="77777777" w:rsidR="004C2197" w:rsidRDefault="00863B83">
      <w:pPr>
        <w:jc w:val="center"/>
      </w:pPr>
      <w:r>
        <w:rPr>
          <w:rFonts w:ascii="sans-serif" w:eastAsia="sans-serif" w:hAnsi="sans-serif" w:cs="sans-serif"/>
          <w:b/>
          <w:bCs/>
          <w:color w:val="000000"/>
          <w:sz w:val="20"/>
          <w:szCs w:val="20"/>
        </w:rPr>
        <w:t>(Unaudited)</w:t>
      </w:r>
    </w:p>
    <w:p w14:paraId="0D8DFDEA" w14:textId="77777777" w:rsidR="004C2197" w:rsidRDefault="004C2197">
      <w:pPr>
        <w:spacing w:after="180"/>
        <w:jc w:val="both"/>
      </w:pPr>
    </w:p>
    <w:p w14:paraId="0D8DFDEB" w14:textId="77777777" w:rsidR="004C2197" w:rsidRDefault="004C2197">
      <w:pPr>
        <w:spacing w:after="180"/>
        <w:jc w:val="both"/>
      </w:pPr>
    </w:p>
    <w:p w14:paraId="0D8DFDEC" w14:textId="77777777" w:rsidR="004C2197" w:rsidRDefault="00863B83">
      <w:pPr>
        <w:jc w:val="both"/>
      </w:pPr>
      <w:r>
        <w:rPr>
          <w:rFonts w:ascii="sans-serif" w:eastAsia="sans-serif" w:hAnsi="sans-serif" w:cs="sans-serif"/>
          <w:color w:val="000000"/>
          <w:sz w:val="20"/>
          <w:szCs w:val="20"/>
        </w:rPr>
        <w:t xml:space="preserve">In connection with certain agreements that we have entered in the past, we </w:t>
      </w:r>
      <w:r>
        <w:rPr>
          <w:rFonts w:ascii="sans-serif" w:eastAsia="sans-serif" w:hAnsi="sans-serif" w:cs="sans-serif"/>
          <w:color w:val="000000"/>
          <w:sz w:val="20"/>
          <w:szCs w:val="20"/>
        </w:rPr>
        <w:t>have provided indemnities to cover the indemnified party for matters such as tax, product, and employee liabilities. We have included intellectual property indemnification provisions in our technology related agreements with third parties. Maximum potentia</w:t>
      </w:r>
      <w:r>
        <w:rPr>
          <w:rFonts w:ascii="sans-serif" w:eastAsia="sans-serif" w:hAnsi="sans-serif" w:cs="sans-serif"/>
          <w:color w:val="000000"/>
          <w:sz w:val="20"/>
          <w:szCs w:val="20"/>
        </w:rPr>
        <w:t>l future payments cannot be estimated because many of these agreements do not have a maximum stated liability. We have not recorded any liability in our Condensed Consolidated Financial Statements for such indemnifications.</w:t>
      </w:r>
    </w:p>
    <w:p w14:paraId="0D8DFDED" w14:textId="77777777" w:rsidR="004C2197" w:rsidRDefault="00863B83">
      <w:pPr>
        <w:spacing w:before="240" w:after="60"/>
        <w:jc w:val="both"/>
      </w:pPr>
      <w:r>
        <w:rPr>
          <w:rFonts w:ascii="sans-serif" w:eastAsia="sans-serif" w:hAnsi="sans-serif" w:cs="sans-serif"/>
          <w:b/>
          <w:bCs/>
          <w:color w:val="76B900"/>
          <w:sz w:val="20"/>
          <w:szCs w:val="20"/>
        </w:rPr>
        <w:t>Litigation</w:t>
      </w:r>
    </w:p>
    <w:p w14:paraId="0D8DFDEE" w14:textId="77777777" w:rsidR="004C2197" w:rsidRDefault="00863B83">
      <w:pPr>
        <w:spacing w:before="120" w:after="120"/>
        <w:jc w:val="both"/>
      </w:pPr>
      <w:r>
        <w:rPr>
          <w:rFonts w:ascii="sans-serif" w:eastAsia="sans-serif" w:hAnsi="sans-serif" w:cs="sans-serif"/>
          <w:b/>
          <w:bCs/>
          <w:color w:val="000000"/>
          <w:sz w:val="20"/>
          <w:szCs w:val="20"/>
        </w:rPr>
        <w:t>Securities Class Acti</w:t>
      </w:r>
      <w:r>
        <w:rPr>
          <w:rFonts w:ascii="sans-serif" w:eastAsia="sans-serif" w:hAnsi="sans-serif" w:cs="sans-serif"/>
          <w:b/>
          <w:bCs/>
          <w:color w:val="000000"/>
          <w:sz w:val="20"/>
          <w:szCs w:val="20"/>
        </w:rPr>
        <w:t>on and Derivative Lawsuits</w:t>
      </w:r>
    </w:p>
    <w:p w14:paraId="0D8DFDEF" w14:textId="77777777" w:rsidR="004C2197" w:rsidRDefault="00863B83">
      <w:pPr>
        <w:spacing w:after="180"/>
        <w:jc w:val="both"/>
      </w:pPr>
      <w:r>
        <w:rPr>
          <w:rFonts w:ascii="sans-serif" w:eastAsia="sans-serif" w:hAnsi="sans-serif" w:cs="sans-serif"/>
          <w:color w:val="000000"/>
          <w:sz w:val="20"/>
          <w:szCs w:val="20"/>
        </w:rPr>
        <w:t xml:space="preserve">On December 21, 2018, a purported securities class action lawsuit was filed in the United States District Court for the Northern District of California, captioned Iron Workers Joint Funds v. Nvidia Corporation, et al. (Case </w:t>
      </w:r>
      <w:r>
        <w:rPr>
          <w:rFonts w:ascii="sans-serif" w:eastAsia="sans-serif" w:hAnsi="sans-serif" w:cs="sans-serif"/>
          <w:color w:val="000000"/>
          <w:sz w:val="20"/>
          <w:szCs w:val="20"/>
        </w:rPr>
        <w:t>No. 18-cv-7669), naming as defendants NVIDIA and certain of NVIDIA’s officers. On December 28, 2018, a substantially similar purported securities class action was commenced in the Northern District of California, captioned Oto v. Nvidia Corporation, et al.</w:t>
      </w:r>
      <w:r>
        <w:rPr>
          <w:rFonts w:ascii="sans-serif" w:eastAsia="sans-serif" w:hAnsi="sans-serif" w:cs="sans-serif"/>
          <w:color w:val="000000"/>
          <w:sz w:val="20"/>
          <w:szCs w:val="20"/>
        </w:rPr>
        <w:t xml:space="preserve"> (Case No. 18-cv-07783), naming the same defendants, and seeking substantially similar relief. On February 19, 2019, a number of shareholders filed motions to consolidate the two cases and to be appointed lead plaintiff and for their respective counsel to </w:t>
      </w:r>
      <w:r>
        <w:rPr>
          <w:rFonts w:ascii="sans-serif" w:eastAsia="sans-serif" w:hAnsi="sans-serif" w:cs="sans-serif"/>
          <w:color w:val="000000"/>
          <w:sz w:val="20"/>
          <w:szCs w:val="20"/>
        </w:rPr>
        <w:t>be appointed lead counsel. On March 12, 2019, the two cases were consolidated under case number 4:18-cv-07669-HSG and titled In Re NVIDIA Corporation Securities Litigation. On May 2, 2019, the Court appointed lead plaintiffs and lead counsel. On June 21, 2</w:t>
      </w:r>
      <w:r>
        <w:rPr>
          <w:rFonts w:ascii="sans-serif" w:eastAsia="sans-serif" w:hAnsi="sans-serif" w:cs="sans-serif"/>
          <w:color w:val="000000"/>
          <w:sz w:val="20"/>
          <w:szCs w:val="20"/>
        </w:rPr>
        <w:t>019, the lead plaintiffs filed a consolidated class action complaint. The consolidated complaint asserts that the defendants violated Section 10(b) of the Securities Exchange Act of 1934, as amended, or the Exchange Act, and SEC Rule 10b-5, by making mater</w:t>
      </w:r>
      <w:r>
        <w:rPr>
          <w:rFonts w:ascii="sans-serif" w:eastAsia="sans-serif" w:hAnsi="sans-serif" w:cs="sans-serif"/>
          <w:color w:val="000000"/>
          <w:sz w:val="20"/>
          <w:szCs w:val="20"/>
        </w:rPr>
        <w:t xml:space="preserve">ially false or misleading statements related to channel inventory and the impact of cryptocurrency mining on GPU demand between May 10, 2017 and November 14, 2018. The plaintiffs also allege that the NVIDIA executives who they named as defendants violated </w:t>
      </w:r>
      <w:r>
        <w:rPr>
          <w:rFonts w:ascii="sans-serif" w:eastAsia="sans-serif" w:hAnsi="sans-serif" w:cs="sans-serif"/>
          <w:color w:val="000000"/>
          <w:sz w:val="20"/>
          <w:szCs w:val="20"/>
        </w:rPr>
        <w:t>Section 20(a) of the Exchange Act. The plaintiffs seek class certification, an award of unspecified compensatory damages, an award of reasonable costs and expenses, including attorneys’ fees and expert fees, and further relief as the Court may deem just an</w:t>
      </w:r>
      <w:r>
        <w:rPr>
          <w:rFonts w:ascii="sans-serif" w:eastAsia="sans-serif" w:hAnsi="sans-serif" w:cs="sans-serif"/>
          <w:color w:val="000000"/>
          <w:sz w:val="20"/>
          <w:szCs w:val="20"/>
        </w:rPr>
        <w:t>d proper. On August 2, 2019, NVIDIA moved to dismiss the consolidated class action complaint on the basis that plaintiffs failed to state any claims for violations of the securities laws by NVIDIA or the named defendants. On March 16, 2020, the Court issue</w:t>
      </w:r>
      <w:r>
        <w:rPr>
          <w:rFonts w:ascii="sans-serif" w:eastAsia="sans-serif" w:hAnsi="sans-serif" w:cs="sans-serif"/>
          <w:color w:val="000000"/>
          <w:sz w:val="20"/>
          <w:szCs w:val="20"/>
        </w:rPr>
        <w:t>d an order dismissing the consolidated class action complaint with leave to amend. The plaintiffs filed an amended complaint on May 13, 2020. On June 29, 2020, NVIDIA moved to dismiss the amended complaint on the basis that plaintiffs failed to state any c</w:t>
      </w:r>
      <w:r>
        <w:rPr>
          <w:rFonts w:ascii="sans-serif" w:eastAsia="sans-serif" w:hAnsi="sans-serif" w:cs="sans-serif"/>
          <w:color w:val="000000"/>
          <w:sz w:val="20"/>
          <w:szCs w:val="20"/>
        </w:rPr>
        <w:t>laims for violations of the securities laws by NVIDIA or the named defendants.</w:t>
      </w:r>
    </w:p>
    <w:p w14:paraId="0D8DFDF0" w14:textId="77777777" w:rsidR="004C2197" w:rsidRDefault="00863B83">
      <w:pPr>
        <w:spacing w:after="180"/>
        <w:jc w:val="both"/>
      </w:pPr>
      <w:r>
        <w:rPr>
          <w:rFonts w:ascii="sans-serif" w:eastAsia="sans-serif" w:hAnsi="sans-serif" w:cs="sans-serif"/>
          <w:color w:val="000000"/>
          <w:sz w:val="20"/>
          <w:szCs w:val="20"/>
        </w:rPr>
        <w:t>On January 18, 2019, a shareholder, purporting to act on behalf of NVIDIA, filed a derivative lawsuit in the Northern District of California, captioned Han v. Huang, et al. (Cas</w:t>
      </w:r>
      <w:r>
        <w:rPr>
          <w:rFonts w:ascii="sans-serif" w:eastAsia="sans-serif" w:hAnsi="sans-serif" w:cs="sans-serif"/>
          <w:color w:val="000000"/>
          <w:sz w:val="20"/>
          <w:szCs w:val="20"/>
        </w:rPr>
        <w:t xml:space="preserve">e No. 19-cv-00341), seeking to assert claims on behalf of NVIDIA against the members of NVIDIA’s board of directors and certain officers. The lawsuit asserts claims for breach of fiduciary duty, unjust enrichment, waste of corporate assets, and violations </w:t>
      </w:r>
      <w:r>
        <w:rPr>
          <w:rFonts w:ascii="sans-serif" w:eastAsia="sans-serif" w:hAnsi="sans-serif" w:cs="sans-serif"/>
          <w:color w:val="000000"/>
          <w:sz w:val="20"/>
          <w:szCs w:val="20"/>
        </w:rPr>
        <w:t>of Sections 14(a), 10(b), and 20(a) of the Exchange Act based on the dissemination of allegedly false and misleading statements related to channel inventory and the impact of cryptocurrency mining on GPU demand. The plaintiff is seeking unspecified damages</w:t>
      </w:r>
      <w:r>
        <w:rPr>
          <w:rFonts w:ascii="sans-serif" w:eastAsia="sans-serif" w:hAnsi="sans-serif" w:cs="sans-serif"/>
          <w:color w:val="000000"/>
          <w:sz w:val="20"/>
          <w:szCs w:val="20"/>
        </w:rPr>
        <w:t xml:space="preserve"> and other relief, including reforms and improvements to NVIDIA’s corporate governance and internal procedures. On February 12, 2019, a substantially similar derivative lawsuit was filed in the Northern District of California captioned Yang v. Huang, et. a</w:t>
      </w:r>
      <w:r>
        <w:rPr>
          <w:rFonts w:ascii="sans-serif" w:eastAsia="sans-serif" w:hAnsi="sans-serif" w:cs="sans-serif"/>
          <w:color w:val="000000"/>
          <w:sz w:val="20"/>
          <w:szCs w:val="20"/>
        </w:rPr>
        <w:t>l. (Case No. 19-cv-00766), naming the same named defendants, and seeking the same relief. On February 19, 2019, a third substantially similar derivative lawsuit was filed in the Northern District of California captioned The Booth Family Trust v. Huang, et.</w:t>
      </w:r>
      <w:r>
        <w:rPr>
          <w:rFonts w:ascii="sans-serif" w:eastAsia="sans-serif" w:hAnsi="sans-serif" w:cs="sans-serif"/>
          <w:color w:val="000000"/>
          <w:sz w:val="20"/>
          <w:szCs w:val="20"/>
        </w:rPr>
        <w:t xml:space="preserve"> al. (Case No. 3:19-cv-00876), naming the same named defendants, and seeking substantially the same relief. On March 12, 2019, the three derivative actions were consolidated under case number 4:19-cv-00341-HSG, and titled In re NVIDIA Corporation Consolida</w:t>
      </w:r>
      <w:r>
        <w:rPr>
          <w:rFonts w:ascii="sans-serif" w:eastAsia="sans-serif" w:hAnsi="sans-serif" w:cs="sans-serif"/>
          <w:color w:val="000000"/>
          <w:sz w:val="20"/>
          <w:szCs w:val="20"/>
        </w:rPr>
        <w:t>ted Derivative Litigation. The Court approved the parties’ stipulation to stay the In Re NVIDIA Corporation Consolidated Derivative Litigation pending resolution of any motion to dismiss that NVIDIA may file in the In Re NVIDIA Corporation Securities Litig</w:t>
      </w:r>
      <w:r>
        <w:rPr>
          <w:rFonts w:ascii="sans-serif" w:eastAsia="sans-serif" w:hAnsi="sans-serif" w:cs="sans-serif"/>
          <w:color w:val="000000"/>
          <w:sz w:val="20"/>
          <w:szCs w:val="20"/>
        </w:rPr>
        <w:t>ation.</w:t>
      </w:r>
    </w:p>
    <w:p w14:paraId="0D8DFDF1" w14:textId="77777777" w:rsidR="004C2197" w:rsidRDefault="00863B83">
      <w:pPr>
        <w:spacing w:after="180"/>
        <w:jc w:val="both"/>
      </w:pPr>
      <w:r>
        <w:rPr>
          <w:rFonts w:ascii="sans-serif" w:eastAsia="sans-serif" w:hAnsi="sans-serif" w:cs="sans-serif"/>
          <w:color w:val="000000"/>
          <w:sz w:val="20"/>
          <w:szCs w:val="20"/>
        </w:rPr>
        <w:t>On September 24, 2019, two shareholders, purporting to act on behalf of NVIDIA, filed two identical lawsuits in the District of Delaware. One is captioned Lipchitz v. Huang, et al. (Case No. 1:19-cv-01795-UNA) and the other is captioned Nelson v. Hu</w:t>
      </w:r>
      <w:r>
        <w:rPr>
          <w:rFonts w:ascii="sans-serif" w:eastAsia="sans-serif" w:hAnsi="sans-serif" w:cs="sans-serif"/>
          <w:color w:val="000000"/>
          <w:sz w:val="20"/>
          <w:szCs w:val="20"/>
        </w:rPr>
        <w:t>ang, et. al. (Case No. 1:19-cv-01798- UNA). The lawsuits assert claims for breach of fiduciary duty, unjust enrichment, insider trading, misappropriation of information, corporate waste and violations of Sections 14(a), 10(b), and 20(a) of the Exchange Act</w:t>
      </w:r>
      <w:r>
        <w:rPr>
          <w:rFonts w:ascii="sans-serif" w:eastAsia="sans-serif" w:hAnsi="sans-serif" w:cs="sans-serif"/>
          <w:color w:val="000000"/>
          <w:sz w:val="20"/>
          <w:szCs w:val="20"/>
        </w:rPr>
        <w:t xml:space="preserve"> based on the dissemination of allegedly false, and misleading statements related to channel inventory and the impact of cryptocurrency mining on GPU demand. The plaintiffs seek unspecified damages and other relief, including disgorgement of profits from t</w:t>
      </w:r>
      <w:r>
        <w:rPr>
          <w:rFonts w:ascii="sans-serif" w:eastAsia="sans-serif" w:hAnsi="sans-serif" w:cs="sans-serif"/>
          <w:color w:val="000000"/>
          <w:sz w:val="20"/>
          <w:szCs w:val="20"/>
        </w:rPr>
        <w:t>he sale of NVIDIA stock and unspecified corporate governance measures. On December 11, 2019, the Court approved the parties’ stipulation to stay the Lipchitz and Huang actions pending resolution of any motion to dismiss that NVIDIA may file in the In Re NV</w:t>
      </w:r>
      <w:r>
        <w:rPr>
          <w:rFonts w:ascii="sans-serif" w:eastAsia="sans-serif" w:hAnsi="sans-serif" w:cs="sans-serif"/>
          <w:color w:val="000000"/>
          <w:sz w:val="20"/>
          <w:szCs w:val="20"/>
        </w:rPr>
        <w:t>IDIA Corporation Securities Litigation.</w:t>
      </w:r>
    </w:p>
    <w:p w14:paraId="0D8DFDF2" w14:textId="77777777" w:rsidR="004C2197" w:rsidRDefault="00863B83">
      <w:pPr>
        <w:spacing w:after="180"/>
        <w:jc w:val="center"/>
      </w:pPr>
      <w:r>
        <w:rPr>
          <w:rFonts w:ascii="sans-serif" w:eastAsia="sans-serif" w:hAnsi="sans-serif" w:cs="sans-serif"/>
          <w:color w:val="000000"/>
          <w:sz w:val="20"/>
          <w:szCs w:val="20"/>
        </w:rPr>
        <w:t>22</w:t>
      </w:r>
    </w:p>
    <w:p w14:paraId="0D8DFDF3" w14:textId="77777777" w:rsidR="004C2197" w:rsidRDefault="00863B83">
      <w:r>
        <w:pict w14:anchorId="0D8E0CBA">
          <v:rect id="_x0000_i1046" style="width:415.3pt;height:1.5pt" o:hralign="center" o:hrstd="t" o:hr="t" fillcolor="#a0a0a0" stroked="f"/>
        </w:pict>
      </w:r>
    </w:p>
    <w:p w14:paraId="0D8DFDF4" w14:textId="77777777" w:rsidR="004C2197" w:rsidRDefault="00863B83">
      <w:pPr>
        <w:jc w:val="center"/>
      </w:pPr>
      <w:r>
        <w:rPr>
          <w:rFonts w:ascii="sans-serif" w:eastAsia="sans-serif" w:hAnsi="sans-serif" w:cs="sans-serif"/>
          <w:b/>
          <w:bCs/>
          <w:color w:val="000000"/>
          <w:sz w:val="20"/>
          <w:szCs w:val="20"/>
        </w:rPr>
        <w:t>NVIDIA CORPORATION AND SUBSIDIARIES</w:t>
      </w:r>
    </w:p>
    <w:p w14:paraId="0D8DFDF5"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DF6" w14:textId="77777777" w:rsidR="004C2197" w:rsidRDefault="00863B83">
      <w:pPr>
        <w:jc w:val="center"/>
      </w:pPr>
      <w:r>
        <w:rPr>
          <w:rFonts w:ascii="sans-serif" w:eastAsia="sans-serif" w:hAnsi="sans-serif" w:cs="sans-serif"/>
          <w:b/>
          <w:bCs/>
          <w:color w:val="000000"/>
          <w:sz w:val="20"/>
          <w:szCs w:val="20"/>
        </w:rPr>
        <w:t>(Unaudited)</w:t>
      </w:r>
    </w:p>
    <w:p w14:paraId="0D8DFDF7" w14:textId="77777777" w:rsidR="004C2197" w:rsidRDefault="004C2197">
      <w:pPr>
        <w:spacing w:after="180"/>
        <w:jc w:val="both"/>
      </w:pPr>
    </w:p>
    <w:p w14:paraId="0D8DFDF8" w14:textId="77777777" w:rsidR="004C2197" w:rsidRDefault="004C2197">
      <w:pPr>
        <w:spacing w:after="180"/>
        <w:jc w:val="both"/>
      </w:pPr>
    </w:p>
    <w:p w14:paraId="0D8DFDF9" w14:textId="77777777" w:rsidR="004C2197" w:rsidRDefault="00863B83">
      <w:pPr>
        <w:spacing w:after="180"/>
        <w:jc w:val="both"/>
      </w:pPr>
      <w:r>
        <w:rPr>
          <w:rFonts w:ascii="sans-serif" w:eastAsia="sans-serif" w:hAnsi="sans-serif" w:cs="sans-serif"/>
          <w:color w:val="000000"/>
          <w:sz w:val="20"/>
          <w:szCs w:val="20"/>
        </w:rPr>
        <w:t>It is possible that additional suits will be filed, or allegations received from shareholders, w</w:t>
      </w:r>
      <w:r>
        <w:rPr>
          <w:rFonts w:ascii="sans-serif" w:eastAsia="sans-serif" w:hAnsi="sans-serif" w:cs="sans-serif"/>
          <w:color w:val="000000"/>
          <w:sz w:val="20"/>
          <w:szCs w:val="20"/>
        </w:rPr>
        <w:t>ith respect to these same or other matters, naming NVIDIA and/or its officers and directors as defendants.</w:t>
      </w:r>
    </w:p>
    <w:p w14:paraId="0D8DFDFA" w14:textId="77777777" w:rsidR="004C2197" w:rsidRDefault="00863B83">
      <w:pPr>
        <w:spacing w:before="120" w:after="120"/>
        <w:jc w:val="both"/>
      </w:pPr>
      <w:r>
        <w:rPr>
          <w:rFonts w:ascii="sans-serif" w:eastAsia="sans-serif" w:hAnsi="sans-serif" w:cs="sans-serif"/>
          <w:b/>
          <w:bCs/>
          <w:color w:val="000000"/>
          <w:sz w:val="20"/>
          <w:szCs w:val="20"/>
        </w:rPr>
        <w:t>Accounting for Loss Contingencies</w:t>
      </w:r>
    </w:p>
    <w:p w14:paraId="0D8DFDFB" w14:textId="77777777" w:rsidR="004C2197" w:rsidRDefault="00863B83">
      <w:pPr>
        <w:spacing w:after="180"/>
        <w:jc w:val="both"/>
      </w:pPr>
      <w:r>
        <w:rPr>
          <w:rFonts w:ascii="sans-serif" w:eastAsia="sans-serif" w:hAnsi="sans-serif" w:cs="sans-serif"/>
          <w:color w:val="000000"/>
          <w:sz w:val="20"/>
          <w:szCs w:val="20"/>
        </w:rPr>
        <w:t>As of July 26, 2020, we have not recorded any accrual for contingent liabilities associated with the legal proceedi</w:t>
      </w:r>
      <w:r>
        <w:rPr>
          <w:rFonts w:ascii="sans-serif" w:eastAsia="sans-serif" w:hAnsi="sans-serif" w:cs="sans-serif"/>
          <w:color w:val="000000"/>
          <w:sz w:val="20"/>
          <w:szCs w:val="20"/>
        </w:rPr>
        <w:t xml:space="preserve">ngs described above based on our belief that liabilities, while possible, are not probable. Further, except as specifically described above, any possible loss or range of loss in these matters cannot be reasonably estimated at this time. We are engaged in </w:t>
      </w:r>
      <w:r>
        <w:rPr>
          <w:rFonts w:ascii="sans-serif" w:eastAsia="sans-serif" w:hAnsi="sans-serif" w:cs="sans-serif"/>
          <w:color w:val="000000"/>
          <w:sz w:val="20"/>
          <w:szCs w:val="20"/>
        </w:rPr>
        <w:t>legal actions not described above arising in the ordinary course of business and, while there can be no assurance of favorable outcomes, we believe that the ultimate outcome of these actions will not have a material adverse effect on our operating results,</w:t>
      </w:r>
      <w:r>
        <w:rPr>
          <w:rFonts w:ascii="sans-serif" w:eastAsia="sans-serif" w:hAnsi="sans-serif" w:cs="sans-serif"/>
          <w:color w:val="000000"/>
          <w:sz w:val="20"/>
          <w:szCs w:val="20"/>
        </w:rPr>
        <w:t xml:space="preserve"> liquidity or financial position.</w:t>
      </w:r>
    </w:p>
    <w:p w14:paraId="0D8DFDFC" w14:textId="77777777" w:rsidR="004C2197" w:rsidRDefault="004C2197">
      <w:pPr>
        <w:spacing w:after="180"/>
        <w:jc w:val="both"/>
      </w:pPr>
    </w:p>
    <w:p w14:paraId="0D8DFDFD" w14:textId="77777777" w:rsidR="004C2197" w:rsidRDefault="00863B83">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0D8DFDFE" w14:textId="77777777" w:rsidR="004C2197" w:rsidRDefault="00863B83">
      <w:pPr>
        <w:spacing w:before="240" w:after="60"/>
        <w:jc w:val="both"/>
      </w:pPr>
      <w:r>
        <w:rPr>
          <w:rFonts w:ascii="sans-serif" w:eastAsia="sans-serif" w:hAnsi="sans-serif" w:cs="sans-serif"/>
          <w:b/>
          <w:bCs/>
          <w:color w:val="76B900"/>
          <w:sz w:val="20"/>
          <w:szCs w:val="20"/>
        </w:rPr>
        <w:t>Capital Return Program </w:t>
      </w:r>
    </w:p>
    <w:p w14:paraId="0D8DFDFF" w14:textId="77777777" w:rsidR="004C2197" w:rsidRDefault="00863B83">
      <w:pPr>
        <w:spacing w:after="180"/>
        <w:jc w:val="both"/>
      </w:pPr>
      <w:r>
        <w:rPr>
          <w:rFonts w:ascii="sans-serif" w:eastAsia="sans-serif" w:hAnsi="sans-serif" w:cs="sans-serif"/>
          <w:color w:val="000000"/>
          <w:sz w:val="20"/>
          <w:szCs w:val="20"/>
        </w:rPr>
        <w:t>Beginning August 2004, our Board of Directors authorized us to repurchase our stock.</w:t>
      </w:r>
    </w:p>
    <w:p w14:paraId="0D8DFE00" w14:textId="77777777" w:rsidR="004C2197" w:rsidRDefault="00863B83">
      <w:pPr>
        <w:spacing w:after="180"/>
        <w:jc w:val="both"/>
      </w:pPr>
      <w:r>
        <w:rPr>
          <w:rFonts w:ascii="sans-serif" w:eastAsia="sans-serif" w:hAnsi="sans-serif" w:cs="sans-serif"/>
          <w:color w:val="000000"/>
          <w:sz w:val="20"/>
          <w:szCs w:val="20"/>
        </w:rPr>
        <w:t>Through July 26, 2020, we have repurchased an aggregate of 260 million shares un</w:t>
      </w:r>
      <w:r>
        <w:rPr>
          <w:rFonts w:ascii="sans-serif" w:eastAsia="sans-serif" w:hAnsi="sans-serif" w:cs="sans-serif"/>
          <w:color w:val="000000"/>
          <w:sz w:val="20"/>
          <w:szCs w:val="20"/>
        </w:rPr>
        <w:t>der our share repurchase program for a total cost of $7.08 billion. All shares delivered from these repurchases have been placed into treasury stock. As of July 26, 2020, we were authorized, subject to certain specifications, to repurchase additional share</w:t>
      </w:r>
      <w:r>
        <w:rPr>
          <w:rFonts w:ascii="sans-serif" w:eastAsia="sans-serif" w:hAnsi="sans-serif" w:cs="sans-serif"/>
          <w:color w:val="000000"/>
          <w:sz w:val="20"/>
          <w:szCs w:val="20"/>
        </w:rPr>
        <w:t>s of our common stock up to $7.24 billion through December 2022.</w:t>
      </w:r>
    </w:p>
    <w:p w14:paraId="0D8DFE01" w14:textId="77777777" w:rsidR="004C2197" w:rsidRDefault="00863B83">
      <w:pPr>
        <w:spacing w:after="180"/>
        <w:jc w:val="both"/>
      </w:pPr>
      <w:r>
        <w:rPr>
          <w:rFonts w:ascii="sans-serif" w:eastAsia="sans-serif" w:hAnsi="sans-serif" w:cs="sans-serif"/>
          <w:color w:val="000000"/>
          <w:sz w:val="20"/>
          <w:szCs w:val="20"/>
        </w:rPr>
        <w:t>During the second quarter and first half of fiscal year 2021, we paid $99 million and $197 million in cash dividends to our shareholders, respectively.</w:t>
      </w:r>
    </w:p>
    <w:p w14:paraId="0D8DFE02" w14:textId="77777777" w:rsidR="004C2197" w:rsidRDefault="004C2197">
      <w:pPr>
        <w:spacing w:after="180"/>
        <w:jc w:val="both"/>
      </w:pPr>
    </w:p>
    <w:p w14:paraId="0D8DFE03" w14:textId="77777777" w:rsidR="004C2197" w:rsidRDefault="00863B83">
      <w:pPr>
        <w:spacing w:before="240" w:after="120"/>
        <w:jc w:val="both"/>
      </w:pPr>
      <w:r>
        <w:rPr>
          <w:rFonts w:ascii="sans-serif" w:eastAsia="sans-serif" w:hAnsi="sans-serif" w:cs="sans-serif"/>
          <w:b/>
          <w:bCs/>
          <w:color w:val="76B900"/>
          <w:sz w:val="22"/>
          <w:szCs w:val="22"/>
        </w:rPr>
        <w:t>Note 15 - Segment Information</w:t>
      </w:r>
    </w:p>
    <w:p w14:paraId="0D8DFE04" w14:textId="77777777" w:rsidR="004C2197" w:rsidRDefault="00863B83">
      <w:pPr>
        <w:spacing w:after="180"/>
        <w:jc w:val="both"/>
      </w:pPr>
      <w:r>
        <w:rPr>
          <w:rFonts w:ascii="sans-serif" w:eastAsia="sans-serif" w:hAnsi="sans-serif" w:cs="sans-serif"/>
          <w:color w:val="000000"/>
          <w:sz w:val="20"/>
          <w:szCs w:val="20"/>
        </w:rPr>
        <w:t>Our Chie</w:t>
      </w:r>
      <w:r>
        <w:rPr>
          <w:rFonts w:ascii="sans-serif" w:eastAsia="sans-serif" w:hAnsi="sans-serif" w:cs="sans-serif"/>
          <w:color w:val="000000"/>
          <w:sz w:val="20"/>
          <w:szCs w:val="20"/>
        </w:rPr>
        <w:t xml:space="preserve">f Executive Officer, who is considered to be our chief operating decision maker, or CODM, reviews financial information presented on an operating segment basis for purposes of making decisions and assessing financial performance. In the prior fiscal year, </w:t>
      </w:r>
      <w:r>
        <w:rPr>
          <w:rFonts w:ascii="sans-serif" w:eastAsia="sans-serif" w:hAnsi="sans-serif" w:cs="sans-serif"/>
          <w:color w:val="000000"/>
          <w:sz w:val="20"/>
          <w:szCs w:val="20"/>
        </w:rPr>
        <w:t>we had reported two operating segments: GPU and Tegra Processor. During the first quarter of fiscal year 2021, we changed our operating segments to be consistent with the revised manner in which our CODM reviews our financial performance and allocates reso</w:t>
      </w:r>
      <w:r>
        <w:rPr>
          <w:rFonts w:ascii="sans-serif" w:eastAsia="sans-serif" w:hAnsi="sans-serif" w:cs="sans-serif"/>
          <w:color w:val="000000"/>
          <w:sz w:val="20"/>
          <w:szCs w:val="20"/>
        </w:rPr>
        <w:t xml:space="preserve">urces. The two new operating segments are "Graphics" and "Compute &amp; Networking". Comparative periods presented reflect this change. Our operating segments are equivalent to our reportable segments. </w:t>
      </w:r>
    </w:p>
    <w:p w14:paraId="0D8DFE05" w14:textId="77777777" w:rsidR="004C2197" w:rsidRDefault="00863B83">
      <w:pPr>
        <w:spacing w:after="180"/>
        <w:jc w:val="both"/>
      </w:pPr>
      <w:r>
        <w:rPr>
          <w:rFonts w:ascii="sans-serif" w:eastAsia="sans-serif" w:hAnsi="sans-serif" w:cs="sans-serif"/>
          <w:color w:val="000000"/>
          <w:sz w:val="20"/>
          <w:szCs w:val="20"/>
        </w:rPr>
        <w:t>Our Graphics segment includes GeForce GPUs for gaming and</w:t>
      </w:r>
      <w:r>
        <w:rPr>
          <w:rFonts w:ascii="sans-serif" w:eastAsia="sans-serif" w:hAnsi="sans-serif" w:cs="sans-serif"/>
          <w:color w:val="000000"/>
          <w:sz w:val="20"/>
          <w:szCs w:val="20"/>
        </w:rPr>
        <w:t xml:space="preserve"> PCs, the GeForce NOW game streaming service and related infrastructure, and solutions for gaming platforms; Quadro GPUs for enterprise design; GRID software for cloud-based visual and virtual computing; and automotive platforms for infotainment systems. O</w:t>
      </w:r>
      <w:r>
        <w:rPr>
          <w:rFonts w:ascii="sans-serif" w:eastAsia="sans-serif" w:hAnsi="sans-serif" w:cs="sans-serif"/>
          <w:color w:val="000000"/>
          <w:sz w:val="20"/>
          <w:szCs w:val="20"/>
        </w:rPr>
        <w:t>ur Compute &amp; Networking segment includes Data Center platforms and systems for artificial intelligence, or AI, high performance computing, or HPC, and accelerated computing; Mellanox networking and interconnect solutions; DRIVE for autonomous vehicles; and</w:t>
      </w:r>
      <w:r>
        <w:rPr>
          <w:rFonts w:ascii="sans-serif" w:eastAsia="sans-serif" w:hAnsi="sans-serif" w:cs="sans-serif"/>
          <w:color w:val="000000"/>
          <w:sz w:val="20"/>
          <w:szCs w:val="20"/>
        </w:rPr>
        <w:t xml:space="preserve"> Jetson for robotics and other embedded platforms. </w:t>
      </w:r>
    </w:p>
    <w:p w14:paraId="0D8DFE06" w14:textId="77777777" w:rsidR="004C2197" w:rsidRDefault="00863B83">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 architecture and therefore allocated betw</w:t>
      </w:r>
      <w:r>
        <w:rPr>
          <w:rFonts w:ascii="sans-serif" w:eastAsia="sans-serif" w:hAnsi="sans-serif" w:cs="sans-serif"/>
          <w:color w:val="000000"/>
          <w:sz w:val="20"/>
          <w:szCs w:val="20"/>
        </w:rPr>
        <w:t>een our two segments.</w:t>
      </w:r>
    </w:p>
    <w:p w14:paraId="0D8DFE07" w14:textId="77777777" w:rsidR="004C2197" w:rsidRDefault="00863B83">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decisions or assessing financial performance. The expenses include stock-based compensation expense, co</w:t>
      </w:r>
      <w:r>
        <w:rPr>
          <w:rFonts w:ascii="sans-serif" w:eastAsia="sans-serif" w:hAnsi="sans-serif" w:cs="sans-serif"/>
          <w:color w:val="000000"/>
          <w:sz w:val="20"/>
          <w:szCs w:val="20"/>
        </w:rPr>
        <w:t xml:space="preserve">rporate infrastructure and support costs, acquisition-related costs, legal settlement costs, and other non-recurring charges and benefits that our CODM deems to be enterprise in nature. </w:t>
      </w:r>
    </w:p>
    <w:p w14:paraId="0D8DFE08" w14:textId="77777777" w:rsidR="004C2197" w:rsidRDefault="00863B83">
      <w:pPr>
        <w:spacing w:after="180"/>
        <w:jc w:val="both"/>
      </w:pPr>
      <w:r>
        <w:rPr>
          <w:rFonts w:ascii="sans-serif" w:eastAsia="sans-serif" w:hAnsi="sans-serif" w:cs="sans-serif"/>
          <w:color w:val="000000"/>
          <w:sz w:val="20"/>
          <w:szCs w:val="20"/>
        </w:rPr>
        <w:t xml:space="preserve">Our CODM does not review any information regarding total assets on a </w:t>
      </w:r>
      <w:r>
        <w:rPr>
          <w:rFonts w:ascii="sans-serif" w:eastAsia="sans-serif" w:hAnsi="sans-serif" w:cs="sans-serif"/>
          <w:color w:val="000000"/>
          <w:sz w:val="20"/>
          <w:szCs w:val="20"/>
        </w:rPr>
        <w:t>reportable segment basis. Depreciation and amortization expense directly attributable to each reportable segment is included in operating results for each segment. However, the CODM does not evaluate depreciation and amortization expense by operating segme</w:t>
      </w:r>
      <w:r>
        <w:rPr>
          <w:rFonts w:ascii="sans-serif" w:eastAsia="sans-serif" w:hAnsi="sans-serif" w:cs="sans-serif"/>
          <w:color w:val="000000"/>
          <w:sz w:val="20"/>
          <w:szCs w:val="20"/>
        </w:rPr>
        <w:t xml:space="preserve">nt and, therefore, it is not separately presented. There is no intersegment revenue. The accounting policies for segment reporting are the </w:t>
      </w:r>
    </w:p>
    <w:p w14:paraId="0D8DFE09" w14:textId="77777777" w:rsidR="004C2197" w:rsidRDefault="00863B83">
      <w:pPr>
        <w:spacing w:after="180"/>
        <w:jc w:val="center"/>
      </w:pPr>
      <w:r>
        <w:rPr>
          <w:rFonts w:ascii="sans-serif" w:eastAsia="sans-serif" w:hAnsi="sans-serif" w:cs="sans-serif"/>
          <w:color w:val="000000"/>
          <w:sz w:val="20"/>
          <w:szCs w:val="20"/>
        </w:rPr>
        <w:t>23</w:t>
      </w:r>
    </w:p>
    <w:p w14:paraId="0D8DFE0A" w14:textId="77777777" w:rsidR="004C2197" w:rsidRDefault="00863B83">
      <w:r>
        <w:pict w14:anchorId="0D8E0CBB">
          <v:rect id="_x0000_i1047" style="width:415.3pt;height:1.5pt" o:hralign="center" o:hrstd="t" o:hr="t" fillcolor="#a0a0a0" stroked="f"/>
        </w:pict>
      </w:r>
    </w:p>
    <w:p w14:paraId="0D8DFE0B" w14:textId="77777777" w:rsidR="004C2197" w:rsidRDefault="00863B83">
      <w:pPr>
        <w:jc w:val="center"/>
      </w:pPr>
      <w:r>
        <w:rPr>
          <w:rFonts w:ascii="sans-serif" w:eastAsia="sans-serif" w:hAnsi="sans-serif" w:cs="sans-serif"/>
          <w:b/>
          <w:bCs/>
          <w:color w:val="000000"/>
          <w:sz w:val="20"/>
          <w:szCs w:val="20"/>
        </w:rPr>
        <w:t>NVIDIA CORPORATION AND SUBSIDIARIES</w:t>
      </w:r>
    </w:p>
    <w:p w14:paraId="0D8DFE0C" w14:textId="77777777" w:rsidR="004C2197" w:rsidRDefault="00863B83">
      <w:pPr>
        <w:jc w:val="center"/>
      </w:pPr>
      <w:r>
        <w:rPr>
          <w:rFonts w:ascii="sans-serif" w:eastAsia="sans-serif" w:hAnsi="sans-serif" w:cs="sans-serif"/>
          <w:b/>
          <w:bCs/>
          <w:color w:val="000000"/>
          <w:sz w:val="20"/>
          <w:szCs w:val="20"/>
        </w:rPr>
        <w:t>NOTES TO CONDENSED CONSOLIDATED FINANCIAL STATEMENTS (Continued)</w:t>
      </w:r>
    </w:p>
    <w:p w14:paraId="0D8DFE0D" w14:textId="77777777" w:rsidR="004C2197" w:rsidRDefault="00863B83">
      <w:pPr>
        <w:jc w:val="center"/>
      </w:pPr>
      <w:r>
        <w:rPr>
          <w:rFonts w:ascii="sans-serif" w:eastAsia="sans-serif" w:hAnsi="sans-serif" w:cs="sans-serif"/>
          <w:b/>
          <w:bCs/>
          <w:color w:val="000000"/>
          <w:sz w:val="20"/>
          <w:szCs w:val="20"/>
        </w:rPr>
        <w:t>(Unaudited)</w:t>
      </w:r>
    </w:p>
    <w:p w14:paraId="0D8DFE0E" w14:textId="77777777" w:rsidR="004C2197" w:rsidRDefault="004C2197">
      <w:pPr>
        <w:spacing w:after="180"/>
        <w:jc w:val="both"/>
      </w:pPr>
    </w:p>
    <w:p w14:paraId="0D8DFE0F" w14:textId="77777777" w:rsidR="004C2197" w:rsidRDefault="004C2197">
      <w:pPr>
        <w:spacing w:after="180"/>
        <w:jc w:val="both"/>
      </w:pPr>
    </w:p>
    <w:p w14:paraId="0D8DFE10" w14:textId="77777777" w:rsidR="004C2197" w:rsidRDefault="00863B83">
      <w:pPr>
        <w:spacing w:after="180"/>
        <w:jc w:val="both"/>
      </w:pPr>
      <w:r>
        <w:rPr>
          <w:rFonts w:ascii="sans-serif" w:eastAsia="sans-serif" w:hAnsi="sans-serif" w:cs="sans-serif"/>
          <w:color w:val="000000"/>
          <w:sz w:val="20"/>
          <w:szCs w:val="20"/>
        </w:rPr>
        <w:t>same as for our consolidated financial statements. The table below presents details of our reportable segments and the “All Other” category.</w:t>
      </w:r>
    </w:p>
    <w:tbl>
      <w:tblPr>
        <w:tblW w:w="4993" w:type="pct"/>
        <w:tblCellMar>
          <w:top w:w="15" w:type="dxa"/>
          <w:left w:w="15" w:type="dxa"/>
          <w:bottom w:w="15" w:type="dxa"/>
          <w:right w:w="15" w:type="dxa"/>
        </w:tblCellMar>
        <w:tblLook w:val="04A0" w:firstRow="1" w:lastRow="0" w:firstColumn="1" w:lastColumn="0" w:noHBand="0" w:noVBand="1"/>
      </w:tblPr>
      <w:tblGrid>
        <w:gridCol w:w="39"/>
        <w:gridCol w:w="3278"/>
        <w:gridCol w:w="38"/>
        <w:gridCol w:w="138"/>
        <w:gridCol w:w="727"/>
        <w:gridCol w:w="41"/>
        <w:gridCol w:w="36"/>
        <w:gridCol w:w="36"/>
        <w:gridCol w:w="36"/>
        <w:gridCol w:w="138"/>
        <w:gridCol w:w="930"/>
        <w:gridCol w:w="41"/>
        <w:gridCol w:w="36"/>
        <w:gridCol w:w="36"/>
        <w:gridCol w:w="36"/>
        <w:gridCol w:w="137"/>
        <w:gridCol w:w="592"/>
        <w:gridCol w:w="41"/>
        <w:gridCol w:w="36"/>
        <w:gridCol w:w="36"/>
        <w:gridCol w:w="36"/>
        <w:gridCol w:w="138"/>
        <w:gridCol w:w="1033"/>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DFE29" w14:textId="77777777">
        <w:trPr>
          <w:gridAfter w:val="18"/>
        </w:trPr>
        <w:tc>
          <w:tcPr>
            <w:tcW w:w="50" w:type="pct"/>
            <w:shd w:val="clear" w:color="auto" w:fill="auto"/>
          </w:tcPr>
          <w:p w14:paraId="0D8DFE11" w14:textId="77777777" w:rsidR="004C2197" w:rsidRDefault="004C2197">
            <w:pPr>
              <w:rPr>
                <w:rFonts w:ascii="宋体"/>
              </w:rPr>
            </w:pPr>
          </w:p>
        </w:tc>
        <w:tc>
          <w:tcPr>
            <w:tcW w:w="2287" w:type="pct"/>
            <w:shd w:val="clear" w:color="auto" w:fill="auto"/>
          </w:tcPr>
          <w:p w14:paraId="0D8DFE12" w14:textId="77777777" w:rsidR="004C2197" w:rsidRDefault="004C2197">
            <w:pPr>
              <w:rPr>
                <w:rFonts w:ascii="宋体"/>
              </w:rPr>
            </w:pPr>
          </w:p>
        </w:tc>
        <w:tc>
          <w:tcPr>
            <w:tcW w:w="5" w:type="pct"/>
            <w:shd w:val="clear" w:color="auto" w:fill="auto"/>
          </w:tcPr>
          <w:p w14:paraId="0D8DFE13" w14:textId="77777777" w:rsidR="004C2197" w:rsidRDefault="004C2197">
            <w:pPr>
              <w:rPr>
                <w:rFonts w:ascii="宋体"/>
              </w:rPr>
            </w:pPr>
          </w:p>
        </w:tc>
        <w:tc>
          <w:tcPr>
            <w:tcW w:w="50" w:type="pct"/>
            <w:shd w:val="clear" w:color="auto" w:fill="auto"/>
          </w:tcPr>
          <w:p w14:paraId="0D8DFE14" w14:textId="77777777" w:rsidR="004C2197" w:rsidRDefault="004C2197">
            <w:pPr>
              <w:rPr>
                <w:rFonts w:ascii="宋体"/>
              </w:rPr>
            </w:pPr>
          </w:p>
        </w:tc>
        <w:tc>
          <w:tcPr>
            <w:tcW w:w="581" w:type="pct"/>
            <w:shd w:val="clear" w:color="auto" w:fill="auto"/>
          </w:tcPr>
          <w:p w14:paraId="0D8DFE15" w14:textId="77777777" w:rsidR="004C2197" w:rsidRDefault="004C2197">
            <w:pPr>
              <w:rPr>
                <w:rFonts w:ascii="宋体"/>
              </w:rPr>
            </w:pPr>
          </w:p>
        </w:tc>
        <w:tc>
          <w:tcPr>
            <w:tcW w:w="5" w:type="pct"/>
            <w:shd w:val="clear" w:color="auto" w:fill="auto"/>
          </w:tcPr>
          <w:p w14:paraId="0D8DFE16" w14:textId="77777777" w:rsidR="004C2197" w:rsidRDefault="004C2197">
            <w:pPr>
              <w:rPr>
                <w:rFonts w:ascii="宋体"/>
              </w:rPr>
            </w:pPr>
          </w:p>
        </w:tc>
        <w:tc>
          <w:tcPr>
            <w:tcW w:w="5" w:type="pct"/>
            <w:shd w:val="clear" w:color="auto" w:fill="auto"/>
          </w:tcPr>
          <w:p w14:paraId="0D8DFE17" w14:textId="77777777" w:rsidR="004C2197" w:rsidRDefault="004C2197">
            <w:pPr>
              <w:rPr>
                <w:rFonts w:ascii="宋体"/>
              </w:rPr>
            </w:pPr>
          </w:p>
        </w:tc>
        <w:tc>
          <w:tcPr>
            <w:tcW w:w="26" w:type="pct"/>
            <w:shd w:val="clear" w:color="auto" w:fill="auto"/>
          </w:tcPr>
          <w:p w14:paraId="0D8DFE18" w14:textId="77777777" w:rsidR="004C2197" w:rsidRDefault="004C2197">
            <w:pPr>
              <w:rPr>
                <w:rFonts w:ascii="宋体"/>
              </w:rPr>
            </w:pPr>
          </w:p>
        </w:tc>
        <w:tc>
          <w:tcPr>
            <w:tcW w:w="5" w:type="pct"/>
            <w:shd w:val="clear" w:color="auto" w:fill="auto"/>
          </w:tcPr>
          <w:p w14:paraId="0D8DFE19" w14:textId="77777777" w:rsidR="004C2197" w:rsidRDefault="004C2197">
            <w:pPr>
              <w:rPr>
                <w:rFonts w:ascii="宋体"/>
              </w:rPr>
            </w:pPr>
          </w:p>
        </w:tc>
        <w:tc>
          <w:tcPr>
            <w:tcW w:w="50" w:type="pct"/>
            <w:shd w:val="clear" w:color="auto" w:fill="auto"/>
          </w:tcPr>
          <w:p w14:paraId="0D8DFE1A" w14:textId="77777777" w:rsidR="004C2197" w:rsidRDefault="004C2197">
            <w:pPr>
              <w:rPr>
                <w:rFonts w:ascii="宋体"/>
              </w:rPr>
            </w:pPr>
          </w:p>
        </w:tc>
        <w:tc>
          <w:tcPr>
            <w:tcW w:w="581" w:type="pct"/>
            <w:shd w:val="clear" w:color="auto" w:fill="auto"/>
          </w:tcPr>
          <w:p w14:paraId="0D8DFE1B" w14:textId="77777777" w:rsidR="004C2197" w:rsidRDefault="004C2197">
            <w:pPr>
              <w:rPr>
                <w:rFonts w:ascii="宋体"/>
              </w:rPr>
            </w:pPr>
          </w:p>
        </w:tc>
        <w:tc>
          <w:tcPr>
            <w:tcW w:w="5" w:type="pct"/>
            <w:shd w:val="clear" w:color="auto" w:fill="auto"/>
          </w:tcPr>
          <w:p w14:paraId="0D8DFE1C" w14:textId="77777777" w:rsidR="004C2197" w:rsidRDefault="004C2197">
            <w:pPr>
              <w:rPr>
                <w:rFonts w:ascii="宋体"/>
              </w:rPr>
            </w:pPr>
          </w:p>
        </w:tc>
        <w:tc>
          <w:tcPr>
            <w:tcW w:w="5" w:type="pct"/>
            <w:shd w:val="clear" w:color="auto" w:fill="auto"/>
          </w:tcPr>
          <w:p w14:paraId="0D8DFE1D" w14:textId="77777777" w:rsidR="004C2197" w:rsidRDefault="004C2197">
            <w:pPr>
              <w:rPr>
                <w:rFonts w:ascii="宋体"/>
              </w:rPr>
            </w:pPr>
          </w:p>
        </w:tc>
        <w:tc>
          <w:tcPr>
            <w:tcW w:w="26" w:type="pct"/>
            <w:shd w:val="clear" w:color="auto" w:fill="auto"/>
          </w:tcPr>
          <w:p w14:paraId="0D8DFE1E" w14:textId="77777777" w:rsidR="004C2197" w:rsidRDefault="004C2197">
            <w:pPr>
              <w:rPr>
                <w:rFonts w:ascii="宋体"/>
              </w:rPr>
            </w:pPr>
          </w:p>
        </w:tc>
        <w:tc>
          <w:tcPr>
            <w:tcW w:w="5" w:type="pct"/>
            <w:shd w:val="clear" w:color="auto" w:fill="auto"/>
          </w:tcPr>
          <w:p w14:paraId="0D8DFE1F" w14:textId="77777777" w:rsidR="004C2197" w:rsidRDefault="004C2197">
            <w:pPr>
              <w:rPr>
                <w:rFonts w:ascii="宋体"/>
              </w:rPr>
            </w:pPr>
          </w:p>
        </w:tc>
        <w:tc>
          <w:tcPr>
            <w:tcW w:w="50" w:type="pct"/>
            <w:shd w:val="clear" w:color="auto" w:fill="auto"/>
          </w:tcPr>
          <w:p w14:paraId="0D8DFE20" w14:textId="77777777" w:rsidR="004C2197" w:rsidRDefault="004C2197">
            <w:pPr>
              <w:rPr>
                <w:rFonts w:ascii="宋体"/>
              </w:rPr>
            </w:pPr>
          </w:p>
        </w:tc>
        <w:tc>
          <w:tcPr>
            <w:tcW w:w="581" w:type="pct"/>
            <w:shd w:val="clear" w:color="auto" w:fill="auto"/>
          </w:tcPr>
          <w:p w14:paraId="0D8DFE21" w14:textId="77777777" w:rsidR="004C2197" w:rsidRDefault="004C2197">
            <w:pPr>
              <w:rPr>
                <w:rFonts w:ascii="宋体"/>
              </w:rPr>
            </w:pPr>
          </w:p>
        </w:tc>
        <w:tc>
          <w:tcPr>
            <w:tcW w:w="5" w:type="pct"/>
            <w:shd w:val="clear" w:color="auto" w:fill="auto"/>
          </w:tcPr>
          <w:p w14:paraId="0D8DFE22" w14:textId="77777777" w:rsidR="004C2197" w:rsidRDefault="004C2197">
            <w:pPr>
              <w:rPr>
                <w:rFonts w:ascii="宋体"/>
              </w:rPr>
            </w:pPr>
          </w:p>
        </w:tc>
        <w:tc>
          <w:tcPr>
            <w:tcW w:w="5" w:type="pct"/>
            <w:shd w:val="clear" w:color="auto" w:fill="auto"/>
          </w:tcPr>
          <w:p w14:paraId="0D8DFE23" w14:textId="77777777" w:rsidR="004C2197" w:rsidRDefault="004C2197">
            <w:pPr>
              <w:rPr>
                <w:rFonts w:ascii="宋体"/>
              </w:rPr>
            </w:pPr>
          </w:p>
        </w:tc>
        <w:tc>
          <w:tcPr>
            <w:tcW w:w="26" w:type="pct"/>
            <w:shd w:val="clear" w:color="auto" w:fill="auto"/>
          </w:tcPr>
          <w:p w14:paraId="0D8DFE24" w14:textId="77777777" w:rsidR="004C2197" w:rsidRDefault="004C2197">
            <w:pPr>
              <w:rPr>
                <w:rFonts w:ascii="宋体"/>
              </w:rPr>
            </w:pPr>
          </w:p>
        </w:tc>
        <w:tc>
          <w:tcPr>
            <w:tcW w:w="5" w:type="pct"/>
            <w:shd w:val="clear" w:color="auto" w:fill="auto"/>
          </w:tcPr>
          <w:p w14:paraId="0D8DFE25" w14:textId="77777777" w:rsidR="004C2197" w:rsidRDefault="004C2197">
            <w:pPr>
              <w:rPr>
                <w:rFonts w:ascii="宋体"/>
              </w:rPr>
            </w:pPr>
          </w:p>
        </w:tc>
        <w:tc>
          <w:tcPr>
            <w:tcW w:w="50" w:type="pct"/>
            <w:shd w:val="clear" w:color="auto" w:fill="auto"/>
          </w:tcPr>
          <w:p w14:paraId="0D8DFE26" w14:textId="77777777" w:rsidR="004C2197" w:rsidRDefault="004C2197">
            <w:pPr>
              <w:rPr>
                <w:rFonts w:ascii="宋体"/>
              </w:rPr>
            </w:pPr>
          </w:p>
        </w:tc>
        <w:tc>
          <w:tcPr>
            <w:tcW w:w="582" w:type="pct"/>
            <w:shd w:val="clear" w:color="auto" w:fill="auto"/>
          </w:tcPr>
          <w:p w14:paraId="0D8DFE27" w14:textId="77777777" w:rsidR="004C2197" w:rsidRDefault="004C2197">
            <w:pPr>
              <w:rPr>
                <w:rFonts w:ascii="宋体"/>
              </w:rPr>
            </w:pPr>
          </w:p>
        </w:tc>
        <w:tc>
          <w:tcPr>
            <w:tcW w:w="5" w:type="pct"/>
            <w:shd w:val="clear" w:color="auto" w:fill="auto"/>
          </w:tcPr>
          <w:p w14:paraId="0D8DFE28" w14:textId="77777777" w:rsidR="004C2197" w:rsidRDefault="004C2197">
            <w:pPr>
              <w:rPr>
                <w:rFonts w:ascii="宋体"/>
              </w:rPr>
            </w:pPr>
          </w:p>
        </w:tc>
      </w:tr>
      <w:tr w:rsidR="004C2197" w14:paraId="0D8DFE32" w14:textId="77777777">
        <w:trPr>
          <w:gridAfter w:val="18"/>
        </w:trPr>
        <w:tc>
          <w:tcPr>
            <w:tcW w:w="0" w:type="auto"/>
            <w:gridSpan w:val="3"/>
            <w:shd w:val="clear" w:color="auto" w:fill="auto"/>
            <w:tcMar>
              <w:top w:w="40" w:type="dxa"/>
              <w:left w:w="20" w:type="dxa"/>
              <w:bottom w:w="40" w:type="dxa"/>
              <w:right w:w="20" w:type="dxa"/>
            </w:tcMar>
            <w:vAlign w:val="bottom"/>
          </w:tcPr>
          <w:p w14:paraId="0D8DFE2A"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DFE2B" w14:textId="77777777" w:rsidR="004C2197" w:rsidRDefault="00863B83">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left w:w="20" w:type="dxa"/>
              <w:right w:w="20" w:type="dxa"/>
            </w:tcMar>
            <w:vAlign w:val="bottom"/>
          </w:tcPr>
          <w:p w14:paraId="0D8DFE2C"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E2D" w14:textId="77777777" w:rsidR="004C2197" w:rsidRDefault="00863B83">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left w:w="20" w:type="dxa"/>
              <w:right w:w="20" w:type="dxa"/>
            </w:tcMar>
            <w:vAlign w:val="bottom"/>
          </w:tcPr>
          <w:p w14:paraId="0D8DFE2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E2F" w14:textId="77777777" w:rsidR="004C2197" w:rsidRDefault="00863B83">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left w:w="20" w:type="dxa"/>
              <w:right w:w="20" w:type="dxa"/>
            </w:tcMar>
            <w:vAlign w:val="bottom"/>
          </w:tcPr>
          <w:p w14:paraId="0D8DFE3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DFE31" w14:textId="77777777" w:rsidR="004C2197" w:rsidRDefault="00863B83">
            <w:pPr>
              <w:jc w:val="center"/>
              <w:textAlignment w:val="bottom"/>
            </w:pPr>
            <w:r>
              <w:rPr>
                <w:rFonts w:ascii="sans-serif" w:eastAsia="sans-serif" w:hAnsi="sans-serif" w:cs="sans-serif"/>
                <w:b/>
                <w:bCs/>
                <w:color w:val="000000"/>
                <w:sz w:val="20"/>
                <w:szCs w:val="20"/>
              </w:rPr>
              <w:t>Consolidated</w:t>
            </w:r>
          </w:p>
        </w:tc>
      </w:tr>
      <w:tr w:rsidR="004C2197" w14:paraId="0D8DFE3B" w14:textId="77777777">
        <w:trPr>
          <w:gridAfter w:val="18"/>
          <w:trHeight w:val="60"/>
        </w:trPr>
        <w:tc>
          <w:tcPr>
            <w:tcW w:w="0" w:type="auto"/>
            <w:gridSpan w:val="3"/>
            <w:shd w:val="clear" w:color="auto" w:fill="auto"/>
            <w:tcMar>
              <w:left w:w="20" w:type="dxa"/>
              <w:right w:w="20" w:type="dxa"/>
            </w:tcMar>
            <w:vAlign w:val="bottom"/>
          </w:tcPr>
          <w:p w14:paraId="0D8DFE3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E3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E3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E3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E3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E3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DFE39"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DFE3A" w14:textId="77777777" w:rsidR="004C2197" w:rsidRDefault="004C2197">
            <w:pPr>
              <w:rPr>
                <w:rFonts w:ascii="宋体"/>
              </w:rPr>
            </w:pPr>
          </w:p>
        </w:tc>
      </w:tr>
      <w:tr w:rsidR="004C2197" w14:paraId="0D8DFE44" w14:textId="77777777">
        <w:tc>
          <w:tcPr>
            <w:tcW w:w="0" w:type="auto"/>
            <w:gridSpan w:val="3"/>
            <w:shd w:val="clear" w:color="auto" w:fill="auto"/>
            <w:tcMar>
              <w:top w:w="40" w:type="dxa"/>
              <w:left w:w="20" w:type="dxa"/>
              <w:bottom w:w="40" w:type="dxa"/>
              <w:right w:w="20" w:type="dxa"/>
            </w:tcMar>
            <w:vAlign w:val="bottom"/>
          </w:tcPr>
          <w:p w14:paraId="0D8DFE3C" w14:textId="77777777" w:rsidR="004C2197" w:rsidRDefault="00863B83">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D8DFE3D"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DFE3E" w14:textId="77777777" w:rsidR="004C2197" w:rsidRDefault="004C2197">
            <w:pPr>
              <w:rPr>
                <w:rFonts w:ascii="宋体"/>
                <w:vanish/>
              </w:rPr>
            </w:pPr>
          </w:p>
        </w:tc>
        <w:tc>
          <w:tcPr>
            <w:tcW w:w="0" w:type="auto"/>
            <w:gridSpan w:val="3"/>
            <w:shd w:val="clear" w:color="auto" w:fill="auto"/>
          </w:tcPr>
          <w:p w14:paraId="0D8DFE3F" w14:textId="77777777" w:rsidR="004C2197" w:rsidRDefault="004C2197">
            <w:pPr>
              <w:rPr>
                <w:rFonts w:ascii="宋体"/>
                <w:vanish/>
              </w:rPr>
            </w:pPr>
          </w:p>
        </w:tc>
        <w:tc>
          <w:tcPr>
            <w:tcW w:w="0" w:type="auto"/>
            <w:gridSpan w:val="3"/>
            <w:shd w:val="clear" w:color="auto" w:fill="auto"/>
          </w:tcPr>
          <w:p w14:paraId="0D8DFE40" w14:textId="77777777" w:rsidR="004C2197" w:rsidRDefault="004C2197">
            <w:pPr>
              <w:rPr>
                <w:rFonts w:ascii="宋体"/>
                <w:vanish/>
              </w:rPr>
            </w:pPr>
          </w:p>
        </w:tc>
        <w:tc>
          <w:tcPr>
            <w:tcW w:w="0" w:type="auto"/>
            <w:gridSpan w:val="3"/>
            <w:shd w:val="clear" w:color="auto" w:fill="auto"/>
          </w:tcPr>
          <w:p w14:paraId="0D8DFE41" w14:textId="77777777" w:rsidR="004C2197" w:rsidRDefault="004C2197">
            <w:pPr>
              <w:rPr>
                <w:rFonts w:ascii="宋体"/>
                <w:vanish/>
              </w:rPr>
            </w:pPr>
          </w:p>
        </w:tc>
        <w:tc>
          <w:tcPr>
            <w:tcW w:w="0" w:type="auto"/>
            <w:gridSpan w:val="3"/>
            <w:shd w:val="clear" w:color="auto" w:fill="auto"/>
          </w:tcPr>
          <w:p w14:paraId="0D8DFE42" w14:textId="77777777" w:rsidR="004C2197" w:rsidRDefault="004C2197">
            <w:pPr>
              <w:rPr>
                <w:rFonts w:ascii="宋体"/>
                <w:vanish/>
              </w:rPr>
            </w:pPr>
          </w:p>
        </w:tc>
        <w:tc>
          <w:tcPr>
            <w:tcW w:w="0" w:type="auto"/>
            <w:gridSpan w:val="3"/>
            <w:shd w:val="clear" w:color="auto" w:fill="auto"/>
          </w:tcPr>
          <w:p w14:paraId="0D8DFE43" w14:textId="77777777" w:rsidR="004C2197" w:rsidRDefault="004C2197">
            <w:pPr>
              <w:rPr>
                <w:rFonts w:ascii="宋体"/>
                <w:vanish/>
              </w:rPr>
            </w:pPr>
          </w:p>
        </w:tc>
      </w:tr>
      <w:tr w:rsidR="004C2197" w14:paraId="0D8DFE5F" w14:textId="77777777">
        <w:tc>
          <w:tcPr>
            <w:tcW w:w="0" w:type="auto"/>
            <w:gridSpan w:val="3"/>
            <w:shd w:val="clear" w:color="auto" w:fill="E2EFD9"/>
            <w:tcMar>
              <w:top w:w="40" w:type="dxa"/>
              <w:left w:w="20" w:type="dxa"/>
              <w:bottom w:w="40" w:type="dxa"/>
              <w:right w:w="20" w:type="dxa"/>
            </w:tcMar>
            <w:vAlign w:val="bottom"/>
          </w:tcPr>
          <w:p w14:paraId="0D8DFE45" w14:textId="77777777" w:rsidR="004C2197" w:rsidRDefault="00863B83">
            <w:pPr>
              <w:textAlignment w:val="bottom"/>
            </w:pPr>
            <w:r>
              <w:rPr>
                <w:rFonts w:ascii="sans-serif" w:eastAsia="sans-serif" w:hAnsi="sans-serif" w:cs="sans-serif"/>
                <w:b/>
                <w:bCs/>
                <w:color w:val="000000"/>
                <w:sz w:val="20"/>
                <w:szCs w:val="20"/>
              </w:rPr>
              <w:t>Three Months Ended July 26, 2020</w:t>
            </w:r>
          </w:p>
        </w:tc>
        <w:tc>
          <w:tcPr>
            <w:tcW w:w="0" w:type="auto"/>
            <w:gridSpan w:val="3"/>
            <w:shd w:val="clear" w:color="auto" w:fill="E2EFD9"/>
            <w:tcMar>
              <w:top w:w="40" w:type="dxa"/>
              <w:left w:w="20" w:type="dxa"/>
              <w:bottom w:w="40" w:type="dxa"/>
              <w:right w:w="20" w:type="dxa"/>
            </w:tcMar>
            <w:vAlign w:val="bottom"/>
          </w:tcPr>
          <w:p w14:paraId="0D8DFE46"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47"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4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49"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4A"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4B"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4C" w14:textId="77777777" w:rsidR="004C2197" w:rsidRDefault="00863B83">
            <w:pPr>
              <w:textAlignment w:val="bottom"/>
            </w:pPr>
            <w:r>
              <w:rPr>
                <w:rFonts w:ascii="sans-serif" w:eastAsia="sans-serif" w:hAnsi="sans-serif" w:cs="sans-serif"/>
                <w:color w:val="000000"/>
                <w:sz w:val="20"/>
                <w:szCs w:val="20"/>
              </w:rPr>
              <w:t> </w:t>
            </w:r>
          </w:p>
        </w:tc>
        <w:tc>
          <w:tcPr>
            <w:tcW w:w="0" w:type="auto"/>
            <w:shd w:val="clear" w:color="auto" w:fill="auto"/>
          </w:tcPr>
          <w:p w14:paraId="0D8DFE4D" w14:textId="77777777" w:rsidR="004C2197" w:rsidRDefault="004C2197">
            <w:pPr>
              <w:rPr>
                <w:rFonts w:ascii="宋体"/>
              </w:rPr>
            </w:pPr>
          </w:p>
        </w:tc>
        <w:tc>
          <w:tcPr>
            <w:tcW w:w="0" w:type="auto"/>
            <w:shd w:val="clear" w:color="auto" w:fill="auto"/>
          </w:tcPr>
          <w:p w14:paraId="0D8DFE4E" w14:textId="77777777" w:rsidR="004C2197" w:rsidRDefault="004C2197">
            <w:pPr>
              <w:rPr>
                <w:rFonts w:ascii="宋体"/>
              </w:rPr>
            </w:pPr>
          </w:p>
        </w:tc>
        <w:tc>
          <w:tcPr>
            <w:tcW w:w="0" w:type="auto"/>
            <w:shd w:val="clear" w:color="auto" w:fill="auto"/>
          </w:tcPr>
          <w:p w14:paraId="0D8DFE4F" w14:textId="77777777" w:rsidR="004C2197" w:rsidRDefault="004C2197">
            <w:pPr>
              <w:rPr>
                <w:rFonts w:ascii="宋体"/>
              </w:rPr>
            </w:pPr>
          </w:p>
        </w:tc>
        <w:tc>
          <w:tcPr>
            <w:tcW w:w="0" w:type="auto"/>
            <w:shd w:val="clear" w:color="auto" w:fill="auto"/>
          </w:tcPr>
          <w:p w14:paraId="0D8DFE50" w14:textId="77777777" w:rsidR="004C2197" w:rsidRDefault="004C2197">
            <w:pPr>
              <w:rPr>
                <w:rFonts w:ascii="宋体"/>
              </w:rPr>
            </w:pPr>
          </w:p>
        </w:tc>
        <w:tc>
          <w:tcPr>
            <w:tcW w:w="0" w:type="auto"/>
            <w:shd w:val="clear" w:color="auto" w:fill="auto"/>
          </w:tcPr>
          <w:p w14:paraId="0D8DFE51" w14:textId="77777777" w:rsidR="004C2197" w:rsidRDefault="004C2197">
            <w:pPr>
              <w:rPr>
                <w:rFonts w:ascii="宋体"/>
              </w:rPr>
            </w:pPr>
          </w:p>
        </w:tc>
        <w:tc>
          <w:tcPr>
            <w:tcW w:w="0" w:type="auto"/>
            <w:shd w:val="clear" w:color="auto" w:fill="auto"/>
          </w:tcPr>
          <w:p w14:paraId="0D8DFE52" w14:textId="77777777" w:rsidR="004C2197" w:rsidRDefault="004C2197">
            <w:pPr>
              <w:rPr>
                <w:rFonts w:ascii="宋体"/>
              </w:rPr>
            </w:pPr>
          </w:p>
        </w:tc>
        <w:tc>
          <w:tcPr>
            <w:tcW w:w="0" w:type="auto"/>
            <w:shd w:val="clear" w:color="auto" w:fill="auto"/>
          </w:tcPr>
          <w:p w14:paraId="0D8DFE53" w14:textId="77777777" w:rsidR="004C2197" w:rsidRDefault="004C2197">
            <w:pPr>
              <w:rPr>
                <w:rFonts w:ascii="宋体"/>
              </w:rPr>
            </w:pPr>
          </w:p>
        </w:tc>
        <w:tc>
          <w:tcPr>
            <w:tcW w:w="0" w:type="auto"/>
            <w:shd w:val="clear" w:color="auto" w:fill="auto"/>
          </w:tcPr>
          <w:p w14:paraId="0D8DFE54" w14:textId="77777777" w:rsidR="004C2197" w:rsidRDefault="004C2197">
            <w:pPr>
              <w:rPr>
                <w:rFonts w:ascii="宋体"/>
              </w:rPr>
            </w:pPr>
          </w:p>
        </w:tc>
        <w:tc>
          <w:tcPr>
            <w:tcW w:w="0" w:type="auto"/>
            <w:shd w:val="clear" w:color="auto" w:fill="auto"/>
          </w:tcPr>
          <w:p w14:paraId="0D8DFE55" w14:textId="77777777" w:rsidR="004C2197" w:rsidRDefault="004C2197">
            <w:pPr>
              <w:rPr>
                <w:rFonts w:ascii="宋体"/>
              </w:rPr>
            </w:pPr>
          </w:p>
        </w:tc>
        <w:tc>
          <w:tcPr>
            <w:tcW w:w="0" w:type="auto"/>
            <w:shd w:val="clear" w:color="auto" w:fill="auto"/>
          </w:tcPr>
          <w:p w14:paraId="0D8DFE56" w14:textId="77777777" w:rsidR="004C2197" w:rsidRDefault="004C2197">
            <w:pPr>
              <w:rPr>
                <w:rFonts w:ascii="宋体"/>
              </w:rPr>
            </w:pPr>
          </w:p>
        </w:tc>
        <w:tc>
          <w:tcPr>
            <w:tcW w:w="0" w:type="auto"/>
            <w:shd w:val="clear" w:color="auto" w:fill="auto"/>
          </w:tcPr>
          <w:p w14:paraId="0D8DFE57" w14:textId="77777777" w:rsidR="004C2197" w:rsidRDefault="004C2197">
            <w:pPr>
              <w:rPr>
                <w:rFonts w:ascii="宋体"/>
              </w:rPr>
            </w:pPr>
          </w:p>
        </w:tc>
        <w:tc>
          <w:tcPr>
            <w:tcW w:w="0" w:type="auto"/>
            <w:shd w:val="clear" w:color="auto" w:fill="auto"/>
          </w:tcPr>
          <w:p w14:paraId="0D8DFE58" w14:textId="77777777" w:rsidR="004C2197" w:rsidRDefault="004C2197">
            <w:pPr>
              <w:rPr>
                <w:rFonts w:ascii="宋体"/>
              </w:rPr>
            </w:pPr>
          </w:p>
        </w:tc>
        <w:tc>
          <w:tcPr>
            <w:tcW w:w="0" w:type="auto"/>
            <w:shd w:val="clear" w:color="auto" w:fill="auto"/>
          </w:tcPr>
          <w:p w14:paraId="0D8DFE59" w14:textId="77777777" w:rsidR="004C2197" w:rsidRDefault="004C2197">
            <w:pPr>
              <w:rPr>
                <w:rFonts w:ascii="宋体"/>
              </w:rPr>
            </w:pPr>
          </w:p>
        </w:tc>
        <w:tc>
          <w:tcPr>
            <w:tcW w:w="0" w:type="auto"/>
            <w:shd w:val="clear" w:color="auto" w:fill="auto"/>
          </w:tcPr>
          <w:p w14:paraId="0D8DFE5A" w14:textId="77777777" w:rsidR="004C2197" w:rsidRDefault="004C2197">
            <w:pPr>
              <w:rPr>
                <w:rFonts w:ascii="宋体"/>
              </w:rPr>
            </w:pPr>
          </w:p>
        </w:tc>
        <w:tc>
          <w:tcPr>
            <w:tcW w:w="0" w:type="auto"/>
            <w:shd w:val="clear" w:color="auto" w:fill="auto"/>
          </w:tcPr>
          <w:p w14:paraId="0D8DFE5B" w14:textId="77777777" w:rsidR="004C2197" w:rsidRDefault="004C2197">
            <w:pPr>
              <w:rPr>
                <w:rFonts w:ascii="宋体"/>
              </w:rPr>
            </w:pPr>
          </w:p>
        </w:tc>
        <w:tc>
          <w:tcPr>
            <w:tcW w:w="0" w:type="auto"/>
            <w:shd w:val="clear" w:color="auto" w:fill="auto"/>
          </w:tcPr>
          <w:p w14:paraId="0D8DFE5C" w14:textId="77777777" w:rsidR="004C2197" w:rsidRDefault="004C2197">
            <w:pPr>
              <w:rPr>
                <w:rFonts w:ascii="宋体"/>
              </w:rPr>
            </w:pPr>
          </w:p>
        </w:tc>
        <w:tc>
          <w:tcPr>
            <w:tcW w:w="0" w:type="auto"/>
            <w:shd w:val="clear" w:color="auto" w:fill="auto"/>
          </w:tcPr>
          <w:p w14:paraId="0D8DFE5D" w14:textId="77777777" w:rsidR="004C2197" w:rsidRDefault="004C2197">
            <w:pPr>
              <w:rPr>
                <w:rFonts w:ascii="宋体"/>
              </w:rPr>
            </w:pPr>
          </w:p>
        </w:tc>
        <w:tc>
          <w:tcPr>
            <w:tcW w:w="0" w:type="auto"/>
            <w:shd w:val="clear" w:color="auto" w:fill="auto"/>
          </w:tcPr>
          <w:p w14:paraId="0D8DFE5E" w14:textId="77777777" w:rsidR="004C2197" w:rsidRDefault="004C2197">
            <w:pPr>
              <w:rPr>
                <w:rFonts w:ascii="宋体"/>
              </w:rPr>
            </w:pPr>
          </w:p>
        </w:tc>
      </w:tr>
      <w:tr w:rsidR="004C2197" w14:paraId="0D8DFE82" w14:textId="77777777">
        <w:tc>
          <w:tcPr>
            <w:tcW w:w="0" w:type="auto"/>
            <w:gridSpan w:val="3"/>
            <w:shd w:val="clear" w:color="auto" w:fill="FFFFFF"/>
            <w:tcMar>
              <w:top w:w="40" w:type="dxa"/>
              <w:left w:w="20" w:type="dxa"/>
              <w:bottom w:w="40" w:type="dxa"/>
              <w:right w:w="20" w:type="dxa"/>
            </w:tcMar>
            <w:vAlign w:val="bottom"/>
          </w:tcPr>
          <w:p w14:paraId="0D8DFE60"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0D8DFE6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62" w14:textId="77777777" w:rsidR="004C2197" w:rsidRDefault="00863B83">
            <w:pPr>
              <w:jc w:val="right"/>
              <w:textAlignment w:val="bottom"/>
            </w:pPr>
            <w:r>
              <w:rPr>
                <w:rFonts w:ascii="sans-serif" w:eastAsia="sans-serif" w:hAnsi="sans-serif" w:cs="sans-serif"/>
                <w:color w:val="000000"/>
                <w:sz w:val="20"/>
                <w:szCs w:val="20"/>
              </w:rPr>
              <w:t>2</w:t>
            </w:r>
            <w:r>
              <w:rPr>
                <w:rFonts w:ascii="sans-serif" w:eastAsia="sans-serif" w:hAnsi="sans-serif" w:cs="sans-serif"/>
                <w:color w:val="000000"/>
                <w:sz w:val="20"/>
                <w:szCs w:val="20"/>
              </w:rPr>
              <w:t>,085 </w:t>
            </w:r>
          </w:p>
        </w:tc>
        <w:tc>
          <w:tcPr>
            <w:tcW w:w="0" w:type="auto"/>
            <w:shd w:val="clear" w:color="auto" w:fill="FFFFFF"/>
            <w:tcMar>
              <w:top w:w="40" w:type="dxa"/>
              <w:bottom w:w="40" w:type="dxa"/>
              <w:right w:w="20" w:type="dxa"/>
            </w:tcMar>
            <w:vAlign w:val="bottom"/>
          </w:tcPr>
          <w:p w14:paraId="0D8DFE6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E64"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E65"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66" w14:textId="77777777" w:rsidR="004C2197" w:rsidRDefault="00863B83">
            <w:pPr>
              <w:jc w:val="right"/>
              <w:textAlignment w:val="bottom"/>
            </w:pPr>
            <w:r>
              <w:rPr>
                <w:rFonts w:ascii="sans-serif" w:eastAsia="sans-serif" w:hAnsi="sans-serif" w:cs="sans-serif"/>
                <w:color w:val="000000"/>
                <w:sz w:val="20"/>
                <w:szCs w:val="20"/>
              </w:rPr>
              <w:t>1,781 </w:t>
            </w:r>
          </w:p>
        </w:tc>
        <w:tc>
          <w:tcPr>
            <w:tcW w:w="0" w:type="auto"/>
            <w:shd w:val="clear" w:color="auto" w:fill="FFFFFF"/>
            <w:tcMar>
              <w:top w:w="40" w:type="dxa"/>
              <w:bottom w:w="40" w:type="dxa"/>
              <w:right w:w="20" w:type="dxa"/>
            </w:tcMar>
            <w:vAlign w:val="bottom"/>
          </w:tcPr>
          <w:p w14:paraId="0D8DFE6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E68"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E6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6A"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E6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E6C"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E6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6E"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shd w:val="clear" w:color="auto" w:fill="FFFFFF"/>
            <w:tcMar>
              <w:top w:w="40" w:type="dxa"/>
              <w:bottom w:w="40" w:type="dxa"/>
              <w:right w:w="20" w:type="dxa"/>
            </w:tcMar>
            <w:vAlign w:val="bottom"/>
          </w:tcPr>
          <w:p w14:paraId="0D8DFE6F" w14:textId="77777777" w:rsidR="004C2197" w:rsidRDefault="004C2197">
            <w:pPr>
              <w:jc w:val="right"/>
              <w:rPr>
                <w:rFonts w:ascii="宋体"/>
              </w:rPr>
            </w:pPr>
          </w:p>
        </w:tc>
        <w:tc>
          <w:tcPr>
            <w:tcW w:w="0" w:type="auto"/>
            <w:shd w:val="clear" w:color="auto" w:fill="auto"/>
          </w:tcPr>
          <w:p w14:paraId="0D8DFE70" w14:textId="77777777" w:rsidR="004C2197" w:rsidRDefault="004C2197">
            <w:pPr>
              <w:rPr>
                <w:rFonts w:ascii="宋体"/>
              </w:rPr>
            </w:pPr>
          </w:p>
        </w:tc>
        <w:tc>
          <w:tcPr>
            <w:tcW w:w="0" w:type="auto"/>
            <w:shd w:val="clear" w:color="auto" w:fill="auto"/>
          </w:tcPr>
          <w:p w14:paraId="0D8DFE71" w14:textId="77777777" w:rsidR="004C2197" w:rsidRDefault="004C2197">
            <w:pPr>
              <w:rPr>
                <w:rFonts w:ascii="宋体"/>
              </w:rPr>
            </w:pPr>
          </w:p>
        </w:tc>
        <w:tc>
          <w:tcPr>
            <w:tcW w:w="0" w:type="auto"/>
            <w:shd w:val="clear" w:color="auto" w:fill="auto"/>
          </w:tcPr>
          <w:p w14:paraId="0D8DFE72" w14:textId="77777777" w:rsidR="004C2197" w:rsidRDefault="004C2197">
            <w:pPr>
              <w:rPr>
                <w:rFonts w:ascii="宋体"/>
              </w:rPr>
            </w:pPr>
          </w:p>
        </w:tc>
        <w:tc>
          <w:tcPr>
            <w:tcW w:w="0" w:type="auto"/>
            <w:shd w:val="clear" w:color="auto" w:fill="auto"/>
          </w:tcPr>
          <w:p w14:paraId="0D8DFE73" w14:textId="77777777" w:rsidR="004C2197" w:rsidRDefault="004C2197">
            <w:pPr>
              <w:rPr>
                <w:rFonts w:ascii="宋体"/>
              </w:rPr>
            </w:pPr>
          </w:p>
        </w:tc>
        <w:tc>
          <w:tcPr>
            <w:tcW w:w="0" w:type="auto"/>
            <w:shd w:val="clear" w:color="auto" w:fill="auto"/>
          </w:tcPr>
          <w:p w14:paraId="0D8DFE74" w14:textId="77777777" w:rsidR="004C2197" w:rsidRDefault="004C2197">
            <w:pPr>
              <w:rPr>
                <w:rFonts w:ascii="宋体"/>
              </w:rPr>
            </w:pPr>
          </w:p>
        </w:tc>
        <w:tc>
          <w:tcPr>
            <w:tcW w:w="0" w:type="auto"/>
            <w:shd w:val="clear" w:color="auto" w:fill="auto"/>
          </w:tcPr>
          <w:p w14:paraId="0D8DFE75" w14:textId="77777777" w:rsidR="004C2197" w:rsidRDefault="004C2197">
            <w:pPr>
              <w:rPr>
                <w:rFonts w:ascii="宋体"/>
              </w:rPr>
            </w:pPr>
          </w:p>
        </w:tc>
        <w:tc>
          <w:tcPr>
            <w:tcW w:w="0" w:type="auto"/>
            <w:shd w:val="clear" w:color="auto" w:fill="auto"/>
          </w:tcPr>
          <w:p w14:paraId="0D8DFE76" w14:textId="77777777" w:rsidR="004C2197" w:rsidRDefault="004C2197">
            <w:pPr>
              <w:rPr>
                <w:rFonts w:ascii="宋体"/>
              </w:rPr>
            </w:pPr>
          </w:p>
        </w:tc>
        <w:tc>
          <w:tcPr>
            <w:tcW w:w="0" w:type="auto"/>
            <w:shd w:val="clear" w:color="auto" w:fill="auto"/>
          </w:tcPr>
          <w:p w14:paraId="0D8DFE77" w14:textId="77777777" w:rsidR="004C2197" w:rsidRDefault="004C2197">
            <w:pPr>
              <w:rPr>
                <w:rFonts w:ascii="宋体"/>
              </w:rPr>
            </w:pPr>
          </w:p>
        </w:tc>
        <w:tc>
          <w:tcPr>
            <w:tcW w:w="0" w:type="auto"/>
            <w:shd w:val="clear" w:color="auto" w:fill="auto"/>
          </w:tcPr>
          <w:p w14:paraId="0D8DFE78" w14:textId="77777777" w:rsidR="004C2197" w:rsidRDefault="004C2197">
            <w:pPr>
              <w:rPr>
                <w:rFonts w:ascii="宋体"/>
              </w:rPr>
            </w:pPr>
          </w:p>
        </w:tc>
        <w:tc>
          <w:tcPr>
            <w:tcW w:w="0" w:type="auto"/>
            <w:shd w:val="clear" w:color="auto" w:fill="auto"/>
          </w:tcPr>
          <w:p w14:paraId="0D8DFE79" w14:textId="77777777" w:rsidR="004C2197" w:rsidRDefault="004C2197">
            <w:pPr>
              <w:rPr>
                <w:rFonts w:ascii="宋体"/>
              </w:rPr>
            </w:pPr>
          </w:p>
        </w:tc>
        <w:tc>
          <w:tcPr>
            <w:tcW w:w="0" w:type="auto"/>
            <w:shd w:val="clear" w:color="auto" w:fill="auto"/>
          </w:tcPr>
          <w:p w14:paraId="0D8DFE7A" w14:textId="77777777" w:rsidR="004C2197" w:rsidRDefault="004C2197">
            <w:pPr>
              <w:rPr>
                <w:rFonts w:ascii="宋体"/>
              </w:rPr>
            </w:pPr>
          </w:p>
        </w:tc>
        <w:tc>
          <w:tcPr>
            <w:tcW w:w="0" w:type="auto"/>
            <w:shd w:val="clear" w:color="auto" w:fill="auto"/>
          </w:tcPr>
          <w:p w14:paraId="0D8DFE7B" w14:textId="77777777" w:rsidR="004C2197" w:rsidRDefault="004C2197">
            <w:pPr>
              <w:rPr>
                <w:rFonts w:ascii="宋体"/>
              </w:rPr>
            </w:pPr>
          </w:p>
        </w:tc>
        <w:tc>
          <w:tcPr>
            <w:tcW w:w="0" w:type="auto"/>
            <w:shd w:val="clear" w:color="auto" w:fill="auto"/>
          </w:tcPr>
          <w:p w14:paraId="0D8DFE7C" w14:textId="77777777" w:rsidR="004C2197" w:rsidRDefault="004C2197">
            <w:pPr>
              <w:rPr>
                <w:rFonts w:ascii="宋体"/>
              </w:rPr>
            </w:pPr>
          </w:p>
        </w:tc>
        <w:tc>
          <w:tcPr>
            <w:tcW w:w="0" w:type="auto"/>
            <w:shd w:val="clear" w:color="auto" w:fill="auto"/>
          </w:tcPr>
          <w:p w14:paraId="0D8DFE7D" w14:textId="77777777" w:rsidR="004C2197" w:rsidRDefault="004C2197">
            <w:pPr>
              <w:rPr>
                <w:rFonts w:ascii="宋体"/>
              </w:rPr>
            </w:pPr>
          </w:p>
        </w:tc>
        <w:tc>
          <w:tcPr>
            <w:tcW w:w="0" w:type="auto"/>
            <w:shd w:val="clear" w:color="auto" w:fill="auto"/>
          </w:tcPr>
          <w:p w14:paraId="0D8DFE7E" w14:textId="77777777" w:rsidR="004C2197" w:rsidRDefault="004C2197">
            <w:pPr>
              <w:rPr>
                <w:rFonts w:ascii="宋体"/>
              </w:rPr>
            </w:pPr>
          </w:p>
        </w:tc>
        <w:tc>
          <w:tcPr>
            <w:tcW w:w="0" w:type="auto"/>
            <w:shd w:val="clear" w:color="auto" w:fill="auto"/>
          </w:tcPr>
          <w:p w14:paraId="0D8DFE7F" w14:textId="77777777" w:rsidR="004C2197" w:rsidRDefault="004C2197">
            <w:pPr>
              <w:rPr>
                <w:rFonts w:ascii="宋体"/>
              </w:rPr>
            </w:pPr>
          </w:p>
        </w:tc>
        <w:tc>
          <w:tcPr>
            <w:tcW w:w="0" w:type="auto"/>
            <w:shd w:val="clear" w:color="auto" w:fill="auto"/>
          </w:tcPr>
          <w:p w14:paraId="0D8DFE80" w14:textId="77777777" w:rsidR="004C2197" w:rsidRDefault="004C2197">
            <w:pPr>
              <w:rPr>
                <w:rFonts w:ascii="宋体"/>
              </w:rPr>
            </w:pPr>
          </w:p>
        </w:tc>
        <w:tc>
          <w:tcPr>
            <w:tcW w:w="0" w:type="auto"/>
            <w:shd w:val="clear" w:color="auto" w:fill="auto"/>
          </w:tcPr>
          <w:p w14:paraId="0D8DFE81" w14:textId="77777777" w:rsidR="004C2197" w:rsidRDefault="004C2197">
            <w:pPr>
              <w:rPr>
                <w:rFonts w:ascii="宋体"/>
              </w:rPr>
            </w:pPr>
          </w:p>
        </w:tc>
      </w:tr>
      <w:tr w:rsidR="004C2197" w14:paraId="0D8DFE9D" w14:textId="77777777">
        <w:trPr>
          <w:hidden/>
        </w:trPr>
        <w:tc>
          <w:tcPr>
            <w:tcW w:w="0" w:type="auto"/>
            <w:gridSpan w:val="3"/>
            <w:shd w:val="clear" w:color="auto" w:fill="auto"/>
          </w:tcPr>
          <w:p w14:paraId="0D8DFE83" w14:textId="77777777" w:rsidR="004C2197" w:rsidRDefault="004C2197">
            <w:pPr>
              <w:rPr>
                <w:rFonts w:ascii="宋体"/>
                <w:vanish/>
              </w:rPr>
            </w:pPr>
          </w:p>
        </w:tc>
        <w:tc>
          <w:tcPr>
            <w:tcW w:w="0" w:type="auto"/>
            <w:gridSpan w:val="3"/>
            <w:shd w:val="clear" w:color="auto" w:fill="auto"/>
          </w:tcPr>
          <w:p w14:paraId="0D8DFE84" w14:textId="77777777" w:rsidR="004C2197" w:rsidRDefault="004C2197">
            <w:pPr>
              <w:rPr>
                <w:rFonts w:ascii="宋体"/>
                <w:vanish/>
              </w:rPr>
            </w:pPr>
          </w:p>
        </w:tc>
        <w:tc>
          <w:tcPr>
            <w:tcW w:w="0" w:type="auto"/>
            <w:gridSpan w:val="3"/>
            <w:shd w:val="clear" w:color="auto" w:fill="auto"/>
          </w:tcPr>
          <w:p w14:paraId="0D8DFE85" w14:textId="77777777" w:rsidR="004C2197" w:rsidRDefault="004C2197">
            <w:pPr>
              <w:rPr>
                <w:rFonts w:ascii="宋体"/>
                <w:vanish/>
              </w:rPr>
            </w:pPr>
          </w:p>
        </w:tc>
        <w:tc>
          <w:tcPr>
            <w:tcW w:w="0" w:type="auto"/>
            <w:gridSpan w:val="3"/>
            <w:shd w:val="clear" w:color="auto" w:fill="auto"/>
          </w:tcPr>
          <w:p w14:paraId="0D8DFE86" w14:textId="77777777" w:rsidR="004C2197" w:rsidRDefault="004C2197">
            <w:pPr>
              <w:rPr>
                <w:rFonts w:ascii="宋体"/>
                <w:vanish/>
              </w:rPr>
            </w:pPr>
          </w:p>
        </w:tc>
        <w:tc>
          <w:tcPr>
            <w:tcW w:w="0" w:type="auto"/>
            <w:gridSpan w:val="3"/>
            <w:shd w:val="clear" w:color="auto" w:fill="auto"/>
          </w:tcPr>
          <w:p w14:paraId="0D8DFE87" w14:textId="77777777" w:rsidR="004C2197" w:rsidRDefault="004C2197">
            <w:pPr>
              <w:rPr>
                <w:rFonts w:ascii="宋体"/>
                <w:vanish/>
              </w:rPr>
            </w:pPr>
          </w:p>
        </w:tc>
        <w:tc>
          <w:tcPr>
            <w:tcW w:w="0" w:type="auto"/>
            <w:gridSpan w:val="3"/>
            <w:shd w:val="clear" w:color="auto" w:fill="auto"/>
          </w:tcPr>
          <w:p w14:paraId="0D8DFE88" w14:textId="77777777" w:rsidR="004C2197" w:rsidRDefault="004C2197">
            <w:pPr>
              <w:rPr>
                <w:rFonts w:ascii="宋体"/>
                <w:vanish/>
              </w:rPr>
            </w:pPr>
          </w:p>
        </w:tc>
        <w:tc>
          <w:tcPr>
            <w:tcW w:w="0" w:type="auto"/>
            <w:gridSpan w:val="3"/>
            <w:shd w:val="clear" w:color="auto" w:fill="auto"/>
          </w:tcPr>
          <w:p w14:paraId="0D8DFE89" w14:textId="77777777" w:rsidR="004C2197" w:rsidRDefault="004C2197">
            <w:pPr>
              <w:rPr>
                <w:rFonts w:ascii="宋体"/>
                <w:vanish/>
              </w:rPr>
            </w:pPr>
          </w:p>
        </w:tc>
        <w:tc>
          <w:tcPr>
            <w:tcW w:w="0" w:type="auto"/>
            <w:gridSpan w:val="3"/>
            <w:shd w:val="clear" w:color="auto" w:fill="auto"/>
          </w:tcPr>
          <w:p w14:paraId="0D8DFE8A" w14:textId="77777777" w:rsidR="004C2197" w:rsidRDefault="004C2197">
            <w:pPr>
              <w:rPr>
                <w:rFonts w:ascii="宋体"/>
                <w:vanish/>
              </w:rPr>
            </w:pPr>
          </w:p>
        </w:tc>
        <w:tc>
          <w:tcPr>
            <w:tcW w:w="0" w:type="auto"/>
            <w:shd w:val="clear" w:color="auto" w:fill="auto"/>
          </w:tcPr>
          <w:p w14:paraId="0D8DFE8B" w14:textId="77777777" w:rsidR="004C2197" w:rsidRDefault="004C2197">
            <w:pPr>
              <w:rPr>
                <w:rFonts w:ascii="宋体"/>
              </w:rPr>
            </w:pPr>
          </w:p>
        </w:tc>
        <w:tc>
          <w:tcPr>
            <w:tcW w:w="0" w:type="auto"/>
            <w:shd w:val="clear" w:color="auto" w:fill="auto"/>
          </w:tcPr>
          <w:p w14:paraId="0D8DFE8C" w14:textId="77777777" w:rsidR="004C2197" w:rsidRDefault="004C2197">
            <w:pPr>
              <w:rPr>
                <w:rFonts w:ascii="宋体"/>
              </w:rPr>
            </w:pPr>
          </w:p>
        </w:tc>
        <w:tc>
          <w:tcPr>
            <w:tcW w:w="0" w:type="auto"/>
            <w:shd w:val="clear" w:color="auto" w:fill="auto"/>
          </w:tcPr>
          <w:p w14:paraId="0D8DFE8D" w14:textId="77777777" w:rsidR="004C2197" w:rsidRDefault="004C2197">
            <w:pPr>
              <w:rPr>
                <w:rFonts w:ascii="宋体"/>
              </w:rPr>
            </w:pPr>
          </w:p>
        </w:tc>
        <w:tc>
          <w:tcPr>
            <w:tcW w:w="0" w:type="auto"/>
            <w:shd w:val="clear" w:color="auto" w:fill="auto"/>
          </w:tcPr>
          <w:p w14:paraId="0D8DFE8E" w14:textId="77777777" w:rsidR="004C2197" w:rsidRDefault="004C2197">
            <w:pPr>
              <w:rPr>
                <w:rFonts w:ascii="宋体"/>
              </w:rPr>
            </w:pPr>
          </w:p>
        </w:tc>
        <w:tc>
          <w:tcPr>
            <w:tcW w:w="0" w:type="auto"/>
            <w:shd w:val="clear" w:color="auto" w:fill="auto"/>
          </w:tcPr>
          <w:p w14:paraId="0D8DFE8F" w14:textId="77777777" w:rsidR="004C2197" w:rsidRDefault="004C2197">
            <w:pPr>
              <w:rPr>
                <w:rFonts w:ascii="宋体"/>
              </w:rPr>
            </w:pPr>
          </w:p>
        </w:tc>
        <w:tc>
          <w:tcPr>
            <w:tcW w:w="0" w:type="auto"/>
            <w:shd w:val="clear" w:color="auto" w:fill="auto"/>
          </w:tcPr>
          <w:p w14:paraId="0D8DFE90" w14:textId="77777777" w:rsidR="004C2197" w:rsidRDefault="004C2197">
            <w:pPr>
              <w:rPr>
                <w:rFonts w:ascii="宋体"/>
              </w:rPr>
            </w:pPr>
          </w:p>
        </w:tc>
        <w:tc>
          <w:tcPr>
            <w:tcW w:w="0" w:type="auto"/>
            <w:shd w:val="clear" w:color="auto" w:fill="auto"/>
          </w:tcPr>
          <w:p w14:paraId="0D8DFE91" w14:textId="77777777" w:rsidR="004C2197" w:rsidRDefault="004C2197">
            <w:pPr>
              <w:rPr>
                <w:rFonts w:ascii="宋体"/>
              </w:rPr>
            </w:pPr>
          </w:p>
        </w:tc>
        <w:tc>
          <w:tcPr>
            <w:tcW w:w="0" w:type="auto"/>
            <w:shd w:val="clear" w:color="auto" w:fill="auto"/>
          </w:tcPr>
          <w:p w14:paraId="0D8DFE92" w14:textId="77777777" w:rsidR="004C2197" w:rsidRDefault="004C2197">
            <w:pPr>
              <w:rPr>
                <w:rFonts w:ascii="宋体"/>
              </w:rPr>
            </w:pPr>
          </w:p>
        </w:tc>
        <w:tc>
          <w:tcPr>
            <w:tcW w:w="0" w:type="auto"/>
            <w:shd w:val="clear" w:color="auto" w:fill="auto"/>
          </w:tcPr>
          <w:p w14:paraId="0D8DFE93" w14:textId="77777777" w:rsidR="004C2197" w:rsidRDefault="004C2197">
            <w:pPr>
              <w:rPr>
                <w:rFonts w:ascii="宋体"/>
              </w:rPr>
            </w:pPr>
          </w:p>
        </w:tc>
        <w:tc>
          <w:tcPr>
            <w:tcW w:w="0" w:type="auto"/>
            <w:shd w:val="clear" w:color="auto" w:fill="auto"/>
          </w:tcPr>
          <w:p w14:paraId="0D8DFE94" w14:textId="77777777" w:rsidR="004C2197" w:rsidRDefault="004C2197">
            <w:pPr>
              <w:rPr>
                <w:rFonts w:ascii="宋体"/>
              </w:rPr>
            </w:pPr>
          </w:p>
        </w:tc>
        <w:tc>
          <w:tcPr>
            <w:tcW w:w="0" w:type="auto"/>
            <w:shd w:val="clear" w:color="auto" w:fill="auto"/>
          </w:tcPr>
          <w:p w14:paraId="0D8DFE95" w14:textId="77777777" w:rsidR="004C2197" w:rsidRDefault="004C2197">
            <w:pPr>
              <w:rPr>
                <w:rFonts w:ascii="宋体"/>
              </w:rPr>
            </w:pPr>
          </w:p>
        </w:tc>
        <w:tc>
          <w:tcPr>
            <w:tcW w:w="0" w:type="auto"/>
            <w:shd w:val="clear" w:color="auto" w:fill="auto"/>
          </w:tcPr>
          <w:p w14:paraId="0D8DFE96" w14:textId="77777777" w:rsidR="004C2197" w:rsidRDefault="004C2197">
            <w:pPr>
              <w:rPr>
                <w:rFonts w:ascii="宋体"/>
              </w:rPr>
            </w:pPr>
          </w:p>
        </w:tc>
        <w:tc>
          <w:tcPr>
            <w:tcW w:w="0" w:type="auto"/>
            <w:shd w:val="clear" w:color="auto" w:fill="auto"/>
          </w:tcPr>
          <w:p w14:paraId="0D8DFE97" w14:textId="77777777" w:rsidR="004C2197" w:rsidRDefault="004C2197">
            <w:pPr>
              <w:rPr>
                <w:rFonts w:ascii="宋体"/>
              </w:rPr>
            </w:pPr>
          </w:p>
        </w:tc>
        <w:tc>
          <w:tcPr>
            <w:tcW w:w="0" w:type="auto"/>
            <w:shd w:val="clear" w:color="auto" w:fill="auto"/>
          </w:tcPr>
          <w:p w14:paraId="0D8DFE98" w14:textId="77777777" w:rsidR="004C2197" w:rsidRDefault="004C2197">
            <w:pPr>
              <w:rPr>
                <w:rFonts w:ascii="宋体"/>
              </w:rPr>
            </w:pPr>
          </w:p>
        </w:tc>
        <w:tc>
          <w:tcPr>
            <w:tcW w:w="0" w:type="auto"/>
            <w:shd w:val="clear" w:color="auto" w:fill="auto"/>
          </w:tcPr>
          <w:p w14:paraId="0D8DFE99" w14:textId="77777777" w:rsidR="004C2197" w:rsidRDefault="004C2197">
            <w:pPr>
              <w:rPr>
                <w:rFonts w:ascii="宋体"/>
              </w:rPr>
            </w:pPr>
          </w:p>
        </w:tc>
        <w:tc>
          <w:tcPr>
            <w:tcW w:w="0" w:type="auto"/>
            <w:shd w:val="clear" w:color="auto" w:fill="auto"/>
          </w:tcPr>
          <w:p w14:paraId="0D8DFE9A" w14:textId="77777777" w:rsidR="004C2197" w:rsidRDefault="004C2197">
            <w:pPr>
              <w:rPr>
                <w:rFonts w:ascii="宋体"/>
              </w:rPr>
            </w:pPr>
          </w:p>
        </w:tc>
        <w:tc>
          <w:tcPr>
            <w:tcW w:w="0" w:type="auto"/>
            <w:shd w:val="clear" w:color="auto" w:fill="auto"/>
          </w:tcPr>
          <w:p w14:paraId="0D8DFE9B" w14:textId="77777777" w:rsidR="004C2197" w:rsidRDefault="004C2197">
            <w:pPr>
              <w:rPr>
                <w:rFonts w:ascii="宋体"/>
              </w:rPr>
            </w:pPr>
          </w:p>
        </w:tc>
        <w:tc>
          <w:tcPr>
            <w:tcW w:w="0" w:type="auto"/>
            <w:shd w:val="clear" w:color="auto" w:fill="auto"/>
          </w:tcPr>
          <w:p w14:paraId="0D8DFE9C" w14:textId="77777777" w:rsidR="004C2197" w:rsidRDefault="004C2197">
            <w:pPr>
              <w:rPr>
                <w:rFonts w:ascii="宋体"/>
              </w:rPr>
            </w:pPr>
          </w:p>
        </w:tc>
      </w:tr>
      <w:tr w:rsidR="004C2197" w14:paraId="0D8DFEC0" w14:textId="77777777">
        <w:tc>
          <w:tcPr>
            <w:tcW w:w="0" w:type="auto"/>
            <w:gridSpan w:val="3"/>
            <w:shd w:val="clear" w:color="auto" w:fill="E2EFD9"/>
            <w:tcMar>
              <w:top w:w="40" w:type="dxa"/>
              <w:left w:w="20" w:type="dxa"/>
              <w:bottom w:w="40" w:type="dxa"/>
              <w:right w:w="20" w:type="dxa"/>
            </w:tcMar>
            <w:vAlign w:val="bottom"/>
          </w:tcPr>
          <w:p w14:paraId="0D8DFE9E" w14:textId="77777777" w:rsidR="004C2197" w:rsidRDefault="00863B83">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0D8DFE9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EA0" w14:textId="77777777" w:rsidR="004C2197" w:rsidRDefault="00863B83">
            <w:pPr>
              <w:jc w:val="right"/>
              <w:textAlignment w:val="bottom"/>
            </w:pPr>
            <w:r>
              <w:rPr>
                <w:rFonts w:ascii="sans-serif" w:eastAsia="sans-serif" w:hAnsi="sans-serif" w:cs="sans-serif"/>
                <w:color w:val="000000"/>
                <w:sz w:val="20"/>
                <w:szCs w:val="20"/>
              </w:rPr>
              <w:t>911 </w:t>
            </w:r>
          </w:p>
        </w:tc>
        <w:tc>
          <w:tcPr>
            <w:tcW w:w="0" w:type="auto"/>
            <w:shd w:val="clear" w:color="auto" w:fill="E2EFD9"/>
            <w:tcMar>
              <w:top w:w="40" w:type="dxa"/>
              <w:bottom w:w="40" w:type="dxa"/>
              <w:right w:w="20" w:type="dxa"/>
            </w:tcMar>
            <w:vAlign w:val="bottom"/>
          </w:tcPr>
          <w:p w14:paraId="0D8DFEA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EA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EA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EA4" w14:textId="77777777" w:rsidR="004C2197" w:rsidRDefault="00863B83">
            <w:pPr>
              <w:jc w:val="right"/>
              <w:textAlignment w:val="bottom"/>
            </w:pPr>
            <w:r>
              <w:rPr>
                <w:rFonts w:ascii="sans-serif" w:eastAsia="sans-serif" w:hAnsi="sans-serif" w:cs="sans-serif"/>
                <w:color w:val="000000"/>
                <w:sz w:val="20"/>
                <w:szCs w:val="20"/>
              </w:rPr>
              <w:t>691 </w:t>
            </w:r>
          </w:p>
        </w:tc>
        <w:tc>
          <w:tcPr>
            <w:tcW w:w="0" w:type="auto"/>
            <w:shd w:val="clear" w:color="auto" w:fill="E2EFD9"/>
            <w:tcMar>
              <w:top w:w="40" w:type="dxa"/>
              <w:bottom w:w="40" w:type="dxa"/>
              <w:right w:w="20" w:type="dxa"/>
            </w:tcMar>
            <w:vAlign w:val="bottom"/>
          </w:tcPr>
          <w:p w14:paraId="0D8DFEA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EA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EA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EA8" w14:textId="77777777" w:rsidR="004C2197" w:rsidRDefault="00863B83">
            <w:pPr>
              <w:jc w:val="right"/>
              <w:textAlignment w:val="bottom"/>
            </w:pPr>
            <w:r>
              <w:rPr>
                <w:rFonts w:ascii="sans-serif" w:eastAsia="sans-serif" w:hAnsi="sans-serif" w:cs="sans-serif"/>
                <w:color w:val="000000"/>
                <w:sz w:val="20"/>
                <w:szCs w:val="20"/>
              </w:rPr>
              <w:t>(951)</w:t>
            </w:r>
          </w:p>
        </w:tc>
        <w:tc>
          <w:tcPr>
            <w:tcW w:w="0" w:type="auto"/>
            <w:shd w:val="clear" w:color="auto" w:fill="E2EFD9"/>
            <w:tcMar>
              <w:top w:w="40" w:type="dxa"/>
              <w:bottom w:w="40" w:type="dxa"/>
              <w:right w:w="20" w:type="dxa"/>
            </w:tcMar>
            <w:vAlign w:val="bottom"/>
          </w:tcPr>
          <w:p w14:paraId="0D8DFEA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EA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EA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EAC" w14:textId="77777777" w:rsidR="004C2197" w:rsidRDefault="00863B83">
            <w:pPr>
              <w:jc w:val="right"/>
              <w:textAlignment w:val="bottom"/>
            </w:pPr>
            <w:r>
              <w:rPr>
                <w:rFonts w:ascii="sans-serif" w:eastAsia="sans-serif" w:hAnsi="sans-serif" w:cs="sans-serif"/>
                <w:color w:val="000000"/>
                <w:sz w:val="20"/>
                <w:szCs w:val="20"/>
              </w:rPr>
              <w:t>651 </w:t>
            </w:r>
          </w:p>
        </w:tc>
        <w:tc>
          <w:tcPr>
            <w:tcW w:w="0" w:type="auto"/>
            <w:shd w:val="clear" w:color="auto" w:fill="E2EFD9"/>
            <w:tcMar>
              <w:top w:w="40" w:type="dxa"/>
              <w:bottom w:w="40" w:type="dxa"/>
              <w:right w:w="20" w:type="dxa"/>
            </w:tcMar>
            <w:vAlign w:val="bottom"/>
          </w:tcPr>
          <w:p w14:paraId="0D8DFEAD" w14:textId="77777777" w:rsidR="004C2197" w:rsidRDefault="004C2197">
            <w:pPr>
              <w:jc w:val="right"/>
              <w:rPr>
                <w:rFonts w:ascii="宋体"/>
              </w:rPr>
            </w:pPr>
          </w:p>
        </w:tc>
        <w:tc>
          <w:tcPr>
            <w:tcW w:w="0" w:type="auto"/>
            <w:shd w:val="clear" w:color="auto" w:fill="auto"/>
          </w:tcPr>
          <w:p w14:paraId="0D8DFEAE" w14:textId="77777777" w:rsidR="004C2197" w:rsidRDefault="004C2197">
            <w:pPr>
              <w:rPr>
                <w:rFonts w:ascii="宋体"/>
              </w:rPr>
            </w:pPr>
          </w:p>
        </w:tc>
        <w:tc>
          <w:tcPr>
            <w:tcW w:w="0" w:type="auto"/>
            <w:shd w:val="clear" w:color="auto" w:fill="auto"/>
          </w:tcPr>
          <w:p w14:paraId="0D8DFEAF" w14:textId="77777777" w:rsidR="004C2197" w:rsidRDefault="004C2197">
            <w:pPr>
              <w:rPr>
                <w:rFonts w:ascii="宋体"/>
              </w:rPr>
            </w:pPr>
          </w:p>
        </w:tc>
        <w:tc>
          <w:tcPr>
            <w:tcW w:w="0" w:type="auto"/>
            <w:shd w:val="clear" w:color="auto" w:fill="auto"/>
          </w:tcPr>
          <w:p w14:paraId="0D8DFEB0" w14:textId="77777777" w:rsidR="004C2197" w:rsidRDefault="004C2197">
            <w:pPr>
              <w:rPr>
                <w:rFonts w:ascii="宋体"/>
              </w:rPr>
            </w:pPr>
          </w:p>
        </w:tc>
        <w:tc>
          <w:tcPr>
            <w:tcW w:w="0" w:type="auto"/>
            <w:shd w:val="clear" w:color="auto" w:fill="auto"/>
          </w:tcPr>
          <w:p w14:paraId="0D8DFEB1" w14:textId="77777777" w:rsidR="004C2197" w:rsidRDefault="004C2197">
            <w:pPr>
              <w:rPr>
                <w:rFonts w:ascii="宋体"/>
              </w:rPr>
            </w:pPr>
          </w:p>
        </w:tc>
        <w:tc>
          <w:tcPr>
            <w:tcW w:w="0" w:type="auto"/>
            <w:shd w:val="clear" w:color="auto" w:fill="auto"/>
          </w:tcPr>
          <w:p w14:paraId="0D8DFEB2" w14:textId="77777777" w:rsidR="004C2197" w:rsidRDefault="004C2197">
            <w:pPr>
              <w:rPr>
                <w:rFonts w:ascii="宋体"/>
              </w:rPr>
            </w:pPr>
          </w:p>
        </w:tc>
        <w:tc>
          <w:tcPr>
            <w:tcW w:w="0" w:type="auto"/>
            <w:shd w:val="clear" w:color="auto" w:fill="auto"/>
          </w:tcPr>
          <w:p w14:paraId="0D8DFEB3" w14:textId="77777777" w:rsidR="004C2197" w:rsidRDefault="004C2197">
            <w:pPr>
              <w:rPr>
                <w:rFonts w:ascii="宋体"/>
              </w:rPr>
            </w:pPr>
          </w:p>
        </w:tc>
        <w:tc>
          <w:tcPr>
            <w:tcW w:w="0" w:type="auto"/>
            <w:shd w:val="clear" w:color="auto" w:fill="auto"/>
          </w:tcPr>
          <w:p w14:paraId="0D8DFEB4" w14:textId="77777777" w:rsidR="004C2197" w:rsidRDefault="004C2197">
            <w:pPr>
              <w:rPr>
                <w:rFonts w:ascii="宋体"/>
              </w:rPr>
            </w:pPr>
          </w:p>
        </w:tc>
        <w:tc>
          <w:tcPr>
            <w:tcW w:w="0" w:type="auto"/>
            <w:shd w:val="clear" w:color="auto" w:fill="auto"/>
          </w:tcPr>
          <w:p w14:paraId="0D8DFEB5" w14:textId="77777777" w:rsidR="004C2197" w:rsidRDefault="004C2197">
            <w:pPr>
              <w:rPr>
                <w:rFonts w:ascii="宋体"/>
              </w:rPr>
            </w:pPr>
          </w:p>
        </w:tc>
        <w:tc>
          <w:tcPr>
            <w:tcW w:w="0" w:type="auto"/>
            <w:shd w:val="clear" w:color="auto" w:fill="auto"/>
          </w:tcPr>
          <w:p w14:paraId="0D8DFEB6" w14:textId="77777777" w:rsidR="004C2197" w:rsidRDefault="004C2197">
            <w:pPr>
              <w:rPr>
                <w:rFonts w:ascii="宋体"/>
              </w:rPr>
            </w:pPr>
          </w:p>
        </w:tc>
        <w:tc>
          <w:tcPr>
            <w:tcW w:w="0" w:type="auto"/>
            <w:shd w:val="clear" w:color="auto" w:fill="auto"/>
          </w:tcPr>
          <w:p w14:paraId="0D8DFEB7" w14:textId="77777777" w:rsidR="004C2197" w:rsidRDefault="004C2197">
            <w:pPr>
              <w:rPr>
                <w:rFonts w:ascii="宋体"/>
              </w:rPr>
            </w:pPr>
          </w:p>
        </w:tc>
        <w:tc>
          <w:tcPr>
            <w:tcW w:w="0" w:type="auto"/>
            <w:shd w:val="clear" w:color="auto" w:fill="auto"/>
          </w:tcPr>
          <w:p w14:paraId="0D8DFEB8" w14:textId="77777777" w:rsidR="004C2197" w:rsidRDefault="004C2197">
            <w:pPr>
              <w:rPr>
                <w:rFonts w:ascii="宋体"/>
              </w:rPr>
            </w:pPr>
          </w:p>
        </w:tc>
        <w:tc>
          <w:tcPr>
            <w:tcW w:w="0" w:type="auto"/>
            <w:shd w:val="clear" w:color="auto" w:fill="auto"/>
          </w:tcPr>
          <w:p w14:paraId="0D8DFEB9" w14:textId="77777777" w:rsidR="004C2197" w:rsidRDefault="004C2197">
            <w:pPr>
              <w:rPr>
                <w:rFonts w:ascii="宋体"/>
              </w:rPr>
            </w:pPr>
          </w:p>
        </w:tc>
        <w:tc>
          <w:tcPr>
            <w:tcW w:w="0" w:type="auto"/>
            <w:shd w:val="clear" w:color="auto" w:fill="auto"/>
          </w:tcPr>
          <w:p w14:paraId="0D8DFEBA" w14:textId="77777777" w:rsidR="004C2197" w:rsidRDefault="004C2197">
            <w:pPr>
              <w:rPr>
                <w:rFonts w:ascii="宋体"/>
              </w:rPr>
            </w:pPr>
          </w:p>
        </w:tc>
        <w:tc>
          <w:tcPr>
            <w:tcW w:w="0" w:type="auto"/>
            <w:shd w:val="clear" w:color="auto" w:fill="auto"/>
          </w:tcPr>
          <w:p w14:paraId="0D8DFEBB" w14:textId="77777777" w:rsidR="004C2197" w:rsidRDefault="004C2197">
            <w:pPr>
              <w:rPr>
                <w:rFonts w:ascii="宋体"/>
              </w:rPr>
            </w:pPr>
          </w:p>
        </w:tc>
        <w:tc>
          <w:tcPr>
            <w:tcW w:w="0" w:type="auto"/>
            <w:shd w:val="clear" w:color="auto" w:fill="auto"/>
          </w:tcPr>
          <w:p w14:paraId="0D8DFEBC" w14:textId="77777777" w:rsidR="004C2197" w:rsidRDefault="004C2197">
            <w:pPr>
              <w:rPr>
                <w:rFonts w:ascii="宋体"/>
              </w:rPr>
            </w:pPr>
          </w:p>
        </w:tc>
        <w:tc>
          <w:tcPr>
            <w:tcW w:w="0" w:type="auto"/>
            <w:shd w:val="clear" w:color="auto" w:fill="auto"/>
          </w:tcPr>
          <w:p w14:paraId="0D8DFEBD" w14:textId="77777777" w:rsidR="004C2197" w:rsidRDefault="004C2197">
            <w:pPr>
              <w:rPr>
                <w:rFonts w:ascii="宋体"/>
              </w:rPr>
            </w:pPr>
          </w:p>
        </w:tc>
        <w:tc>
          <w:tcPr>
            <w:tcW w:w="0" w:type="auto"/>
            <w:shd w:val="clear" w:color="auto" w:fill="auto"/>
          </w:tcPr>
          <w:p w14:paraId="0D8DFEBE" w14:textId="77777777" w:rsidR="004C2197" w:rsidRDefault="004C2197">
            <w:pPr>
              <w:rPr>
                <w:rFonts w:ascii="宋体"/>
              </w:rPr>
            </w:pPr>
          </w:p>
        </w:tc>
        <w:tc>
          <w:tcPr>
            <w:tcW w:w="0" w:type="auto"/>
            <w:shd w:val="clear" w:color="auto" w:fill="auto"/>
          </w:tcPr>
          <w:p w14:paraId="0D8DFEBF" w14:textId="77777777" w:rsidR="004C2197" w:rsidRDefault="004C2197">
            <w:pPr>
              <w:rPr>
                <w:rFonts w:ascii="宋体"/>
              </w:rPr>
            </w:pPr>
          </w:p>
        </w:tc>
      </w:tr>
      <w:tr w:rsidR="004C2197" w14:paraId="0D8DFEDB" w14:textId="77777777">
        <w:trPr>
          <w:trHeight w:val="300"/>
        </w:trPr>
        <w:tc>
          <w:tcPr>
            <w:tcW w:w="0" w:type="auto"/>
            <w:gridSpan w:val="3"/>
            <w:shd w:val="clear" w:color="auto" w:fill="FFFFFF"/>
            <w:tcMar>
              <w:left w:w="20" w:type="dxa"/>
              <w:right w:w="20" w:type="dxa"/>
            </w:tcMar>
            <w:vAlign w:val="bottom"/>
          </w:tcPr>
          <w:p w14:paraId="0D8DFEC1"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2"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3"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4"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EC8" w14:textId="77777777" w:rsidR="004C2197" w:rsidRDefault="004C2197">
            <w:pPr>
              <w:rPr>
                <w:rFonts w:ascii="宋体"/>
              </w:rPr>
            </w:pPr>
          </w:p>
        </w:tc>
        <w:tc>
          <w:tcPr>
            <w:tcW w:w="0" w:type="auto"/>
            <w:shd w:val="clear" w:color="auto" w:fill="auto"/>
          </w:tcPr>
          <w:p w14:paraId="0D8DFEC9" w14:textId="77777777" w:rsidR="004C2197" w:rsidRDefault="004C2197">
            <w:pPr>
              <w:rPr>
                <w:rFonts w:ascii="宋体"/>
              </w:rPr>
            </w:pPr>
          </w:p>
        </w:tc>
        <w:tc>
          <w:tcPr>
            <w:tcW w:w="0" w:type="auto"/>
            <w:shd w:val="clear" w:color="auto" w:fill="auto"/>
          </w:tcPr>
          <w:p w14:paraId="0D8DFECA" w14:textId="77777777" w:rsidR="004C2197" w:rsidRDefault="004C2197">
            <w:pPr>
              <w:rPr>
                <w:rFonts w:ascii="宋体"/>
              </w:rPr>
            </w:pPr>
          </w:p>
        </w:tc>
        <w:tc>
          <w:tcPr>
            <w:tcW w:w="0" w:type="auto"/>
            <w:shd w:val="clear" w:color="auto" w:fill="auto"/>
          </w:tcPr>
          <w:p w14:paraId="0D8DFECB" w14:textId="77777777" w:rsidR="004C2197" w:rsidRDefault="004C2197">
            <w:pPr>
              <w:rPr>
                <w:rFonts w:ascii="宋体"/>
              </w:rPr>
            </w:pPr>
          </w:p>
        </w:tc>
        <w:tc>
          <w:tcPr>
            <w:tcW w:w="0" w:type="auto"/>
            <w:shd w:val="clear" w:color="auto" w:fill="auto"/>
          </w:tcPr>
          <w:p w14:paraId="0D8DFECC" w14:textId="77777777" w:rsidR="004C2197" w:rsidRDefault="004C2197">
            <w:pPr>
              <w:rPr>
                <w:rFonts w:ascii="宋体"/>
              </w:rPr>
            </w:pPr>
          </w:p>
        </w:tc>
        <w:tc>
          <w:tcPr>
            <w:tcW w:w="0" w:type="auto"/>
            <w:shd w:val="clear" w:color="auto" w:fill="auto"/>
          </w:tcPr>
          <w:p w14:paraId="0D8DFECD" w14:textId="77777777" w:rsidR="004C2197" w:rsidRDefault="004C2197">
            <w:pPr>
              <w:rPr>
                <w:rFonts w:ascii="宋体"/>
              </w:rPr>
            </w:pPr>
          </w:p>
        </w:tc>
        <w:tc>
          <w:tcPr>
            <w:tcW w:w="0" w:type="auto"/>
            <w:shd w:val="clear" w:color="auto" w:fill="auto"/>
          </w:tcPr>
          <w:p w14:paraId="0D8DFECE" w14:textId="77777777" w:rsidR="004C2197" w:rsidRDefault="004C2197">
            <w:pPr>
              <w:rPr>
                <w:rFonts w:ascii="宋体"/>
              </w:rPr>
            </w:pPr>
          </w:p>
        </w:tc>
        <w:tc>
          <w:tcPr>
            <w:tcW w:w="0" w:type="auto"/>
            <w:shd w:val="clear" w:color="auto" w:fill="auto"/>
          </w:tcPr>
          <w:p w14:paraId="0D8DFECF" w14:textId="77777777" w:rsidR="004C2197" w:rsidRDefault="004C2197">
            <w:pPr>
              <w:rPr>
                <w:rFonts w:ascii="宋体"/>
              </w:rPr>
            </w:pPr>
          </w:p>
        </w:tc>
        <w:tc>
          <w:tcPr>
            <w:tcW w:w="0" w:type="auto"/>
            <w:shd w:val="clear" w:color="auto" w:fill="auto"/>
          </w:tcPr>
          <w:p w14:paraId="0D8DFED0" w14:textId="77777777" w:rsidR="004C2197" w:rsidRDefault="004C2197">
            <w:pPr>
              <w:rPr>
                <w:rFonts w:ascii="宋体"/>
              </w:rPr>
            </w:pPr>
          </w:p>
        </w:tc>
        <w:tc>
          <w:tcPr>
            <w:tcW w:w="0" w:type="auto"/>
            <w:shd w:val="clear" w:color="auto" w:fill="auto"/>
          </w:tcPr>
          <w:p w14:paraId="0D8DFED1" w14:textId="77777777" w:rsidR="004C2197" w:rsidRDefault="004C2197">
            <w:pPr>
              <w:rPr>
                <w:rFonts w:ascii="宋体"/>
              </w:rPr>
            </w:pPr>
          </w:p>
        </w:tc>
        <w:tc>
          <w:tcPr>
            <w:tcW w:w="0" w:type="auto"/>
            <w:shd w:val="clear" w:color="auto" w:fill="auto"/>
          </w:tcPr>
          <w:p w14:paraId="0D8DFED2" w14:textId="77777777" w:rsidR="004C2197" w:rsidRDefault="004C2197">
            <w:pPr>
              <w:rPr>
                <w:rFonts w:ascii="宋体"/>
              </w:rPr>
            </w:pPr>
          </w:p>
        </w:tc>
        <w:tc>
          <w:tcPr>
            <w:tcW w:w="0" w:type="auto"/>
            <w:shd w:val="clear" w:color="auto" w:fill="auto"/>
          </w:tcPr>
          <w:p w14:paraId="0D8DFED3" w14:textId="77777777" w:rsidR="004C2197" w:rsidRDefault="004C2197">
            <w:pPr>
              <w:rPr>
                <w:rFonts w:ascii="宋体"/>
              </w:rPr>
            </w:pPr>
          </w:p>
        </w:tc>
        <w:tc>
          <w:tcPr>
            <w:tcW w:w="0" w:type="auto"/>
            <w:shd w:val="clear" w:color="auto" w:fill="auto"/>
          </w:tcPr>
          <w:p w14:paraId="0D8DFED4" w14:textId="77777777" w:rsidR="004C2197" w:rsidRDefault="004C2197">
            <w:pPr>
              <w:rPr>
                <w:rFonts w:ascii="宋体"/>
              </w:rPr>
            </w:pPr>
          </w:p>
        </w:tc>
        <w:tc>
          <w:tcPr>
            <w:tcW w:w="0" w:type="auto"/>
            <w:shd w:val="clear" w:color="auto" w:fill="auto"/>
          </w:tcPr>
          <w:p w14:paraId="0D8DFED5" w14:textId="77777777" w:rsidR="004C2197" w:rsidRDefault="004C2197">
            <w:pPr>
              <w:rPr>
                <w:rFonts w:ascii="宋体"/>
              </w:rPr>
            </w:pPr>
          </w:p>
        </w:tc>
        <w:tc>
          <w:tcPr>
            <w:tcW w:w="0" w:type="auto"/>
            <w:shd w:val="clear" w:color="auto" w:fill="auto"/>
          </w:tcPr>
          <w:p w14:paraId="0D8DFED6" w14:textId="77777777" w:rsidR="004C2197" w:rsidRDefault="004C2197">
            <w:pPr>
              <w:rPr>
                <w:rFonts w:ascii="宋体"/>
              </w:rPr>
            </w:pPr>
          </w:p>
        </w:tc>
        <w:tc>
          <w:tcPr>
            <w:tcW w:w="0" w:type="auto"/>
            <w:shd w:val="clear" w:color="auto" w:fill="auto"/>
          </w:tcPr>
          <w:p w14:paraId="0D8DFED7" w14:textId="77777777" w:rsidR="004C2197" w:rsidRDefault="004C2197">
            <w:pPr>
              <w:rPr>
                <w:rFonts w:ascii="宋体"/>
              </w:rPr>
            </w:pPr>
          </w:p>
        </w:tc>
        <w:tc>
          <w:tcPr>
            <w:tcW w:w="0" w:type="auto"/>
            <w:shd w:val="clear" w:color="auto" w:fill="auto"/>
          </w:tcPr>
          <w:p w14:paraId="0D8DFED8" w14:textId="77777777" w:rsidR="004C2197" w:rsidRDefault="004C2197">
            <w:pPr>
              <w:rPr>
                <w:rFonts w:ascii="宋体"/>
              </w:rPr>
            </w:pPr>
          </w:p>
        </w:tc>
        <w:tc>
          <w:tcPr>
            <w:tcW w:w="0" w:type="auto"/>
            <w:shd w:val="clear" w:color="auto" w:fill="auto"/>
          </w:tcPr>
          <w:p w14:paraId="0D8DFED9" w14:textId="77777777" w:rsidR="004C2197" w:rsidRDefault="004C2197">
            <w:pPr>
              <w:rPr>
                <w:rFonts w:ascii="宋体"/>
              </w:rPr>
            </w:pPr>
          </w:p>
        </w:tc>
        <w:tc>
          <w:tcPr>
            <w:tcW w:w="0" w:type="auto"/>
            <w:shd w:val="clear" w:color="auto" w:fill="auto"/>
          </w:tcPr>
          <w:p w14:paraId="0D8DFEDA" w14:textId="77777777" w:rsidR="004C2197" w:rsidRDefault="004C2197">
            <w:pPr>
              <w:rPr>
                <w:rFonts w:ascii="宋体"/>
              </w:rPr>
            </w:pPr>
          </w:p>
        </w:tc>
      </w:tr>
      <w:tr w:rsidR="004C2197" w14:paraId="0D8DFEF6" w14:textId="77777777">
        <w:tc>
          <w:tcPr>
            <w:tcW w:w="0" w:type="auto"/>
            <w:gridSpan w:val="3"/>
            <w:shd w:val="clear" w:color="auto" w:fill="E2EFD9"/>
            <w:tcMar>
              <w:top w:w="40" w:type="dxa"/>
              <w:left w:w="20" w:type="dxa"/>
              <w:bottom w:w="40" w:type="dxa"/>
              <w:right w:w="20" w:type="dxa"/>
            </w:tcMar>
            <w:vAlign w:val="bottom"/>
          </w:tcPr>
          <w:p w14:paraId="0D8DFEDC" w14:textId="77777777" w:rsidR="004C2197" w:rsidRDefault="00863B83">
            <w:pPr>
              <w:textAlignment w:val="bottom"/>
            </w:pPr>
            <w:r>
              <w:rPr>
                <w:rFonts w:ascii="sans-serif" w:eastAsia="sans-serif" w:hAnsi="sans-serif" w:cs="sans-serif"/>
                <w:b/>
                <w:bCs/>
                <w:color w:val="000000"/>
                <w:sz w:val="20"/>
                <w:szCs w:val="20"/>
              </w:rPr>
              <w:t>Three Months Ended July 28, 2019</w:t>
            </w:r>
          </w:p>
        </w:tc>
        <w:tc>
          <w:tcPr>
            <w:tcW w:w="0" w:type="auto"/>
            <w:gridSpan w:val="3"/>
            <w:shd w:val="clear" w:color="auto" w:fill="E2EFD9"/>
            <w:tcMar>
              <w:top w:w="40" w:type="dxa"/>
              <w:left w:w="20" w:type="dxa"/>
              <w:bottom w:w="40" w:type="dxa"/>
              <w:right w:w="20" w:type="dxa"/>
            </w:tcMar>
            <w:vAlign w:val="bottom"/>
          </w:tcPr>
          <w:p w14:paraId="0D8DFEDD" w14:textId="77777777" w:rsidR="004C2197" w:rsidRDefault="00863B83">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DE"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DF" w14:textId="77777777" w:rsidR="004C2197" w:rsidRDefault="00863B83">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E0"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E1" w14:textId="77777777" w:rsidR="004C2197" w:rsidRDefault="00863B83">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left w:w="20" w:type="dxa"/>
              <w:right w:w="20" w:type="dxa"/>
            </w:tcMar>
            <w:vAlign w:val="bottom"/>
          </w:tcPr>
          <w:p w14:paraId="0D8DFEE2" w14:textId="77777777" w:rsidR="004C2197" w:rsidRDefault="004C2197">
            <w:pPr>
              <w:rPr>
                <w:rFonts w:ascii="宋体"/>
              </w:rPr>
            </w:pPr>
          </w:p>
        </w:tc>
        <w:tc>
          <w:tcPr>
            <w:tcW w:w="0" w:type="auto"/>
            <w:gridSpan w:val="3"/>
            <w:shd w:val="clear" w:color="auto" w:fill="E2EFD9"/>
            <w:tcMar>
              <w:top w:w="40" w:type="dxa"/>
              <w:left w:w="20" w:type="dxa"/>
              <w:bottom w:w="40" w:type="dxa"/>
              <w:right w:w="20" w:type="dxa"/>
            </w:tcMar>
            <w:vAlign w:val="bottom"/>
          </w:tcPr>
          <w:p w14:paraId="0D8DFEE3"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auto"/>
          </w:tcPr>
          <w:p w14:paraId="0D8DFEE4" w14:textId="77777777" w:rsidR="004C2197" w:rsidRDefault="004C2197">
            <w:pPr>
              <w:rPr>
                <w:rFonts w:ascii="宋体"/>
              </w:rPr>
            </w:pPr>
          </w:p>
        </w:tc>
        <w:tc>
          <w:tcPr>
            <w:tcW w:w="0" w:type="auto"/>
            <w:shd w:val="clear" w:color="auto" w:fill="auto"/>
          </w:tcPr>
          <w:p w14:paraId="0D8DFEE5" w14:textId="77777777" w:rsidR="004C2197" w:rsidRDefault="004C2197">
            <w:pPr>
              <w:rPr>
                <w:rFonts w:ascii="宋体"/>
              </w:rPr>
            </w:pPr>
          </w:p>
        </w:tc>
        <w:tc>
          <w:tcPr>
            <w:tcW w:w="0" w:type="auto"/>
            <w:shd w:val="clear" w:color="auto" w:fill="auto"/>
          </w:tcPr>
          <w:p w14:paraId="0D8DFEE6" w14:textId="77777777" w:rsidR="004C2197" w:rsidRDefault="004C2197">
            <w:pPr>
              <w:rPr>
                <w:rFonts w:ascii="宋体"/>
              </w:rPr>
            </w:pPr>
          </w:p>
        </w:tc>
        <w:tc>
          <w:tcPr>
            <w:tcW w:w="0" w:type="auto"/>
            <w:shd w:val="clear" w:color="auto" w:fill="auto"/>
          </w:tcPr>
          <w:p w14:paraId="0D8DFEE7" w14:textId="77777777" w:rsidR="004C2197" w:rsidRDefault="004C2197">
            <w:pPr>
              <w:rPr>
                <w:rFonts w:ascii="宋体"/>
              </w:rPr>
            </w:pPr>
          </w:p>
        </w:tc>
        <w:tc>
          <w:tcPr>
            <w:tcW w:w="0" w:type="auto"/>
            <w:shd w:val="clear" w:color="auto" w:fill="auto"/>
          </w:tcPr>
          <w:p w14:paraId="0D8DFEE8" w14:textId="77777777" w:rsidR="004C2197" w:rsidRDefault="004C2197">
            <w:pPr>
              <w:rPr>
                <w:rFonts w:ascii="宋体"/>
              </w:rPr>
            </w:pPr>
          </w:p>
        </w:tc>
        <w:tc>
          <w:tcPr>
            <w:tcW w:w="0" w:type="auto"/>
            <w:shd w:val="clear" w:color="auto" w:fill="auto"/>
          </w:tcPr>
          <w:p w14:paraId="0D8DFEE9" w14:textId="77777777" w:rsidR="004C2197" w:rsidRDefault="004C2197">
            <w:pPr>
              <w:rPr>
                <w:rFonts w:ascii="宋体"/>
              </w:rPr>
            </w:pPr>
          </w:p>
        </w:tc>
        <w:tc>
          <w:tcPr>
            <w:tcW w:w="0" w:type="auto"/>
            <w:shd w:val="clear" w:color="auto" w:fill="auto"/>
          </w:tcPr>
          <w:p w14:paraId="0D8DFEEA" w14:textId="77777777" w:rsidR="004C2197" w:rsidRDefault="004C2197">
            <w:pPr>
              <w:rPr>
                <w:rFonts w:ascii="宋体"/>
              </w:rPr>
            </w:pPr>
          </w:p>
        </w:tc>
        <w:tc>
          <w:tcPr>
            <w:tcW w:w="0" w:type="auto"/>
            <w:shd w:val="clear" w:color="auto" w:fill="auto"/>
          </w:tcPr>
          <w:p w14:paraId="0D8DFEEB" w14:textId="77777777" w:rsidR="004C2197" w:rsidRDefault="004C2197">
            <w:pPr>
              <w:rPr>
                <w:rFonts w:ascii="宋体"/>
              </w:rPr>
            </w:pPr>
          </w:p>
        </w:tc>
        <w:tc>
          <w:tcPr>
            <w:tcW w:w="0" w:type="auto"/>
            <w:shd w:val="clear" w:color="auto" w:fill="auto"/>
          </w:tcPr>
          <w:p w14:paraId="0D8DFEEC" w14:textId="77777777" w:rsidR="004C2197" w:rsidRDefault="004C2197">
            <w:pPr>
              <w:rPr>
                <w:rFonts w:ascii="宋体"/>
              </w:rPr>
            </w:pPr>
          </w:p>
        </w:tc>
        <w:tc>
          <w:tcPr>
            <w:tcW w:w="0" w:type="auto"/>
            <w:shd w:val="clear" w:color="auto" w:fill="auto"/>
          </w:tcPr>
          <w:p w14:paraId="0D8DFEED" w14:textId="77777777" w:rsidR="004C2197" w:rsidRDefault="004C2197">
            <w:pPr>
              <w:rPr>
                <w:rFonts w:ascii="宋体"/>
              </w:rPr>
            </w:pPr>
          </w:p>
        </w:tc>
        <w:tc>
          <w:tcPr>
            <w:tcW w:w="0" w:type="auto"/>
            <w:shd w:val="clear" w:color="auto" w:fill="auto"/>
          </w:tcPr>
          <w:p w14:paraId="0D8DFEEE" w14:textId="77777777" w:rsidR="004C2197" w:rsidRDefault="004C2197">
            <w:pPr>
              <w:rPr>
                <w:rFonts w:ascii="宋体"/>
              </w:rPr>
            </w:pPr>
          </w:p>
        </w:tc>
        <w:tc>
          <w:tcPr>
            <w:tcW w:w="0" w:type="auto"/>
            <w:shd w:val="clear" w:color="auto" w:fill="auto"/>
          </w:tcPr>
          <w:p w14:paraId="0D8DFEEF" w14:textId="77777777" w:rsidR="004C2197" w:rsidRDefault="004C2197">
            <w:pPr>
              <w:rPr>
                <w:rFonts w:ascii="宋体"/>
              </w:rPr>
            </w:pPr>
          </w:p>
        </w:tc>
        <w:tc>
          <w:tcPr>
            <w:tcW w:w="0" w:type="auto"/>
            <w:shd w:val="clear" w:color="auto" w:fill="auto"/>
          </w:tcPr>
          <w:p w14:paraId="0D8DFEF0" w14:textId="77777777" w:rsidR="004C2197" w:rsidRDefault="004C2197">
            <w:pPr>
              <w:rPr>
                <w:rFonts w:ascii="宋体"/>
              </w:rPr>
            </w:pPr>
          </w:p>
        </w:tc>
        <w:tc>
          <w:tcPr>
            <w:tcW w:w="0" w:type="auto"/>
            <w:shd w:val="clear" w:color="auto" w:fill="auto"/>
          </w:tcPr>
          <w:p w14:paraId="0D8DFEF1" w14:textId="77777777" w:rsidR="004C2197" w:rsidRDefault="004C2197">
            <w:pPr>
              <w:rPr>
                <w:rFonts w:ascii="宋体"/>
              </w:rPr>
            </w:pPr>
          </w:p>
        </w:tc>
        <w:tc>
          <w:tcPr>
            <w:tcW w:w="0" w:type="auto"/>
            <w:shd w:val="clear" w:color="auto" w:fill="auto"/>
          </w:tcPr>
          <w:p w14:paraId="0D8DFEF2" w14:textId="77777777" w:rsidR="004C2197" w:rsidRDefault="004C2197">
            <w:pPr>
              <w:rPr>
                <w:rFonts w:ascii="宋体"/>
              </w:rPr>
            </w:pPr>
          </w:p>
        </w:tc>
        <w:tc>
          <w:tcPr>
            <w:tcW w:w="0" w:type="auto"/>
            <w:shd w:val="clear" w:color="auto" w:fill="auto"/>
          </w:tcPr>
          <w:p w14:paraId="0D8DFEF3" w14:textId="77777777" w:rsidR="004C2197" w:rsidRDefault="004C2197">
            <w:pPr>
              <w:rPr>
                <w:rFonts w:ascii="宋体"/>
              </w:rPr>
            </w:pPr>
          </w:p>
        </w:tc>
        <w:tc>
          <w:tcPr>
            <w:tcW w:w="0" w:type="auto"/>
            <w:shd w:val="clear" w:color="auto" w:fill="auto"/>
          </w:tcPr>
          <w:p w14:paraId="0D8DFEF4" w14:textId="77777777" w:rsidR="004C2197" w:rsidRDefault="004C2197">
            <w:pPr>
              <w:rPr>
                <w:rFonts w:ascii="宋体"/>
              </w:rPr>
            </w:pPr>
          </w:p>
        </w:tc>
        <w:tc>
          <w:tcPr>
            <w:tcW w:w="0" w:type="auto"/>
            <w:shd w:val="clear" w:color="auto" w:fill="auto"/>
          </w:tcPr>
          <w:p w14:paraId="0D8DFEF5" w14:textId="77777777" w:rsidR="004C2197" w:rsidRDefault="004C2197">
            <w:pPr>
              <w:rPr>
                <w:rFonts w:ascii="宋体"/>
              </w:rPr>
            </w:pPr>
          </w:p>
        </w:tc>
      </w:tr>
      <w:tr w:rsidR="004C2197" w14:paraId="0D8DFF19" w14:textId="77777777">
        <w:tc>
          <w:tcPr>
            <w:tcW w:w="0" w:type="auto"/>
            <w:gridSpan w:val="3"/>
            <w:shd w:val="clear" w:color="auto" w:fill="FFFFFF"/>
            <w:tcMar>
              <w:top w:w="40" w:type="dxa"/>
              <w:left w:w="20" w:type="dxa"/>
              <w:bottom w:w="40" w:type="dxa"/>
              <w:right w:w="20" w:type="dxa"/>
            </w:tcMar>
            <w:vAlign w:val="bottom"/>
          </w:tcPr>
          <w:p w14:paraId="0D8DFEF7"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0D8DFEF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F9" w14:textId="77777777" w:rsidR="004C2197" w:rsidRDefault="00863B83">
            <w:pPr>
              <w:jc w:val="right"/>
              <w:textAlignment w:val="bottom"/>
            </w:pPr>
            <w:r>
              <w:rPr>
                <w:rFonts w:ascii="sans-serif" w:eastAsia="sans-serif" w:hAnsi="sans-serif" w:cs="sans-serif"/>
                <w:color w:val="000000"/>
                <w:sz w:val="20"/>
                <w:szCs w:val="20"/>
              </w:rPr>
              <w:t>1,803 </w:t>
            </w:r>
          </w:p>
        </w:tc>
        <w:tc>
          <w:tcPr>
            <w:tcW w:w="0" w:type="auto"/>
            <w:shd w:val="clear" w:color="auto" w:fill="FFFFFF"/>
            <w:tcMar>
              <w:top w:w="40" w:type="dxa"/>
              <w:bottom w:w="40" w:type="dxa"/>
              <w:right w:w="20" w:type="dxa"/>
            </w:tcMar>
            <w:vAlign w:val="bottom"/>
          </w:tcPr>
          <w:p w14:paraId="0D8DFEF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EFB"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EF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EFD" w14:textId="77777777" w:rsidR="004C2197" w:rsidRDefault="00863B83">
            <w:pPr>
              <w:jc w:val="right"/>
              <w:textAlignment w:val="bottom"/>
            </w:pPr>
            <w:r>
              <w:rPr>
                <w:rFonts w:ascii="sans-serif" w:eastAsia="sans-serif" w:hAnsi="sans-serif" w:cs="sans-serif"/>
                <w:color w:val="000000"/>
                <w:sz w:val="20"/>
                <w:szCs w:val="20"/>
              </w:rPr>
              <w:t>776 </w:t>
            </w:r>
          </w:p>
        </w:tc>
        <w:tc>
          <w:tcPr>
            <w:tcW w:w="0" w:type="auto"/>
            <w:shd w:val="clear" w:color="auto" w:fill="FFFFFF"/>
            <w:tcMar>
              <w:top w:w="40" w:type="dxa"/>
              <w:bottom w:w="40" w:type="dxa"/>
              <w:right w:w="20" w:type="dxa"/>
            </w:tcMar>
            <w:vAlign w:val="bottom"/>
          </w:tcPr>
          <w:p w14:paraId="0D8DFEF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EFF"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F0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01"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F0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F03"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F0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05"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shd w:val="clear" w:color="auto" w:fill="FFFFFF"/>
            <w:tcMar>
              <w:top w:w="40" w:type="dxa"/>
              <w:bottom w:w="40" w:type="dxa"/>
              <w:right w:w="20" w:type="dxa"/>
            </w:tcMar>
            <w:vAlign w:val="bottom"/>
          </w:tcPr>
          <w:p w14:paraId="0D8DFF06" w14:textId="77777777" w:rsidR="004C2197" w:rsidRDefault="004C2197">
            <w:pPr>
              <w:jc w:val="right"/>
              <w:rPr>
                <w:rFonts w:ascii="宋体"/>
              </w:rPr>
            </w:pPr>
          </w:p>
        </w:tc>
        <w:tc>
          <w:tcPr>
            <w:tcW w:w="0" w:type="auto"/>
            <w:shd w:val="clear" w:color="auto" w:fill="auto"/>
          </w:tcPr>
          <w:p w14:paraId="0D8DFF07" w14:textId="77777777" w:rsidR="004C2197" w:rsidRDefault="004C2197">
            <w:pPr>
              <w:rPr>
                <w:rFonts w:ascii="宋体"/>
              </w:rPr>
            </w:pPr>
          </w:p>
        </w:tc>
        <w:tc>
          <w:tcPr>
            <w:tcW w:w="0" w:type="auto"/>
            <w:shd w:val="clear" w:color="auto" w:fill="auto"/>
          </w:tcPr>
          <w:p w14:paraId="0D8DFF08" w14:textId="77777777" w:rsidR="004C2197" w:rsidRDefault="004C2197">
            <w:pPr>
              <w:rPr>
                <w:rFonts w:ascii="宋体"/>
              </w:rPr>
            </w:pPr>
          </w:p>
        </w:tc>
        <w:tc>
          <w:tcPr>
            <w:tcW w:w="0" w:type="auto"/>
            <w:shd w:val="clear" w:color="auto" w:fill="auto"/>
          </w:tcPr>
          <w:p w14:paraId="0D8DFF09" w14:textId="77777777" w:rsidR="004C2197" w:rsidRDefault="004C2197">
            <w:pPr>
              <w:rPr>
                <w:rFonts w:ascii="宋体"/>
              </w:rPr>
            </w:pPr>
          </w:p>
        </w:tc>
        <w:tc>
          <w:tcPr>
            <w:tcW w:w="0" w:type="auto"/>
            <w:shd w:val="clear" w:color="auto" w:fill="auto"/>
          </w:tcPr>
          <w:p w14:paraId="0D8DFF0A" w14:textId="77777777" w:rsidR="004C2197" w:rsidRDefault="004C2197">
            <w:pPr>
              <w:rPr>
                <w:rFonts w:ascii="宋体"/>
              </w:rPr>
            </w:pPr>
          </w:p>
        </w:tc>
        <w:tc>
          <w:tcPr>
            <w:tcW w:w="0" w:type="auto"/>
            <w:shd w:val="clear" w:color="auto" w:fill="auto"/>
          </w:tcPr>
          <w:p w14:paraId="0D8DFF0B" w14:textId="77777777" w:rsidR="004C2197" w:rsidRDefault="004C2197">
            <w:pPr>
              <w:rPr>
                <w:rFonts w:ascii="宋体"/>
              </w:rPr>
            </w:pPr>
          </w:p>
        </w:tc>
        <w:tc>
          <w:tcPr>
            <w:tcW w:w="0" w:type="auto"/>
            <w:shd w:val="clear" w:color="auto" w:fill="auto"/>
          </w:tcPr>
          <w:p w14:paraId="0D8DFF0C" w14:textId="77777777" w:rsidR="004C2197" w:rsidRDefault="004C2197">
            <w:pPr>
              <w:rPr>
                <w:rFonts w:ascii="宋体"/>
              </w:rPr>
            </w:pPr>
          </w:p>
        </w:tc>
        <w:tc>
          <w:tcPr>
            <w:tcW w:w="0" w:type="auto"/>
            <w:shd w:val="clear" w:color="auto" w:fill="auto"/>
          </w:tcPr>
          <w:p w14:paraId="0D8DFF0D" w14:textId="77777777" w:rsidR="004C2197" w:rsidRDefault="004C2197">
            <w:pPr>
              <w:rPr>
                <w:rFonts w:ascii="宋体"/>
              </w:rPr>
            </w:pPr>
          </w:p>
        </w:tc>
        <w:tc>
          <w:tcPr>
            <w:tcW w:w="0" w:type="auto"/>
            <w:shd w:val="clear" w:color="auto" w:fill="auto"/>
          </w:tcPr>
          <w:p w14:paraId="0D8DFF0E" w14:textId="77777777" w:rsidR="004C2197" w:rsidRDefault="004C2197">
            <w:pPr>
              <w:rPr>
                <w:rFonts w:ascii="宋体"/>
              </w:rPr>
            </w:pPr>
          </w:p>
        </w:tc>
        <w:tc>
          <w:tcPr>
            <w:tcW w:w="0" w:type="auto"/>
            <w:shd w:val="clear" w:color="auto" w:fill="auto"/>
          </w:tcPr>
          <w:p w14:paraId="0D8DFF0F" w14:textId="77777777" w:rsidR="004C2197" w:rsidRDefault="004C2197">
            <w:pPr>
              <w:rPr>
                <w:rFonts w:ascii="宋体"/>
              </w:rPr>
            </w:pPr>
          </w:p>
        </w:tc>
        <w:tc>
          <w:tcPr>
            <w:tcW w:w="0" w:type="auto"/>
            <w:shd w:val="clear" w:color="auto" w:fill="auto"/>
          </w:tcPr>
          <w:p w14:paraId="0D8DFF10" w14:textId="77777777" w:rsidR="004C2197" w:rsidRDefault="004C2197">
            <w:pPr>
              <w:rPr>
                <w:rFonts w:ascii="宋体"/>
              </w:rPr>
            </w:pPr>
          </w:p>
        </w:tc>
        <w:tc>
          <w:tcPr>
            <w:tcW w:w="0" w:type="auto"/>
            <w:shd w:val="clear" w:color="auto" w:fill="auto"/>
          </w:tcPr>
          <w:p w14:paraId="0D8DFF11" w14:textId="77777777" w:rsidR="004C2197" w:rsidRDefault="004C2197">
            <w:pPr>
              <w:rPr>
                <w:rFonts w:ascii="宋体"/>
              </w:rPr>
            </w:pPr>
          </w:p>
        </w:tc>
        <w:tc>
          <w:tcPr>
            <w:tcW w:w="0" w:type="auto"/>
            <w:shd w:val="clear" w:color="auto" w:fill="auto"/>
          </w:tcPr>
          <w:p w14:paraId="0D8DFF12" w14:textId="77777777" w:rsidR="004C2197" w:rsidRDefault="004C2197">
            <w:pPr>
              <w:rPr>
                <w:rFonts w:ascii="宋体"/>
              </w:rPr>
            </w:pPr>
          </w:p>
        </w:tc>
        <w:tc>
          <w:tcPr>
            <w:tcW w:w="0" w:type="auto"/>
            <w:shd w:val="clear" w:color="auto" w:fill="auto"/>
          </w:tcPr>
          <w:p w14:paraId="0D8DFF13" w14:textId="77777777" w:rsidR="004C2197" w:rsidRDefault="004C2197">
            <w:pPr>
              <w:rPr>
                <w:rFonts w:ascii="宋体"/>
              </w:rPr>
            </w:pPr>
          </w:p>
        </w:tc>
        <w:tc>
          <w:tcPr>
            <w:tcW w:w="0" w:type="auto"/>
            <w:shd w:val="clear" w:color="auto" w:fill="auto"/>
          </w:tcPr>
          <w:p w14:paraId="0D8DFF14" w14:textId="77777777" w:rsidR="004C2197" w:rsidRDefault="004C2197">
            <w:pPr>
              <w:rPr>
                <w:rFonts w:ascii="宋体"/>
              </w:rPr>
            </w:pPr>
          </w:p>
        </w:tc>
        <w:tc>
          <w:tcPr>
            <w:tcW w:w="0" w:type="auto"/>
            <w:shd w:val="clear" w:color="auto" w:fill="auto"/>
          </w:tcPr>
          <w:p w14:paraId="0D8DFF15" w14:textId="77777777" w:rsidR="004C2197" w:rsidRDefault="004C2197">
            <w:pPr>
              <w:rPr>
                <w:rFonts w:ascii="宋体"/>
              </w:rPr>
            </w:pPr>
          </w:p>
        </w:tc>
        <w:tc>
          <w:tcPr>
            <w:tcW w:w="0" w:type="auto"/>
            <w:shd w:val="clear" w:color="auto" w:fill="auto"/>
          </w:tcPr>
          <w:p w14:paraId="0D8DFF16" w14:textId="77777777" w:rsidR="004C2197" w:rsidRDefault="004C2197">
            <w:pPr>
              <w:rPr>
                <w:rFonts w:ascii="宋体"/>
              </w:rPr>
            </w:pPr>
          </w:p>
        </w:tc>
        <w:tc>
          <w:tcPr>
            <w:tcW w:w="0" w:type="auto"/>
            <w:shd w:val="clear" w:color="auto" w:fill="auto"/>
          </w:tcPr>
          <w:p w14:paraId="0D8DFF17" w14:textId="77777777" w:rsidR="004C2197" w:rsidRDefault="004C2197">
            <w:pPr>
              <w:rPr>
                <w:rFonts w:ascii="宋体"/>
              </w:rPr>
            </w:pPr>
          </w:p>
        </w:tc>
        <w:tc>
          <w:tcPr>
            <w:tcW w:w="0" w:type="auto"/>
            <w:shd w:val="clear" w:color="auto" w:fill="auto"/>
          </w:tcPr>
          <w:p w14:paraId="0D8DFF18" w14:textId="77777777" w:rsidR="004C2197" w:rsidRDefault="004C2197">
            <w:pPr>
              <w:rPr>
                <w:rFonts w:ascii="宋体"/>
              </w:rPr>
            </w:pPr>
          </w:p>
        </w:tc>
      </w:tr>
      <w:tr w:rsidR="004C2197" w14:paraId="0D8DFF34" w14:textId="77777777">
        <w:trPr>
          <w:hidden/>
        </w:trPr>
        <w:tc>
          <w:tcPr>
            <w:tcW w:w="0" w:type="auto"/>
            <w:gridSpan w:val="3"/>
            <w:shd w:val="clear" w:color="auto" w:fill="auto"/>
          </w:tcPr>
          <w:p w14:paraId="0D8DFF1A" w14:textId="77777777" w:rsidR="004C2197" w:rsidRDefault="004C2197">
            <w:pPr>
              <w:rPr>
                <w:rFonts w:ascii="宋体"/>
                <w:vanish/>
              </w:rPr>
            </w:pPr>
          </w:p>
        </w:tc>
        <w:tc>
          <w:tcPr>
            <w:tcW w:w="0" w:type="auto"/>
            <w:gridSpan w:val="3"/>
            <w:shd w:val="clear" w:color="auto" w:fill="auto"/>
          </w:tcPr>
          <w:p w14:paraId="0D8DFF1B" w14:textId="77777777" w:rsidR="004C2197" w:rsidRDefault="004C2197">
            <w:pPr>
              <w:rPr>
                <w:rFonts w:ascii="宋体"/>
                <w:vanish/>
              </w:rPr>
            </w:pPr>
          </w:p>
        </w:tc>
        <w:tc>
          <w:tcPr>
            <w:tcW w:w="0" w:type="auto"/>
            <w:gridSpan w:val="3"/>
            <w:shd w:val="clear" w:color="auto" w:fill="auto"/>
          </w:tcPr>
          <w:p w14:paraId="0D8DFF1C" w14:textId="77777777" w:rsidR="004C2197" w:rsidRDefault="004C2197">
            <w:pPr>
              <w:rPr>
                <w:rFonts w:ascii="宋体"/>
                <w:vanish/>
              </w:rPr>
            </w:pPr>
          </w:p>
        </w:tc>
        <w:tc>
          <w:tcPr>
            <w:tcW w:w="0" w:type="auto"/>
            <w:gridSpan w:val="3"/>
            <w:shd w:val="clear" w:color="auto" w:fill="auto"/>
          </w:tcPr>
          <w:p w14:paraId="0D8DFF1D" w14:textId="77777777" w:rsidR="004C2197" w:rsidRDefault="004C2197">
            <w:pPr>
              <w:rPr>
                <w:rFonts w:ascii="宋体"/>
                <w:vanish/>
              </w:rPr>
            </w:pPr>
          </w:p>
        </w:tc>
        <w:tc>
          <w:tcPr>
            <w:tcW w:w="0" w:type="auto"/>
            <w:gridSpan w:val="3"/>
            <w:shd w:val="clear" w:color="auto" w:fill="auto"/>
          </w:tcPr>
          <w:p w14:paraId="0D8DFF1E" w14:textId="77777777" w:rsidR="004C2197" w:rsidRDefault="004C2197">
            <w:pPr>
              <w:rPr>
                <w:rFonts w:ascii="宋体"/>
                <w:vanish/>
              </w:rPr>
            </w:pPr>
          </w:p>
        </w:tc>
        <w:tc>
          <w:tcPr>
            <w:tcW w:w="0" w:type="auto"/>
            <w:gridSpan w:val="3"/>
            <w:shd w:val="clear" w:color="auto" w:fill="auto"/>
          </w:tcPr>
          <w:p w14:paraId="0D8DFF1F" w14:textId="77777777" w:rsidR="004C2197" w:rsidRDefault="004C2197">
            <w:pPr>
              <w:rPr>
                <w:rFonts w:ascii="宋体"/>
                <w:vanish/>
              </w:rPr>
            </w:pPr>
          </w:p>
        </w:tc>
        <w:tc>
          <w:tcPr>
            <w:tcW w:w="0" w:type="auto"/>
            <w:gridSpan w:val="3"/>
            <w:shd w:val="clear" w:color="auto" w:fill="auto"/>
          </w:tcPr>
          <w:p w14:paraId="0D8DFF20" w14:textId="77777777" w:rsidR="004C2197" w:rsidRDefault="004C2197">
            <w:pPr>
              <w:rPr>
                <w:rFonts w:ascii="宋体"/>
                <w:vanish/>
              </w:rPr>
            </w:pPr>
          </w:p>
        </w:tc>
        <w:tc>
          <w:tcPr>
            <w:tcW w:w="0" w:type="auto"/>
            <w:gridSpan w:val="3"/>
            <w:shd w:val="clear" w:color="auto" w:fill="auto"/>
          </w:tcPr>
          <w:p w14:paraId="0D8DFF21" w14:textId="77777777" w:rsidR="004C2197" w:rsidRDefault="004C2197">
            <w:pPr>
              <w:rPr>
                <w:rFonts w:ascii="宋体"/>
                <w:vanish/>
              </w:rPr>
            </w:pPr>
          </w:p>
        </w:tc>
        <w:tc>
          <w:tcPr>
            <w:tcW w:w="0" w:type="auto"/>
            <w:shd w:val="clear" w:color="auto" w:fill="auto"/>
          </w:tcPr>
          <w:p w14:paraId="0D8DFF22" w14:textId="77777777" w:rsidR="004C2197" w:rsidRDefault="004C2197">
            <w:pPr>
              <w:rPr>
                <w:rFonts w:ascii="宋体"/>
              </w:rPr>
            </w:pPr>
          </w:p>
        </w:tc>
        <w:tc>
          <w:tcPr>
            <w:tcW w:w="0" w:type="auto"/>
            <w:shd w:val="clear" w:color="auto" w:fill="auto"/>
          </w:tcPr>
          <w:p w14:paraId="0D8DFF23" w14:textId="77777777" w:rsidR="004C2197" w:rsidRDefault="004C2197">
            <w:pPr>
              <w:rPr>
                <w:rFonts w:ascii="宋体"/>
              </w:rPr>
            </w:pPr>
          </w:p>
        </w:tc>
        <w:tc>
          <w:tcPr>
            <w:tcW w:w="0" w:type="auto"/>
            <w:shd w:val="clear" w:color="auto" w:fill="auto"/>
          </w:tcPr>
          <w:p w14:paraId="0D8DFF24" w14:textId="77777777" w:rsidR="004C2197" w:rsidRDefault="004C2197">
            <w:pPr>
              <w:rPr>
                <w:rFonts w:ascii="宋体"/>
              </w:rPr>
            </w:pPr>
          </w:p>
        </w:tc>
        <w:tc>
          <w:tcPr>
            <w:tcW w:w="0" w:type="auto"/>
            <w:shd w:val="clear" w:color="auto" w:fill="auto"/>
          </w:tcPr>
          <w:p w14:paraId="0D8DFF25" w14:textId="77777777" w:rsidR="004C2197" w:rsidRDefault="004C2197">
            <w:pPr>
              <w:rPr>
                <w:rFonts w:ascii="宋体"/>
              </w:rPr>
            </w:pPr>
          </w:p>
        </w:tc>
        <w:tc>
          <w:tcPr>
            <w:tcW w:w="0" w:type="auto"/>
            <w:shd w:val="clear" w:color="auto" w:fill="auto"/>
          </w:tcPr>
          <w:p w14:paraId="0D8DFF26" w14:textId="77777777" w:rsidR="004C2197" w:rsidRDefault="004C2197">
            <w:pPr>
              <w:rPr>
                <w:rFonts w:ascii="宋体"/>
              </w:rPr>
            </w:pPr>
          </w:p>
        </w:tc>
        <w:tc>
          <w:tcPr>
            <w:tcW w:w="0" w:type="auto"/>
            <w:shd w:val="clear" w:color="auto" w:fill="auto"/>
          </w:tcPr>
          <w:p w14:paraId="0D8DFF27" w14:textId="77777777" w:rsidR="004C2197" w:rsidRDefault="004C2197">
            <w:pPr>
              <w:rPr>
                <w:rFonts w:ascii="宋体"/>
              </w:rPr>
            </w:pPr>
          </w:p>
        </w:tc>
        <w:tc>
          <w:tcPr>
            <w:tcW w:w="0" w:type="auto"/>
            <w:shd w:val="clear" w:color="auto" w:fill="auto"/>
          </w:tcPr>
          <w:p w14:paraId="0D8DFF28" w14:textId="77777777" w:rsidR="004C2197" w:rsidRDefault="004C2197">
            <w:pPr>
              <w:rPr>
                <w:rFonts w:ascii="宋体"/>
              </w:rPr>
            </w:pPr>
          </w:p>
        </w:tc>
        <w:tc>
          <w:tcPr>
            <w:tcW w:w="0" w:type="auto"/>
            <w:shd w:val="clear" w:color="auto" w:fill="auto"/>
          </w:tcPr>
          <w:p w14:paraId="0D8DFF29" w14:textId="77777777" w:rsidR="004C2197" w:rsidRDefault="004C2197">
            <w:pPr>
              <w:rPr>
                <w:rFonts w:ascii="宋体"/>
              </w:rPr>
            </w:pPr>
          </w:p>
        </w:tc>
        <w:tc>
          <w:tcPr>
            <w:tcW w:w="0" w:type="auto"/>
            <w:shd w:val="clear" w:color="auto" w:fill="auto"/>
          </w:tcPr>
          <w:p w14:paraId="0D8DFF2A" w14:textId="77777777" w:rsidR="004C2197" w:rsidRDefault="004C2197">
            <w:pPr>
              <w:rPr>
                <w:rFonts w:ascii="宋体"/>
              </w:rPr>
            </w:pPr>
          </w:p>
        </w:tc>
        <w:tc>
          <w:tcPr>
            <w:tcW w:w="0" w:type="auto"/>
            <w:shd w:val="clear" w:color="auto" w:fill="auto"/>
          </w:tcPr>
          <w:p w14:paraId="0D8DFF2B" w14:textId="77777777" w:rsidR="004C2197" w:rsidRDefault="004C2197">
            <w:pPr>
              <w:rPr>
                <w:rFonts w:ascii="宋体"/>
              </w:rPr>
            </w:pPr>
          </w:p>
        </w:tc>
        <w:tc>
          <w:tcPr>
            <w:tcW w:w="0" w:type="auto"/>
            <w:shd w:val="clear" w:color="auto" w:fill="auto"/>
          </w:tcPr>
          <w:p w14:paraId="0D8DFF2C" w14:textId="77777777" w:rsidR="004C2197" w:rsidRDefault="004C2197">
            <w:pPr>
              <w:rPr>
                <w:rFonts w:ascii="宋体"/>
              </w:rPr>
            </w:pPr>
          </w:p>
        </w:tc>
        <w:tc>
          <w:tcPr>
            <w:tcW w:w="0" w:type="auto"/>
            <w:shd w:val="clear" w:color="auto" w:fill="auto"/>
          </w:tcPr>
          <w:p w14:paraId="0D8DFF2D" w14:textId="77777777" w:rsidR="004C2197" w:rsidRDefault="004C2197">
            <w:pPr>
              <w:rPr>
                <w:rFonts w:ascii="宋体"/>
              </w:rPr>
            </w:pPr>
          </w:p>
        </w:tc>
        <w:tc>
          <w:tcPr>
            <w:tcW w:w="0" w:type="auto"/>
            <w:shd w:val="clear" w:color="auto" w:fill="auto"/>
          </w:tcPr>
          <w:p w14:paraId="0D8DFF2E" w14:textId="77777777" w:rsidR="004C2197" w:rsidRDefault="004C2197">
            <w:pPr>
              <w:rPr>
                <w:rFonts w:ascii="宋体"/>
              </w:rPr>
            </w:pPr>
          </w:p>
        </w:tc>
        <w:tc>
          <w:tcPr>
            <w:tcW w:w="0" w:type="auto"/>
            <w:shd w:val="clear" w:color="auto" w:fill="auto"/>
          </w:tcPr>
          <w:p w14:paraId="0D8DFF2F" w14:textId="77777777" w:rsidR="004C2197" w:rsidRDefault="004C2197">
            <w:pPr>
              <w:rPr>
                <w:rFonts w:ascii="宋体"/>
              </w:rPr>
            </w:pPr>
          </w:p>
        </w:tc>
        <w:tc>
          <w:tcPr>
            <w:tcW w:w="0" w:type="auto"/>
            <w:shd w:val="clear" w:color="auto" w:fill="auto"/>
          </w:tcPr>
          <w:p w14:paraId="0D8DFF30" w14:textId="77777777" w:rsidR="004C2197" w:rsidRDefault="004C2197">
            <w:pPr>
              <w:rPr>
                <w:rFonts w:ascii="宋体"/>
              </w:rPr>
            </w:pPr>
          </w:p>
        </w:tc>
        <w:tc>
          <w:tcPr>
            <w:tcW w:w="0" w:type="auto"/>
            <w:shd w:val="clear" w:color="auto" w:fill="auto"/>
          </w:tcPr>
          <w:p w14:paraId="0D8DFF31" w14:textId="77777777" w:rsidR="004C2197" w:rsidRDefault="004C2197">
            <w:pPr>
              <w:rPr>
                <w:rFonts w:ascii="宋体"/>
              </w:rPr>
            </w:pPr>
          </w:p>
        </w:tc>
        <w:tc>
          <w:tcPr>
            <w:tcW w:w="0" w:type="auto"/>
            <w:shd w:val="clear" w:color="auto" w:fill="auto"/>
          </w:tcPr>
          <w:p w14:paraId="0D8DFF32" w14:textId="77777777" w:rsidR="004C2197" w:rsidRDefault="004C2197">
            <w:pPr>
              <w:rPr>
                <w:rFonts w:ascii="宋体"/>
              </w:rPr>
            </w:pPr>
          </w:p>
        </w:tc>
        <w:tc>
          <w:tcPr>
            <w:tcW w:w="0" w:type="auto"/>
            <w:shd w:val="clear" w:color="auto" w:fill="auto"/>
          </w:tcPr>
          <w:p w14:paraId="0D8DFF33" w14:textId="77777777" w:rsidR="004C2197" w:rsidRDefault="004C2197">
            <w:pPr>
              <w:rPr>
                <w:rFonts w:ascii="宋体"/>
              </w:rPr>
            </w:pPr>
          </w:p>
        </w:tc>
      </w:tr>
      <w:tr w:rsidR="004C2197" w14:paraId="0D8DFF57" w14:textId="77777777">
        <w:tc>
          <w:tcPr>
            <w:tcW w:w="0" w:type="auto"/>
            <w:gridSpan w:val="3"/>
            <w:shd w:val="clear" w:color="auto" w:fill="E2EFD9"/>
            <w:tcMar>
              <w:top w:w="40" w:type="dxa"/>
              <w:left w:w="20" w:type="dxa"/>
              <w:bottom w:w="40" w:type="dxa"/>
              <w:right w:w="20" w:type="dxa"/>
            </w:tcMar>
            <w:vAlign w:val="bottom"/>
          </w:tcPr>
          <w:p w14:paraId="0D8DFF35" w14:textId="77777777" w:rsidR="004C2197" w:rsidRDefault="00863B83">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0D8DFF3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37" w14:textId="77777777" w:rsidR="004C2197" w:rsidRDefault="00863B83">
            <w:pPr>
              <w:jc w:val="right"/>
              <w:textAlignment w:val="bottom"/>
            </w:pPr>
            <w:r>
              <w:rPr>
                <w:rFonts w:ascii="sans-serif" w:eastAsia="sans-serif" w:hAnsi="sans-serif" w:cs="sans-serif"/>
                <w:color w:val="000000"/>
                <w:sz w:val="20"/>
                <w:szCs w:val="20"/>
              </w:rPr>
              <w:t>707 </w:t>
            </w:r>
          </w:p>
        </w:tc>
        <w:tc>
          <w:tcPr>
            <w:tcW w:w="0" w:type="auto"/>
            <w:shd w:val="clear" w:color="auto" w:fill="E2EFD9"/>
            <w:tcMar>
              <w:top w:w="40" w:type="dxa"/>
              <w:bottom w:w="40" w:type="dxa"/>
              <w:right w:w="20" w:type="dxa"/>
            </w:tcMar>
            <w:vAlign w:val="bottom"/>
          </w:tcPr>
          <w:p w14:paraId="0D8DFF3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39"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3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3B" w14:textId="77777777" w:rsidR="004C2197" w:rsidRDefault="00863B83">
            <w:pPr>
              <w:jc w:val="right"/>
              <w:textAlignment w:val="bottom"/>
            </w:pPr>
            <w:r>
              <w:rPr>
                <w:rFonts w:ascii="sans-serif" w:eastAsia="sans-serif" w:hAnsi="sans-serif" w:cs="sans-serif"/>
                <w:color w:val="000000"/>
                <w:sz w:val="20"/>
                <w:szCs w:val="20"/>
              </w:rPr>
              <w:t>164 </w:t>
            </w:r>
          </w:p>
        </w:tc>
        <w:tc>
          <w:tcPr>
            <w:tcW w:w="0" w:type="auto"/>
            <w:shd w:val="clear" w:color="auto" w:fill="E2EFD9"/>
            <w:tcMar>
              <w:top w:w="40" w:type="dxa"/>
              <w:bottom w:w="40" w:type="dxa"/>
              <w:right w:w="20" w:type="dxa"/>
            </w:tcMar>
            <w:vAlign w:val="bottom"/>
          </w:tcPr>
          <w:p w14:paraId="0D8DFF3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3D"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3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3F" w14:textId="77777777" w:rsidR="004C2197" w:rsidRDefault="00863B83">
            <w:pPr>
              <w:jc w:val="right"/>
              <w:textAlignment w:val="bottom"/>
            </w:pPr>
            <w:r>
              <w:rPr>
                <w:rFonts w:ascii="sans-serif" w:eastAsia="sans-serif" w:hAnsi="sans-serif" w:cs="sans-serif"/>
                <w:color w:val="000000"/>
                <w:sz w:val="20"/>
                <w:szCs w:val="20"/>
              </w:rPr>
              <w:t>(300)</w:t>
            </w:r>
          </w:p>
        </w:tc>
        <w:tc>
          <w:tcPr>
            <w:tcW w:w="0" w:type="auto"/>
            <w:shd w:val="clear" w:color="auto" w:fill="E2EFD9"/>
            <w:tcMar>
              <w:top w:w="40" w:type="dxa"/>
              <w:bottom w:w="40" w:type="dxa"/>
              <w:right w:w="20" w:type="dxa"/>
            </w:tcMar>
            <w:vAlign w:val="bottom"/>
          </w:tcPr>
          <w:p w14:paraId="0D8DFF4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41"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4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43" w14:textId="77777777" w:rsidR="004C2197" w:rsidRDefault="00863B83">
            <w:pPr>
              <w:jc w:val="right"/>
              <w:textAlignment w:val="bottom"/>
            </w:pPr>
            <w:r>
              <w:rPr>
                <w:rFonts w:ascii="sans-serif" w:eastAsia="sans-serif" w:hAnsi="sans-serif" w:cs="sans-serif"/>
                <w:color w:val="000000"/>
                <w:sz w:val="20"/>
                <w:szCs w:val="20"/>
              </w:rPr>
              <w:t>571 </w:t>
            </w:r>
          </w:p>
        </w:tc>
        <w:tc>
          <w:tcPr>
            <w:tcW w:w="0" w:type="auto"/>
            <w:shd w:val="clear" w:color="auto" w:fill="E2EFD9"/>
            <w:tcMar>
              <w:top w:w="40" w:type="dxa"/>
              <w:bottom w:w="40" w:type="dxa"/>
              <w:right w:w="20" w:type="dxa"/>
            </w:tcMar>
            <w:vAlign w:val="bottom"/>
          </w:tcPr>
          <w:p w14:paraId="0D8DFF44" w14:textId="77777777" w:rsidR="004C2197" w:rsidRDefault="004C2197">
            <w:pPr>
              <w:jc w:val="right"/>
              <w:rPr>
                <w:rFonts w:ascii="宋体"/>
              </w:rPr>
            </w:pPr>
          </w:p>
        </w:tc>
        <w:tc>
          <w:tcPr>
            <w:tcW w:w="0" w:type="auto"/>
            <w:shd w:val="clear" w:color="auto" w:fill="auto"/>
          </w:tcPr>
          <w:p w14:paraId="0D8DFF45" w14:textId="77777777" w:rsidR="004C2197" w:rsidRDefault="004C2197">
            <w:pPr>
              <w:rPr>
                <w:rFonts w:ascii="宋体"/>
              </w:rPr>
            </w:pPr>
          </w:p>
        </w:tc>
        <w:tc>
          <w:tcPr>
            <w:tcW w:w="0" w:type="auto"/>
            <w:shd w:val="clear" w:color="auto" w:fill="auto"/>
          </w:tcPr>
          <w:p w14:paraId="0D8DFF46" w14:textId="77777777" w:rsidR="004C2197" w:rsidRDefault="004C2197">
            <w:pPr>
              <w:rPr>
                <w:rFonts w:ascii="宋体"/>
              </w:rPr>
            </w:pPr>
          </w:p>
        </w:tc>
        <w:tc>
          <w:tcPr>
            <w:tcW w:w="0" w:type="auto"/>
            <w:shd w:val="clear" w:color="auto" w:fill="auto"/>
          </w:tcPr>
          <w:p w14:paraId="0D8DFF47" w14:textId="77777777" w:rsidR="004C2197" w:rsidRDefault="004C2197">
            <w:pPr>
              <w:rPr>
                <w:rFonts w:ascii="宋体"/>
              </w:rPr>
            </w:pPr>
          </w:p>
        </w:tc>
        <w:tc>
          <w:tcPr>
            <w:tcW w:w="0" w:type="auto"/>
            <w:shd w:val="clear" w:color="auto" w:fill="auto"/>
          </w:tcPr>
          <w:p w14:paraId="0D8DFF48" w14:textId="77777777" w:rsidR="004C2197" w:rsidRDefault="004C2197">
            <w:pPr>
              <w:rPr>
                <w:rFonts w:ascii="宋体"/>
              </w:rPr>
            </w:pPr>
          </w:p>
        </w:tc>
        <w:tc>
          <w:tcPr>
            <w:tcW w:w="0" w:type="auto"/>
            <w:shd w:val="clear" w:color="auto" w:fill="auto"/>
          </w:tcPr>
          <w:p w14:paraId="0D8DFF49" w14:textId="77777777" w:rsidR="004C2197" w:rsidRDefault="004C2197">
            <w:pPr>
              <w:rPr>
                <w:rFonts w:ascii="宋体"/>
              </w:rPr>
            </w:pPr>
          </w:p>
        </w:tc>
        <w:tc>
          <w:tcPr>
            <w:tcW w:w="0" w:type="auto"/>
            <w:shd w:val="clear" w:color="auto" w:fill="auto"/>
          </w:tcPr>
          <w:p w14:paraId="0D8DFF4A" w14:textId="77777777" w:rsidR="004C2197" w:rsidRDefault="004C2197">
            <w:pPr>
              <w:rPr>
                <w:rFonts w:ascii="宋体"/>
              </w:rPr>
            </w:pPr>
          </w:p>
        </w:tc>
        <w:tc>
          <w:tcPr>
            <w:tcW w:w="0" w:type="auto"/>
            <w:shd w:val="clear" w:color="auto" w:fill="auto"/>
          </w:tcPr>
          <w:p w14:paraId="0D8DFF4B" w14:textId="77777777" w:rsidR="004C2197" w:rsidRDefault="004C2197">
            <w:pPr>
              <w:rPr>
                <w:rFonts w:ascii="宋体"/>
              </w:rPr>
            </w:pPr>
          </w:p>
        </w:tc>
        <w:tc>
          <w:tcPr>
            <w:tcW w:w="0" w:type="auto"/>
            <w:shd w:val="clear" w:color="auto" w:fill="auto"/>
          </w:tcPr>
          <w:p w14:paraId="0D8DFF4C" w14:textId="77777777" w:rsidR="004C2197" w:rsidRDefault="004C2197">
            <w:pPr>
              <w:rPr>
                <w:rFonts w:ascii="宋体"/>
              </w:rPr>
            </w:pPr>
          </w:p>
        </w:tc>
        <w:tc>
          <w:tcPr>
            <w:tcW w:w="0" w:type="auto"/>
            <w:shd w:val="clear" w:color="auto" w:fill="auto"/>
          </w:tcPr>
          <w:p w14:paraId="0D8DFF4D" w14:textId="77777777" w:rsidR="004C2197" w:rsidRDefault="004C2197">
            <w:pPr>
              <w:rPr>
                <w:rFonts w:ascii="宋体"/>
              </w:rPr>
            </w:pPr>
          </w:p>
        </w:tc>
        <w:tc>
          <w:tcPr>
            <w:tcW w:w="0" w:type="auto"/>
            <w:shd w:val="clear" w:color="auto" w:fill="auto"/>
          </w:tcPr>
          <w:p w14:paraId="0D8DFF4E" w14:textId="77777777" w:rsidR="004C2197" w:rsidRDefault="004C2197">
            <w:pPr>
              <w:rPr>
                <w:rFonts w:ascii="宋体"/>
              </w:rPr>
            </w:pPr>
          </w:p>
        </w:tc>
        <w:tc>
          <w:tcPr>
            <w:tcW w:w="0" w:type="auto"/>
            <w:shd w:val="clear" w:color="auto" w:fill="auto"/>
          </w:tcPr>
          <w:p w14:paraId="0D8DFF4F" w14:textId="77777777" w:rsidR="004C2197" w:rsidRDefault="004C2197">
            <w:pPr>
              <w:rPr>
                <w:rFonts w:ascii="宋体"/>
              </w:rPr>
            </w:pPr>
          </w:p>
        </w:tc>
        <w:tc>
          <w:tcPr>
            <w:tcW w:w="0" w:type="auto"/>
            <w:shd w:val="clear" w:color="auto" w:fill="auto"/>
          </w:tcPr>
          <w:p w14:paraId="0D8DFF50" w14:textId="77777777" w:rsidR="004C2197" w:rsidRDefault="004C2197">
            <w:pPr>
              <w:rPr>
                <w:rFonts w:ascii="宋体"/>
              </w:rPr>
            </w:pPr>
          </w:p>
        </w:tc>
        <w:tc>
          <w:tcPr>
            <w:tcW w:w="0" w:type="auto"/>
            <w:shd w:val="clear" w:color="auto" w:fill="auto"/>
          </w:tcPr>
          <w:p w14:paraId="0D8DFF51" w14:textId="77777777" w:rsidR="004C2197" w:rsidRDefault="004C2197">
            <w:pPr>
              <w:rPr>
                <w:rFonts w:ascii="宋体"/>
              </w:rPr>
            </w:pPr>
          </w:p>
        </w:tc>
        <w:tc>
          <w:tcPr>
            <w:tcW w:w="0" w:type="auto"/>
            <w:shd w:val="clear" w:color="auto" w:fill="auto"/>
          </w:tcPr>
          <w:p w14:paraId="0D8DFF52" w14:textId="77777777" w:rsidR="004C2197" w:rsidRDefault="004C2197">
            <w:pPr>
              <w:rPr>
                <w:rFonts w:ascii="宋体"/>
              </w:rPr>
            </w:pPr>
          </w:p>
        </w:tc>
        <w:tc>
          <w:tcPr>
            <w:tcW w:w="0" w:type="auto"/>
            <w:shd w:val="clear" w:color="auto" w:fill="auto"/>
          </w:tcPr>
          <w:p w14:paraId="0D8DFF53" w14:textId="77777777" w:rsidR="004C2197" w:rsidRDefault="004C2197">
            <w:pPr>
              <w:rPr>
                <w:rFonts w:ascii="宋体"/>
              </w:rPr>
            </w:pPr>
          </w:p>
        </w:tc>
        <w:tc>
          <w:tcPr>
            <w:tcW w:w="0" w:type="auto"/>
            <w:shd w:val="clear" w:color="auto" w:fill="auto"/>
          </w:tcPr>
          <w:p w14:paraId="0D8DFF54" w14:textId="77777777" w:rsidR="004C2197" w:rsidRDefault="004C2197">
            <w:pPr>
              <w:rPr>
                <w:rFonts w:ascii="宋体"/>
              </w:rPr>
            </w:pPr>
          </w:p>
        </w:tc>
        <w:tc>
          <w:tcPr>
            <w:tcW w:w="0" w:type="auto"/>
            <w:shd w:val="clear" w:color="auto" w:fill="auto"/>
          </w:tcPr>
          <w:p w14:paraId="0D8DFF55" w14:textId="77777777" w:rsidR="004C2197" w:rsidRDefault="004C2197">
            <w:pPr>
              <w:rPr>
                <w:rFonts w:ascii="宋体"/>
              </w:rPr>
            </w:pPr>
          </w:p>
        </w:tc>
        <w:tc>
          <w:tcPr>
            <w:tcW w:w="0" w:type="auto"/>
            <w:shd w:val="clear" w:color="auto" w:fill="auto"/>
          </w:tcPr>
          <w:p w14:paraId="0D8DFF56" w14:textId="77777777" w:rsidR="004C2197" w:rsidRDefault="004C2197">
            <w:pPr>
              <w:rPr>
                <w:rFonts w:ascii="宋体"/>
              </w:rPr>
            </w:pPr>
          </w:p>
        </w:tc>
      </w:tr>
      <w:tr w:rsidR="004C2197" w14:paraId="0D8DFF72" w14:textId="77777777">
        <w:trPr>
          <w:trHeight w:val="300"/>
        </w:trPr>
        <w:tc>
          <w:tcPr>
            <w:tcW w:w="0" w:type="auto"/>
            <w:gridSpan w:val="3"/>
            <w:shd w:val="clear" w:color="auto" w:fill="FFFFFF"/>
            <w:tcMar>
              <w:left w:w="20" w:type="dxa"/>
              <w:right w:w="20" w:type="dxa"/>
            </w:tcMar>
            <w:vAlign w:val="bottom"/>
          </w:tcPr>
          <w:p w14:paraId="0D8DFF58"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C"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D"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E"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5F" w14:textId="77777777" w:rsidR="004C2197" w:rsidRDefault="004C2197">
            <w:pPr>
              <w:rPr>
                <w:rFonts w:ascii="宋体"/>
              </w:rPr>
            </w:pPr>
          </w:p>
        </w:tc>
        <w:tc>
          <w:tcPr>
            <w:tcW w:w="0" w:type="auto"/>
            <w:shd w:val="clear" w:color="auto" w:fill="auto"/>
          </w:tcPr>
          <w:p w14:paraId="0D8DFF60" w14:textId="77777777" w:rsidR="004C2197" w:rsidRDefault="004C2197">
            <w:pPr>
              <w:rPr>
                <w:rFonts w:ascii="宋体"/>
              </w:rPr>
            </w:pPr>
          </w:p>
        </w:tc>
        <w:tc>
          <w:tcPr>
            <w:tcW w:w="0" w:type="auto"/>
            <w:shd w:val="clear" w:color="auto" w:fill="auto"/>
          </w:tcPr>
          <w:p w14:paraId="0D8DFF61" w14:textId="77777777" w:rsidR="004C2197" w:rsidRDefault="004C2197">
            <w:pPr>
              <w:rPr>
                <w:rFonts w:ascii="宋体"/>
              </w:rPr>
            </w:pPr>
          </w:p>
        </w:tc>
        <w:tc>
          <w:tcPr>
            <w:tcW w:w="0" w:type="auto"/>
            <w:shd w:val="clear" w:color="auto" w:fill="auto"/>
          </w:tcPr>
          <w:p w14:paraId="0D8DFF62" w14:textId="77777777" w:rsidR="004C2197" w:rsidRDefault="004C2197">
            <w:pPr>
              <w:rPr>
                <w:rFonts w:ascii="宋体"/>
              </w:rPr>
            </w:pPr>
          </w:p>
        </w:tc>
        <w:tc>
          <w:tcPr>
            <w:tcW w:w="0" w:type="auto"/>
            <w:shd w:val="clear" w:color="auto" w:fill="auto"/>
          </w:tcPr>
          <w:p w14:paraId="0D8DFF63" w14:textId="77777777" w:rsidR="004C2197" w:rsidRDefault="004C2197">
            <w:pPr>
              <w:rPr>
                <w:rFonts w:ascii="宋体"/>
              </w:rPr>
            </w:pPr>
          </w:p>
        </w:tc>
        <w:tc>
          <w:tcPr>
            <w:tcW w:w="0" w:type="auto"/>
            <w:shd w:val="clear" w:color="auto" w:fill="auto"/>
          </w:tcPr>
          <w:p w14:paraId="0D8DFF64" w14:textId="77777777" w:rsidR="004C2197" w:rsidRDefault="004C2197">
            <w:pPr>
              <w:rPr>
                <w:rFonts w:ascii="宋体"/>
              </w:rPr>
            </w:pPr>
          </w:p>
        </w:tc>
        <w:tc>
          <w:tcPr>
            <w:tcW w:w="0" w:type="auto"/>
            <w:shd w:val="clear" w:color="auto" w:fill="auto"/>
          </w:tcPr>
          <w:p w14:paraId="0D8DFF65" w14:textId="77777777" w:rsidR="004C2197" w:rsidRDefault="004C2197">
            <w:pPr>
              <w:rPr>
                <w:rFonts w:ascii="宋体"/>
              </w:rPr>
            </w:pPr>
          </w:p>
        </w:tc>
        <w:tc>
          <w:tcPr>
            <w:tcW w:w="0" w:type="auto"/>
            <w:shd w:val="clear" w:color="auto" w:fill="auto"/>
          </w:tcPr>
          <w:p w14:paraId="0D8DFF66" w14:textId="77777777" w:rsidR="004C2197" w:rsidRDefault="004C2197">
            <w:pPr>
              <w:rPr>
                <w:rFonts w:ascii="宋体"/>
              </w:rPr>
            </w:pPr>
          </w:p>
        </w:tc>
        <w:tc>
          <w:tcPr>
            <w:tcW w:w="0" w:type="auto"/>
            <w:shd w:val="clear" w:color="auto" w:fill="auto"/>
          </w:tcPr>
          <w:p w14:paraId="0D8DFF67" w14:textId="77777777" w:rsidR="004C2197" w:rsidRDefault="004C2197">
            <w:pPr>
              <w:rPr>
                <w:rFonts w:ascii="宋体"/>
              </w:rPr>
            </w:pPr>
          </w:p>
        </w:tc>
        <w:tc>
          <w:tcPr>
            <w:tcW w:w="0" w:type="auto"/>
            <w:shd w:val="clear" w:color="auto" w:fill="auto"/>
          </w:tcPr>
          <w:p w14:paraId="0D8DFF68" w14:textId="77777777" w:rsidR="004C2197" w:rsidRDefault="004C2197">
            <w:pPr>
              <w:rPr>
                <w:rFonts w:ascii="宋体"/>
              </w:rPr>
            </w:pPr>
          </w:p>
        </w:tc>
        <w:tc>
          <w:tcPr>
            <w:tcW w:w="0" w:type="auto"/>
            <w:shd w:val="clear" w:color="auto" w:fill="auto"/>
          </w:tcPr>
          <w:p w14:paraId="0D8DFF69" w14:textId="77777777" w:rsidR="004C2197" w:rsidRDefault="004C2197">
            <w:pPr>
              <w:rPr>
                <w:rFonts w:ascii="宋体"/>
              </w:rPr>
            </w:pPr>
          </w:p>
        </w:tc>
        <w:tc>
          <w:tcPr>
            <w:tcW w:w="0" w:type="auto"/>
            <w:shd w:val="clear" w:color="auto" w:fill="auto"/>
          </w:tcPr>
          <w:p w14:paraId="0D8DFF6A" w14:textId="77777777" w:rsidR="004C2197" w:rsidRDefault="004C2197">
            <w:pPr>
              <w:rPr>
                <w:rFonts w:ascii="宋体"/>
              </w:rPr>
            </w:pPr>
          </w:p>
        </w:tc>
        <w:tc>
          <w:tcPr>
            <w:tcW w:w="0" w:type="auto"/>
            <w:shd w:val="clear" w:color="auto" w:fill="auto"/>
          </w:tcPr>
          <w:p w14:paraId="0D8DFF6B" w14:textId="77777777" w:rsidR="004C2197" w:rsidRDefault="004C2197">
            <w:pPr>
              <w:rPr>
                <w:rFonts w:ascii="宋体"/>
              </w:rPr>
            </w:pPr>
          </w:p>
        </w:tc>
        <w:tc>
          <w:tcPr>
            <w:tcW w:w="0" w:type="auto"/>
            <w:shd w:val="clear" w:color="auto" w:fill="auto"/>
          </w:tcPr>
          <w:p w14:paraId="0D8DFF6C" w14:textId="77777777" w:rsidR="004C2197" w:rsidRDefault="004C2197">
            <w:pPr>
              <w:rPr>
                <w:rFonts w:ascii="宋体"/>
              </w:rPr>
            </w:pPr>
          </w:p>
        </w:tc>
        <w:tc>
          <w:tcPr>
            <w:tcW w:w="0" w:type="auto"/>
            <w:shd w:val="clear" w:color="auto" w:fill="auto"/>
          </w:tcPr>
          <w:p w14:paraId="0D8DFF6D" w14:textId="77777777" w:rsidR="004C2197" w:rsidRDefault="004C2197">
            <w:pPr>
              <w:rPr>
                <w:rFonts w:ascii="宋体"/>
              </w:rPr>
            </w:pPr>
          </w:p>
        </w:tc>
        <w:tc>
          <w:tcPr>
            <w:tcW w:w="0" w:type="auto"/>
            <w:shd w:val="clear" w:color="auto" w:fill="auto"/>
          </w:tcPr>
          <w:p w14:paraId="0D8DFF6E" w14:textId="77777777" w:rsidR="004C2197" w:rsidRDefault="004C2197">
            <w:pPr>
              <w:rPr>
                <w:rFonts w:ascii="宋体"/>
              </w:rPr>
            </w:pPr>
          </w:p>
        </w:tc>
        <w:tc>
          <w:tcPr>
            <w:tcW w:w="0" w:type="auto"/>
            <w:shd w:val="clear" w:color="auto" w:fill="auto"/>
          </w:tcPr>
          <w:p w14:paraId="0D8DFF6F" w14:textId="77777777" w:rsidR="004C2197" w:rsidRDefault="004C2197">
            <w:pPr>
              <w:rPr>
                <w:rFonts w:ascii="宋体"/>
              </w:rPr>
            </w:pPr>
          </w:p>
        </w:tc>
        <w:tc>
          <w:tcPr>
            <w:tcW w:w="0" w:type="auto"/>
            <w:shd w:val="clear" w:color="auto" w:fill="auto"/>
          </w:tcPr>
          <w:p w14:paraId="0D8DFF70" w14:textId="77777777" w:rsidR="004C2197" w:rsidRDefault="004C2197">
            <w:pPr>
              <w:rPr>
                <w:rFonts w:ascii="宋体"/>
              </w:rPr>
            </w:pPr>
          </w:p>
        </w:tc>
        <w:tc>
          <w:tcPr>
            <w:tcW w:w="0" w:type="auto"/>
            <w:shd w:val="clear" w:color="auto" w:fill="auto"/>
          </w:tcPr>
          <w:p w14:paraId="0D8DFF71" w14:textId="77777777" w:rsidR="004C2197" w:rsidRDefault="004C2197">
            <w:pPr>
              <w:rPr>
                <w:rFonts w:ascii="宋体"/>
              </w:rPr>
            </w:pPr>
          </w:p>
        </w:tc>
      </w:tr>
      <w:tr w:rsidR="004C2197" w14:paraId="0D8DFF8D" w14:textId="77777777">
        <w:tc>
          <w:tcPr>
            <w:tcW w:w="0" w:type="auto"/>
            <w:gridSpan w:val="3"/>
            <w:shd w:val="clear" w:color="auto" w:fill="E2EFD9"/>
            <w:tcMar>
              <w:top w:w="40" w:type="dxa"/>
              <w:left w:w="20" w:type="dxa"/>
              <w:bottom w:w="40" w:type="dxa"/>
              <w:right w:w="20" w:type="dxa"/>
            </w:tcMar>
            <w:vAlign w:val="bottom"/>
          </w:tcPr>
          <w:p w14:paraId="0D8DFF73" w14:textId="77777777" w:rsidR="004C2197" w:rsidRDefault="00863B83">
            <w:pPr>
              <w:textAlignment w:val="bottom"/>
            </w:pPr>
            <w:r>
              <w:rPr>
                <w:rFonts w:ascii="sans-serif" w:eastAsia="sans-serif" w:hAnsi="sans-serif" w:cs="sans-serif"/>
                <w:b/>
                <w:bCs/>
                <w:color w:val="000000"/>
                <w:sz w:val="20"/>
                <w:szCs w:val="20"/>
              </w:rPr>
              <w:t>Six Months Ended July 26, 2020</w:t>
            </w:r>
          </w:p>
        </w:tc>
        <w:tc>
          <w:tcPr>
            <w:tcW w:w="0" w:type="auto"/>
            <w:gridSpan w:val="3"/>
            <w:shd w:val="clear" w:color="auto" w:fill="E2EFD9"/>
            <w:tcMar>
              <w:left w:w="20" w:type="dxa"/>
              <w:right w:w="20" w:type="dxa"/>
            </w:tcMar>
            <w:vAlign w:val="bottom"/>
          </w:tcPr>
          <w:p w14:paraId="0D8DFF74"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5"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6"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7"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8"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9"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DFF7A" w14:textId="77777777" w:rsidR="004C2197" w:rsidRDefault="004C2197">
            <w:pPr>
              <w:rPr>
                <w:rFonts w:ascii="宋体"/>
              </w:rPr>
            </w:pPr>
          </w:p>
        </w:tc>
        <w:tc>
          <w:tcPr>
            <w:tcW w:w="0" w:type="auto"/>
            <w:shd w:val="clear" w:color="auto" w:fill="auto"/>
          </w:tcPr>
          <w:p w14:paraId="0D8DFF7B" w14:textId="77777777" w:rsidR="004C2197" w:rsidRDefault="004C2197">
            <w:pPr>
              <w:rPr>
                <w:rFonts w:ascii="宋体"/>
              </w:rPr>
            </w:pPr>
          </w:p>
        </w:tc>
        <w:tc>
          <w:tcPr>
            <w:tcW w:w="0" w:type="auto"/>
            <w:shd w:val="clear" w:color="auto" w:fill="auto"/>
          </w:tcPr>
          <w:p w14:paraId="0D8DFF7C" w14:textId="77777777" w:rsidR="004C2197" w:rsidRDefault="004C2197">
            <w:pPr>
              <w:rPr>
                <w:rFonts w:ascii="宋体"/>
              </w:rPr>
            </w:pPr>
          </w:p>
        </w:tc>
        <w:tc>
          <w:tcPr>
            <w:tcW w:w="0" w:type="auto"/>
            <w:shd w:val="clear" w:color="auto" w:fill="auto"/>
          </w:tcPr>
          <w:p w14:paraId="0D8DFF7D" w14:textId="77777777" w:rsidR="004C2197" w:rsidRDefault="004C2197">
            <w:pPr>
              <w:rPr>
                <w:rFonts w:ascii="宋体"/>
              </w:rPr>
            </w:pPr>
          </w:p>
        </w:tc>
        <w:tc>
          <w:tcPr>
            <w:tcW w:w="0" w:type="auto"/>
            <w:shd w:val="clear" w:color="auto" w:fill="auto"/>
          </w:tcPr>
          <w:p w14:paraId="0D8DFF7E" w14:textId="77777777" w:rsidR="004C2197" w:rsidRDefault="004C2197">
            <w:pPr>
              <w:rPr>
                <w:rFonts w:ascii="宋体"/>
              </w:rPr>
            </w:pPr>
          </w:p>
        </w:tc>
        <w:tc>
          <w:tcPr>
            <w:tcW w:w="0" w:type="auto"/>
            <w:shd w:val="clear" w:color="auto" w:fill="auto"/>
          </w:tcPr>
          <w:p w14:paraId="0D8DFF7F" w14:textId="77777777" w:rsidR="004C2197" w:rsidRDefault="004C2197">
            <w:pPr>
              <w:rPr>
                <w:rFonts w:ascii="宋体"/>
              </w:rPr>
            </w:pPr>
          </w:p>
        </w:tc>
        <w:tc>
          <w:tcPr>
            <w:tcW w:w="0" w:type="auto"/>
            <w:shd w:val="clear" w:color="auto" w:fill="auto"/>
          </w:tcPr>
          <w:p w14:paraId="0D8DFF80" w14:textId="77777777" w:rsidR="004C2197" w:rsidRDefault="004C2197">
            <w:pPr>
              <w:rPr>
                <w:rFonts w:ascii="宋体"/>
              </w:rPr>
            </w:pPr>
          </w:p>
        </w:tc>
        <w:tc>
          <w:tcPr>
            <w:tcW w:w="0" w:type="auto"/>
            <w:shd w:val="clear" w:color="auto" w:fill="auto"/>
          </w:tcPr>
          <w:p w14:paraId="0D8DFF81" w14:textId="77777777" w:rsidR="004C2197" w:rsidRDefault="004C2197">
            <w:pPr>
              <w:rPr>
                <w:rFonts w:ascii="宋体"/>
              </w:rPr>
            </w:pPr>
          </w:p>
        </w:tc>
        <w:tc>
          <w:tcPr>
            <w:tcW w:w="0" w:type="auto"/>
            <w:shd w:val="clear" w:color="auto" w:fill="auto"/>
          </w:tcPr>
          <w:p w14:paraId="0D8DFF82" w14:textId="77777777" w:rsidR="004C2197" w:rsidRDefault="004C2197">
            <w:pPr>
              <w:rPr>
                <w:rFonts w:ascii="宋体"/>
              </w:rPr>
            </w:pPr>
          </w:p>
        </w:tc>
        <w:tc>
          <w:tcPr>
            <w:tcW w:w="0" w:type="auto"/>
            <w:shd w:val="clear" w:color="auto" w:fill="auto"/>
          </w:tcPr>
          <w:p w14:paraId="0D8DFF83" w14:textId="77777777" w:rsidR="004C2197" w:rsidRDefault="004C2197">
            <w:pPr>
              <w:rPr>
                <w:rFonts w:ascii="宋体"/>
              </w:rPr>
            </w:pPr>
          </w:p>
        </w:tc>
        <w:tc>
          <w:tcPr>
            <w:tcW w:w="0" w:type="auto"/>
            <w:shd w:val="clear" w:color="auto" w:fill="auto"/>
          </w:tcPr>
          <w:p w14:paraId="0D8DFF84" w14:textId="77777777" w:rsidR="004C2197" w:rsidRDefault="004C2197">
            <w:pPr>
              <w:rPr>
                <w:rFonts w:ascii="宋体"/>
              </w:rPr>
            </w:pPr>
          </w:p>
        </w:tc>
        <w:tc>
          <w:tcPr>
            <w:tcW w:w="0" w:type="auto"/>
            <w:shd w:val="clear" w:color="auto" w:fill="auto"/>
          </w:tcPr>
          <w:p w14:paraId="0D8DFF85" w14:textId="77777777" w:rsidR="004C2197" w:rsidRDefault="004C2197">
            <w:pPr>
              <w:rPr>
                <w:rFonts w:ascii="宋体"/>
              </w:rPr>
            </w:pPr>
          </w:p>
        </w:tc>
        <w:tc>
          <w:tcPr>
            <w:tcW w:w="0" w:type="auto"/>
            <w:shd w:val="clear" w:color="auto" w:fill="auto"/>
          </w:tcPr>
          <w:p w14:paraId="0D8DFF86" w14:textId="77777777" w:rsidR="004C2197" w:rsidRDefault="004C2197">
            <w:pPr>
              <w:rPr>
                <w:rFonts w:ascii="宋体"/>
              </w:rPr>
            </w:pPr>
          </w:p>
        </w:tc>
        <w:tc>
          <w:tcPr>
            <w:tcW w:w="0" w:type="auto"/>
            <w:shd w:val="clear" w:color="auto" w:fill="auto"/>
          </w:tcPr>
          <w:p w14:paraId="0D8DFF87" w14:textId="77777777" w:rsidR="004C2197" w:rsidRDefault="004C2197">
            <w:pPr>
              <w:rPr>
                <w:rFonts w:ascii="宋体"/>
              </w:rPr>
            </w:pPr>
          </w:p>
        </w:tc>
        <w:tc>
          <w:tcPr>
            <w:tcW w:w="0" w:type="auto"/>
            <w:shd w:val="clear" w:color="auto" w:fill="auto"/>
          </w:tcPr>
          <w:p w14:paraId="0D8DFF88" w14:textId="77777777" w:rsidR="004C2197" w:rsidRDefault="004C2197">
            <w:pPr>
              <w:rPr>
                <w:rFonts w:ascii="宋体"/>
              </w:rPr>
            </w:pPr>
          </w:p>
        </w:tc>
        <w:tc>
          <w:tcPr>
            <w:tcW w:w="0" w:type="auto"/>
            <w:shd w:val="clear" w:color="auto" w:fill="auto"/>
          </w:tcPr>
          <w:p w14:paraId="0D8DFF89" w14:textId="77777777" w:rsidR="004C2197" w:rsidRDefault="004C2197">
            <w:pPr>
              <w:rPr>
                <w:rFonts w:ascii="宋体"/>
              </w:rPr>
            </w:pPr>
          </w:p>
        </w:tc>
        <w:tc>
          <w:tcPr>
            <w:tcW w:w="0" w:type="auto"/>
            <w:shd w:val="clear" w:color="auto" w:fill="auto"/>
          </w:tcPr>
          <w:p w14:paraId="0D8DFF8A" w14:textId="77777777" w:rsidR="004C2197" w:rsidRDefault="004C2197">
            <w:pPr>
              <w:rPr>
                <w:rFonts w:ascii="宋体"/>
              </w:rPr>
            </w:pPr>
          </w:p>
        </w:tc>
        <w:tc>
          <w:tcPr>
            <w:tcW w:w="0" w:type="auto"/>
            <w:shd w:val="clear" w:color="auto" w:fill="auto"/>
          </w:tcPr>
          <w:p w14:paraId="0D8DFF8B" w14:textId="77777777" w:rsidR="004C2197" w:rsidRDefault="004C2197">
            <w:pPr>
              <w:rPr>
                <w:rFonts w:ascii="宋体"/>
              </w:rPr>
            </w:pPr>
          </w:p>
        </w:tc>
        <w:tc>
          <w:tcPr>
            <w:tcW w:w="0" w:type="auto"/>
            <w:shd w:val="clear" w:color="auto" w:fill="auto"/>
          </w:tcPr>
          <w:p w14:paraId="0D8DFF8C" w14:textId="77777777" w:rsidR="004C2197" w:rsidRDefault="004C2197">
            <w:pPr>
              <w:rPr>
                <w:rFonts w:ascii="宋体"/>
              </w:rPr>
            </w:pPr>
          </w:p>
        </w:tc>
      </w:tr>
      <w:tr w:rsidR="004C2197" w14:paraId="0D8DFFB0" w14:textId="77777777">
        <w:tc>
          <w:tcPr>
            <w:tcW w:w="0" w:type="auto"/>
            <w:gridSpan w:val="3"/>
            <w:shd w:val="clear" w:color="auto" w:fill="FFFFFF"/>
            <w:tcMar>
              <w:top w:w="40" w:type="dxa"/>
              <w:left w:w="20" w:type="dxa"/>
              <w:bottom w:w="40" w:type="dxa"/>
              <w:right w:w="20" w:type="dxa"/>
            </w:tcMar>
            <w:vAlign w:val="bottom"/>
          </w:tcPr>
          <w:p w14:paraId="0D8DFF8E"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0D8DFF8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90" w14:textId="77777777" w:rsidR="004C2197" w:rsidRDefault="00863B83">
            <w:pPr>
              <w:jc w:val="right"/>
              <w:textAlignment w:val="bottom"/>
            </w:pPr>
            <w:r>
              <w:rPr>
                <w:rFonts w:ascii="sans-serif" w:eastAsia="sans-serif" w:hAnsi="sans-serif" w:cs="sans-serif"/>
                <w:color w:val="000000"/>
                <w:sz w:val="20"/>
                <w:szCs w:val="20"/>
              </w:rPr>
              <w:t>3,991 </w:t>
            </w:r>
          </w:p>
        </w:tc>
        <w:tc>
          <w:tcPr>
            <w:tcW w:w="0" w:type="auto"/>
            <w:shd w:val="clear" w:color="auto" w:fill="FFFFFF"/>
            <w:tcMar>
              <w:top w:w="40" w:type="dxa"/>
              <w:bottom w:w="40" w:type="dxa"/>
              <w:right w:w="20" w:type="dxa"/>
            </w:tcMar>
            <w:vAlign w:val="bottom"/>
          </w:tcPr>
          <w:p w14:paraId="0D8DFF9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F92"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F9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94" w14:textId="77777777" w:rsidR="004C2197" w:rsidRDefault="00863B83">
            <w:pPr>
              <w:jc w:val="right"/>
              <w:textAlignment w:val="bottom"/>
            </w:pPr>
            <w:r>
              <w:rPr>
                <w:rFonts w:ascii="sans-serif" w:eastAsia="sans-serif" w:hAnsi="sans-serif" w:cs="sans-serif"/>
                <w:color w:val="000000"/>
                <w:sz w:val="20"/>
                <w:szCs w:val="20"/>
              </w:rPr>
              <w:t>2,955 </w:t>
            </w:r>
          </w:p>
        </w:tc>
        <w:tc>
          <w:tcPr>
            <w:tcW w:w="0" w:type="auto"/>
            <w:shd w:val="clear" w:color="auto" w:fill="FFFFFF"/>
            <w:tcMar>
              <w:top w:w="40" w:type="dxa"/>
              <w:bottom w:w="40" w:type="dxa"/>
              <w:right w:w="20" w:type="dxa"/>
            </w:tcMar>
            <w:vAlign w:val="bottom"/>
          </w:tcPr>
          <w:p w14:paraId="0D8DFF9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F96"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F9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98"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DFF9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DFF9A"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DFF9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DFF9C" w14:textId="77777777" w:rsidR="004C2197" w:rsidRDefault="00863B83">
            <w:pPr>
              <w:jc w:val="right"/>
              <w:textAlignment w:val="bottom"/>
            </w:pPr>
            <w:r>
              <w:rPr>
                <w:rFonts w:ascii="sans-serif" w:eastAsia="sans-serif" w:hAnsi="sans-serif" w:cs="sans-serif"/>
                <w:color w:val="000000"/>
                <w:sz w:val="20"/>
                <w:szCs w:val="20"/>
              </w:rPr>
              <w:t>6,946 </w:t>
            </w:r>
          </w:p>
        </w:tc>
        <w:tc>
          <w:tcPr>
            <w:tcW w:w="0" w:type="auto"/>
            <w:shd w:val="clear" w:color="auto" w:fill="FFFFFF"/>
            <w:tcMar>
              <w:top w:w="40" w:type="dxa"/>
              <w:bottom w:w="40" w:type="dxa"/>
              <w:right w:w="20" w:type="dxa"/>
            </w:tcMar>
            <w:vAlign w:val="bottom"/>
          </w:tcPr>
          <w:p w14:paraId="0D8DFF9D" w14:textId="77777777" w:rsidR="004C2197" w:rsidRDefault="004C2197">
            <w:pPr>
              <w:jc w:val="right"/>
              <w:rPr>
                <w:rFonts w:ascii="宋体"/>
              </w:rPr>
            </w:pPr>
          </w:p>
        </w:tc>
        <w:tc>
          <w:tcPr>
            <w:tcW w:w="0" w:type="auto"/>
            <w:shd w:val="clear" w:color="auto" w:fill="auto"/>
          </w:tcPr>
          <w:p w14:paraId="0D8DFF9E" w14:textId="77777777" w:rsidR="004C2197" w:rsidRDefault="004C2197">
            <w:pPr>
              <w:rPr>
                <w:rFonts w:ascii="宋体"/>
              </w:rPr>
            </w:pPr>
          </w:p>
        </w:tc>
        <w:tc>
          <w:tcPr>
            <w:tcW w:w="0" w:type="auto"/>
            <w:shd w:val="clear" w:color="auto" w:fill="auto"/>
          </w:tcPr>
          <w:p w14:paraId="0D8DFF9F" w14:textId="77777777" w:rsidR="004C2197" w:rsidRDefault="004C2197">
            <w:pPr>
              <w:rPr>
                <w:rFonts w:ascii="宋体"/>
              </w:rPr>
            </w:pPr>
          </w:p>
        </w:tc>
        <w:tc>
          <w:tcPr>
            <w:tcW w:w="0" w:type="auto"/>
            <w:shd w:val="clear" w:color="auto" w:fill="auto"/>
          </w:tcPr>
          <w:p w14:paraId="0D8DFFA0" w14:textId="77777777" w:rsidR="004C2197" w:rsidRDefault="004C2197">
            <w:pPr>
              <w:rPr>
                <w:rFonts w:ascii="宋体"/>
              </w:rPr>
            </w:pPr>
          </w:p>
        </w:tc>
        <w:tc>
          <w:tcPr>
            <w:tcW w:w="0" w:type="auto"/>
            <w:shd w:val="clear" w:color="auto" w:fill="auto"/>
          </w:tcPr>
          <w:p w14:paraId="0D8DFFA1" w14:textId="77777777" w:rsidR="004C2197" w:rsidRDefault="004C2197">
            <w:pPr>
              <w:rPr>
                <w:rFonts w:ascii="宋体"/>
              </w:rPr>
            </w:pPr>
          </w:p>
        </w:tc>
        <w:tc>
          <w:tcPr>
            <w:tcW w:w="0" w:type="auto"/>
            <w:shd w:val="clear" w:color="auto" w:fill="auto"/>
          </w:tcPr>
          <w:p w14:paraId="0D8DFFA2" w14:textId="77777777" w:rsidR="004C2197" w:rsidRDefault="004C2197">
            <w:pPr>
              <w:rPr>
                <w:rFonts w:ascii="宋体"/>
              </w:rPr>
            </w:pPr>
          </w:p>
        </w:tc>
        <w:tc>
          <w:tcPr>
            <w:tcW w:w="0" w:type="auto"/>
            <w:shd w:val="clear" w:color="auto" w:fill="auto"/>
          </w:tcPr>
          <w:p w14:paraId="0D8DFFA3" w14:textId="77777777" w:rsidR="004C2197" w:rsidRDefault="004C2197">
            <w:pPr>
              <w:rPr>
                <w:rFonts w:ascii="宋体"/>
              </w:rPr>
            </w:pPr>
          </w:p>
        </w:tc>
        <w:tc>
          <w:tcPr>
            <w:tcW w:w="0" w:type="auto"/>
            <w:shd w:val="clear" w:color="auto" w:fill="auto"/>
          </w:tcPr>
          <w:p w14:paraId="0D8DFFA4" w14:textId="77777777" w:rsidR="004C2197" w:rsidRDefault="004C2197">
            <w:pPr>
              <w:rPr>
                <w:rFonts w:ascii="宋体"/>
              </w:rPr>
            </w:pPr>
          </w:p>
        </w:tc>
        <w:tc>
          <w:tcPr>
            <w:tcW w:w="0" w:type="auto"/>
            <w:shd w:val="clear" w:color="auto" w:fill="auto"/>
          </w:tcPr>
          <w:p w14:paraId="0D8DFFA5" w14:textId="77777777" w:rsidR="004C2197" w:rsidRDefault="004C2197">
            <w:pPr>
              <w:rPr>
                <w:rFonts w:ascii="宋体"/>
              </w:rPr>
            </w:pPr>
          </w:p>
        </w:tc>
        <w:tc>
          <w:tcPr>
            <w:tcW w:w="0" w:type="auto"/>
            <w:shd w:val="clear" w:color="auto" w:fill="auto"/>
          </w:tcPr>
          <w:p w14:paraId="0D8DFFA6" w14:textId="77777777" w:rsidR="004C2197" w:rsidRDefault="004C2197">
            <w:pPr>
              <w:rPr>
                <w:rFonts w:ascii="宋体"/>
              </w:rPr>
            </w:pPr>
          </w:p>
        </w:tc>
        <w:tc>
          <w:tcPr>
            <w:tcW w:w="0" w:type="auto"/>
            <w:shd w:val="clear" w:color="auto" w:fill="auto"/>
          </w:tcPr>
          <w:p w14:paraId="0D8DFFA7" w14:textId="77777777" w:rsidR="004C2197" w:rsidRDefault="004C2197">
            <w:pPr>
              <w:rPr>
                <w:rFonts w:ascii="宋体"/>
              </w:rPr>
            </w:pPr>
          </w:p>
        </w:tc>
        <w:tc>
          <w:tcPr>
            <w:tcW w:w="0" w:type="auto"/>
            <w:shd w:val="clear" w:color="auto" w:fill="auto"/>
          </w:tcPr>
          <w:p w14:paraId="0D8DFFA8" w14:textId="77777777" w:rsidR="004C2197" w:rsidRDefault="004C2197">
            <w:pPr>
              <w:rPr>
                <w:rFonts w:ascii="宋体"/>
              </w:rPr>
            </w:pPr>
          </w:p>
        </w:tc>
        <w:tc>
          <w:tcPr>
            <w:tcW w:w="0" w:type="auto"/>
            <w:shd w:val="clear" w:color="auto" w:fill="auto"/>
          </w:tcPr>
          <w:p w14:paraId="0D8DFFA9" w14:textId="77777777" w:rsidR="004C2197" w:rsidRDefault="004C2197">
            <w:pPr>
              <w:rPr>
                <w:rFonts w:ascii="宋体"/>
              </w:rPr>
            </w:pPr>
          </w:p>
        </w:tc>
        <w:tc>
          <w:tcPr>
            <w:tcW w:w="0" w:type="auto"/>
            <w:shd w:val="clear" w:color="auto" w:fill="auto"/>
          </w:tcPr>
          <w:p w14:paraId="0D8DFFAA" w14:textId="77777777" w:rsidR="004C2197" w:rsidRDefault="004C2197">
            <w:pPr>
              <w:rPr>
                <w:rFonts w:ascii="宋体"/>
              </w:rPr>
            </w:pPr>
          </w:p>
        </w:tc>
        <w:tc>
          <w:tcPr>
            <w:tcW w:w="0" w:type="auto"/>
            <w:shd w:val="clear" w:color="auto" w:fill="auto"/>
          </w:tcPr>
          <w:p w14:paraId="0D8DFFAB" w14:textId="77777777" w:rsidR="004C2197" w:rsidRDefault="004C2197">
            <w:pPr>
              <w:rPr>
                <w:rFonts w:ascii="宋体"/>
              </w:rPr>
            </w:pPr>
          </w:p>
        </w:tc>
        <w:tc>
          <w:tcPr>
            <w:tcW w:w="0" w:type="auto"/>
            <w:shd w:val="clear" w:color="auto" w:fill="auto"/>
          </w:tcPr>
          <w:p w14:paraId="0D8DFFAC" w14:textId="77777777" w:rsidR="004C2197" w:rsidRDefault="004C2197">
            <w:pPr>
              <w:rPr>
                <w:rFonts w:ascii="宋体"/>
              </w:rPr>
            </w:pPr>
          </w:p>
        </w:tc>
        <w:tc>
          <w:tcPr>
            <w:tcW w:w="0" w:type="auto"/>
            <w:shd w:val="clear" w:color="auto" w:fill="auto"/>
          </w:tcPr>
          <w:p w14:paraId="0D8DFFAD" w14:textId="77777777" w:rsidR="004C2197" w:rsidRDefault="004C2197">
            <w:pPr>
              <w:rPr>
                <w:rFonts w:ascii="宋体"/>
              </w:rPr>
            </w:pPr>
          </w:p>
        </w:tc>
        <w:tc>
          <w:tcPr>
            <w:tcW w:w="0" w:type="auto"/>
            <w:shd w:val="clear" w:color="auto" w:fill="auto"/>
          </w:tcPr>
          <w:p w14:paraId="0D8DFFAE" w14:textId="77777777" w:rsidR="004C2197" w:rsidRDefault="004C2197">
            <w:pPr>
              <w:rPr>
                <w:rFonts w:ascii="宋体"/>
              </w:rPr>
            </w:pPr>
          </w:p>
        </w:tc>
        <w:tc>
          <w:tcPr>
            <w:tcW w:w="0" w:type="auto"/>
            <w:shd w:val="clear" w:color="auto" w:fill="auto"/>
          </w:tcPr>
          <w:p w14:paraId="0D8DFFAF" w14:textId="77777777" w:rsidR="004C2197" w:rsidRDefault="004C2197">
            <w:pPr>
              <w:rPr>
                <w:rFonts w:ascii="宋体"/>
              </w:rPr>
            </w:pPr>
          </w:p>
        </w:tc>
      </w:tr>
      <w:tr w:rsidR="004C2197" w14:paraId="0D8DFFCB" w14:textId="77777777">
        <w:trPr>
          <w:hidden/>
        </w:trPr>
        <w:tc>
          <w:tcPr>
            <w:tcW w:w="0" w:type="auto"/>
            <w:gridSpan w:val="3"/>
            <w:shd w:val="clear" w:color="auto" w:fill="auto"/>
          </w:tcPr>
          <w:p w14:paraId="0D8DFFB1" w14:textId="77777777" w:rsidR="004C2197" w:rsidRDefault="004C2197">
            <w:pPr>
              <w:rPr>
                <w:rFonts w:ascii="宋体"/>
                <w:vanish/>
              </w:rPr>
            </w:pPr>
          </w:p>
        </w:tc>
        <w:tc>
          <w:tcPr>
            <w:tcW w:w="0" w:type="auto"/>
            <w:gridSpan w:val="3"/>
            <w:shd w:val="clear" w:color="auto" w:fill="auto"/>
          </w:tcPr>
          <w:p w14:paraId="0D8DFFB2" w14:textId="77777777" w:rsidR="004C2197" w:rsidRDefault="004C2197">
            <w:pPr>
              <w:rPr>
                <w:rFonts w:ascii="宋体"/>
                <w:vanish/>
              </w:rPr>
            </w:pPr>
          </w:p>
        </w:tc>
        <w:tc>
          <w:tcPr>
            <w:tcW w:w="0" w:type="auto"/>
            <w:gridSpan w:val="3"/>
            <w:shd w:val="clear" w:color="auto" w:fill="auto"/>
          </w:tcPr>
          <w:p w14:paraId="0D8DFFB3" w14:textId="77777777" w:rsidR="004C2197" w:rsidRDefault="004C2197">
            <w:pPr>
              <w:rPr>
                <w:rFonts w:ascii="宋体"/>
                <w:vanish/>
              </w:rPr>
            </w:pPr>
          </w:p>
        </w:tc>
        <w:tc>
          <w:tcPr>
            <w:tcW w:w="0" w:type="auto"/>
            <w:gridSpan w:val="3"/>
            <w:shd w:val="clear" w:color="auto" w:fill="auto"/>
          </w:tcPr>
          <w:p w14:paraId="0D8DFFB4" w14:textId="77777777" w:rsidR="004C2197" w:rsidRDefault="004C2197">
            <w:pPr>
              <w:rPr>
                <w:rFonts w:ascii="宋体"/>
                <w:vanish/>
              </w:rPr>
            </w:pPr>
          </w:p>
        </w:tc>
        <w:tc>
          <w:tcPr>
            <w:tcW w:w="0" w:type="auto"/>
            <w:gridSpan w:val="3"/>
            <w:shd w:val="clear" w:color="auto" w:fill="auto"/>
          </w:tcPr>
          <w:p w14:paraId="0D8DFFB5" w14:textId="77777777" w:rsidR="004C2197" w:rsidRDefault="004C2197">
            <w:pPr>
              <w:rPr>
                <w:rFonts w:ascii="宋体"/>
                <w:vanish/>
              </w:rPr>
            </w:pPr>
          </w:p>
        </w:tc>
        <w:tc>
          <w:tcPr>
            <w:tcW w:w="0" w:type="auto"/>
            <w:gridSpan w:val="3"/>
            <w:shd w:val="clear" w:color="auto" w:fill="auto"/>
          </w:tcPr>
          <w:p w14:paraId="0D8DFFB6" w14:textId="77777777" w:rsidR="004C2197" w:rsidRDefault="004C2197">
            <w:pPr>
              <w:rPr>
                <w:rFonts w:ascii="宋体"/>
                <w:vanish/>
              </w:rPr>
            </w:pPr>
          </w:p>
        </w:tc>
        <w:tc>
          <w:tcPr>
            <w:tcW w:w="0" w:type="auto"/>
            <w:gridSpan w:val="3"/>
            <w:shd w:val="clear" w:color="auto" w:fill="auto"/>
          </w:tcPr>
          <w:p w14:paraId="0D8DFFB7" w14:textId="77777777" w:rsidR="004C2197" w:rsidRDefault="004C2197">
            <w:pPr>
              <w:rPr>
                <w:rFonts w:ascii="宋体"/>
                <w:vanish/>
              </w:rPr>
            </w:pPr>
          </w:p>
        </w:tc>
        <w:tc>
          <w:tcPr>
            <w:tcW w:w="0" w:type="auto"/>
            <w:gridSpan w:val="3"/>
            <w:shd w:val="clear" w:color="auto" w:fill="auto"/>
          </w:tcPr>
          <w:p w14:paraId="0D8DFFB8" w14:textId="77777777" w:rsidR="004C2197" w:rsidRDefault="004C2197">
            <w:pPr>
              <w:rPr>
                <w:rFonts w:ascii="宋体"/>
                <w:vanish/>
              </w:rPr>
            </w:pPr>
          </w:p>
        </w:tc>
        <w:tc>
          <w:tcPr>
            <w:tcW w:w="0" w:type="auto"/>
            <w:shd w:val="clear" w:color="auto" w:fill="auto"/>
          </w:tcPr>
          <w:p w14:paraId="0D8DFFB9" w14:textId="77777777" w:rsidR="004C2197" w:rsidRDefault="004C2197">
            <w:pPr>
              <w:rPr>
                <w:rFonts w:ascii="宋体"/>
              </w:rPr>
            </w:pPr>
          </w:p>
        </w:tc>
        <w:tc>
          <w:tcPr>
            <w:tcW w:w="0" w:type="auto"/>
            <w:shd w:val="clear" w:color="auto" w:fill="auto"/>
          </w:tcPr>
          <w:p w14:paraId="0D8DFFBA" w14:textId="77777777" w:rsidR="004C2197" w:rsidRDefault="004C2197">
            <w:pPr>
              <w:rPr>
                <w:rFonts w:ascii="宋体"/>
              </w:rPr>
            </w:pPr>
          </w:p>
        </w:tc>
        <w:tc>
          <w:tcPr>
            <w:tcW w:w="0" w:type="auto"/>
            <w:shd w:val="clear" w:color="auto" w:fill="auto"/>
          </w:tcPr>
          <w:p w14:paraId="0D8DFFBB" w14:textId="77777777" w:rsidR="004C2197" w:rsidRDefault="004C2197">
            <w:pPr>
              <w:rPr>
                <w:rFonts w:ascii="宋体"/>
              </w:rPr>
            </w:pPr>
          </w:p>
        </w:tc>
        <w:tc>
          <w:tcPr>
            <w:tcW w:w="0" w:type="auto"/>
            <w:shd w:val="clear" w:color="auto" w:fill="auto"/>
          </w:tcPr>
          <w:p w14:paraId="0D8DFFBC" w14:textId="77777777" w:rsidR="004C2197" w:rsidRDefault="004C2197">
            <w:pPr>
              <w:rPr>
                <w:rFonts w:ascii="宋体"/>
              </w:rPr>
            </w:pPr>
          </w:p>
        </w:tc>
        <w:tc>
          <w:tcPr>
            <w:tcW w:w="0" w:type="auto"/>
            <w:shd w:val="clear" w:color="auto" w:fill="auto"/>
          </w:tcPr>
          <w:p w14:paraId="0D8DFFBD" w14:textId="77777777" w:rsidR="004C2197" w:rsidRDefault="004C2197">
            <w:pPr>
              <w:rPr>
                <w:rFonts w:ascii="宋体"/>
              </w:rPr>
            </w:pPr>
          </w:p>
        </w:tc>
        <w:tc>
          <w:tcPr>
            <w:tcW w:w="0" w:type="auto"/>
            <w:shd w:val="clear" w:color="auto" w:fill="auto"/>
          </w:tcPr>
          <w:p w14:paraId="0D8DFFBE" w14:textId="77777777" w:rsidR="004C2197" w:rsidRDefault="004C2197">
            <w:pPr>
              <w:rPr>
                <w:rFonts w:ascii="宋体"/>
              </w:rPr>
            </w:pPr>
          </w:p>
        </w:tc>
        <w:tc>
          <w:tcPr>
            <w:tcW w:w="0" w:type="auto"/>
            <w:shd w:val="clear" w:color="auto" w:fill="auto"/>
          </w:tcPr>
          <w:p w14:paraId="0D8DFFBF" w14:textId="77777777" w:rsidR="004C2197" w:rsidRDefault="004C2197">
            <w:pPr>
              <w:rPr>
                <w:rFonts w:ascii="宋体"/>
              </w:rPr>
            </w:pPr>
          </w:p>
        </w:tc>
        <w:tc>
          <w:tcPr>
            <w:tcW w:w="0" w:type="auto"/>
            <w:shd w:val="clear" w:color="auto" w:fill="auto"/>
          </w:tcPr>
          <w:p w14:paraId="0D8DFFC0" w14:textId="77777777" w:rsidR="004C2197" w:rsidRDefault="004C2197">
            <w:pPr>
              <w:rPr>
                <w:rFonts w:ascii="宋体"/>
              </w:rPr>
            </w:pPr>
          </w:p>
        </w:tc>
        <w:tc>
          <w:tcPr>
            <w:tcW w:w="0" w:type="auto"/>
            <w:shd w:val="clear" w:color="auto" w:fill="auto"/>
          </w:tcPr>
          <w:p w14:paraId="0D8DFFC1" w14:textId="77777777" w:rsidR="004C2197" w:rsidRDefault="004C2197">
            <w:pPr>
              <w:rPr>
                <w:rFonts w:ascii="宋体"/>
              </w:rPr>
            </w:pPr>
          </w:p>
        </w:tc>
        <w:tc>
          <w:tcPr>
            <w:tcW w:w="0" w:type="auto"/>
            <w:shd w:val="clear" w:color="auto" w:fill="auto"/>
          </w:tcPr>
          <w:p w14:paraId="0D8DFFC2" w14:textId="77777777" w:rsidR="004C2197" w:rsidRDefault="004C2197">
            <w:pPr>
              <w:rPr>
                <w:rFonts w:ascii="宋体"/>
              </w:rPr>
            </w:pPr>
          </w:p>
        </w:tc>
        <w:tc>
          <w:tcPr>
            <w:tcW w:w="0" w:type="auto"/>
            <w:shd w:val="clear" w:color="auto" w:fill="auto"/>
          </w:tcPr>
          <w:p w14:paraId="0D8DFFC3" w14:textId="77777777" w:rsidR="004C2197" w:rsidRDefault="004C2197">
            <w:pPr>
              <w:rPr>
                <w:rFonts w:ascii="宋体"/>
              </w:rPr>
            </w:pPr>
          </w:p>
        </w:tc>
        <w:tc>
          <w:tcPr>
            <w:tcW w:w="0" w:type="auto"/>
            <w:shd w:val="clear" w:color="auto" w:fill="auto"/>
          </w:tcPr>
          <w:p w14:paraId="0D8DFFC4" w14:textId="77777777" w:rsidR="004C2197" w:rsidRDefault="004C2197">
            <w:pPr>
              <w:rPr>
                <w:rFonts w:ascii="宋体"/>
              </w:rPr>
            </w:pPr>
          </w:p>
        </w:tc>
        <w:tc>
          <w:tcPr>
            <w:tcW w:w="0" w:type="auto"/>
            <w:shd w:val="clear" w:color="auto" w:fill="auto"/>
          </w:tcPr>
          <w:p w14:paraId="0D8DFFC5" w14:textId="77777777" w:rsidR="004C2197" w:rsidRDefault="004C2197">
            <w:pPr>
              <w:rPr>
                <w:rFonts w:ascii="宋体"/>
              </w:rPr>
            </w:pPr>
          </w:p>
        </w:tc>
        <w:tc>
          <w:tcPr>
            <w:tcW w:w="0" w:type="auto"/>
            <w:shd w:val="clear" w:color="auto" w:fill="auto"/>
          </w:tcPr>
          <w:p w14:paraId="0D8DFFC6" w14:textId="77777777" w:rsidR="004C2197" w:rsidRDefault="004C2197">
            <w:pPr>
              <w:rPr>
                <w:rFonts w:ascii="宋体"/>
              </w:rPr>
            </w:pPr>
          </w:p>
        </w:tc>
        <w:tc>
          <w:tcPr>
            <w:tcW w:w="0" w:type="auto"/>
            <w:shd w:val="clear" w:color="auto" w:fill="auto"/>
          </w:tcPr>
          <w:p w14:paraId="0D8DFFC7" w14:textId="77777777" w:rsidR="004C2197" w:rsidRDefault="004C2197">
            <w:pPr>
              <w:rPr>
                <w:rFonts w:ascii="宋体"/>
              </w:rPr>
            </w:pPr>
          </w:p>
        </w:tc>
        <w:tc>
          <w:tcPr>
            <w:tcW w:w="0" w:type="auto"/>
            <w:shd w:val="clear" w:color="auto" w:fill="auto"/>
          </w:tcPr>
          <w:p w14:paraId="0D8DFFC8" w14:textId="77777777" w:rsidR="004C2197" w:rsidRDefault="004C2197">
            <w:pPr>
              <w:rPr>
                <w:rFonts w:ascii="宋体"/>
              </w:rPr>
            </w:pPr>
          </w:p>
        </w:tc>
        <w:tc>
          <w:tcPr>
            <w:tcW w:w="0" w:type="auto"/>
            <w:shd w:val="clear" w:color="auto" w:fill="auto"/>
          </w:tcPr>
          <w:p w14:paraId="0D8DFFC9" w14:textId="77777777" w:rsidR="004C2197" w:rsidRDefault="004C2197">
            <w:pPr>
              <w:rPr>
                <w:rFonts w:ascii="宋体"/>
              </w:rPr>
            </w:pPr>
          </w:p>
        </w:tc>
        <w:tc>
          <w:tcPr>
            <w:tcW w:w="0" w:type="auto"/>
            <w:shd w:val="clear" w:color="auto" w:fill="auto"/>
          </w:tcPr>
          <w:p w14:paraId="0D8DFFCA" w14:textId="77777777" w:rsidR="004C2197" w:rsidRDefault="004C2197">
            <w:pPr>
              <w:rPr>
                <w:rFonts w:ascii="宋体"/>
              </w:rPr>
            </w:pPr>
          </w:p>
        </w:tc>
      </w:tr>
      <w:tr w:rsidR="004C2197" w14:paraId="0D8DFFEE" w14:textId="77777777">
        <w:tc>
          <w:tcPr>
            <w:tcW w:w="0" w:type="auto"/>
            <w:gridSpan w:val="3"/>
            <w:shd w:val="clear" w:color="auto" w:fill="E2EFD9"/>
            <w:tcMar>
              <w:top w:w="40" w:type="dxa"/>
              <w:left w:w="20" w:type="dxa"/>
              <w:bottom w:w="40" w:type="dxa"/>
              <w:right w:w="20" w:type="dxa"/>
            </w:tcMar>
            <w:vAlign w:val="bottom"/>
          </w:tcPr>
          <w:p w14:paraId="0D8DFFCC" w14:textId="77777777" w:rsidR="004C2197" w:rsidRDefault="00863B83">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0D8DFFC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CE" w14:textId="77777777" w:rsidR="004C2197" w:rsidRDefault="00863B83">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bottom w:w="40" w:type="dxa"/>
              <w:right w:w="20" w:type="dxa"/>
            </w:tcMar>
            <w:vAlign w:val="bottom"/>
          </w:tcPr>
          <w:p w14:paraId="0D8DFFC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D0"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D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D2" w14:textId="77777777" w:rsidR="004C2197" w:rsidRDefault="00863B83">
            <w:pPr>
              <w:jc w:val="right"/>
              <w:textAlignment w:val="bottom"/>
            </w:pPr>
            <w:r>
              <w:rPr>
                <w:rFonts w:ascii="sans-serif" w:eastAsia="sans-serif" w:hAnsi="sans-serif" w:cs="sans-serif"/>
                <w:color w:val="000000"/>
                <w:sz w:val="20"/>
                <w:szCs w:val="20"/>
              </w:rPr>
              <w:t>1,142 </w:t>
            </w:r>
          </w:p>
        </w:tc>
        <w:tc>
          <w:tcPr>
            <w:tcW w:w="0" w:type="auto"/>
            <w:shd w:val="clear" w:color="auto" w:fill="E2EFD9"/>
            <w:tcMar>
              <w:top w:w="40" w:type="dxa"/>
              <w:bottom w:w="40" w:type="dxa"/>
              <w:right w:w="20" w:type="dxa"/>
            </w:tcMar>
            <w:vAlign w:val="bottom"/>
          </w:tcPr>
          <w:p w14:paraId="0D8DFFD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D4"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D5"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D6" w14:textId="77777777" w:rsidR="004C2197" w:rsidRDefault="00863B83">
            <w:pPr>
              <w:jc w:val="right"/>
              <w:textAlignment w:val="bottom"/>
            </w:pPr>
            <w:r>
              <w:rPr>
                <w:rFonts w:ascii="sans-serif" w:eastAsia="sans-serif" w:hAnsi="sans-serif" w:cs="sans-serif"/>
                <w:color w:val="000000"/>
                <w:sz w:val="20"/>
                <w:szCs w:val="20"/>
              </w:rPr>
              <w:t>(1,262)</w:t>
            </w:r>
          </w:p>
        </w:tc>
        <w:tc>
          <w:tcPr>
            <w:tcW w:w="0" w:type="auto"/>
            <w:shd w:val="clear" w:color="auto" w:fill="E2EFD9"/>
            <w:tcMar>
              <w:top w:w="40" w:type="dxa"/>
              <w:bottom w:w="40" w:type="dxa"/>
              <w:right w:w="20" w:type="dxa"/>
            </w:tcMar>
            <w:vAlign w:val="bottom"/>
          </w:tcPr>
          <w:p w14:paraId="0D8DFFD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DFFD8"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DFFD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DFFDA" w14:textId="77777777" w:rsidR="004C2197" w:rsidRDefault="00863B83">
            <w:pPr>
              <w:jc w:val="right"/>
              <w:textAlignment w:val="bottom"/>
            </w:pPr>
            <w:r>
              <w:rPr>
                <w:rFonts w:ascii="sans-serif" w:eastAsia="sans-serif" w:hAnsi="sans-serif" w:cs="sans-serif"/>
                <w:color w:val="000000"/>
                <w:sz w:val="20"/>
                <w:szCs w:val="20"/>
              </w:rPr>
              <w:t>1,627 </w:t>
            </w:r>
          </w:p>
        </w:tc>
        <w:tc>
          <w:tcPr>
            <w:tcW w:w="0" w:type="auto"/>
            <w:shd w:val="clear" w:color="auto" w:fill="E2EFD9"/>
            <w:tcMar>
              <w:top w:w="40" w:type="dxa"/>
              <w:bottom w:w="40" w:type="dxa"/>
              <w:right w:w="20" w:type="dxa"/>
            </w:tcMar>
            <w:vAlign w:val="bottom"/>
          </w:tcPr>
          <w:p w14:paraId="0D8DFFDB" w14:textId="77777777" w:rsidR="004C2197" w:rsidRDefault="004C2197">
            <w:pPr>
              <w:jc w:val="right"/>
              <w:rPr>
                <w:rFonts w:ascii="宋体"/>
              </w:rPr>
            </w:pPr>
          </w:p>
        </w:tc>
        <w:tc>
          <w:tcPr>
            <w:tcW w:w="0" w:type="auto"/>
            <w:shd w:val="clear" w:color="auto" w:fill="auto"/>
          </w:tcPr>
          <w:p w14:paraId="0D8DFFDC" w14:textId="77777777" w:rsidR="004C2197" w:rsidRDefault="004C2197">
            <w:pPr>
              <w:rPr>
                <w:rFonts w:ascii="宋体"/>
              </w:rPr>
            </w:pPr>
          </w:p>
        </w:tc>
        <w:tc>
          <w:tcPr>
            <w:tcW w:w="0" w:type="auto"/>
            <w:shd w:val="clear" w:color="auto" w:fill="auto"/>
          </w:tcPr>
          <w:p w14:paraId="0D8DFFDD" w14:textId="77777777" w:rsidR="004C2197" w:rsidRDefault="004C2197">
            <w:pPr>
              <w:rPr>
                <w:rFonts w:ascii="宋体"/>
              </w:rPr>
            </w:pPr>
          </w:p>
        </w:tc>
        <w:tc>
          <w:tcPr>
            <w:tcW w:w="0" w:type="auto"/>
            <w:shd w:val="clear" w:color="auto" w:fill="auto"/>
          </w:tcPr>
          <w:p w14:paraId="0D8DFFDE" w14:textId="77777777" w:rsidR="004C2197" w:rsidRDefault="004C2197">
            <w:pPr>
              <w:rPr>
                <w:rFonts w:ascii="宋体"/>
              </w:rPr>
            </w:pPr>
          </w:p>
        </w:tc>
        <w:tc>
          <w:tcPr>
            <w:tcW w:w="0" w:type="auto"/>
            <w:shd w:val="clear" w:color="auto" w:fill="auto"/>
          </w:tcPr>
          <w:p w14:paraId="0D8DFFDF" w14:textId="77777777" w:rsidR="004C2197" w:rsidRDefault="004C2197">
            <w:pPr>
              <w:rPr>
                <w:rFonts w:ascii="宋体"/>
              </w:rPr>
            </w:pPr>
          </w:p>
        </w:tc>
        <w:tc>
          <w:tcPr>
            <w:tcW w:w="0" w:type="auto"/>
            <w:shd w:val="clear" w:color="auto" w:fill="auto"/>
          </w:tcPr>
          <w:p w14:paraId="0D8DFFE0" w14:textId="77777777" w:rsidR="004C2197" w:rsidRDefault="004C2197">
            <w:pPr>
              <w:rPr>
                <w:rFonts w:ascii="宋体"/>
              </w:rPr>
            </w:pPr>
          </w:p>
        </w:tc>
        <w:tc>
          <w:tcPr>
            <w:tcW w:w="0" w:type="auto"/>
            <w:shd w:val="clear" w:color="auto" w:fill="auto"/>
          </w:tcPr>
          <w:p w14:paraId="0D8DFFE1" w14:textId="77777777" w:rsidR="004C2197" w:rsidRDefault="004C2197">
            <w:pPr>
              <w:rPr>
                <w:rFonts w:ascii="宋体"/>
              </w:rPr>
            </w:pPr>
          </w:p>
        </w:tc>
        <w:tc>
          <w:tcPr>
            <w:tcW w:w="0" w:type="auto"/>
            <w:shd w:val="clear" w:color="auto" w:fill="auto"/>
          </w:tcPr>
          <w:p w14:paraId="0D8DFFE2" w14:textId="77777777" w:rsidR="004C2197" w:rsidRDefault="004C2197">
            <w:pPr>
              <w:rPr>
                <w:rFonts w:ascii="宋体"/>
              </w:rPr>
            </w:pPr>
          </w:p>
        </w:tc>
        <w:tc>
          <w:tcPr>
            <w:tcW w:w="0" w:type="auto"/>
            <w:shd w:val="clear" w:color="auto" w:fill="auto"/>
          </w:tcPr>
          <w:p w14:paraId="0D8DFFE3" w14:textId="77777777" w:rsidR="004C2197" w:rsidRDefault="004C2197">
            <w:pPr>
              <w:rPr>
                <w:rFonts w:ascii="宋体"/>
              </w:rPr>
            </w:pPr>
          </w:p>
        </w:tc>
        <w:tc>
          <w:tcPr>
            <w:tcW w:w="0" w:type="auto"/>
            <w:shd w:val="clear" w:color="auto" w:fill="auto"/>
          </w:tcPr>
          <w:p w14:paraId="0D8DFFE4" w14:textId="77777777" w:rsidR="004C2197" w:rsidRDefault="004C2197">
            <w:pPr>
              <w:rPr>
                <w:rFonts w:ascii="宋体"/>
              </w:rPr>
            </w:pPr>
          </w:p>
        </w:tc>
        <w:tc>
          <w:tcPr>
            <w:tcW w:w="0" w:type="auto"/>
            <w:shd w:val="clear" w:color="auto" w:fill="auto"/>
          </w:tcPr>
          <w:p w14:paraId="0D8DFFE5" w14:textId="77777777" w:rsidR="004C2197" w:rsidRDefault="004C2197">
            <w:pPr>
              <w:rPr>
                <w:rFonts w:ascii="宋体"/>
              </w:rPr>
            </w:pPr>
          </w:p>
        </w:tc>
        <w:tc>
          <w:tcPr>
            <w:tcW w:w="0" w:type="auto"/>
            <w:shd w:val="clear" w:color="auto" w:fill="auto"/>
          </w:tcPr>
          <w:p w14:paraId="0D8DFFE6" w14:textId="77777777" w:rsidR="004C2197" w:rsidRDefault="004C2197">
            <w:pPr>
              <w:rPr>
                <w:rFonts w:ascii="宋体"/>
              </w:rPr>
            </w:pPr>
          </w:p>
        </w:tc>
        <w:tc>
          <w:tcPr>
            <w:tcW w:w="0" w:type="auto"/>
            <w:shd w:val="clear" w:color="auto" w:fill="auto"/>
          </w:tcPr>
          <w:p w14:paraId="0D8DFFE7" w14:textId="77777777" w:rsidR="004C2197" w:rsidRDefault="004C2197">
            <w:pPr>
              <w:rPr>
                <w:rFonts w:ascii="宋体"/>
              </w:rPr>
            </w:pPr>
          </w:p>
        </w:tc>
        <w:tc>
          <w:tcPr>
            <w:tcW w:w="0" w:type="auto"/>
            <w:shd w:val="clear" w:color="auto" w:fill="auto"/>
          </w:tcPr>
          <w:p w14:paraId="0D8DFFE8" w14:textId="77777777" w:rsidR="004C2197" w:rsidRDefault="004C2197">
            <w:pPr>
              <w:rPr>
                <w:rFonts w:ascii="宋体"/>
              </w:rPr>
            </w:pPr>
          </w:p>
        </w:tc>
        <w:tc>
          <w:tcPr>
            <w:tcW w:w="0" w:type="auto"/>
            <w:shd w:val="clear" w:color="auto" w:fill="auto"/>
          </w:tcPr>
          <w:p w14:paraId="0D8DFFE9" w14:textId="77777777" w:rsidR="004C2197" w:rsidRDefault="004C2197">
            <w:pPr>
              <w:rPr>
                <w:rFonts w:ascii="宋体"/>
              </w:rPr>
            </w:pPr>
          </w:p>
        </w:tc>
        <w:tc>
          <w:tcPr>
            <w:tcW w:w="0" w:type="auto"/>
            <w:shd w:val="clear" w:color="auto" w:fill="auto"/>
          </w:tcPr>
          <w:p w14:paraId="0D8DFFEA" w14:textId="77777777" w:rsidR="004C2197" w:rsidRDefault="004C2197">
            <w:pPr>
              <w:rPr>
                <w:rFonts w:ascii="宋体"/>
              </w:rPr>
            </w:pPr>
          </w:p>
        </w:tc>
        <w:tc>
          <w:tcPr>
            <w:tcW w:w="0" w:type="auto"/>
            <w:shd w:val="clear" w:color="auto" w:fill="auto"/>
          </w:tcPr>
          <w:p w14:paraId="0D8DFFEB" w14:textId="77777777" w:rsidR="004C2197" w:rsidRDefault="004C2197">
            <w:pPr>
              <w:rPr>
                <w:rFonts w:ascii="宋体"/>
              </w:rPr>
            </w:pPr>
          </w:p>
        </w:tc>
        <w:tc>
          <w:tcPr>
            <w:tcW w:w="0" w:type="auto"/>
            <w:shd w:val="clear" w:color="auto" w:fill="auto"/>
          </w:tcPr>
          <w:p w14:paraId="0D8DFFEC" w14:textId="77777777" w:rsidR="004C2197" w:rsidRDefault="004C2197">
            <w:pPr>
              <w:rPr>
                <w:rFonts w:ascii="宋体"/>
              </w:rPr>
            </w:pPr>
          </w:p>
        </w:tc>
        <w:tc>
          <w:tcPr>
            <w:tcW w:w="0" w:type="auto"/>
            <w:shd w:val="clear" w:color="auto" w:fill="auto"/>
          </w:tcPr>
          <w:p w14:paraId="0D8DFFED" w14:textId="77777777" w:rsidR="004C2197" w:rsidRDefault="004C2197">
            <w:pPr>
              <w:rPr>
                <w:rFonts w:ascii="宋体"/>
              </w:rPr>
            </w:pPr>
          </w:p>
        </w:tc>
      </w:tr>
      <w:tr w:rsidR="004C2197" w14:paraId="0D8E0009" w14:textId="77777777">
        <w:trPr>
          <w:trHeight w:val="300"/>
        </w:trPr>
        <w:tc>
          <w:tcPr>
            <w:tcW w:w="0" w:type="auto"/>
            <w:gridSpan w:val="3"/>
            <w:shd w:val="clear" w:color="auto" w:fill="FFFFFF"/>
            <w:tcMar>
              <w:left w:w="20" w:type="dxa"/>
              <w:right w:w="20" w:type="dxa"/>
            </w:tcMar>
            <w:vAlign w:val="bottom"/>
          </w:tcPr>
          <w:p w14:paraId="0D8DFFEF"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0"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1"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2"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3"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4"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DFFF6" w14:textId="77777777" w:rsidR="004C2197" w:rsidRDefault="004C2197">
            <w:pPr>
              <w:rPr>
                <w:rFonts w:ascii="宋体"/>
              </w:rPr>
            </w:pPr>
          </w:p>
        </w:tc>
        <w:tc>
          <w:tcPr>
            <w:tcW w:w="0" w:type="auto"/>
            <w:shd w:val="clear" w:color="auto" w:fill="auto"/>
          </w:tcPr>
          <w:p w14:paraId="0D8DFFF7" w14:textId="77777777" w:rsidR="004C2197" w:rsidRDefault="004C2197">
            <w:pPr>
              <w:rPr>
                <w:rFonts w:ascii="宋体"/>
              </w:rPr>
            </w:pPr>
          </w:p>
        </w:tc>
        <w:tc>
          <w:tcPr>
            <w:tcW w:w="0" w:type="auto"/>
            <w:shd w:val="clear" w:color="auto" w:fill="auto"/>
          </w:tcPr>
          <w:p w14:paraId="0D8DFFF8" w14:textId="77777777" w:rsidR="004C2197" w:rsidRDefault="004C2197">
            <w:pPr>
              <w:rPr>
                <w:rFonts w:ascii="宋体"/>
              </w:rPr>
            </w:pPr>
          </w:p>
        </w:tc>
        <w:tc>
          <w:tcPr>
            <w:tcW w:w="0" w:type="auto"/>
            <w:shd w:val="clear" w:color="auto" w:fill="auto"/>
          </w:tcPr>
          <w:p w14:paraId="0D8DFFF9" w14:textId="77777777" w:rsidR="004C2197" w:rsidRDefault="004C2197">
            <w:pPr>
              <w:rPr>
                <w:rFonts w:ascii="宋体"/>
              </w:rPr>
            </w:pPr>
          </w:p>
        </w:tc>
        <w:tc>
          <w:tcPr>
            <w:tcW w:w="0" w:type="auto"/>
            <w:shd w:val="clear" w:color="auto" w:fill="auto"/>
          </w:tcPr>
          <w:p w14:paraId="0D8DFFFA" w14:textId="77777777" w:rsidR="004C2197" w:rsidRDefault="004C2197">
            <w:pPr>
              <w:rPr>
                <w:rFonts w:ascii="宋体"/>
              </w:rPr>
            </w:pPr>
          </w:p>
        </w:tc>
        <w:tc>
          <w:tcPr>
            <w:tcW w:w="0" w:type="auto"/>
            <w:shd w:val="clear" w:color="auto" w:fill="auto"/>
          </w:tcPr>
          <w:p w14:paraId="0D8DFFFB" w14:textId="77777777" w:rsidR="004C2197" w:rsidRDefault="004C2197">
            <w:pPr>
              <w:rPr>
                <w:rFonts w:ascii="宋体"/>
              </w:rPr>
            </w:pPr>
          </w:p>
        </w:tc>
        <w:tc>
          <w:tcPr>
            <w:tcW w:w="0" w:type="auto"/>
            <w:shd w:val="clear" w:color="auto" w:fill="auto"/>
          </w:tcPr>
          <w:p w14:paraId="0D8DFFFC" w14:textId="77777777" w:rsidR="004C2197" w:rsidRDefault="004C2197">
            <w:pPr>
              <w:rPr>
                <w:rFonts w:ascii="宋体"/>
              </w:rPr>
            </w:pPr>
          </w:p>
        </w:tc>
        <w:tc>
          <w:tcPr>
            <w:tcW w:w="0" w:type="auto"/>
            <w:shd w:val="clear" w:color="auto" w:fill="auto"/>
          </w:tcPr>
          <w:p w14:paraId="0D8DFFFD" w14:textId="77777777" w:rsidR="004C2197" w:rsidRDefault="004C2197">
            <w:pPr>
              <w:rPr>
                <w:rFonts w:ascii="宋体"/>
              </w:rPr>
            </w:pPr>
          </w:p>
        </w:tc>
        <w:tc>
          <w:tcPr>
            <w:tcW w:w="0" w:type="auto"/>
            <w:shd w:val="clear" w:color="auto" w:fill="auto"/>
          </w:tcPr>
          <w:p w14:paraId="0D8DFFFE" w14:textId="77777777" w:rsidR="004C2197" w:rsidRDefault="004C2197">
            <w:pPr>
              <w:rPr>
                <w:rFonts w:ascii="宋体"/>
              </w:rPr>
            </w:pPr>
          </w:p>
        </w:tc>
        <w:tc>
          <w:tcPr>
            <w:tcW w:w="0" w:type="auto"/>
            <w:shd w:val="clear" w:color="auto" w:fill="auto"/>
          </w:tcPr>
          <w:p w14:paraId="0D8DFFFF" w14:textId="77777777" w:rsidR="004C2197" w:rsidRDefault="004C2197">
            <w:pPr>
              <w:rPr>
                <w:rFonts w:ascii="宋体"/>
              </w:rPr>
            </w:pPr>
          </w:p>
        </w:tc>
        <w:tc>
          <w:tcPr>
            <w:tcW w:w="0" w:type="auto"/>
            <w:shd w:val="clear" w:color="auto" w:fill="auto"/>
          </w:tcPr>
          <w:p w14:paraId="0D8E0000" w14:textId="77777777" w:rsidR="004C2197" w:rsidRDefault="004C2197">
            <w:pPr>
              <w:rPr>
                <w:rFonts w:ascii="宋体"/>
              </w:rPr>
            </w:pPr>
          </w:p>
        </w:tc>
        <w:tc>
          <w:tcPr>
            <w:tcW w:w="0" w:type="auto"/>
            <w:shd w:val="clear" w:color="auto" w:fill="auto"/>
          </w:tcPr>
          <w:p w14:paraId="0D8E0001" w14:textId="77777777" w:rsidR="004C2197" w:rsidRDefault="004C2197">
            <w:pPr>
              <w:rPr>
                <w:rFonts w:ascii="宋体"/>
              </w:rPr>
            </w:pPr>
          </w:p>
        </w:tc>
        <w:tc>
          <w:tcPr>
            <w:tcW w:w="0" w:type="auto"/>
            <w:shd w:val="clear" w:color="auto" w:fill="auto"/>
          </w:tcPr>
          <w:p w14:paraId="0D8E0002" w14:textId="77777777" w:rsidR="004C2197" w:rsidRDefault="004C2197">
            <w:pPr>
              <w:rPr>
                <w:rFonts w:ascii="宋体"/>
              </w:rPr>
            </w:pPr>
          </w:p>
        </w:tc>
        <w:tc>
          <w:tcPr>
            <w:tcW w:w="0" w:type="auto"/>
            <w:shd w:val="clear" w:color="auto" w:fill="auto"/>
          </w:tcPr>
          <w:p w14:paraId="0D8E0003" w14:textId="77777777" w:rsidR="004C2197" w:rsidRDefault="004C2197">
            <w:pPr>
              <w:rPr>
                <w:rFonts w:ascii="宋体"/>
              </w:rPr>
            </w:pPr>
          </w:p>
        </w:tc>
        <w:tc>
          <w:tcPr>
            <w:tcW w:w="0" w:type="auto"/>
            <w:shd w:val="clear" w:color="auto" w:fill="auto"/>
          </w:tcPr>
          <w:p w14:paraId="0D8E0004" w14:textId="77777777" w:rsidR="004C2197" w:rsidRDefault="004C2197">
            <w:pPr>
              <w:rPr>
                <w:rFonts w:ascii="宋体"/>
              </w:rPr>
            </w:pPr>
          </w:p>
        </w:tc>
        <w:tc>
          <w:tcPr>
            <w:tcW w:w="0" w:type="auto"/>
            <w:shd w:val="clear" w:color="auto" w:fill="auto"/>
          </w:tcPr>
          <w:p w14:paraId="0D8E0005" w14:textId="77777777" w:rsidR="004C2197" w:rsidRDefault="004C2197">
            <w:pPr>
              <w:rPr>
                <w:rFonts w:ascii="宋体"/>
              </w:rPr>
            </w:pPr>
          </w:p>
        </w:tc>
        <w:tc>
          <w:tcPr>
            <w:tcW w:w="0" w:type="auto"/>
            <w:shd w:val="clear" w:color="auto" w:fill="auto"/>
          </w:tcPr>
          <w:p w14:paraId="0D8E0006" w14:textId="77777777" w:rsidR="004C2197" w:rsidRDefault="004C2197">
            <w:pPr>
              <w:rPr>
                <w:rFonts w:ascii="宋体"/>
              </w:rPr>
            </w:pPr>
          </w:p>
        </w:tc>
        <w:tc>
          <w:tcPr>
            <w:tcW w:w="0" w:type="auto"/>
            <w:shd w:val="clear" w:color="auto" w:fill="auto"/>
          </w:tcPr>
          <w:p w14:paraId="0D8E0007" w14:textId="77777777" w:rsidR="004C2197" w:rsidRDefault="004C2197">
            <w:pPr>
              <w:rPr>
                <w:rFonts w:ascii="宋体"/>
              </w:rPr>
            </w:pPr>
          </w:p>
        </w:tc>
        <w:tc>
          <w:tcPr>
            <w:tcW w:w="0" w:type="auto"/>
            <w:shd w:val="clear" w:color="auto" w:fill="auto"/>
          </w:tcPr>
          <w:p w14:paraId="0D8E0008" w14:textId="77777777" w:rsidR="004C2197" w:rsidRDefault="004C2197">
            <w:pPr>
              <w:rPr>
                <w:rFonts w:ascii="宋体"/>
              </w:rPr>
            </w:pPr>
          </w:p>
        </w:tc>
      </w:tr>
      <w:tr w:rsidR="004C2197" w14:paraId="0D8E0024" w14:textId="77777777">
        <w:tc>
          <w:tcPr>
            <w:tcW w:w="0" w:type="auto"/>
            <w:gridSpan w:val="3"/>
            <w:shd w:val="clear" w:color="auto" w:fill="E2EFD9"/>
            <w:tcMar>
              <w:top w:w="40" w:type="dxa"/>
              <w:left w:w="20" w:type="dxa"/>
              <w:bottom w:w="40" w:type="dxa"/>
              <w:right w:w="20" w:type="dxa"/>
            </w:tcMar>
            <w:vAlign w:val="bottom"/>
          </w:tcPr>
          <w:p w14:paraId="0D8E000A" w14:textId="77777777" w:rsidR="004C2197" w:rsidRDefault="00863B83">
            <w:pPr>
              <w:textAlignment w:val="bottom"/>
            </w:pPr>
            <w:r>
              <w:rPr>
                <w:rFonts w:ascii="sans-serif" w:eastAsia="sans-serif" w:hAnsi="sans-serif" w:cs="sans-serif"/>
                <w:b/>
                <w:bCs/>
                <w:color w:val="000000"/>
                <w:sz w:val="20"/>
                <w:szCs w:val="20"/>
              </w:rPr>
              <w:t>Six Months Ended July 28, 2019</w:t>
            </w:r>
          </w:p>
        </w:tc>
        <w:tc>
          <w:tcPr>
            <w:tcW w:w="0" w:type="auto"/>
            <w:gridSpan w:val="3"/>
            <w:shd w:val="clear" w:color="auto" w:fill="E2EFD9"/>
            <w:tcMar>
              <w:left w:w="20" w:type="dxa"/>
              <w:right w:w="20" w:type="dxa"/>
            </w:tcMar>
            <w:vAlign w:val="bottom"/>
          </w:tcPr>
          <w:p w14:paraId="0D8E000B"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0C"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0D"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0E"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0F"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10" w14:textId="77777777" w:rsidR="004C2197" w:rsidRDefault="004C2197">
            <w:pPr>
              <w:rPr>
                <w:rFonts w:ascii="宋体"/>
              </w:rPr>
            </w:pPr>
          </w:p>
        </w:tc>
        <w:tc>
          <w:tcPr>
            <w:tcW w:w="0" w:type="auto"/>
            <w:gridSpan w:val="3"/>
            <w:shd w:val="clear" w:color="auto" w:fill="E2EFD9"/>
            <w:tcMar>
              <w:left w:w="20" w:type="dxa"/>
              <w:right w:w="20" w:type="dxa"/>
            </w:tcMar>
            <w:vAlign w:val="bottom"/>
          </w:tcPr>
          <w:p w14:paraId="0D8E0011" w14:textId="77777777" w:rsidR="004C2197" w:rsidRDefault="004C2197">
            <w:pPr>
              <w:rPr>
                <w:rFonts w:ascii="宋体"/>
              </w:rPr>
            </w:pPr>
          </w:p>
        </w:tc>
        <w:tc>
          <w:tcPr>
            <w:tcW w:w="0" w:type="auto"/>
            <w:shd w:val="clear" w:color="auto" w:fill="auto"/>
          </w:tcPr>
          <w:p w14:paraId="0D8E0012" w14:textId="77777777" w:rsidR="004C2197" w:rsidRDefault="004C2197">
            <w:pPr>
              <w:rPr>
                <w:rFonts w:ascii="宋体"/>
              </w:rPr>
            </w:pPr>
          </w:p>
        </w:tc>
        <w:tc>
          <w:tcPr>
            <w:tcW w:w="0" w:type="auto"/>
            <w:shd w:val="clear" w:color="auto" w:fill="auto"/>
          </w:tcPr>
          <w:p w14:paraId="0D8E0013" w14:textId="77777777" w:rsidR="004C2197" w:rsidRDefault="004C2197">
            <w:pPr>
              <w:rPr>
                <w:rFonts w:ascii="宋体"/>
              </w:rPr>
            </w:pPr>
          </w:p>
        </w:tc>
        <w:tc>
          <w:tcPr>
            <w:tcW w:w="0" w:type="auto"/>
            <w:shd w:val="clear" w:color="auto" w:fill="auto"/>
          </w:tcPr>
          <w:p w14:paraId="0D8E0014" w14:textId="77777777" w:rsidR="004C2197" w:rsidRDefault="004C2197">
            <w:pPr>
              <w:rPr>
                <w:rFonts w:ascii="宋体"/>
              </w:rPr>
            </w:pPr>
          </w:p>
        </w:tc>
        <w:tc>
          <w:tcPr>
            <w:tcW w:w="0" w:type="auto"/>
            <w:shd w:val="clear" w:color="auto" w:fill="auto"/>
          </w:tcPr>
          <w:p w14:paraId="0D8E0015" w14:textId="77777777" w:rsidR="004C2197" w:rsidRDefault="004C2197">
            <w:pPr>
              <w:rPr>
                <w:rFonts w:ascii="宋体"/>
              </w:rPr>
            </w:pPr>
          </w:p>
        </w:tc>
        <w:tc>
          <w:tcPr>
            <w:tcW w:w="0" w:type="auto"/>
            <w:shd w:val="clear" w:color="auto" w:fill="auto"/>
          </w:tcPr>
          <w:p w14:paraId="0D8E0016" w14:textId="77777777" w:rsidR="004C2197" w:rsidRDefault="004C2197">
            <w:pPr>
              <w:rPr>
                <w:rFonts w:ascii="宋体"/>
              </w:rPr>
            </w:pPr>
          </w:p>
        </w:tc>
        <w:tc>
          <w:tcPr>
            <w:tcW w:w="0" w:type="auto"/>
            <w:shd w:val="clear" w:color="auto" w:fill="auto"/>
          </w:tcPr>
          <w:p w14:paraId="0D8E0017" w14:textId="77777777" w:rsidR="004C2197" w:rsidRDefault="004C2197">
            <w:pPr>
              <w:rPr>
                <w:rFonts w:ascii="宋体"/>
              </w:rPr>
            </w:pPr>
          </w:p>
        </w:tc>
        <w:tc>
          <w:tcPr>
            <w:tcW w:w="0" w:type="auto"/>
            <w:shd w:val="clear" w:color="auto" w:fill="auto"/>
          </w:tcPr>
          <w:p w14:paraId="0D8E0018" w14:textId="77777777" w:rsidR="004C2197" w:rsidRDefault="004C2197">
            <w:pPr>
              <w:rPr>
                <w:rFonts w:ascii="宋体"/>
              </w:rPr>
            </w:pPr>
          </w:p>
        </w:tc>
        <w:tc>
          <w:tcPr>
            <w:tcW w:w="0" w:type="auto"/>
            <w:shd w:val="clear" w:color="auto" w:fill="auto"/>
          </w:tcPr>
          <w:p w14:paraId="0D8E0019" w14:textId="77777777" w:rsidR="004C2197" w:rsidRDefault="004C2197">
            <w:pPr>
              <w:rPr>
                <w:rFonts w:ascii="宋体"/>
              </w:rPr>
            </w:pPr>
          </w:p>
        </w:tc>
        <w:tc>
          <w:tcPr>
            <w:tcW w:w="0" w:type="auto"/>
            <w:shd w:val="clear" w:color="auto" w:fill="auto"/>
          </w:tcPr>
          <w:p w14:paraId="0D8E001A" w14:textId="77777777" w:rsidR="004C2197" w:rsidRDefault="004C2197">
            <w:pPr>
              <w:rPr>
                <w:rFonts w:ascii="宋体"/>
              </w:rPr>
            </w:pPr>
          </w:p>
        </w:tc>
        <w:tc>
          <w:tcPr>
            <w:tcW w:w="0" w:type="auto"/>
            <w:shd w:val="clear" w:color="auto" w:fill="auto"/>
          </w:tcPr>
          <w:p w14:paraId="0D8E001B" w14:textId="77777777" w:rsidR="004C2197" w:rsidRDefault="004C2197">
            <w:pPr>
              <w:rPr>
                <w:rFonts w:ascii="宋体"/>
              </w:rPr>
            </w:pPr>
          </w:p>
        </w:tc>
        <w:tc>
          <w:tcPr>
            <w:tcW w:w="0" w:type="auto"/>
            <w:shd w:val="clear" w:color="auto" w:fill="auto"/>
          </w:tcPr>
          <w:p w14:paraId="0D8E001C" w14:textId="77777777" w:rsidR="004C2197" w:rsidRDefault="004C2197">
            <w:pPr>
              <w:rPr>
                <w:rFonts w:ascii="宋体"/>
              </w:rPr>
            </w:pPr>
          </w:p>
        </w:tc>
        <w:tc>
          <w:tcPr>
            <w:tcW w:w="0" w:type="auto"/>
            <w:shd w:val="clear" w:color="auto" w:fill="auto"/>
          </w:tcPr>
          <w:p w14:paraId="0D8E001D" w14:textId="77777777" w:rsidR="004C2197" w:rsidRDefault="004C2197">
            <w:pPr>
              <w:rPr>
                <w:rFonts w:ascii="宋体"/>
              </w:rPr>
            </w:pPr>
          </w:p>
        </w:tc>
        <w:tc>
          <w:tcPr>
            <w:tcW w:w="0" w:type="auto"/>
            <w:shd w:val="clear" w:color="auto" w:fill="auto"/>
          </w:tcPr>
          <w:p w14:paraId="0D8E001E" w14:textId="77777777" w:rsidR="004C2197" w:rsidRDefault="004C2197">
            <w:pPr>
              <w:rPr>
                <w:rFonts w:ascii="宋体"/>
              </w:rPr>
            </w:pPr>
          </w:p>
        </w:tc>
        <w:tc>
          <w:tcPr>
            <w:tcW w:w="0" w:type="auto"/>
            <w:shd w:val="clear" w:color="auto" w:fill="auto"/>
          </w:tcPr>
          <w:p w14:paraId="0D8E001F" w14:textId="77777777" w:rsidR="004C2197" w:rsidRDefault="004C2197">
            <w:pPr>
              <w:rPr>
                <w:rFonts w:ascii="宋体"/>
              </w:rPr>
            </w:pPr>
          </w:p>
        </w:tc>
        <w:tc>
          <w:tcPr>
            <w:tcW w:w="0" w:type="auto"/>
            <w:shd w:val="clear" w:color="auto" w:fill="auto"/>
          </w:tcPr>
          <w:p w14:paraId="0D8E0020" w14:textId="77777777" w:rsidR="004C2197" w:rsidRDefault="004C2197">
            <w:pPr>
              <w:rPr>
                <w:rFonts w:ascii="宋体"/>
              </w:rPr>
            </w:pPr>
          </w:p>
        </w:tc>
        <w:tc>
          <w:tcPr>
            <w:tcW w:w="0" w:type="auto"/>
            <w:shd w:val="clear" w:color="auto" w:fill="auto"/>
          </w:tcPr>
          <w:p w14:paraId="0D8E0021" w14:textId="77777777" w:rsidR="004C2197" w:rsidRDefault="004C2197">
            <w:pPr>
              <w:rPr>
                <w:rFonts w:ascii="宋体"/>
              </w:rPr>
            </w:pPr>
          </w:p>
        </w:tc>
        <w:tc>
          <w:tcPr>
            <w:tcW w:w="0" w:type="auto"/>
            <w:shd w:val="clear" w:color="auto" w:fill="auto"/>
          </w:tcPr>
          <w:p w14:paraId="0D8E0022" w14:textId="77777777" w:rsidR="004C2197" w:rsidRDefault="004C2197">
            <w:pPr>
              <w:rPr>
                <w:rFonts w:ascii="宋体"/>
              </w:rPr>
            </w:pPr>
          </w:p>
        </w:tc>
        <w:tc>
          <w:tcPr>
            <w:tcW w:w="0" w:type="auto"/>
            <w:shd w:val="clear" w:color="auto" w:fill="auto"/>
          </w:tcPr>
          <w:p w14:paraId="0D8E0023" w14:textId="77777777" w:rsidR="004C2197" w:rsidRDefault="004C2197">
            <w:pPr>
              <w:rPr>
                <w:rFonts w:ascii="宋体"/>
              </w:rPr>
            </w:pPr>
          </w:p>
        </w:tc>
      </w:tr>
      <w:tr w:rsidR="004C2197" w14:paraId="0D8E0047" w14:textId="77777777">
        <w:tc>
          <w:tcPr>
            <w:tcW w:w="0" w:type="auto"/>
            <w:gridSpan w:val="3"/>
            <w:shd w:val="clear" w:color="auto" w:fill="FFFFFF"/>
            <w:tcMar>
              <w:top w:w="40" w:type="dxa"/>
              <w:left w:w="20" w:type="dxa"/>
              <w:bottom w:w="40" w:type="dxa"/>
              <w:right w:w="20" w:type="dxa"/>
            </w:tcMar>
            <w:vAlign w:val="bottom"/>
          </w:tcPr>
          <w:p w14:paraId="0D8E0025"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tcMar>
            <w:vAlign w:val="bottom"/>
          </w:tcPr>
          <w:p w14:paraId="0D8E002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027" w14:textId="77777777" w:rsidR="004C2197" w:rsidRDefault="00863B83">
            <w:pPr>
              <w:jc w:val="right"/>
              <w:textAlignment w:val="bottom"/>
            </w:pPr>
            <w:r>
              <w:rPr>
                <w:rFonts w:ascii="sans-serif" w:eastAsia="sans-serif" w:hAnsi="sans-serif" w:cs="sans-serif"/>
                <w:color w:val="000000"/>
                <w:sz w:val="20"/>
                <w:szCs w:val="20"/>
              </w:rPr>
              <w:t>3,329 </w:t>
            </w:r>
          </w:p>
        </w:tc>
        <w:tc>
          <w:tcPr>
            <w:tcW w:w="0" w:type="auto"/>
            <w:shd w:val="clear" w:color="auto" w:fill="FFFFFF"/>
            <w:tcMar>
              <w:top w:w="40" w:type="dxa"/>
              <w:bottom w:w="40" w:type="dxa"/>
              <w:right w:w="20" w:type="dxa"/>
            </w:tcMar>
            <w:vAlign w:val="bottom"/>
          </w:tcPr>
          <w:p w14:paraId="0D8E002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029"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02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02B" w14:textId="77777777" w:rsidR="004C2197" w:rsidRDefault="00863B83">
            <w:pPr>
              <w:jc w:val="right"/>
              <w:textAlignment w:val="bottom"/>
            </w:pPr>
            <w:r>
              <w:rPr>
                <w:rFonts w:ascii="sans-serif" w:eastAsia="sans-serif" w:hAnsi="sans-serif" w:cs="sans-serif"/>
                <w:color w:val="000000"/>
                <w:sz w:val="20"/>
                <w:szCs w:val="20"/>
              </w:rPr>
              <w:t>1,470 </w:t>
            </w:r>
          </w:p>
        </w:tc>
        <w:tc>
          <w:tcPr>
            <w:tcW w:w="0" w:type="auto"/>
            <w:shd w:val="clear" w:color="auto" w:fill="FFFFFF"/>
            <w:tcMar>
              <w:top w:w="40" w:type="dxa"/>
              <w:bottom w:w="40" w:type="dxa"/>
              <w:right w:w="20" w:type="dxa"/>
            </w:tcMar>
            <w:vAlign w:val="bottom"/>
          </w:tcPr>
          <w:p w14:paraId="0D8E002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02D"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02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02F" w14:textId="77777777" w:rsidR="004C2197" w:rsidRDefault="00863B83">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bottom w:w="40" w:type="dxa"/>
              <w:right w:w="20" w:type="dxa"/>
            </w:tcMar>
            <w:vAlign w:val="bottom"/>
          </w:tcPr>
          <w:p w14:paraId="0D8E003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031"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03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033" w14:textId="77777777" w:rsidR="004C2197" w:rsidRDefault="00863B83">
            <w:pPr>
              <w:jc w:val="right"/>
              <w:textAlignment w:val="bottom"/>
            </w:pPr>
            <w:r>
              <w:rPr>
                <w:rFonts w:ascii="sans-serif" w:eastAsia="sans-serif" w:hAnsi="sans-serif" w:cs="sans-serif"/>
                <w:color w:val="000000"/>
                <w:sz w:val="20"/>
                <w:szCs w:val="20"/>
              </w:rPr>
              <w:t>4,799 </w:t>
            </w:r>
          </w:p>
        </w:tc>
        <w:tc>
          <w:tcPr>
            <w:tcW w:w="0" w:type="auto"/>
            <w:shd w:val="clear" w:color="auto" w:fill="FFFFFF"/>
            <w:tcMar>
              <w:top w:w="40" w:type="dxa"/>
              <w:bottom w:w="40" w:type="dxa"/>
              <w:right w:w="20" w:type="dxa"/>
            </w:tcMar>
            <w:vAlign w:val="bottom"/>
          </w:tcPr>
          <w:p w14:paraId="0D8E0034" w14:textId="77777777" w:rsidR="004C2197" w:rsidRDefault="004C2197">
            <w:pPr>
              <w:jc w:val="right"/>
              <w:rPr>
                <w:rFonts w:ascii="宋体"/>
              </w:rPr>
            </w:pPr>
          </w:p>
        </w:tc>
        <w:tc>
          <w:tcPr>
            <w:tcW w:w="0" w:type="auto"/>
            <w:shd w:val="clear" w:color="auto" w:fill="auto"/>
          </w:tcPr>
          <w:p w14:paraId="0D8E0035" w14:textId="77777777" w:rsidR="004C2197" w:rsidRDefault="004C2197">
            <w:pPr>
              <w:rPr>
                <w:rFonts w:ascii="宋体"/>
              </w:rPr>
            </w:pPr>
          </w:p>
        </w:tc>
        <w:tc>
          <w:tcPr>
            <w:tcW w:w="0" w:type="auto"/>
            <w:shd w:val="clear" w:color="auto" w:fill="auto"/>
          </w:tcPr>
          <w:p w14:paraId="0D8E0036" w14:textId="77777777" w:rsidR="004C2197" w:rsidRDefault="004C2197">
            <w:pPr>
              <w:rPr>
                <w:rFonts w:ascii="宋体"/>
              </w:rPr>
            </w:pPr>
          </w:p>
        </w:tc>
        <w:tc>
          <w:tcPr>
            <w:tcW w:w="0" w:type="auto"/>
            <w:shd w:val="clear" w:color="auto" w:fill="auto"/>
          </w:tcPr>
          <w:p w14:paraId="0D8E0037" w14:textId="77777777" w:rsidR="004C2197" w:rsidRDefault="004C2197">
            <w:pPr>
              <w:rPr>
                <w:rFonts w:ascii="宋体"/>
              </w:rPr>
            </w:pPr>
          </w:p>
        </w:tc>
        <w:tc>
          <w:tcPr>
            <w:tcW w:w="0" w:type="auto"/>
            <w:shd w:val="clear" w:color="auto" w:fill="auto"/>
          </w:tcPr>
          <w:p w14:paraId="0D8E0038" w14:textId="77777777" w:rsidR="004C2197" w:rsidRDefault="004C2197">
            <w:pPr>
              <w:rPr>
                <w:rFonts w:ascii="宋体"/>
              </w:rPr>
            </w:pPr>
          </w:p>
        </w:tc>
        <w:tc>
          <w:tcPr>
            <w:tcW w:w="0" w:type="auto"/>
            <w:shd w:val="clear" w:color="auto" w:fill="auto"/>
          </w:tcPr>
          <w:p w14:paraId="0D8E0039" w14:textId="77777777" w:rsidR="004C2197" w:rsidRDefault="004C2197">
            <w:pPr>
              <w:rPr>
                <w:rFonts w:ascii="宋体"/>
              </w:rPr>
            </w:pPr>
          </w:p>
        </w:tc>
        <w:tc>
          <w:tcPr>
            <w:tcW w:w="0" w:type="auto"/>
            <w:shd w:val="clear" w:color="auto" w:fill="auto"/>
          </w:tcPr>
          <w:p w14:paraId="0D8E003A" w14:textId="77777777" w:rsidR="004C2197" w:rsidRDefault="004C2197">
            <w:pPr>
              <w:rPr>
                <w:rFonts w:ascii="宋体"/>
              </w:rPr>
            </w:pPr>
          </w:p>
        </w:tc>
        <w:tc>
          <w:tcPr>
            <w:tcW w:w="0" w:type="auto"/>
            <w:shd w:val="clear" w:color="auto" w:fill="auto"/>
          </w:tcPr>
          <w:p w14:paraId="0D8E003B" w14:textId="77777777" w:rsidR="004C2197" w:rsidRDefault="004C2197">
            <w:pPr>
              <w:rPr>
                <w:rFonts w:ascii="宋体"/>
              </w:rPr>
            </w:pPr>
          </w:p>
        </w:tc>
        <w:tc>
          <w:tcPr>
            <w:tcW w:w="0" w:type="auto"/>
            <w:shd w:val="clear" w:color="auto" w:fill="auto"/>
          </w:tcPr>
          <w:p w14:paraId="0D8E003C" w14:textId="77777777" w:rsidR="004C2197" w:rsidRDefault="004C2197">
            <w:pPr>
              <w:rPr>
                <w:rFonts w:ascii="宋体"/>
              </w:rPr>
            </w:pPr>
          </w:p>
        </w:tc>
        <w:tc>
          <w:tcPr>
            <w:tcW w:w="0" w:type="auto"/>
            <w:shd w:val="clear" w:color="auto" w:fill="auto"/>
          </w:tcPr>
          <w:p w14:paraId="0D8E003D" w14:textId="77777777" w:rsidR="004C2197" w:rsidRDefault="004C2197">
            <w:pPr>
              <w:rPr>
                <w:rFonts w:ascii="宋体"/>
              </w:rPr>
            </w:pPr>
          </w:p>
        </w:tc>
        <w:tc>
          <w:tcPr>
            <w:tcW w:w="0" w:type="auto"/>
            <w:shd w:val="clear" w:color="auto" w:fill="auto"/>
          </w:tcPr>
          <w:p w14:paraId="0D8E003E" w14:textId="77777777" w:rsidR="004C2197" w:rsidRDefault="004C2197">
            <w:pPr>
              <w:rPr>
                <w:rFonts w:ascii="宋体"/>
              </w:rPr>
            </w:pPr>
          </w:p>
        </w:tc>
        <w:tc>
          <w:tcPr>
            <w:tcW w:w="0" w:type="auto"/>
            <w:shd w:val="clear" w:color="auto" w:fill="auto"/>
          </w:tcPr>
          <w:p w14:paraId="0D8E003F" w14:textId="77777777" w:rsidR="004C2197" w:rsidRDefault="004C2197">
            <w:pPr>
              <w:rPr>
                <w:rFonts w:ascii="宋体"/>
              </w:rPr>
            </w:pPr>
          </w:p>
        </w:tc>
        <w:tc>
          <w:tcPr>
            <w:tcW w:w="0" w:type="auto"/>
            <w:shd w:val="clear" w:color="auto" w:fill="auto"/>
          </w:tcPr>
          <w:p w14:paraId="0D8E0040" w14:textId="77777777" w:rsidR="004C2197" w:rsidRDefault="004C2197">
            <w:pPr>
              <w:rPr>
                <w:rFonts w:ascii="宋体"/>
              </w:rPr>
            </w:pPr>
          </w:p>
        </w:tc>
        <w:tc>
          <w:tcPr>
            <w:tcW w:w="0" w:type="auto"/>
            <w:shd w:val="clear" w:color="auto" w:fill="auto"/>
          </w:tcPr>
          <w:p w14:paraId="0D8E0041" w14:textId="77777777" w:rsidR="004C2197" w:rsidRDefault="004C2197">
            <w:pPr>
              <w:rPr>
                <w:rFonts w:ascii="宋体"/>
              </w:rPr>
            </w:pPr>
          </w:p>
        </w:tc>
        <w:tc>
          <w:tcPr>
            <w:tcW w:w="0" w:type="auto"/>
            <w:shd w:val="clear" w:color="auto" w:fill="auto"/>
          </w:tcPr>
          <w:p w14:paraId="0D8E0042" w14:textId="77777777" w:rsidR="004C2197" w:rsidRDefault="004C2197">
            <w:pPr>
              <w:rPr>
                <w:rFonts w:ascii="宋体"/>
              </w:rPr>
            </w:pPr>
          </w:p>
        </w:tc>
        <w:tc>
          <w:tcPr>
            <w:tcW w:w="0" w:type="auto"/>
            <w:shd w:val="clear" w:color="auto" w:fill="auto"/>
          </w:tcPr>
          <w:p w14:paraId="0D8E0043" w14:textId="77777777" w:rsidR="004C2197" w:rsidRDefault="004C2197">
            <w:pPr>
              <w:rPr>
                <w:rFonts w:ascii="宋体"/>
              </w:rPr>
            </w:pPr>
          </w:p>
        </w:tc>
        <w:tc>
          <w:tcPr>
            <w:tcW w:w="0" w:type="auto"/>
            <w:shd w:val="clear" w:color="auto" w:fill="auto"/>
          </w:tcPr>
          <w:p w14:paraId="0D8E0044" w14:textId="77777777" w:rsidR="004C2197" w:rsidRDefault="004C2197">
            <w:pPr>
              <w:rPr>
                <w:rFonts w:ascii="宋体"/>
              </w:rPr>
            </w:pPr>
          </w:p>
        </w:tc>
        <w:tc>
          <w:tcPr>
            <w:tcW w:w="0" w:type="auto"/>
            <w:shd w:val="clear" w:color="auto" w:fill="auto"/>
          </w:tcPr>
          <w:p w14:paraId="0D8E0045" w14:textId="77777777" w:rsidR="004C2197" w:rsidRDefault="004C2197">
            <w:pPr>
              <w:rPr>
                <w:rFonts w:ascii="宋体"/>
              </w:rPr>
            </w:pPr>
          </w:p>
        </w:tc>
        <w:tc>
          <w:tcPr>
            <w:tcW w:w="0" w:type="auto"/>
            <w:shd w:val="clear" w:color="auto" w:fill="auto"/>
          </w:tcPr>
          <w:p w14:paraId="0D8E0046" w14:textId="77777777" w:rsidR="004C2197" w:rsidRDefault="004C2197">
            <w:pPr>
              <w:rPr>
                <w:rFonts w:ascii="宋体"/>
              </w:rPr>
            </w:pPr>
          </w:p>
        </w:tc>
      </w:tr>
      <w:tr w:rsidR="004C2197" w14:paraId="0D8E0062" w14:textId="77777777">
        <w:trPr>
          <w:hidden/>
        </w:trPr>
        <w:tc>
          <w:tcPr>
            <w:tcW w:w="0" w:type="auto"/>
            <w:gridSpan w:val="3"/>
            <w:shd w:val="clear" w:color="auto" w:fill="auto"/>
          </w:tcPr>
          <w:p w14:paraId="0D8E0048" w14:textId="77777777" w:rsidR="004C2197" w:rsidRDefault="004C2197">
            <w:pPr>
              <w:rPr>
                <w:rFonts w:ascii="宋体"/>
                <w:vanish/>
              </w:rPr>
            </w:pPr>
          </w:p>
        </w:tc>
        <w:tc>
          <w:tcPr>
            <w:tcW w:w="0" w:type="auto"/>
            <w:gridSpan w:val="3"/>
            <w:shd w:val="clear" w:color="auto" w:fill="auto"/>
          </w:tcPr>
          <w:p w14:paraId="0D8E0049" w14:textId="77777777" w:rsidR="004C2197" w:rsidRDefault="004C2197">
            <w:pPr>
              <w:rPr>
                <w:rFonts w:ascii="宋体"/>
                <w:vanish/>
              </w:rPr>
            </w:pPr>
          </w:p>
        </w:tc>
        <w:tc>
          <w:tcPr>
            <w:tcW w:w="0" w:type="auto"/>
            <w:gridSpan w:val="3"/>
            <w:shd w:val="clear" w:color="auto" w:fill="auto"/>
          </w:tcPr>
          <w:p w14:paraId="0D8E004A" w14:textId="77777777" w:rsidR="004C2197" w:rsidRDefault="004C2197">
            <w:pPr>
              <w:rPr>
                <w:rFonts w:ascii="宋体"/>
                <w:vanish/>
              </w:rPr>
            </w:pPr>
          </w:p>
        </w:tc>
        <w:tc>
          <w:tcPr>
            <w:tcW w:w="0" w:type="auto"/>
            <w:gridSpan w:val="3"/>
            <w:shd w:val="clear" w:color="auto" w:fill="auto"/>
          </w:tcPr>
          <w:p w14:paraId="0D8E004B" w14:textId="77777777" w:rsidR="004C2197" w:rsidRDefault="004C2197">
            <w:pPr>
              <w:rPr>
                <w:rFonts w:ascii="宋体"/>
                <w:vanish/>
              </w:rPr>
            </w:pPr>
          </w:p>
        </w:tc>
        <w:tc>
          <w:tcPr>
            <w:tcW w:w="0" w:type="auto"/>
            <w:gridSpan w:val="3"/>
            <w:shd w:val="clear" w:color="auto" w:fill="auto"/>
          </w:tcPr>
          <w:p w14:paraId="0D8E004C" w14:textId="77777777" w:rsidR="004C2197" w:rsidRDefault="004C2197">
            <w:pPr>
              <w:rPr>
                <w:rFonts w:ascii="宋体"/>
                <w:vanish/>
              </w:rPr>
            </w:pPr>
          </w:p>
        </w:tc>
        <w:tc>
          <w:tcPr>
            <w:tcW w:w="0" w:type="auto"/>
            <w:gridSpan w:val="3"/>
            <w:shd w:val="clear" w:color="auto" w:fill="auto"/>
          </w:tcPr>
          <w:p w14:paraId="0D8E004D" w14:textId="77777777" w:rsidR="004C2197" w:rsidRDefault="004C2197">
            <w:pPr>
              <w:rPr>
                <w:rFonts w:ascii="宋体"/>
                <w:vanish/>
              </w:rPr>
            </w:pPr>
          </w:p>
        </w:tc>
        <w:tc>
          <w:tcPr>
            <w:tcW w:w="0" w:type="auto"/>
            <w:gridSpan w:val="3"/>
            <w:shd w:val="clear" w:color="auto" w:fill="auto"/>
          </w:tcPr>
          <w:p w14:paraId="0D8E004E" w14:textId="77777777" w:rsidR="004C2197" w:rsidRDefault="004C2197">
            <w:pPr>
              <w:rPr>
                <w:rFonts w:ascii="宋体"/>
                <w:vanish/>
              </w:rPr>
            </w:pPr>
          </w:p>
        </w:tc>
        <w:tc>
          <w:tcPr>
            <w:tcW w:w="0" w:type="auto"/>
            <w:gridSpan w:val="3"/>
            <w:shd w:val="clear" w:color="auto" w:fill="auto"/>
          </w:tcPr>
          <w:p w14:paraId="0D8E004F" w14:textId="77777777" w:rsidR="004C2197" w:rsidRDefault="004C2197">
            <w:pPr>
              <w:rPr>
                <w:rFonts w:ascii="宋体"/>
                <w:vanish/>
              </w:rPr>
            </w:pPr>
          </w:p>
        </w:tc>
        <w:tc>
          <w:tcPr>
            <w:tcW w:w="0" w:type="auto"/>
            <w:shd w:val="clear" w:color="auto" w:fill="auto"/>
          </w:tcPr>
          <w:p w14:paraId="0D8E0050" w14:textId="77777777" w:rsidR="004C2197" w:rsidRDefault="004C2197">
            <w:pPr>
              <w:rPr>
                <w:rFonts w:ascii="宋体"/>
              </w:rPr>
            </w:pPr>
          </w:p>
        </w:tc>
        <w:tc>
          <w:tcPr>
            <w:tcW w:w="0" w:type="auto"/>
            <w:shd w:val="clear" w:color="auto" w:fill="auto"/>
          </w:tcPr>
          <w:p w14:paraId="0D8E0051" w14:textId="77777777" w:rsidR="004C2197" w:rsidRDefault="004C2197">
            <w:pPr>
              <w:rPr>
                <w:rFonts w:ascii="宋体"/>
              </w:rPr>
            </w:pPr>
          </w:p>
        </w:tc>
        <w:tc>
          <w:tcPr>
            <w:tcW w:w="0" w:type="auto"/>
            <w:shd w:val="clear" w:color="auto" w:fill="auto"/>
          </w:tcPr>
          <w:p w14:paraId="0D8E0052" w14:textId="77777777" w:rsidR="004C2197" w:rsidRDefault="004C2197">
            <w:pPr>
              <w:rPr>
                <w:rFonts w:ascii="宋体"/>
              </w:rPr>
            </w:pPr>
          </w:p>
        </w:tc>
        <w:tc>
          <w:tcPr>
            <w:tcW w:w="0" w:type="auto"/>
            <w:shd w:val="clear" w:color="auto" w:fill="auto"/>
          </w:tcPr>
          <w:p w14:paraId="0D8E0053" w14:textId="77777777" w:rsidR="004C2197" w:rsidRDefault="004C2197">
            <w:pPr>
              <w:rPr>
                <w:rFonts w:ascii="宋体"/>
              </w:rPr>
            </w:pPr>
          </w:p>
        </w:tc>
        <w:tc>
          <w:tcPr>
            <w:tcW w:w="0" w:type="auto"/>
            <w:shd w:val="clear" w:color="auto" w:fill="auto"/>
          </w:tcPr>
          <w:p w14:paraId="0D8E0054" w14:textId="77777777" w:rsidR="004C2197" w:rsidRDefault="004C2197">
            <w:pPr>
              <w:rPr>
                <w:rFonts w:ascii="宋体"/>
              </w:rPr>
            </w:pPr>
          </w:p>
        </w:tc>
        <w:tc>
          <w:tcPr>
            <w:tcW w:w="0" w:type="auto"/>
            <w:shd w:val="clear" w:color="auto" w:fill="auto"/>
          </w:tcPr>
          <w:p w14:paraId="0D8E0055" w14:textId="77777777" w:rsidR="004C2197" w:rsidRDefault="004C2197">
            <w:pPr>
              <w:rPr>
                <w:rFonts w:ascii="宋体"/>
              </w:rPr>
            </w:pPr>
          </w:p>
        </w:tc>
        <w:tc>
          <w:tcPr>
            <w:tcW w:w="0" w:type="auto"/>
            <w:shd w:val="clear" w:color="auto" w:fill="auto"/>
          </w:tcPr>
          <w:p w14:paraId="0D8E0056" w14:textId="77777777" w:rsidR="004C2197" w:rsidRDefault="004C2197">
            <w:pPr>
              <w:rPr>
                <w:rFonts w:ascii="宋体"/>
              </w:rPr>
            </w:pPr>
          </w:p>
        </w:tc>
        <w:tc>
          <w:tcPr>
            <w:tcW w:w="0" w:type="auto"/>
            <w:shd w:val="clear" w:color="auto" w:fill="auto"/>
          </w:tcPr>
          <w:p w14:paraId="0D8E0057" w14:textId="77777777" w:rsidR="004C2197" w:rsidRDefault="004C2197">
            <w:pPr>
              <w:rPr>
                <w:rFonts w:ascii="宋体"/>
              </w:rPr>
            </w:pPr>
          </w:p>
        </w:tc>
        <w:tc>
          <w:tcPr>
            <w:tcW w:w="0" w:type="auto"/>
            <w:shd w:val="clear" w:color="auto" w:fill="auto"/>
          </w:tcPr>
          <w:p w14:paraId="0D8E0058" w14:textId="77777777" w:rsidR="004C2197" w:rsidRDefault="004C2197">
            <w:pPr>
              <w:rPr>
                <w:rFonts w:ascii="宋体"/>
              </w:rPr>
            </w:pPr>
          </w:p>
        </w:tc>
        <w:tc>
          <w:tcPr>
            <w:tcW w:w="0" w:type="auto"/>
            <w:shd w:val="clear" w:color="auto" w:fill="auto"/>
          </w:tcPr>
          <w:p w14:paraId="0D8E0059" w14:textId="77777777" w:rsidR="004C2197" w:rsidRDefault="004C2197">
            <w:pPr>
              <w:rPr>
                <w:rFonts w:ascii="宋体"/>
              </w:rPr>
            </w:pPr>
          </w:p>
        </w:tc>
        <w:tc>
          <w:tcPr>
            <w:tcW w:w="0" w:type="auto"/>
            <w:shd w:val="clear" w:color="auto" w:fill="auto"/>
          </w:tcPr>
          <w:p w14:paraId="0D8E005A" w14:textId="77777777" w:rsidR="004C2197" w:rsidRDefault="004C2197">
            <w:pPr>
              <w:rPr>
                <w:rFonts w:ascii="宋体"/>
              </w:rPr>
            </w:pPr>
          </w:p>
        </w:tc>
        <w:tc>
          <w:tcPr>
            <w:tcW w:w="0" w:type="auto"/>
            <w:shd w:val="clear" w:color="auto" w:fill="auto"/>
          </w:tcPr>
          <w:p w14:paraId="0D8E005B" w14:textId="77777777" w:rsidR="004C2197" w:rsidRDefault="004C2197">
            <w:pPr>
              <w:rPr>
                <w:rFonts w:ascii="宋体"/>
              </w:rPr>
            </w:pPr>
          </w:p>
        </w:tc>
        <w:tc>
          <w:tcPr>
            <w:tcW w:w="0" w:type="auto"/>
            <w:shd w:val="clear" w:color="auto" w:fill="auto"/>
          </w:tcPr>
          <w:p w14:paraId="0D8E005C" w14:textId="77777777" w:rsidR="004C2197" w:rsidRDefault="004C2197">
            <w:pPr>
              <w:rPr>
                <w:rFonts w:ascii="宋体"/>
              </w:rPr>
            </w:pPr>
          </w:p>
        </w:tc>
        <w:tc>
          <w:tcPr>
            <w:tcW w:w="0" w:type="auto"/>
            <w:shd w:val="clear" w:color="auto" w:fill="auto"/>
          </w:tcPr>
          <w:p w14:paraId="0D8E005D" w14:textId="77777777" w:rsidR="004C2197" w:rsidRDefault="004C2197">
            <w:pPr>
              <w:rPr>
                <w:rFonts w:ascii="宋体"/>
              </w:rPr>
            </w:pPr>
          </w:p>
        </w:tc>
        <w:tc>
          <w:tcPr>
            <w:tcW w:w="0" w:type="auto"/>
            <w:shd w:val="clear" w:color="auto" w:fill="auto"/>
          </w:tcPr>
          <w:p w14:paraId="0D8E005E" w14:textId="77777777" w:rsidR="004C2197" w:rsidRDefault="004C2197">
            <w:pPr>
              <w:rPr>
                <w:rFonts w:ascii="宋体"/>
              </w:rPr>
            </w:pPr>
          </w:p>
        </w:tc>
        <w:tc>
          <w:tcPr>
            <w:tcW w:w="0" w:type="auto"/>
            <w:shd w:val="clear" w:color="auto" w:fill="auto"/>
          </w:tcPr>
          <w:p w14:paraId="0D8E005F" w14:textId="77777777" w:rsidR="004C2197" w:rsidRDefault="004C2197">
            <w:pPr>
              <w:rPr>
                <w:rFonts w:ascii="宋体"/>
              </w:rPr>
            </w:pPr>
          </w:p>
        </w:tc>
        <w:tc>
          <w:tcPr>
            <w:tcW w:w="0" w:type="auto"/>
            <w:shd w:val="clear" w:color="auto" w:fill="auto"/>
          </w:tcPr>
          <w:p w14:paraId="0D8E0060" w14:textId="77777777" w:rsidR="004C2197" w:rsidRDefault="004C2197">
            <w:pPr>
              <w:rPr>
                <w:rFonts w:ascii="宋体"/>
              </w:rPr>
            </w:pPr>
          </w:p>
        </w:tc>
        <w:tc>
          <w:tcPr>
            <w:tcW w:w="0" w:type="auto"/>
            <w:shd w:val="clear" w:color="auto" w:fill="auto"/>
          </w:tcPr>
          <w:p w14:paraId="0D8E0061" w14:textId="77777777" w:rsidR="004C2197" w:rsidRDefault="004C2197">
            <w:pPr>
              <w:rPr>
                <w:rFonts w:ascii="宋体"/>
              </w:rPr>
            </w:pPr>
          </w:p>
        </w:tc>
      </w:tr>
      <w:tr w:rsidR="004C2197" w14:paraId="0D8E0085" w14:textId="77777777">
        <w:tc>
          <w:tcPr>
            <w:tcW w:w="0" w:type="auto"/>
            <w:gridSpan w:val="3"/>
            <w:shd w:val="clear" w:color="auto" w:fill="E2EFD9"/>
            <w:tcMar>
              <w:top w:w="40" w:type="dxa"/>
              <w:left w:w="20" w:type="dxa"/>
              <w:bottom w:w="40" w:type="dxa"/>
              <w:right w:w="20" w:type="dxa"/>
            </w:tcMar>
            <w:vAlign w:val="bottom"/>
          </w:tcPr>
          <w:p w14:paraId="0D8E0063" w14:textId="77777777" w:rsidR="004C2197" w:rsidRDefault="00863B83">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tcMar>
            <w:vAlign w:val="bottom"/>
          </w:tcPr>
          <w:p w14:paraId="0D8E006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065" w14:textId="77777777" w:rsidR="004C2197" w:rsidRDefault="00863B83">
            <w:pPr>
              <w:jc w:val="right"/>
              <w:textAlignment w:val="bottom"/>
            </w:pPr>
            <w:r>
              <w:rPr>
                <w:rFonts w:ascii="sans-serif" w:eastAsia="sans-serif" w:hAnsi="sans-serif" w:cs="sans-serif"/>
                <w:color w:val="000000"/>
                <w:sz w:val="20"/>
                <w:szCs w:val="20"/>
              </w:rPr>
              <w:t>1,239 </w:t>
            </w:r>
          </w:p>
        </w:tc>
        <w:tc>
          <w:tcPr>
            <w:tcW w:w="0" w:type="auto"/>
            <w:shd w:val="clear" w:color="auto" w:fill="E2EFD9"/>
            <w:tcMar>
              <w:top w:w="40" w:type="dxa"/>
              <w:bottom w:w="40" w:type="dxa"/>
              <w:right w:w="20" w:type="dxa"/>
            </w:tcMar>
            <w:vAlign w:val="bottom"/>
          </w:tcPr>
          <w:p w14:paraId="0D8E006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067"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06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069" w14:textId="77777777" w:rsidR="004C2197" w:rsidRDefault="00863B83">
            <w:pPr>
              <w:jc w:val="right"/>
              <w:textAlignment w:val="bottom"/>
            </w:pPr>
            <w:r>
              <w:rPr>
                <w:rFonts w:ascii="sans-serif" w:eastAsia="sans-serif" w:hAnsi="sans-serif" w:cs="sans-serif"/>
                <w:color w:val="000000"/>
                <w:sz w:val="20"/>
                <w:szCs w:val="20"/>
              </w:rPr>
              <w:t>259 </w:t>
            </w:r>
          </w:p>
        </w:tc>
        <w:tc>
          <w:tcPr>
            <w:tcW w:w="0" w:type="auto"/>
            <w:shd w:val="clear" w:color="auto" w:fill="E2EFD9"/>
            <w:tcMar>
              <w:top w:w="40" w:type="dxa"/>
              <w:bottom w:w="40" w:type="dxa"/>
              <w:right w:w="20" w:type="dxa"/>
            </w:tcMar>
            <w:vAlign w:val="bottom"/>
          </w:tcPr>
          <w:p w14:paraId="0D8E006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06B"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06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06D" w14:textId="77777777" w:rsidR="004C2197" w:rsidRDefault="00863B83">
            <w:pPr>
              <w:jc w:val="right"/>
              <w:textAlignment w:val="bottom"/>
            </w:pPr>
            <w:r>
              <w:rPr>
                <w:rFonts w:ascii="sans-serif" w:eastAsia="sans-serif" w:hAnsi="sans-serif" w:cs="sans-serif"/>
                <w:color w:val="000000"/>
                <w:sz w:val="20"/>
                <w:szCs w:val="20"/>
              </w:rPr>
              <w:t>(569)</w:t>
            </w:r>
          </w:p>
        </w:tc>
        <w:tc>
          <w:tcPr>
            <w:tcW w:w="0" w:type="auto"/>
            <w:shd w:val="clear" w:color="auto" w:fill="E2EFD9"/>
            <w:tcMar>
              <w:top w:w="40" w:type="dxa"/>
              <w:bottom w:w="40" w:type="dxa"/>
              <w:right w:w="20" w:type="dxa"/>
            </w:tcMar>
            <w:vAlign w:val="bottom"/>
          </w:tcPr>
          <w:p w14:paraId="0D8E006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06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07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071" w14:textId="77777777" w:rsidR="004C2197" w:rsidRDefault="00863B83">
            <w:pPr>
              <w:jc w:val="right"/>
              <w:textAlignment w:val="bottom"/>
            </w:pPr>
            <w:r>
              <w:rPr>
                <w:rFonts w:ascii="sans-serif" w:eastAsia="sans-serif" w:hAnsi="sans-serif" w:cs="sans-serif"/>
                <w:color w:val="000000"/>
                <w:sz w:val="20"/>
                <w:szCs w:val="20"/>
              </w:rPr>
              <w:t>929 </w:t>
            </w:r>
          </w:p>
        </w:tc>
        <w:tc>
          <w:tcPr>
            <w:tcW w:w="0" w:type="auto"/>
            <w:shd w:val="clear" w:color="auto" w:fill="E2EFD9"/>
            <w:tcMar>
              <w:top w:w="40" w:type="dxa"/>
              <w:bottom w:w="40" w:type="dxa"/>
              <w:right w:w="20" w:type="dxa"/>
            </w:tcMar>
            <w:vAlign w:val="bottom"/>
          </w:tcPr>
          <w:p w14:paraId="0D8E0072" w14:textId="77777777" w:rsidR="004C2197" w:rsidRDefault="004C2197">
            <w:pPr>
              <w:jc w:val="right"/>
              <w:rPr>
                <w:rFonts w:ascii="宋体"/>
              </w:rPr>
            </w:pPr>
          </w:p>
        </w:tc>
        <w:tc>
          <w:tcPr>
            <w:tcW w:w="0" w:type="auto"/>
            <w:shd w:val="clear" w:color="auto" w:fill="auto"/>
          </w:tcPr>
          <w:p w14:paraId="0D8E0073" w14:textId="77777777" w:rsidR="004C2197" w:rsidRDefault="004C2197">
            <w:pPr>
              <w:rPr>
                <w:rFonts w:ascii="宋体"/>
              </w:rPr>
            </w:pPr>
          </w:p>
        </w:tc>
        <w:tc>
          <w:tcPr>
            <w:tcW w:w="0" w:type="auto"/>
            <w:shd w:val="clear" w:color="auto" w:fill="auto"/>
          </w:tcPr>
          <w:p w14:paraId="0D8E0074" w14:textId="77777777" w:rsidR="004C2197" w:rsidRDefault="004C2197">
            <w:pPr>
              <w:rPr>
                <w:rFonts w:ascii="宋体"/>
              </w:rPr>
            </w:pPr>
          </w:p>
        </w:tc>
        <w:tc>
          <w:tcPr>
            <w:tcW w:w="0" w:type="auto"/>
            <w:shd w:val="clear" w:color="auto" w:fill="auto"/>
          </w:tcPr>
          <w:p w14:paraId="0D8E0075" w14:textId="77777777" w:rsidR="004C2197" w:rsidRDefault="004C2197">
            <w:pPr>
              <w:rPr>
                <w:rFonts w:ascii="宋体"/>
              </w:rPr>
            </w:pPr>
          </w:p>
        </w:tc>
        <w:tc>
          <w:tcPr>
            <w:tcW w:w="0" w:type="auto"/>
            <w:shd w:val="clear" w:color="auto" w:fill="auto"/>
          </w:tcPr>
          <w:p w14:paraId="0D8E0076" w14:textId="77777777" w:rsidR="004C2197" w:rsidRDefault="004C2197">
            <w:pPr>
              <w:rPr>
                <w:rFonts w:ascii="宋体"/>
              </w:rPr>
            </w:pPr>
          </w:p>
        </w:tc>
        <w:tc>
          <w:tcPr>
            <w:tcW w:w="0" w:type="auto"/>
            <w:shd w:val="clear" w:color="auto" w:fill="auto"/>
          </w:tcPr>
          <w:p w14:paraId="0D8E0077" w14:textId="77777777" w:rsidR="004C2197" w:rsidRDefault="004C2197">
            <w:pPr>
              <w:rPr>
                <w:rFonts w:ascii="宋体"/>
              </w:rPr>
            </w:pPr>
          </w:p>
        </w:tc>
        <w:tc>
          <w:tcPr>
            <w:tcW w:w="0" w:type="auto"/>
            <w:shd w:val="clear" w:color="auto" w:fill="auto"/>
          </w:tcPr>
          <w:p w14:paraId="0D8E0078" w14:textId="77777777" w:rsidR="004C2197" w:rsidRDefault="004C2197">
            <w:pPr>
              <w:rPr>
                <w:rFonts w:ascii="宋体"/>
              </w:rPr>
            </w:pPr>
          </w:p>
        </w:tc>
        <w:tc>
          <w:tcPr>
            <w:tcW w:w="0" w:type="auto"/>
            <w:shd w:val="clear" w:color="auto" w:fill="auto"/>
          </w:tcPr>
          <w:p w14:paraId="0D8E0079" w14:textId="77777777" w:rsidR="004C2197" w:rsidRDefault="004C2197">
            <w:pPr>
              <w:rPr>
                <w:rFonts w:ascii="宋体"/>
              </w:rPr>
            </w:pPr>
          </w:p>
        </w:tc>
        <w:tc>
          <w:tcPr>
            <w:tcW w:w="0" w:type="auto"/>
            <w:shd w:val="clear" w:color="auto" w:fill="auto"/>
          </w:tcPr>
          <w:p w14:paraId="0D8E007A" w14:textId="77777777" w:rsidR="004C2197" w:rsidRDefault="004C2197">
            <w:pPr>
              <w:rPr>
                <w:rFonts w:ascii="宋体"/>
              </w:rPr>
            </w:pPr>
          </w:p>
        </w:tc>
        <w:tc>
          <w:tcPr>
            <w:tcW w:w="0" w:type="auto"/>
            <w:shd w:val="clear" w:color="auto" w:fill="auto"/>
          </w:tcPr>
          <w:p w14:paraId="0D8E007B" w14:textId="77777777" w:rsidR="004C2197" w:rsidRDefault="004C2197">
            <w:pPr>
              <w:rPr>
                <w:rFonts w:ascii="宋体"/>
              </w:rPr>
            </w:pPr>
          </w:p>
        </w:tc>
        <w:tc>
          <w:tcPr>
            <w:tcW w:w="0" w:type="auto"/>
            <w:shd w:val="clear" w:color="auto" w:fill="auto"/>
          </w:tcPr>
          <w:p w14:paraId="0D8E007C" w14:textId="77777777" w:rsidR="004C2197" w:rsidRDefault="004C2197">
            <w:pPr>
              <w:rPr>
                <w:rFonts w:ascii="宋体"/>
              </w:rPr>
            </w:pPr>
          </w:p>
        </w:tc>
        <w:tc>
          <w:tcPr>
            <w:tcW w:w="0" w:type="auto"/>
            <w:shd w:val="clear" w:color="auto" w:fill="auto"/>
          </w:tcPr>
          <w:p w14:paraId="0D8E007D" w14:textId="77777777" w:rsidR="004C2197" w:rsidRDefault="004C2197">
            <w:pPr>
              <w:rPr>
                <w:rFonts w:ascii="宋体"/>
              </w:rPr>
            </w:pPr>
          </w:p>
        </w:tc>
        <w:tc>
          <w:tcPr>
            <w:tcW w:w="0" w:type="auto"/>
            <w:shd w:val="clear" w:color="auto" w:fill="auto"/>
          </w:tcPr>
          <w:p w14:paraId="0D8E007E" w14:textId="77777777" w:rsidR="004C2197" w:rsidRDefault="004C2197">
            <w:pPr>
              <w:rPr>
                <w:rFonts w:ascii="宋体"/>
              </w:rPr>
            </w:pPr>
          </w:p>
        </w:tc>
        <w:tc>
          <w:tcPr>
            <w:tcW w:w="0" w:type="auto"/>
            <w:shd w:val="clear" w:color="auto" w:fill="auto"/>
          </w:tcPr>
          <w:p w14:paraId="0D8E007F" w14:textId="77777777" w:rsidR="004C2197" w:rsidRDefault="004C2197">
            <w:pPr>
              <w:rPr>
                <w:rFonts w:ascii="宋体"/>
              </w:rPr>
            </w:pPr>
          </w:p>
        </w:tc>
        <w:tc>
          <w:tcPr>
            <w:tcW w:w="0" w:type="auto"/>
            <w:shd w:val="clear" w:color="auto" w:fill="auto"/>
          </w:tcPr>
          <w:p w14:paraId="0D8E0080" w14:textId="77777777" w:rsidR="004C2197" w:rsidRDefault="004C2197">
            <w:pPr>
              <w:rPr>
                <w:rFonts w:ascii="宋体"/>
              </w:rPr>
            </w:pPr>
          </w:p>
        </w:tc>
        <w:tc>
          <w:tcPr>
            <w:tcW w:w="0" w:type="auto"/>
            <w:shd w:val="clear" w:color="auto" w:fill="auto"/>
          </w:tcPr>
          <w:p w14:paraId="0D8E0081" w14:textId="77777777" w:rsidR="004C2197" w:rsidRDefault="004C2197">
            <w:pPr>
              <w:rPr>
                <w:rFonts w:ascii="宋体"/>
              </w:rPr>
            </w:pPr>
          </w:p>
        </w:tc>
        <w:tc>
          <w:tcPr>
            <w:tcW w:w="0" w:type="auto"/>
            <w:shd w:val="clear" w:color="auto" w:fill="auto"/>
          </w:tcPr>
          <w:p w14:paraId="0D8E0082" w14:textId="77777777" w:rsidR="004C2197" w:rsidRDefault="004C2197">
            <w:pPr>
              <w:rPr>
                <w:rFonts w:ascii="宋体"/>
              </w:rPr>
            </w:pPr>
          </w:p>
        </w:tc>
        <w:tc>
          <w:tcPr>
            <w:tcW w:w="0" w:type="auto"/>
            <w:shd w:val="clear" w:color="auto" w:fill="auto"/>
          </w:tcPr>
          <w:p w14:paraId="0D8E0083" w14:textId="77777777" w:rsidR="004C2197" w:rsidRDefault="004C2197">
            <w:pPr>
              <w:rPr>
                <w:rFonts w:ascii="宋体"/>
              </w:rPr>
            </w:pPr>
          </w:p>
        </w:tc>
        <w:tc>
          <w:tcPr>
            <w:tcW w:w="0" w:type="auto"/>
            <w:shd w:val="clear" w:color="auto" w:fill="auto"/>
          </w:tcPr>
          <w:p w14:paraId="0D8E0084" w14:textId="77777777" w:rsidR="004C2197" w:rsidRDefault="004C2197">
            <w:pPr>
              <w:rPr>
                <w:rFonts w:ascii="宋体"/>
              </w:rPr>
            </w:pPr>
          </w:p>
        </w:tc>
      </w:tr>
    </w:tbl>
    <w:p w14:paraId="0D8E0086" w14:textId="77777777" w:rsidR="004C2197" w:rsidRDefault="004C2197">
      <w:pPr>
        <w:spacing w:before="120" w:after="18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255"/>
        <w:gridCol w:w="37"/>
        <w:gridCol w:w="137"/>
        <w:gridCol w:w="875"/>
        <w:gridCol w:w="41"/>
        <w:gridCol w:w="36"/>
        <w:gridCol w:w="36"/>
        <w:gridCol w:w="36"/>
        <w:gridCol w:w="137"/>
        <w:gridCol w:w="815"/>
        <w:gridCol w:w="41"/>
        <w:gridCol w:w="36"/>
        <w:gridCol w:w="36"/>
        <w:gridCol w:w="36"/>
        <w:gridCol w:w="137"/>
        <w:gridCol w:w="815"/>
        <w:gridCol w:w="41"/>
        <w:gridCol w:w="36"/>
        <w:gridCol w:w="36"/>
        <w:gridCol w:w="36"/>
        <w:gridCol w:w="137"/>
        <w:gridCol w:w="81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E009F" w14:textId="77777777">
        <w:trPr>
          <w:gridAfter w:val="18"/>
          <w:jc w:val="center"/>
        </w:trPr>
        <w:tc>
          <w:tcPr>
            <w:tcW w:w="50" w:type="pct"/>
            <w:shd w:val="clear" w:color="auto" w:fill="auto"/>
          </w:tcPr>
          <w:p w14:paraId="0D8E0087" w14:textId="77777777" w:rsidR="004C2197" w:rsidRDefault="004C2197">
            <w:pPr>
              <w:rPr>
                <w:rFonts w:ascii="宋体"/>
              </w:rPr>
            </w:pPr>
          </w:p>
        </w:tc>
        <w:tc>
          <w:tcPr>
            <w:tcW w:w="2174" w:type="pct"/>
            <w:shd w:val="clear" w:color="auto" w:fill="auto"/>
          </w:tcPr>
          <w:p w14:paraId="0D8E0088" w14:textId="77777777" w:rsidR="004C2197" w:rsidRDefault="004C2197">
            <w:pPr>
              <w:rPr>
                <w:rFonts w:ascii="宋体"/>
              </w:rPr>
            </w:pPr>
          </w:p>
        </w:tc>
        <w:tc>
          <w:tcPr>
            <w:tcW w:w="5" w:type="pct"/>
            <w:shd w:val="clear" w:color="auto" w:fill="auto"/>
          </w:tcPr>
          <w:p w14:paraId="0D8E0089" w14:textId="77777777" w:rsidR="004C2197" w:rsidRDefault="004C2197">
            <w:pPr>
              <w:rPr>
                <w:rFonts w:ascii="宋体"/>
              </w:rPr>
            </w:pPr>
          </w:p>
        </w:tc>
        <w:tc>
          <w:tcPr>
            <w:tcW w:w="50" w:type="pct"/>
            <w:shd w:val="clear" w:color="auto" w:fill="auto"/>
          </w:tcPr>
          <w:p w14:paraId="0D8E008A" w14:textId="77777777" w:rsidR="004C2197" w:rsidRDefault="004C2197">
            <w:pPr>
              <w:rPr>
                <w:rFonts w:ascii="宋体"/>
              </w:rPr>
            </w:pPr>
          </w:p>
        </w:tc>
        <w:tc>
          <w:tcPr>
            <w:tcW w:w="610" w:type="pct"/>
            <w:shd w:val="clear" w:color="auto" w:fill="auto"/>
          </w:tcPr>
          <w:p w14:paraId="0D8E008B" w14:textId="77777777" w:rsidR="004C2197" w:rsidRDefault="004C2197">
            <w:pPr>
              <w:rPr>
                <w:rFonts w:ascii="宋体"/>
              </w:rPr>
            </w:pPr>
          </w:p>
        </w:tc>
        <w:tc>
          <w:tcPr>
            <w:tcW w:w="5" w:type="pct"/>
            <w:shd w:val="clear" w:color="auto" w:fill="auto"/>
          </w:tcPr>
          <w:p w14:paraId="0D8E008C" w14:textId="77777777" w:rsidR="004C2197" w:rsidRDefault="004C2197">
            <w:pPr>
              <w:rPr>
                <w:rFonts w:ascii="宋体"/>
              </w:rPr>
            </w:pPr>
          </w:p>
        </w:tc>
        <w:tc>
          <w:tcPr>
            <w:tcW w:w="5" w:type="pct"/>
            <w:shd w:val="clear" w:color="auto" w:fill="auto"/>
          </w:tcPr>
          <w:p w14:paraId="0D8E008D" w14:textId="77777777" w:rsidR="004C2197" w:rsidRDefault="004C2197">
            <w:pPr>
              <w:rPr>
                <w:rFonts w:ascii="宋体"/>
              </w:rPr>
            </w:pPr>
          </w:p>
        </w:tc>
        <w:tc>
          <w:tcPr>
            <w:tcW w:w="26" w:type="pct"/>
            <w:shd w:val="clear" w:color="auto" w:fill="auto"/>
          </w:tcPr>
          <w:p w14:paraId="0D8E008E" w14:textId="77777777" w:rsidR="004C2197" w:rsidRDefault="004C2197">
            <w:pPr>
              <w:rPr>
                <w:rFonts w:ascii="宋体"/>
              </w:rPr>
            </w:pPr>
          </w:p>
        </w:tc>
        <w:tc>
          <w:tcPr>
            <w:tcW w:w="5" w:type="pct"/>
            <w:shd w:val="clear" w:color="auto" w:fill="auto"/>
          </w:tcPr>
          <w:p w14:paraId="0D8E008F" w14:textId="77777777" w:rsidR="004C2197" w:rsidRDefault="004C2197">
            <w:pPr>
              <w:rPr>
                <w:rFonts w:ascii="宋体"/>
              </w:rPr>
            </w:pPr>
          </w:p>
        </w:tc>
        <w:tc>
          <w:tcPr>
            <w:tcW w:w="50" w:type="pct"/>
            <w:shd w:val="clear" w:color="auto" w:fill="auto"/>
          </w:tcPr>
          <w:p w14:paraId="0D8E0090" w14:textId="77777777" w:rsidR="004C2197" w:rsidRDefault="004C2197">
            <w:pPr>
              <w:rPr>
                <w:rFonts w:ascii="宋体"/>
              </w:rPr>
            </w:pPr>
          </w:p>
        </w:tc>
        <w:tc>
          <w:tcPr>
            <w:tcW w:w="610" w:type="pct"/>
            <w:shd w:val="clear" w:color="auto" w:fill="auto"/>
          </w:tcPr>
          <w:p w14:paraId="0D8E0091" w14:textId="77777777" w:rsidR="004C2197" w:rsidRDefault="004C2197">
            <w:pPr>
              <w:rPr>
                <w:rFonts w:ascii="宋体"/>
              </w:rPr>
            </w:pPr>
          </w:p>
        </w:tc>
        <w:tc>
          <w:tcPr>
            <w:tcW w:w="5" w:type="pct"/>
            <w:shd w:val="clear" w:color="auto" w:fill="auto"/>
          </w:tcPr>
          <w:p w14:paraId="0D8E0092" w14:textId="77777777" w:rsidR="004C2197" w:rsidRDefault="004C2197">
            <w:pPr>
              <w:rPr>
                <w:rFonts w:ascii="宋体"/>
              </w:rPr>
            </w:pPr>
          </w:p>
        </w:tc>
        <w:tc>
          <w:tcPr>
            <w:tcW w:w="5" w:type="pct"/>
            <w:shd w:val="clear" w:color="auto" w:fill="auto"/>
          </w:tcPr>
          <w:p w14:paraId="0D8E0093" w14:textId="77777777" w:rsidR="004C2197" w:rsidRDefault="004C2197">
            <w:pPr>
              <w:rPr>
                <w:rFonts w:ascii="宋体"/>
              </w:rPr>
            </w:pPr>
          </w:p>
        </w:tc>
        <w:tc>
          <w:tcPr>
            <w:tcW w:w="26" w:type="pct"/>
            <w:shd w:val="clear" w:color="auto" w:fill="auto"/>
          </w:tcPr>
          <w:p w14:paraId="0D8E0094" w14:textId="77777777" w:rsidR="004C2197" w:rsidRDefault="004C2197">
            <w:pPr>
              <w:rPr>
                <w:rFonts w:ascii="宋体"/>
              </w:rPr>
            </w:pPr>
          </w:p>
        </w:tc>
        <w:tc>
          <w:tcPr>
            <w:tcW w:w="5" w:type="pct"/>
            <w:shd w:val="clear" w:color="auto" w:fill="auto"/>
          </w:tcPr>
          <w:p w14:paraId="0D8E0095" w14:textId="77777777" w:rsidR="004C2197" w:rsidRDefault="004C2197">
            <w:pPr>
              <w:rPr>
                <w:rFonts w:ascii="宋体"/>
              </w:rPr>
            </w:pPr>
          </w:p>
        </w:tc>
        <w:tc>
          <w:tcPr>
            <w:tcW w:w="50" w:type="pct"/>
            <w:shd w:val="clear" w:color="auto" w:fill="auto"/>
          </w:tcPr>
          <w:p w14:paraId="0D8E0096" w14:textId="77777777" w:rsidR="004C2197" w:rsidRDefault="004C2197">
            <w:pPr>
              <w:rPr>
                <w:rFonts w:ascii="宋体"/>
              </w:rPr>
            </w:pPr>
          </w:p>
        </w:tc>
        <w:tc>
          <w:tcPr>
            <w:tcW w:w="610" w:type="pct"/>
            <w:shd w:val="clear" w:color="auto" w:fill="auto"/>
          </w:tcPr>
          <w:p w14:paraId="0D8E0097" w14:textId="77777777" w:rsidR="004C2197" w:rsidRDefault="004C2197">
            <w:pPr>
              <w:rPr>
                <w:rFonts w:ascii="宋体"/>
              </w:rPr>
            </w:pPr>
          </w:p>
        </w:tc>
        <w:tc>
          <w:tcPr>
            <w:tcW w:w="5" w:type="pct"/>
            <w:shd w:val="clear" w:color="auto" w:fill="auto"/>
          </w:tcPr>
          <w:p w14:paraId="0D8E0098" w14:textId="77777777" w:rsidR="004C2197" w:rsidRDefault="004C2197">
            <w:pPr>
              <w:rPr>
                <w:rFonts w:ascii="宋体"/>
              </w:rPr>
            </w:pPr>
          </w:p>
        </w:tc>
        <w:tc>
          <w:tcPr>
            <w:tcW w:w="5" w:type="pct"/>
            <w:shd w:val="clear" w:color="auto" w:fill="auto"/>
          </w:tcPr>
          <w:p w14:paraId="0D8E0099" w14:textId="77777777" w:rsidR="004C2197" w:rsidRDefault="004C2197">
            <w:pPr>
              <w:rPr>
                <w:rFonts w:ascii="宋体"/>
              </w:rPr>
            </w:pPr>
          </w:p>
        </w:tc>
        <w:tc>
          <w:tcPr>
            <w:tcW w:w="26" w:type="pct"/>
            <w:shd w:val="clear" w:color="auto" w:fill="auto"/>
          </w:tcPr>
          <w:p w14:paraId="0D8E009A" w14:textId="77777777" w:rsidR="004C2197" w:rsidRDefault="004C2197">
            <w:pPr>
              <w:rPr>
                <w:rFonts w:ascii="宋体"/>
              </w:rPr>
            </w:pPr>
          </w:p>
        </w:tc>
        <w:tc>
          <w:tcPr>
            <w:tcW w:w="5" w:type="pct"/>
            <w:shd w:val="clear" w:color="auto" w:fill="auto"/>
          </w:tcPr>
          <w:p w14:paraId="0D8E009B" w14:textId="77777777" w:rsidR="004C2197" w:rsidRDefault="004C2197">
            <w:pPr>
              <w:rPr>
                <w:rFonts w:ascii="宋体"/>
              </w:rPr>
            </w:pPr>
          </w:p>
        </w:tc>
        <w:tc>
          <w:tcPr>
            <w:tcW w:w="50" w:type="pct"/>
            <w:shd w:val="clear" w:color="auto" w:fill="auto"/>
          </w:tcPr>
          <w:p w14:paraId="0D8E009C" w14:textId="77777777" w:rsidR="004C2197" w:rsidRDefault="004C2197">
            <w:pPr>
              <w:rPr>
                <w:rFonts w:ascii="宋体"/>
              </w:rPr>
            </w:pPr>
          </w:p>
        </w:tc>
        <w:tc>
          <w:tcPr>
            <w:tcW w:w="610" w:type="pct"/>
            <w:shd w:val="clear" w:color="auto" w:fill="auto"/>
          </w:tcPr>
          <w:p w14:paraId="0D8E009D" w14:textId="77777777" w:rsidR="004C2197" w:rsidRDefault="004C2197">
            <w:pPr>
              <w:rPr>
                <w:rFonts w:ascii="宋体"/>
              </w:rPr>
            </w:pPr>
          </w:p>
        </w:tc>
        <w:tc>
          <w:tcPr>
            <w:tcW w:w="5" w:type="pct"/>
            <w:shd w:val="clear" w:color="auto" w:fill="auto"/>
          </w:tcPr>
          <w:p w14:paraId="0D8E009E" w14:textId="77777777" w:rsidR="004C2197" w:rsidRDefault="004C2197">
            <w:pPr>
              <w:rPr>
                <w:rFonts w:ascii="宋体"/>
              </w:rPr>
            </w:pPr>
          </w:p>
        </w:tc>
      </w:tr>
      <w:tr w:rsidR="004C2197" w14:paraId="0D8E00A8" w14:textId="77777777">
        <w:trPr>
          <w:gridAfter w:val="6"/>
          <w:jc w:val="center"/>
        </w:trPr>
        <w:tc>
          <w:tcPr>
            <w:tcW w:w="0" w:type="auto"/>
            <w:gridSpan w:val="3"/>
            <w:shd w:val="clear" w:color="auto" w:fill="auto"/>
            <w:tcMar>
              <w:left w:w="20" w:type="dxa"/>
              <w:right w:w="20" w:type="dxa"/>
            </w:tcMar>
            <w:vAlign w:val="bottom"/>
          </w:tcPr>
          <w:p w14:paraId="0D8E00A0"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E00A1"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0A2" w14:textId="77777777" w:rsidR="004C2197" w:rsidRDefault="004C2197">
            <w:pPr>
              <w:rPr>
                <w:rFonts w:ascii="宋体"/>
                <w:vanish/>
              </w:rPr>
            </w:pPr>
          </w:p>
        </w:tc>
        <w:tc>
          <w:tcPr>
            <w:tcW w:w="0" w:type="auto"/>
            <w:gridSpan w:val="3"/>
            <w:shd w:val="clear" w:color="auto" w:fill="auto"/>
          </w:tcPr>
          <w:p w14:paraId="0D8E00A3"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0A4"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E00A5"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E00A6" w14:textId="77777777" w:rsidR="004C2197" w:rsidRDefault="004C2197">
            <w:pPr>
              <w:rPr>
                <w:rFonts w:ascii="宋体"/>
                <w:vanish/>
              </w:rPr>
            </w:pPr>
          </w:p>
        </w:tc>
        <w:tc>
          <w:tcPr>
            <w:tcW w:w="0" w:type="auto"/>
            <w:gridSpan w:val="3"/>
            <w:shd w:val="clear" w:color="auto" w:fill="auto"/>
          </w:tcPr>
          <w:p w14:paraId="0D8E00A7" w14:textId="77777777" w:rsidR="004C2197" w:rsidRDefault="004C2197">
            <w:pPr>
              <w:rPr>
                <w:rFonts w:ascii="宋体"/>
                <w:vanish/>
              </w:rPr>
            </w:pPr>
          </w:p>
        </w:tc>
      </w:tr>
      <w:tr w:rsidR="004C2197" w14:paraId="0D8E00BD" w14:textId="77777777">
        <w:trPr>
          <w:gridAfter w:val="6"/>
          <w:jc w:val="center"/>
        </w:trPr>
        <w:tc>
          <w:tcPr>
            <w:tcW w:w="0" w:type="auto"/>
            <w:gridSpan w:val="3"/>
            <w:shd w:val="clear" w:color="auto" w:fill="auto"/>
            <w:tcMar>
              <w:left w:w="20" w:type="dxa"/>
              <w:right w:w="20" w:type="dxa"/>
            </w:tcMar>
            <w:vAlign w:val="bottom"/>
          </w:tcPr>
          <w:p w14:paraId="0D8E00A9"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0AA"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0AB"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0AC"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shd w:val="clear" w:color="auto" w:fill="auto"/>
            <w:tcMar>
              <w:left w:w="20" w:type="dxa"/>
              <w:right w:w="20" w:type="dxa"/>
            </w:tcMar>
            <w:vAlign w:val="bottom"/>
          </w:tcPr>
          <w:p w14:paraId="0D8E00A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0AE"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0AF"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0B0"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shd w:val="clear" w:color="auto" w:fill="auto"/>
          </w:tcPr>
          <w:p w14:paraId="0D8E00B1" w14:textId="77777777" w:rsidR="004C2197" w:rsidRDefault="004C2197">
            <w:pPr>
              <w:rPr>
                <w:rFonts w:ascii="宋体"/>
              </w:rPr>
            </w:pPr>
          </w:p>
        </w:tc>
        <w:tc>
          <w:tcPr>
            <w:tcW w:w="0" w:type="auto"/>
            <w:shd w:val="clear" w:color="auto" w:fill="auto"/>
          </w:tcPr>
          <w:p w14:paraId="0D8E00B2" w14:textId="77777777" w:rsidR="004C2197" w:rsidRDefault="004C2197">
            <w:pPr>
              <w:rPr>
                <w:rFonts w:ascii="宋体"/>
              </w:rPr>
            </w:pPr>
          </w:p>
        </w:tc>
        <w:tc>
          <w:tcPr>
            <w:tcW w:w="0" w:type="auto"/>
            <w:shd w:val="clear" w:color="auto" w:fill="auto"/>
          </w:tcPr>
          <w:p w14:paraId="0D8E00B3" w14:textId="77777777" w:rsidR="004C2197" w:rsidRDefault="004C2197">
            <w:pPr>
              <w:rPr>
                <w:rFonts w:ascii="宋体"/>
              </w:rPr>
            </w:pPr>
          </w:p>
        </w:tc>
        <w:tc>
          <w:tcPr>
            <w:tcW w:w="0" w:type="auto"/>
            <w:shd w:val="clear" w:color="auto" w:fill="auto"/>
          </w:tcPr>
          <w:p w14:paraId="0D8E00B4" w14:textId="77777777" w:rsidR="004C2197" w:rsidRDefault="004C2197">
            <w:pPr>
              <w:rPr>
                <w:rFonts w:ascii="宋体"/>
              </w:rPr>
            </w:pPr>
          </w:p>
        </w:tc>
        <w:tc>
          <w:tcPr>
            <w:tcW w:w="0" w:type="auto"/>
            <w:shd w:val="clear" w:color="auto" w:fill="auto"/>
          </w:tcPr>
          <w:p w14:paraId="0D8E00B5" w14:textId="77777777" w:rsidR="004C2197" w:rsidRDefault="004C2197">
            <w:pPr>
              <w:rPr>
                <w:rFonts w:ascii="宋体"/>
              </w:rPr>
            </w:pPr>
          </w:p>
        </w:tc>
        <w:tc>
          <w:tcPr>
            <w:tcW w:w="0" w:type="auto"/>
            <w:shd w:val="clear" w:color="auto" w:fill="auto"/>
          </w:tcPr>
          <w:p w14:paraId="0D8E00B6" w14:textId="77777777" w:rsidR="004C2197" w:rsidRDefault="004C2197">
            <w:pPr>
              <w:rPr>
                <w:rFonts w:ascii="宋体"/>
              </w:rPr>
            </w:pPr>
          </w:p>
        </w:tc>
        <w:tc>
          <w:tcPr>
            <w:tcW w:w="0" w:type="auto"/>
            <w:shd w:val="clear" w:color="auto" w:fill="auto"/>
          </w:tcPr>
          <w:p w14:paraId="0D8E00B7" w14:textId="77777777" w:rsidR="004C2197" w:rsidRDefault="004C2197">
            <w:pPr>
              <w:rPr>
                <w:rFonts w:ascii="宋体"/>
              </w:rPr>
            </w:pPr>
          </w:p>
        </w:tc>
        <w:tc>
          <w:tcPr>
            <w:tcW w:w="0" w:type="auto"/>
            <w:shd w:val="clear" w:color="auto" w:fill="auto"/>
          </w:tcPr>
          <w:p w14:paraId="0D8E00B8" w14:textId="77777777" w:rsidR="004C2197" w:rsidRDefault="004C2197">
            <w:pPr>
              <w:rPr>
                <w:rFonts w:ascii="宋体"/>
              </w:rPr>
            </w:pPr>
          </w:p>
        </w:tc>
        <w:tc>
          <w:tcPr>
            <w:tcW w:w="0" w:type="auto"/>
            <w:shd w:val="clear" w:color="auto" w:fill="auto"/>
          </w:tcPr>
          <w:p w14:paraId="0D8E00B9" w14:textId="77777777" w:rsidR="004C2197" w:rsidRDefault="004C2197">
            <w:pPr>
              <w:rPr>
                <w:rFonts w:ascii="宋体"/>
              </w:rPr>
            </w:pPr>
          </w:p>
        </w:tc>
        <w:tc>
          <w:tcPr>
            <w:tcW w:w="0" w:type="auto"/>
            <w:shd w:val="clear" w:color="auto" w:fill="auto"/>
          </w:tcPr>
          <w:p w14:paraId="0D8E00BA" w14:textId="77777777" w:rsidR="004C2197" w:rsidRDefault="004C2197">
            <w:pPr>
              <w:rPr>
                <w:rFonts w:ascii="宋体"/>
              </w:rPr>
            </w:pPr>
          </w:p>
        </w:tc>
        <w:tc>
          <w:tcPr>
            <w:tcW w:w="0" w:type="auto"/>
            <w:shd w:val="clear" w:color="auto" w:fill="auto"/>
          </w:tcPr>
          <w:p w14:paraId="0D8E00BB" w14:textId="77777777" w:rsidR="004C2197" w:rsidRDefault="004C2197">
            <w:pPr>
              <w:rPr>
                <w:rFonts w:ascii="宋体"/>
              </w:rPr>
            </w:pPr>
          </w:p>
        </w:tc>
        <w:tc>
          <w:tcPr>
            <w:tcW w:w="0" w:type="auto"/>
            <w:shd w:val="clear" w:color="auto" w:fill="auto"/>
          </w:tcPr>
          <w:p w14:paraId="0D8E00BC" w14:textId="77777777" w:rsidR="004C2197" w:rsidRDefault="004C2197">
            <w:pPr>
              <w:rPr>
                <w:rFonts w:ascii="宋体"/>
              </w:rPr>
            </w:pPr>
          </w:p>
        </w:tc>
      </w:tr>
      <w:tr w:rsidR="004C2197" w14:paraId="0D8E00D2" w14:textId="77777777">
        <w:trPr>
          <w:gridAfter w:val="6"/>
          <w:trHeight w:val="60"/>
          <w:jc w:val="center"/>
        </w:trPr>
        <w:tc>
          <w:tcPr>
            <w:tcW w:w="0" w:type="auto"/>
            <w:gridSpan w:val="3"/>
            <w:shd w:val="clear" w:color="auto" w:fill="auto"/>
            <w:tcMar>
              <w:left w:w="20" w:type="dxa"/>
              <w:right w:w="20" w:type="dxa"/>
            </w:tcMar>
            <w:vAlign w:val="bottom"/>
          </w:tcPr>
          <w:p w14:paraId="0D8E00BE"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0B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C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0C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C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0C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C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0C5" w14:textId="77777777" w:rsidR="004C2197" w:rsidRDefault="004C2197">
            <w:pPr>
              <w:rPr>
                <w:rFonts w:ascii="宋体"/>
              </w:rPr>
            </w:pPr>
          </w:p>
        </w:tc>
        <w:tc>
          <w:tcPr>
            <w:tcW w:w="0" w:type="auto"/>
            <w:shd w:val="clear" w:color="auto" w:fill="auto"/>
          </w:tcPr>
          <w:p w14:paraId="0D8E00C6" w14:textId="77777777" w:rsidR="004C2197" w:rsidRDefault="004C2197">
            <w:pPr>
              <w:rPr>
                <w:rFonts w:ascii="宋体"/>
              </w:rPr>
            </w:pPr>
          </w:p>
        </w:tc>
        <w:tc>
          <w:tcPr>
            <w:tcW w:w="0" w:type="auto"/>
            <w:shd w:val="clear" w:color="auto" w:fill="auto"/>
          </w:tcPr>
          <w:p w14:paraId="0D8E00C7" w14:textId="77777777" w:rsidR="004C2197" w:rsidRDefault="004C2197">
            <w:pPr>
              <w:rPr>
                <w:rFonts w:ascii="宋体"/>
              </w:rPr>
            </w:pPr>
          </w:p>
        </w:tc>
        <w:tc>
          <w:tcPr>
            <w:tcW w:w="0" w:type="auto"/>
            <w:shd w:val="clear" w:color="auto" w:fill="auto"/>
          </w:tcPr>
          <w:p w14:paraId="0D8E00C8" w14:textId="77777777" w:rsidR="004C2197" w:rsidRDefault="004C2197">
            <w:pPr>
              <w:rPr>
                <w:rFonts w:ascii="宋体"/>
              </w:rPr>
            </w:pPr>
          </w:p>
        </w:tc>
        <w:tc>
          <w:tcPr>
            <w:tcW w:w="0" w:type="auto"/>
            <w:shd w:val="clear" w:color="auto" w:fill="auto"/>
          </w:tcPr>
          <w:p w14:paraId="0D8E00C9" w14:textId="77777777" w:rsidR="004C2197" w:rsidRDefault="004C2197">
            <w:pPr>
              <w:rPr>
                <w:rFonts w:ascii="宋体"/>
              </w:rPr>
            </w:pPr>
          </w:p>
        </w:tc>
        <w:tc>
          <w:tcPr>
            <w:tcW w:w="0" w:type="auto"/>
            <w:shd w:val="clear" w:color="auto" w:fill="auto"/>
          </w:tcPr>
          <w:p w14:paraId="0D8E00CA" w14:textId="77777777" w:rsidR="004C2197" w:rsidRDefault="004C2197">
            <w:pPr>
              <w:rPr>
                <w:rFonts w:ascii="宋体"/>
              </w:rPr>
            </w:pPr>
          </w:p>
        </w:tc>
        <w:tc>
          <w:tcPr>
            <w:tcW w:w="0" w:type="auto"/>
            <w:shd w:val="clear" w:color="auto" w:fill="auto"/>
          </w:tcPr>
          <w:p w14:paraId="0D8E00CB" w14:textId="77777777" w:rsidR="004C2197" w:rsidRDefault="004C2197">
            <w:pPr>
              <w:rPr>
                <w:rFonts w:ascii="宋体"/>
              </w:rPr>
            </w:pPr>
          </w:p>
        </w:tc>
        <w:tc>
          <w:tcPr>
            <w:tcW w:w="0" w:type="auto"/>
            <w:shd w:val="clear" w:color="auto" w:fill="auto"/>
          </w:tcPr>
          <w:p w14:paraId="0D8E00CC" w14:textId="77777777" w:rsidR="004C2197" w:rsidRDefault="004C2197">
            <w:pPr>
              <w:rPr>
                <w:rFonts w:ascii="宋体"/>
              </w:rPr>
            </w:pPr>
          </w:p>
        </w:tc>
        <w:tc>
          <w:tcPr>
            <w:tcW w:w="0" w:type="auto"/>
            <w:shd w:val="clear" w:color="auto" w:fill="auto"/>
          </w:tcPr>
          <w:p w14:paraId="0D8E00CD" w14:textId="77777777" w:rsidR="004C2197" w:rsidRDefault="004C2197">
            <w:pPr>
              <w:rPr>
                <w:rFonts w:ascii="宋体"/>
              </w:rPr>
            </w:pPr>
          </w:p>
        </w:tc>
        <w:tc>
          <w:tcPr>
            <w:tcW w:w="0" w:type="auto"/>
            <w:shd w:val="clear" w:color="auto" w:fill="auto"/>
          </w:tcPr>
          <w:p w14:paraId="0D8E00CE" w14:textId="77777777" w:rsidR="004C2197" w:rsidRDefault="004C2197">
            <w:pPr>
              <w:rPr>
                <w:rFonts w:ascii="宋体"/>
              </w:rPr>
            </w:pPr>
          </w:p>
        </w:tc>
        <w:tc>
          <w:tcPr>
            <w:tcW w:w="0" w:type="auto"/>
            <w:shd w:val="clear" w:color="auto" w:fill="auto"/>
          </w:tcPr>
          <w:p w14:paraId="0D8E00CF" w14:textId="77777777" w:rsidR="004C2197" w:rsidRDefault="004C2197">
            <w:pPr>
              <w:rPr>
                <w:rFonts w:ascii="宋体"/>
              </w:rPr>
            </w:pPr>
          </w:p>
        </w:tc>
        <w:tc>
          <w:tcPr>
            <w:tcW w:w="0" w:type="auto"/>
            <w:shd w:val="clear" w:color="auto" w:fill="auto"/>
          </w:tcPr>
          <w:p w14:paraId="0D8E00D0" w14:textId="77777777" w:rsidR="004C2197" w:rsidRDefault="004C2197">
            <w:pPr>
              <w:rPr>
                <w:rFonts w:ascii="宋体"/>
              </w:rPr>
            </w:pPr>
          </w:p>
        </w:tc>
        <w:tc>
          <w:tcPr>
            <w:tcW w:w="0" w:type="auto"/>
            <w:shd w:val="clear" w:color="auto" w:fill="auto"/>
          </w:tcPr>
          <w:p w14:paraId="0D8E00D1" w14:textId="77777777" w:rsidR="004C2197" w:rsidRDefault="004C2197">
            <w:pPr>
              <w:rPr>
                <w:rFonts w:ascii="宋体"/>
              </w:rPr>
            </w:pPr>
          </w:p>
        </w:tc>
      </w:tr>
      <w:tr w:rsidR="004C2197" w14:paraId="0D8E00DB" w14:textId="77777777">
        <w:trPr>
          <w:jc w:val="center"/>
        </w:trPr>
        <w:tc>
          <w:tcPr>
            <w:tcW w:w="0" w:type="auto"/>
            <w:gridSpan w:val="3"/>
            <w:shd w:val="clear" w:color="auto" w:fill="auto"/>
            <w:tcMar>
              <w:left w:w="20" w:type="dxa"/>
              <w:right w:w="20" w:type="dxa"/>
            </w:tcMar>
            <w:vAlign w:val="bottom"/>
          </w:tcPr>
          <w:p w14:paraId="0D8E00D3" w14:textId="77777777" w:rsidR="004C2197" w:rsidRDefault="004C2197">
            <w:pPr>
              <w:rPr>
                <w:rFonts w:ascii="宋体"/>
              </w:rPr>
            </w:pPr>
          </w:p>
        </w:tc>
        <w:tc>
          <w:tcPr>
            <w:tcW w:w="0" w:type="auto"/>
            <w:gridSpan w:val="21"/>
            <w:shd w:val="clear" w:color="auto" w:fill="auto"/>
            <w:tcMar>
              <w:top w:w="40" w:type="dxa"/>
              <w:left w:w="20" w:type="dxa"/>
              <w:bottom w:w="40" w:type="dxa"/>
              <w:right w:w="20" w:type="dxa"/>
            </w:tcMar>
            <w:vAlign w:val="bottom"/>
          </w:tcPr>
          <w:p w14:paraId="0D8E00D4"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E00D5" w14:textId="77777777" w:rsidR="004C2197" w:rsidRDefault="004C2197">
            <w:pPr>
              <w:rPr>
                <w:rFonts w:ascii="宋体"/>
                <w:vanish/>
              </w:rPr>
            </w:pPr>
          </w:p>
        </w:tc>
        <w:tc>
          <w:tcPr>
            <w:tcW w:w="0" w:type="auto"/>
            <w:gridSpan w:val="3"/>
            <w:shd w:val="clear" w:color="auto" w:fill="auto"/>
          </w:tcPr>
          <w:p w14:paraId="0D8E00D6" w14:textId="77777777" w:rsidR="004C2197" w:rsidRDefault="004C2197">
            <w:pPr>
              <w:rPr>
                <w:rFonts w:ascii="宋体"/>
                <w:vanish/>
              </w:rPr>
            </w:pPr>
          </w:p>
        </w:tc>
        <w:tc>
          <w:tcPr>
            <w:tcW w:w="0" w:type="auto"/>
            <w:gridSpan w:val="3"/>
            <w:shd w:val="clear" w:color="auto" w:fill="auto"/>
          </w:tcPr>
          <w:p w14:paraId="0D8E00D7" w14:textId="77777777" w:rsidR="004C2197" w:rsidRDefault="004C2197">
            <w:pPr>
              <w:rPr>
                <w:rFonts w:ascii="宋体"/>
                <w:vanish/>
              </w:rPr>
            </w:pPr>
          </w:p>
        </w:tc>
        <w:tc>
          <w:tcPr>
            <w:tcW w:w="0" w:type="auto"/>
            <w:gridSpan w:val="3"/>
            <w:shd w:val="clear" w:color="auto" w:fill="auto"/>
          </w:tcPr>
          <w:p w14:paraId="0D8E00D8" w14:textId="77777777" w:rsidR="004C2197" w:rsidRDefault="004C2197">
            <w:pPr>
              <w:rPr>
                <w:rFonts w:ascii="宋体"/>
                <w:vanish/>
              </w:rPr>
            </w:pPr>
          </w:p>
        </w:tc>
        <w:tc>
          <w:tcPr>
            <w:tcW w:w="0" w:type="auto"/>
            <w:gridSpan w:val="3"/>
            <w:shd w:val="clear" w:color="auto" w:fill="auto"/>
          </w:tcPr>
          <w:p w14:paraId="0D8E00D9" w14:textId="77777777" w:rsidR="004C2197" w:rsidRDefault="004C2197">
            <w:pPr>
              <w:rPr>
                <w:rFonts w:ascii="宋体"/>
                <w:vanish/>
              </w:rPr>
            </w:pPr>
          </w:p>
        </w:tc>
        <w:tc>
          <w:tcPr>
            <w:tcW w:w="0" w:type="auto"/>
            <w:gridSpan w:val="3"/>
            <w:shd w:val="clear" w:color="auto" w:fill="auto"/>
          </w:tcPr>
          <w:p w14:paraId="0D8E00DA" w14:textId="77777777" w:rsidR="004C2197" w:rsidRDefault="004C2197">
            <w:pPr>
              <w:rPr>
                <w:rFonts w:ascii="宋体"/>
                <w:vanish/>
              </w:rPr>
            </w:pPr>
          </w:p>
        </w:tc>
      </w:tr>
      <w:tr w:rsidR="004C2197" w14:paraId="0D8E00F6" w14:textId="77777777">
        <w:trPr>
          <w:jc w:val="center"/>
        </w:trPr>
        <w:tc>
          <w:tcPr>
            <w:tcW w:w="0" w:type="auto"/>
            <w:gridSpan w:val="3"/>
            <w:shd w:val="clear" w:color="auto" w:fill="auto"/>
            <w:tcMar>
              <w:top w:w="40" w:type="dxa"/>
              <w:left w:w="20" w:type="dxa"/>
              <w:bottom w:w="40" w:type="dxa"/>
              <w:right w:w="20" w:type="dxa"/>
            </w:tcMar>
            <w:vAlign w:val="bottom"/>
          </w:tcPr>
          <w:p w14:paraId="0D8E00DC" w14:textId="77777777" w:rsidR="004C2197" w:rsidRDefault="00863B83">
            <w:pPr>
              <w:textAlignment w:val="bottom"/>
            </w:pPr>
            <w:r>
              <w:rPr>
                <w:rFonts w:ascii="sans-serif" w:eastAsia="sans-serif" w:hAnsi="sans-serif" w:cs="sans-serif"/>
                <w:b/>
                <w:bCs/>
                <w:color w:val="000000"/>
                <w:sz w:val="20"/>
                <w:szCs w:val="20"/>
              </w:rPr>
              <w:t xml:space="preserve">Reconciling items included in "All Other" </w:t>
            </w:r>
            <w:r>
              <w:rPr>
                <w:rFonts w:ascii="sans-serif" w:eastAsia="sans-serif" w:hAnsi="sans-serif" w:cs="sans-serif"/>
                <w:b/>
                <w:bCs/>
                <w:color w:val="000000"/>
                <w:sz w:val="20"/>
                <w:szCs w:val="20"/>
              </w:rPr>
              <w:t>category:</w:t>
            </w:r>
          </w:p>
        </w:tc>
        <w:tc>
          <w:tcPr>
            <w:tcW w:w="0" w:type="auto"/>
            <w:gridSpan w:val="3"/>
            <w:shd w:val="clear" w:color="auto" w:fill="auto"/>
            <w:tcMar>
              <w:left w:w="20" w:type="dxa"/>
              <w:right w:w="20" w:type="dxa"/>
            </w:tcMar>
            <w:vAlign w:val="bottom"/>
          </w:tcPr>
          <w:p w14:paraId="0D8E00D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D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D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E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E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E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0E3" w14:textId="77777777" w:rsidR="004C2197" w:rsidRDefault="004C2197">
            <w:pPr>
              <w:rPr>
                <w:rFonts w:ascii="宋体"/>
              </w:rPr>
            </w:pPr>
          </w:p>
        </w:tc>
        <w:tc>
          <w:tcPr>
            <w:tcW w:w="0" w:type="auto"/>
            <w:shd w:val="clear" w:color="auto" w:fill="auto"/>
          </w:tcPr>
          <w:p w14:paraId="0D8E00E4" w14:textId="77777777" w:rsidR="004C2197" w:rsidRDefault="004C2197">
            <w:pPr>
              <w:rPr>
                <w:rFonts w:ascii="宋体"/>
              </w:rPr>
            </w:pPr>
          </w:p>
        </w:tc>
        <w:tc>
          <w:tcPr>
            <w:tcW w:w="0" w:type="auto"/>
            <w:shd w:val="clear" w:color="auto" w:fill="auto"/>
          </w:tcPr>
          <w:p w14:paraId="0D8E00E5" w14:textId="77777777" w:rsidR="004C2197" w:rsidRDefault="004C2197">
            <w:pPr>
              <w:rPr>
                <w:rFonts w:ascii="宋体"/>
              </w:rPr>
            </w:pPr>
          </w:p>
        </w:tc>
        <w:tc>
          <w:tcPr>
            <w:tcW w:w="0" w:type="auto"/>
            <w:shd w:val="clear" w:color="auto" w:fill="auto"/>
          </w:tcPr>
          <w:p w14:paraId="0D8E00E6" w14:textId="77777777" w:rsidR="004C2197" w:rsidRDefault="004C2197">
            <w:pPr>
              <w:rPr>
                <w:rFonts w:ascii="宋体"/>
              </w:rPr>
            </w:pPr>
          </w:p>
        </w:tc>
        <w:tc>
          <w:tcPr>
            <w:tcW w:w="0" w:type="auto"/>
            <w:shd w:val="clear" w:color="auto" w:fill="auto"/>
          </w:tcPr>
          <w:p w14:paraId="0D8E00E7" w14:textId="77777777" w:rsidR="004C2197" w:rsidRDefault="004C2197">
            <w:pPr>
              <w:rPr>
                <w:rFonts w:ascii="宋体"/>
              </w:rPr>
            </w:pPr>
          </w:p>
        </w:tc>
        <w:tc>
          <w:tcPr>
            <w:tcW w:w="0" w:type="auto"/>
            <w:shd w:val="clear" w:color="auto" w:fill="auto"/>
          </w:tcPr>
          <w:p w14:paraId="0D8E00E8" w14:textId="77777777" w:rsidR="004C2197" w:rsidRDefault="004C2197">
            <w:pPr>
              <w:rPr>
                <w:rFonts w:ascii="宋体"/>
              </w:rPr>
            </w:pPr>
          </w:p>
        </w:tc>
        <w:tc>
          <w:tcPr>
            <w:tcW w:w="0" w:type="auto"/>
            <w:shd w:val="clear" w:color="auto" w:fill="auto"/>
          </w:tcPr>
          <w:p w14:paraId="0D8E00E9" w14:textId="77777777" w:rsidR="004C2197" w:rsidRDefault="004C2197">
            <w:pPr>
              <w:rPr>
                <w:rFonts w:ascii="宋体"/>
              </w:rPr>
            </w:pPr>
          </w:p>
        </w:tc>
        <w:tc>
          <w:tcPr>
            <w:tcW w:w="0" w:type="auto"/>
            <w:shd w:val="clear" w:color="auto" w:fill="auto"/>
          </w:tcPr>
          <w:p w14:paraId="0D8E00EA" w14:textId="77777777" w:rsidR="004C2197" w:rsidRDefault="004C2197">
            <w:pPr>
              <w:rPr>
                <w:rFonts w:ascii="宋体"/>
              </w:rPr>
            </w:pPr>
          </w:p>
        </w:tc>
        <w:tc>
          <w:tcPr>
            <w:tcW w:w="0" w:type="auto"/>
            <w:shd w:val="clear" w:color="auto" w:fill="auto"/>
          </w:tcPr>
          <w:p w14:paraId="0D8E00EB" w14:textId="77777777" w:rsidR="004C2197" w:rsidRDefault="004C2197">
            <w:pPr>
              <w:rPr>
                <w:rFonts w:ascii="宋体"/>
              </w:rPr>
            </w:pPr>
          </w:p>
        </w:tc>
        <w:tc>
          <w:tcPr>
            <w:tcW w:w="0" w:type="auto"/>
            <w:shd w:val="clear" w:color="auto" w:fill="auto"/>
          </w:tcPr>
          <w:p w14:paraId="0D8E00EC" w14:textId="77777777" w:rsidR="004C2197" w:rsidRDefault="004C2197">
            <w:pPr>
              <w:rPr>
                <w:rFonts w:ascii="宋体"/>
              </w:rPr>
            </w:pPr>
          </w:p>
        </w:tc>
        <w:tc>
          <w:tcPr>
            <w:tcW w:w="0" w:type="auto"/>
            <w:shd w:val="clear" w:color="auto" w:fill="auto"/>
          </w:tcPr>
          <w:p w14:paraId="0D8E00ED" w14:textId="77777777" w:rsidR="004C2197" w:rsidRDefault="004C2197">
            <w:pPr>
              <w:rPr>
                <w:rFonts w:ascii="宋体"/>
              </w:rPr>
            </w:pPr>
          </w:p>
        </w:tc>
        <w:tc>
          <w:tcPr>
            <w:tcW w:w="0" w:type="auto"/>
            <w:shd w:val="clear" w:color="auto" w:fill="auto"/>
          </w:tcPr>
          <w:p w14:paraId="0D8E00EE" w14:textId="77777777" w:rsidR="004C2197" w:rsidRDefault="004C2197">
            <w:pPr>
              <w:rPr>
                <w:rFonts w:ascii="宋体"/>
              </w:rPr>
            </w:pPr>
          </w:p>
        </w:tc>
        <w:tc>
          <w:tcPr>
            <w:tcW w:w="0" w:type="auto"/>
            <w:shd w:val="clear" w:color="auto" w:fill="auto"/>
          </w:tcPr>
          <w:p w14:paraId="0D8E00EF" w14:textId="77777777" w:rsidR="004C2197" w:rsidRDefault="004C2197">
            <w:pPr>
              <w:rPr>
                <w:rFonts w:ascii="宋体"/>
              </w:rPr>
            </w:pPr>
          </w:p>
        </w:tc>
        <w:tc>
          <w:tcPr>
            <w:tcW w:w="0" w:type="auto"/>
            <w:shd w:val="clear" w:color="auto" w:fill="auto"/>
          </w:tcPr>
          <w:p w14:paraId="0D8E00F0" w14:textId="77777777" w:rsidR="004C2197" w:rsidRDefault="004C2197">
            <w:pPr>
              <w:rPr>
                <w:rFonts w:ascii="宋体"/>
              </w:rPr>
            </w:pPr>
          </w:p>
        </w:tc>
        <w:tc>
          <w:tcPr>
            <w:tcW w:w="0" w:type="auto"/>
            <w:shd w:val="clear" w:color="auto" w:fill="auto"/>
          </w:tcPr>
          <w:p w14:paraId="0D8E00F1" w14:textId="77777777" w:rsidR="004C2197" w:rsidRDefault="004C2197">
            <w:pPr>
              <w:rPr>
                <w:rFonts w:ascii="宋体"/>
              </w:rPr>
            </w:pPr>
          </w:p>
        </w:tc>
        <w:tc>
          <w:tcPr>
            <w:tcW w:w="0" w:type="auto"/>
            <w:shd w:val="clear" w:color="auto" w:fill="auto"/>
          </w:tcPr>
          <w:p w14:paraId="0D8E00F2" w14:textId="77777777" w:rsidR="004C2197" w:rsidRDefault="004C2197">
            <w:pPr>
              <w:rPr>
                <w:rFonts w:ascii="宋体"/>
              </w:rPr>
            </w:pPr>
          </w:p>
        </w:tc>
        <w:tc>
          <w:tcPr>
            <w:tcW w:w="0" w:type="auto"/>
            <w:shd w:val="clear" w:color="auto" w:fill="auto"/>
          </w:tcPr>
          <w:p w14:paraId="0D8E00F3" w14:textId="77777777" w:rsidR="004C2197" w:rsidRDefault="004C2197">
            <w:pPr>
              <w:rPr>
                <w:rFonts w:ascii="宋体"/>
              </w:rPr>
            </w:pPr>
          </w:p>
        </w:tc>
        <w:tc>
          <w:tcPr>
            <w:tcW w:w="0" w:type="auto"/>
            <w:shd w:val="clear" w:color="auto" w:fill="auto"/>
          </w:tcPr>
          <w:p w14:paraId="0D8E00F4" w14:textId="77777777" w:rsidR="004C2197" w:rsidRDefault="004C2197">
            <w:pPr>
              <w:rPr>
                <w:rFonts w:ascii="宋体"/>
              </w:rPr>
            </w:pPr>
          </w:p>
        </w:tc>
        <w:tc>
          <w:tcPr>
            <w:tcW w:w="0" w:type="auto"/>
            <w:shd w:val="clear" w:color="auto" w:fill="auto"/>
          </w:tcPr>
          <w:p w14:paraId="0D8E00F5" w14:textId="77777777" w:rsidR="004C2197" w:rsidRDefault="004C2197">
            <w:pPr>
              <w:rPr>
                <w:rFonts w:ascii="宋体"/>
              </w:rPr>
            </w:pPr>
          </w:p>
        </w:tc>
      </w:tr>
      <w:tr w:rsidR="004C2197" w14:paraId="0D8E0111" w14:textId="77777777">
        <w:trPr>
          <w:jc w:val="center"/>
          <w:hidden/>
        </w:trPr>
        <w:tc>
          <w:tcPr>
            <w:tcW w:w="0" w:type="auto"/>
            <w:gridSpan w:val="3"/>
            <w:shd w:val="clear" w:color="auto" w:fill="auto"/>
          </w:tcPr>
          <w:p w14:paraId="0D8E00F7" w14:textId="77777777" w:rsidR="004C2197" w:rsidRDefault="004C2197">
            <w:pPr>
              <w:rPr>
                <w:rFonts w:ascii="宋体"/>
                <w:vanish/>
              </w:rPr>
            </w:pPr>
          </w:p>
        </w:tc>
        <w:tc>
          <w:tcPr>
            <w:tcW w:w="0" w:type="auto"/>
            <w:gridSpan w:val="3"/>
            <w:shd w:val="clear" w:color="auto" w:fill="auto"/>
          </w:tcPr>
          <w:p w14:paraId="0D8E00F8" w14:textId="77777777" w:rsidR="004C2197" w:rsidRDefault="004C2197">
            <w:pPr>
              <w:rPr>
                <w:rFonts w:ascii="宋体"/>
                <w:vanish/>
              </w:rPr>
            </w:pPr>
          </w:p>
        </w:tc>
        <w:tc>
          <w:tcPr>
            <w:tcW w:w="0" w:type="auto"/>
            <w:gridSpan w:val="3"/>
            <w:shd w:val="clear" w:color="auto" w:fill="auto"/>
          </w:tcPr>
          <w:p w14:paraId="0D8E00F9" w14:textId="77777777" w:rsidR="004C2197" w:rsidRDefault="004C2197">
            <w:pPr>
              <w:rPr>
                <w:rFonts w:ascii="宋体"/>
                <w:vanish/>
              </w:rPr>
            </w:pPr>
          </w:p>
        </w:tc>
        <w:tc>
          <w:tcPr>
            <w:tcW w:w="0" w:type="auto"/>
            <w:gridSpan w:val="3"/>
            <w:shd w:val="clear" w:color="auto" w:fill="auto"/>
          </w:tcPr>
          <w:p w14:paraId="0D8E00FA" w14:textId="77777777" w:rsidR="004C2197" w:rsidRDefault="004C2197">
            <w:pPr>
              <w:rPr>
                <w:rFonts w:ascii="宋体"/>
                <w:vanish/>
              </w:rPr>
            </w:pPr>
          </w:p>
        </w:tc>
        <w:tc>
          <w:tcPr>
            <w:tcW w:w="0" w:type="auto"/>
            <w:gridSpan w:val="3"/>
            <w:shd w:val="clear" w:color="auto" w:fill="auto"/>
          </w:tcPr>
          <w:p w14:paraId="0D8E00FB" w14:textId="77777777" w:rsidR="004C2197" w:rsidRDefault="004C2197">
            <w:pPr>
              <w:rPr>
                <w:rFonts w:ascii="宋体"/>
                <w:vanish/>
              </w:rPr>
            </w:pPr>
          </w:p>
        </w:tc>
        <w:tc>
          <w:tcPr>
            <w:tcW w:w="0" w:type="auto"/>
            <w:gridSpan w:val="3"/>
            <w:shd w:val="clear" w:color="auto" w:fill="auto"/>
          </w:tcPr>
          <w:p w14:paraId="0D8E00FC" w14:textId="77777777" w:rsidR="004C2197" w:rsidRDefault="004C2197">
            <w:pPr>
              <w:rPr>
                <w:rFonts w:ascii="宋体"/>
                <w:vanish/>
              </w:rPr>
            </w:pPr>
          </w:p>
        </w:tc>
        <w:tc>
          <w:tcPr>
            <w:tcW w:w="0" w:type="auto"/>
            <w:gridSpan w:val="3"/>
            <w:shd w:val="clear" w:color="auto" w:fill="auto"/>
          </w:tcPr>
          <w:p w14:paraId="0D8E00FD" w14:textId="77777777" w:rsidR="004C2197" w:rsidRDefault="004C2197">
            <w:pPr>
              <w:rPr>
                <w:rFonts w:ascii="宋体"/>
                <w:vanish/>
              </w:rPr>
            </w:pPr>
          </w:p>
        </w:tc>
        <w:tc>
          <w:tcPr>
            <w:tcW w:w="0" w:type="auto"/>
            <w:gridSpan w:val="3"/>
            <w:shd w:val="clear" w:color="auto" w:fill="auto"/>
          </w:tcPr>
          <w:p w14:paraId="0D8E00FE" w14:textId="77777777" w:rsidR="004C2197" w:rsidRDefault="004C2197">
            <w:pPr>
              <w:rPr>
                <w:rFonts w:ascii="宋体"/>
                <w:vanish/>
              </w:rPr>
            </w:pPr>
          </w:p>
        </w:tc>
        <w:tc>
          <w:tcPr>
            <w:tcW w:w="0" w:type="auto"/>
            <w:shd w:val="clear" w:color="auto" w:fill="auto"/>
          </w:tcPr>
          <w:p w14:paraId="0D8E00FF" w14:textId="77777777" w:rsidR="004C2197" w:rsidRDefault="004C2197">
            <w:pPr>
              <w:rPr>
                <w:rFonts w:ascii="宋体"/>
              </w:rPr>
            </w:pPr>
          </w:p>
        </w:tc>
        <w:tc>
          <w:tcPr>
            <w:tcW w:w="0" w:type="auto"/>
            <w:shd w:val="clear" w:color="auto" w:fill="auto"/>
          </w:tcPr>
          <w:p w14:paraId="0D8E0100" w14:textId="77777777" w:rsidR="004C2197" w:rsidRDefault="004C2197">
            <w:pPr>
              <w:rPr>
                <w:rFonts w:ascii="宋体"/>
              </w:rPr>
            </w:pPr>
          </w:p>
        </w:tc>
        <w:tc>
          <w:tcPr>
            <w:tcW w:w="0" w:type="auto"/>
            <w:shd w:val="clear" w:color="auto" w:fill="auto"/>
          </w:tcPr>
          <w:p w14:paraId="0D8E0101" w14:textId="77777777" w:rsidR="004C2197" w:rsidRDefault="004C2197">
            <w:pPr>
              <w:rPr>
                <w:rFonts w:ascii="宋体"/>
              </w:rPr>
            </w:pPr>
          </w:p>
        </w:tc>
        <w:tc>
          <w:tcPr>
            <w:tcW w:w="0" w:type="auto"/>
            <w:shd w:val="clear" w:color="auto" w:fill="auto"/>
          </w:tcPr>
          <w:p w14:paraId="0D8E0102" w14:textId="77777777" w:rsidR="004C2197" w:rsidRDefault="004C2197">
            <w:pPr>
              <w:rPr>
                <w:rFonts w:ascii="宋体"/>
              </w:rPr>
            </w:pPr>
          </w:p>
        </w:tc>
        <w:tc>
          <w:tcPr>
            <w:tcW w:w="0" w:type="auto"/>
            <w:shd w:val="clear" w:color="auto" w:fill="auto"/>
          </w:tcPr>
          <w:p w14:paraId="0D8E0103" w14:textId="77777777" w:rsidR="004C2197" w:rsidRDefault="004C2197">
            <w:pPr>
              <w:rPr>
                <w:rFonts w:ascii="宋体"/>
              </w:rPr>
            </w:pPr>
          </w:p>
        </w:tc>
        <w:tc>
          <w:tcPr>
            <w:tcW w:w="0" w:type="auto"/>
            <w:shd w:val="clear" w:color="auto" w:fill="auto"/>
          </w:tcPr>
          <w:p w14:paraId="0D8E0104" w14:textId="77777777" w:rsidR="004C2197" w:rsidRDefault="004C2197">
            <w:pPr>
              <w:rPr>
                <w:rFonts w:ascii="宋体"/>
              </w:rPr>
            </w:pPr>
          </w:p>
        </w:tc>
        <w:tc>
          <w:tcPr>
            <w:tcW w:w="0" w:type="auto"/>
            <w:shd w:val="clear" w:color="auto" w:fill="auto"/>
          </w:tcPr>
          <w:p w14:paraId="0D8E0105" w14:textId="77777777" w:rsidR="004C2197" w:rsidRDefault="004C2197">
            <w:pPr>
              <w:rPr>
                <w:rFonts w:ascii="宋体"/>
              </w:rPr>
            </w:pPr>
          </w:p>
        </w:tc>
        <w:tc>
          <w:tcPr>
            <w:tcW w:w="0" w:type="auto"/>
            <w:shd w:val="clear" w:color="auto" w:fill="auto"/>
          </w:tcPr>
          <w:p w14:paraId="0D8E0106" w14:textId="77777777" w:rsidR="004C2197" w:rsidRDefault="004C2197">
            <w:pPr>
              <w:rPr>
                <w:rFonts w:ascii="宋体"/>
              </w:rPr>
            </w:pPr>
          </w:p>
        </w:tc>
        <w:tc>
          <w:tcPr>
            <w:tcW w:w="0" w:type="auto"/>
            <w:shd w:val="clear" w:color="auto" w:fill="auto"/>
          </w:tcPr>
          <w:p w14:paraId="0D8E0107" w14:textId="77777777" w:rsidR="004C2197" w:rsidRDefault="004C2197">
            <w:pPr>
              <w:rPr>
                <w:rFonts w:ascii="宋体"/>
              </w:rPr>
            </w:pPr>
          </w:p>
        </w:tc>
        <w:tc>
          <w:tcPr>
            <w:tcW w:w="0" w:type="auto"/>
            <w:shd w:val="clear" w:color="auto" w:fill="auto"/>
          </w:tcPr>
          <w:p w14:paraId="0D8E0108" w14:textId="77777777" w:rsidR="004C2197" w:rsidRDefault="004C2197">
            <w:pPr>
              <w:rPr>
                <w:rFonts w:ascii="宋体"/>
              </w:rPr>
            </w:pPr>
          </w:p>
        </w:tc>
        <w:tc>
          <w:tcPr>
            <w:tcW w:w="0" w:type="auto"/>
            <w:shd w:val="clear" w:color="auto" w:fill="auto"/>
          </w:tcPr>
          <w:p w14:paraId="0D8E0109" w14:textId="77777777" w:rsidR="004C2197" w:rsidRDefault="004C2197">
            <w:pPr>
              <w:rPr>
                <w:rFonts w:ascii="宋体"/>
              </w:rPr>
            </w:pPr>
          </w:p>
        </w:tc>
        <w:tc>
          <w:tcPr>
            <w:tcW w:w="0" w:type="auto"/>
            <w:shd w:val="clear" w:color="auto" w:fill="auto"/>
          </w:tcPr>
          <w:p w14:paraId="0D8E010A" w14:textId="77777777" w:rsidR="004C2197" w:rsidRDefault="004C2197">
            <w:pPr>
              <w:rPr>
                <w:rFonts w:ascii="宋体"/>
              </w:rPr>
            </w:pPr>
          </w:p>
        </w:tc>
        <w:tc>
          <w:tcPr>
            <w:tcW w:w="0" w:type="auto"/>
            <w:shd w:val="clear" w:color="auto" w:fill="auto"/>
          </w:tcPr>
          <w:p w14:paraId="0D8E010B" w14:textId="77777777" w:rsidR="004C2197" w:rsidRDefault="004C2197">
            <w:pPr>
              <w:rPr>
                <w:rFonts w:ascii="宋体"/>
              </w:rPr>
            </w:pPr>
          </w:p>
        </w:tc>
        <w:tc>
          <w:tcPr>
            <w:tcW w:w="0" w:type="auto"/>
            <w:shd w:val="clear" w:color="auto" w:fill="auto"/>
          </w:tcPr>
          <w:p w14:paraId="0D8E010C" w14:textId="77777777" w:rsidR="004C2197" w:rsidRDefault="004C2197">
            <w:pPr>
              <w:rPr>
                <w:rFonts w:ascii="宋体"/>
              </w:rPr>
            </w:pPr>
          </w:p>
        </w:tc>
        <w:tc>
          <w:tcPr>
            <w:tcW w:w="0" w:type="auto"/>
            <w:shd w:val="clear" w:color="auto" w:fill="auto"/>
          </w:tcPr>
          <w:p w14:paraId="0D8E010D" w14:textId="77777777" w:rsidR="004C2197" w:rsidRDefault="004C2197">
            <w:pPr>
              <w:rPr>
                <w:rFonts w:ascii="宋体"/>
              </w:rPr>
            </w:pPr>
          </w:p>
        </w:tc>
        <w:tc>
          <w:tcPr>
            <w:tcW w:w="0" w:type="auto"/>
            <w:shd w:val="clear" w:color="auto" w:fill="auto"/>
          </w:tcPr>
          <w:p w14:paraId="0D8E010E" w14:textId="77777777" w:rsidR="004C2197" w:rsidRDefault="004C2197">
            <w:pPr>
              <w:rPr>
                <w:rFonts w:ascii="宋体"/>
              </w:rPr>
            </w:pPr>
          </w:p>
        </w:tc>
        <w:tc>
          <w:tcPr>
            <w:tcW w:w="0" w:type="auto"/>
            <w:shd w:val="clear" w:color="auto" w:fill="auto"/>
          </w:tcPr>
          <w:p w14:paraId="0D8E010F" w14:textId="77777777" w:rsidR="004C2197" w:rsidRDefault="004C2197">
            <w:pPr>
              <w:rPr>
                <w:rFonts w:ascii="宋体"/>
              </w:rPr>
            </w:pPr>
          </w:p>
        </w:tc>
        <w:tc>
          <w:tcPr>
            <w:tcW w:w="0" w:type="auto"/>
            <w:shd w:val="clear" w:color="auto" w:fill="auto"/>
          </w:tcPr>
          <w:p w14:paraId="0D8E0110" w14:textId="77777777" w:rsidR="004C2197" w:rsidRDefault="004C2197">
            <w:pPr>
              <w:rPr>
                <w:rFonts w:ascii="宋体"/>
              </w:rPr>
            </w:pPr>
          </w:p>
        </w:tc>
      </w:tr>
      <w:tr w:rsidR="004C2197" w14:paraId="0D8E0134" w14:textId="77777777">
        <w:trPr>
          <w:jc w:val="center"/>
        </w:trPr>
        <w:tc>
          <w:tcPr>
            <w:tcW w:w="0" w:type="auto"/>
            <w:gridSpan w:val="3"/>
            <w:shd w:val="clear" w:color="auto" w:fill="E2EFD9"/>
            <w:tcMar>
              <w:top w:w="40" w:type="dxa"/>
              <w:left w:w="20" w:type="dxa"/>
              <w:bottom w:w="40" w:type="dxa"/>
              <w:right w:w="20" w:type="dxa"/>
            </w:tcMar>
            <w:vAlign w:val="bottom"/>
          </w:tcPr>
          <w:p w14:paraId="0D8E0112" w14:textId="77777777" w:rsidR="004C2197" w:rsidRDefault="00863B83">
            <w:pPr>
              <w:textAlignment w:val="bottom"/>
            </w:pPr>
            <w:r>
              <w:rPr>
                <w:rFonts w:ascii="sans-serif" w:eastAsia="sans-serif" w:hAnsi="sans-serif" w:cs="sans-serif"/>
                <w:color w:val="000000"/>
                <w:sz w:val="20"/>
                <w:szCs w:val="20"/>
              </w:rPr>
              <w:t>Acquisition-related and other costs</w:t>
            </w:r>
          </w:p>
        </w:tc>
        <w:tc>
          <w:tcPr>
            <w:tcW w:w="0" w:type="auto"/>
            <w:shd w:val="clear" w:color="auto" w:fill="E2EFD9"/>
            <w:tcMar>
              <w:top w:w="40" w:type="dxa"/>
              <w:left w:w="20" w:type="dxa"/>
              <w:bottom w:w="40" w:type="dxa"/>
            </w:tcMar>
            <w:vAlign w:val="bottom"/>
          </w:tcPr>
          <w:p w14:paraId="0D8E011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114" w14:textId="77777777" w:rsidR="004C2197" w:rsidRDefault="00863B83">
            <w:pPr>
              <w:jc w:val="right"/>
              <w:textAlignment w:val="bottom"/>
            </w:pPr>
            <w:r>
              <w:rPr>
                <w:rFonts w:ascii="sans-serif" w:eastAsia="sans-serif" w:hAnsi="sans-serif" w:cs="sans-serif"/>
                <w:color w:val="000000"/>
                <w:sz w:val="20"/>
                <w:szCs w:val="20"/>
              </w:rPr>
              <w:t>(474)</w:t>
            </w:r>
          </w:p>
        </w:tc>
        <w:tc>
          <w:tcPr>
            <w:tcW w:w="0" w:type="auto"/>
            <w:shd w:val="clear" w:color="auto" w:fill="E2EFD9"/>
            <w:tcMar>
              <w:top w:w="40" w:type="dxa"/>
              <w:bottom w:w="40" w:type="dxa"/>
              <w:right w:w="20" w:type="dxa"/>
            </w:tcMar>
            <w:vAlign w:val="bottom"/>
          </w:tcPr>
          <w:p w14:paraId="0D8E011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16"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117"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118" w14:textId="77777777" w:rsidR="004C2197" w:rsidRDefault="00863B83">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bottom w:w="40" w:type="dxa"/>
              <w:right w:w="20" w:type="dxa"/>
            </w:tcMar>
            <w:vAlign w:val="bottom"/>
          </w:tcPr>
          <w:p w14:paraId="0D8E011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1A" w14:textId="77777777" w:rsidR="004C2197" w:rsidRDefault="004C2197">
            <w:pPr>
              <w:jc w:val="right"/>
              <w:rPr>
                <w:rFonts w:ascii="宋体"/>
              </w:rPr>
            </w:pPr>
          </w:p>
        </w:tc>
        <w:tc>
          <w:tcPr>
            <w:tcW w:w="0" w:type="auto"/>
            <w:shd w:val="clear" w:color="auto" w:fill="E2EFD9"/>
            <w:tcMar>
              <w:top w:w="40" w:type="dxa"/>
              <w:left w:w="20" w:type="dxa"/>
              <w:bottom w:w="40" w:type="dxa"/>
            </w:tcMar>
            <w:vAlign w:val="bottom"/>
          </w:tcPr>
          <w:p w14:paraId="0D8E011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11C" w14:textId="77777777" w:rsidR="004C2197" w:rsidRDefault="00863B83">
            <w:pPr>
              <w:jc w:val="right"/>
              <w:textAlignment w:val="bottom"/>
            </w:pPr>
            <w:r>
              <w:rPr>
                <w:rFonts w:ascii="sans-serif" w:eastAsia="sans-serif" w:hAnsi="sans-serif" w:cs="sans-serif"/>
                <w:color w:val="000000"/>
                <w:sz w:val="20"/>
                <w:szCs w:val="20"/>
              </w:rPr>
              <w:t>(479)</w:t>
            </w:r>
          </w:p>
        </w:tc>
        <w:tc>
          <w:tcPr>
            <w:tcW w:w="0" w:type="auto"/>
            <w:shd w:val="clear" w:color="auto" w:fill="E2EFD9"/>
            <w:tcMar>
              <w:top w:w="40" w:type="dxa"/>
              <w:bottom w:w="40" w:type="dxa"/>
              <w:right w:w="20" w:type="dxa"/>
            </w:tcMar>
            <w:vAlign w:val="bottom"/>
          </w:tcPr>
          <w:p w14:paraId="0D8E011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1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11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120" w14:textId="77777777" w:rsidR="004C2197" w:rsidRDefault="00863B83">
            <w:pPr>
              <w:jc w:val="right"/>
              <w:textAlignment w:val="bottom"/>
            </w:pPr>
            <w:r>
              <w:rPr>
                <w:rFonts w:ascii="sans-serif" w:eastAsia="sans-serif" w:hAnsi="sans-serif" w:cs="sans-serif"/>
                <w:color w:val="000000"/>
                <w:sz w:val="20"/>
                <w:szCs w:val="20"/>
              </w:rPr>
              <w:t>(15)</w:t>
            </w:r>
          </w:p>
        </w:tc>
        <w:tc>
          <w:tcPr>
            <w:tcW w:w="0" w:type="auto"/>
            <w:shd w:val="clear" w:color="auto" w:fill="E2EFD9"/>
            <w:tcMar>
              <w:top w:w="40" w:type="dxa"/>
              <w:bottom w:w="40" w:type="dxa"/>
              <w:right w:w="20" w:type="dxa"/>
            </w:tcMar>
            <w:vAlign w:val="bottom"/>
          </w:tcPr>
          <w:p w14:paraId="0D8E0121" w14:textId="77777777" w:rsidR="004C2197" w:rsidRDefault="004C2197">
            <w:pPr>
              <w:jc w:val="right"/>
              <w:rPr>
                <w:rFonts w:ascii="宋体"/>
              </w:rPr>
            </w:pPr>
          </w:p>
        </w:tc>
        <w:tc>
          <w:tcPr>
            <w:tcW w:w="0" w:type="auto"/>
            <w:shd w:val="clear" w:color="auto" w:fill="auto"/>
          </w:tcPr>
          <w:p w14:paraId="0D8E0122" w14:textId="77777777" w:rsidR="004C2197" w:rsidRDefault="004C2197">
            <w:pPr>
              <w:rPr>
                <w:rFonts w:ascii="宋体"/>
              </w:rPr>
            </w:pPr>
          </w:p>
        </w:tc>
        <w:tc>
          <w:tcPr>
            <w:tcW w:w="0" w:type="auto"/>
            <w:shd w:val="clear" w:color="auto" w:fill="auto"/>
          </w:tcPr>
          <w:p w14:paraId="0D8E0123" w14:textId="77777777" w:rsidR="004C2197" w:rsidRDefault="004C2197">
            <w:pPr>
              <w:rPr>
                <w:rFonts w:ascii="宋体"/>
              </w:rPr>
            </w:pPr>
          </w:p>
        </w:tc>
        <w:tc>
          <w:tcPr>
            <w:tcW w:w="0" w:type="auto"/>
            <w:shd w:val="clear" w:color="auto" w:fill="auto"/>
          </w:tcPr>
          <w:p w14:paraId="0D8E0124" w14:textId="77777777" w:rsidR="004C2197" w:rsidRDefault="004C2197">
            <w:pPr>
              <w:rPr>
                <w:rFonts w:ascii="宋体"/>
              </w:rPr>
            </w:pPr>
          </w:p>
        </w:tc>
        <w:tc>
          <w:tcPr>
            <w:tcW w:w="0" w:type="auto"/>
            <w:shd w:val="clear" w:color="auto" w:fill="auto"/>
          </w:tcPr>
          <w:p w14:paraId="0D8E0125" w14:textId="77777777" w:rsidR="004C2197" w:rsidRDefault="004C2197">
            <w:pPr>
              <w:rPr>
                <w:rFonts w:ascii="宋体"/>
              </w:rPr>
            </w:pPr>
          </w:p>
        </w:tc>
        <w:tc>
          <w:tcPr>
            <w:tcW w:w="0" w:type="auto"/>
            <w:shd w:val="clear" w:color="auto" w:fill="auto"/>
          </w:tcPr>
          <w:p w14:paraId="0D8E0126" w14:textId="77777777" w:rsidR="004C2197" w:rsidRDefault="004C2197">
            <w:pPr>
              <w:rPr>
                <w:rFonts w:ascii="宋体"/>
              </w:rPr>
            </w:pPr>
          </w:p>
        </w:tc>
        <w:tc>
          <w:tcPr>
            <w:tcW w:w="0" w:type="auto"/>
            <w:shd w:val="clear" w:color="auto" w:fill="auto"/>
          </w:tcPr>
          <w:p w14:paraId="0D8E0127" w14:textId="77777777" w:rsidR="004C2197" w:rsidRDefault="004C2197">
            <w:pPr>
              <w:rPr>
                <w:rFonts w:ascii="宋体"/>
              </w:rPr>
            </w:pPr>
          </w:p>
        </w:tc>
        <w:tc>
          <w:tcPr>
            <w:tcW w:w="0" w:type="auto"/>
            <w:shd w:val="clear" w:color="auto" w:fill="auto"/>
          </w:tcPr>
          <w:p w14:paraId="0D8E0128" w14:textId="77777777" w:rsidR="004C2197" w:rsidRDefault="004C2197">
            <w:pPr>
              <w:rPr>
                <w:rFonts w:ascii="宋体"/>
              </w:rPr>
            </w:pPr>
          </w:p>
        </w:tc>
        <w:tc>
          <w:tcPr>
            <w:tcW w:w="0" w:type="auto"/>
            <w:shd w:val="clear" w:color="auto" w:fill="auto"/>
          </w:tcPr>
          <w:p w14:paraId="0D8E0129" w14:textId="77777777" w:rsidR="004C2197" w:rsidRDefault="004C2197">
            <w:pPr>
              <w:rPr>
                <w:rFonts w:ascii="宋体"/>
              </w:rPr>
            </w:pPr>
          </w:p>
        </w:tc>
        <w:tc>
          <w:tcPr>
            <w:tcW w:w="0" w:type="auto"/>
            <w:shd w:val="clear" w:color="auto" w:fill="auto"/>
          </w:tcPr>
          <w:p w14:paraId="0D8E012A" w14:textId="77777777" w:rsidR="004C2197" w:rsidRDefault="004C2197">
            <w:pPr>
              <w:rPr>
                <w:rFonts w:ascii="宋体"/>
              </w:rPr>
            </w:pPr>
          </w:p>
        </w:tc>
        <w:tc>
          <w:tcPr>
            <w:tcW w:w="0" w:type="auto"/>
            <w:shd w:val="clear" w:color="auto" w:fill="auto"/>
          </w:tcPr>
          <w:p w14:paraId="0D8E012B" w14:textId="77777777" w:rsidR="004C2197" w:rsidRDefault="004C2197">
            <w:pPr>
              <w:rPr>
                <w:rFonts w:ascii="宋体"/>
              </w:rPr>
            </w:pPr>
          </w:p>
        </w:tc>
        <w:tc>
          <w:tcPr>
            <w:tcW w:w="0" w:type="auto"/>
            <w:shd w:val="clear" w:color="auto" w:fill="auto"/>
          </w:tcPr>
          <w:p w14:paraId="0D8E012C" w14:textId="77777777" w:rsidR="004C2197" w:rsidRDefault="004C2197">
            <w:pPr>
              <w:rPr>
                <w:rFonts w:ascii="宋体"/>
              </w:rPr>
            </w:pPr>
          </w:p>
        </w:tc>
        <w:tc>
          <w:tcPr>
            <w:tcW w:w="0" w:type="auto"/>
            <w:shd w:val="clear" w:color="auto" w:fill="auto"/>
          </w:tcPr>
          <w:p w14:paraId="0D8E012D" w14:textId="77777777" w:rsidR="004C2197" w:rsidRDefault="004C2197">
            <w:pPr>
              <w:rPr>
                <w:rFonts w:ascii="宋体"/>
              </w:rPr>
            </w:pPr>
          </w:p>
        </w:tc>
        <w:tc>
          <w:tcPr>
            <w:tcW w:w="0" w:type="auto"/>
            <w:shd w:val="clear" w:color="auto" w:fill="auto"/>
          </w:tcPr>
          <w:p w14:paraId="0D8E012E" w14:textId="77777777" w:rsidR="004C2197" w:rsidRDefault="004C2197">
            <w:pPr>
              <w:rPr>
                <w:rFonts w:ascii="宋体"/>
              </w:rPr>
            </w:pPr>
          </w:p>
        </w:tc>
        <w:tc>
          <w:tcPr>
            <w:tcW w:w="0" w:type="auto"/>
            <w:shd w:val="clear" w:color="auto" w:fill="auto"/>
          </w:tcPr>
          <w:p w14:paraId="0D8E012F" w14:textId="77777777" w:rsidR="004C2197" w:rsidRDefault="004C2197">
            <w:pPr>
              <w:rPr>
                <w:rFonts w:ascii="宋体"/>
              </w:rPr>
            </w:pPr>
          </w:p>
        </w:tc>
        <w:tc>
          <w:tcPr>
            <w:tcW w:w="0" w:type="auto"/>
            <w:shd w:val="clear" w:color="auto" w:fill="auto"/>
          </w:tcPr>
          <w:p w14:paraId="0D8E0130" w14:textId="77777777" w:rsidR="004C2197" w:rsidRDefault="004C2197">
            <w:pPr>
              <w:rPr>
                <w:rFonts w:ascii="宋体"/>
              </w:rPr>
            </w:pPr>
          </w:p>
        </w:tc>
        <w:tc>
          <w:tcPr>
            <w:tcW w:w="0" w:type="auto"/>
            <w:shd w:val="clear" w:color="auto" w:fill="auto"/>
          </w:tcPr>
          <w:p w14:paraId="0D8E0131" w14:textId="77777777" w:rsidR="004C2197" w:rsidRDefault="004C2197">
            <w:pPr>
              <w:rPr>
                <w:rFonts w:ascii="宋体"/>
              </w:rPr>
            </w:pPr>
          </w:p>
        </w:tc>
        <w:tc>
          <w:tcPr>
            <w:tcW w:w="0" w:type="auto"/>
            <w:shd w:val="clear" w:color="auto" w:fill="auto"/>
          </w:tcPr>
          <w:p w14:paraId="0D8E0132" w14:textId="77777777" w:rsidR="004C2197" w:rsidRDefault="004C2197">
            <w:pPr>
              <w:rPr>
                <w:rFonts w:ascii="宋体"/>
              </w:rPr>
            </w:pPr>
          </w:p>
        </w:tc>
        <w:tc>
          <w:tcPr>
            <w:tcW w:w="0" w:type="auto"/>
            <w:shd w:val="clear" w:color="auto" w:fill="auto"/>
          </w:tcPr>
          <w:p w14:paraId="0D8E0133" w14:textId="77777777" w:rsidR="004C2197" w:rsidRDefault="004C2197">
            <w:pPr>
              <w:rPr>
                <w:rFonts w:ascii="宋体"/>
              </w:rPr>
            </w:pPr>
          </w:p>
        </w:tc>
      </w:tr>
      <w:tr w:rsidR="004C2197" w14:paraId="0D8E0153" w14:textId="77777777">
        <w:trPr>
          <w:jc w:val="center"/>
        </w:trPr>
        <w:tc>
          <w:tcPr>
            <w:tcW w:w="0" w:type="auto"/>
            <w:gridSpan w:val="3"/>
            <w:shd w:val="clear" w:color="auto" w:fill="FFFFFF"/>
            <w:tcMar>
              <w:top w:w="40" w:type="dxa"/>
              <w:left w:w="20" w:type="dxa"/>
              <w:bottom w:w="40" w:type="dxa"/>
              <w:right w:w="20" w:type="dxa"/>
            </w:tcMar>
            <w:vAlign w:val="bottom"/>
          </w:tcPr>
          <w:p w14:paraId="0D8E0135" w14:textId="77777777" w:rsidR="004C2197" w:rsidRDefault="00863B83">
            <w:pPr>
              <w:textAlignment w:val="bottom"/>
            </w:pPr>
            <w:r>
              <w:rPr>
                <w:rFonts w:ascii="sans-serif" w:eastAsia="sans-serif" w:hAnsi="sans-serif" w:cs="sans-serif"/>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D8E0136" w14:textId="77777777" w:rsidR="004C2197" w:rsidRDefault="00863B83">
            <w:pPr>
              <w:jc w:val="right"/>
              <w:textAlignment w:val="bottom"/>
            </w:pPr>
            <w:r>
              <w:rPr>
                <w:rFonts w:ascii="sans-serif" w:eastAsia="sans-serif" w:hAnsi="sans-serif" w:cs="sans-serif"/>
                <w:color w:val="000000"/>
                <w:sz w:val="20"/>
                <w:szCs w:val="20"/>
              </w:rPr>
              <w:t>(374)</w:t>
            </w:r>
          </w:p>
        </w:tc>
        <w:tc>
          <w:tcPr>
            <w:tcW w:w="0" w:type="auto"/>
            <w:shd w:val="clear" w:color="auto" w:fill="FFFFFF"/>
            <w:tcMar>
              <w:top w:w="40" w:type="dxa"/>
              <w:bottom w:w="40" w:type="dxa"/>
              <w:right w:w="20" w:type="dxa"/>
            </w:tcMar>
            <w:vAlign w:val="bottom"/>
          </w:tcPr>
          <w:p w14:paraId="0D8E013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3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39" w14:textId="77777777" w:rsidR="004C2197" w:rsidRDefault="00863B83">
            <w:pPr>
              <w:jc w:val="right"/>
              <w:textAlignment w:val="bottom"/>
            </w:pPr>
            <w:r>
              <w:rPr>
                <w:rFonts w:ascii="sans-serif" w:eastAsia="sans-serif" w:hAnsi="sans-serif" w:cs="sans-serif"/>
                <w:color w:val="000000"/>
                <w:sz w:val="20"/>
                <w:szCs w:val="20"/>
              </w:rPr>
              <w:t>(224)</w:t>
            </w:r>
          </w:p>
        </w:tc>
        <w:tc>
          <w:tcPr>
            <w:tcW w:w="0" w:type="auto"/>
            <w:shd w:val="clear" w:color="auto" w:fill="FFFFFF"/>
            <w:tcMar>
              <w:top w:w="40" w:type="dxa"/>
              <w:bottom w:w="40" w:type="dxa"/>
              <w:right w:w="20" w:type="dxa"/>
            </w:tcMar>
            <w:vAlign w:val="bottom"/>
          </w:tcPr>
          <w:p w14:paraId="0D8E013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3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3C" w14:textId="77777777" w:rsidR="004C2197" w:rsidRDefault="00863B83">
            <w:pPr>
              <w:jc w:val="right"/>
              <w:textAlignment w:val="bottom"/>
            </w:pPr>
            <w:r>
              <w:rPr>
                <w:rFonts w:ascii="sans-serif" w:eastAsia="sans-serif" w:hAnsi="sans-serif" w:cs="sans-serif"/>
                <w:color w:val="000000"/>
                <w:sz w:val="20"/>
                <w:szCs w:val="20"/>
              </w:rPr>
              <w:t>(598)</w:t>
            </w:r>
          </w:p>
        </w:tc>
        <w:tc>
          <w:tcPr>
            <w:tcW w:w="0" w:type="auto"/>
            <w:shd w:val="clear" w:color="auto" w:fill="FFFFFF"/>
            <w:tcMar>
              <w:top w:w="40" w:type="dxa"/>
              <w:bottom w:w="40" w:type="dxa"/>
              <w:right w:w="20" w:type="dxa"/>
            </w:tcMar>
            <w:vAlign w:val="bottom"/>
          </w:tcPr>
          <w:p w14:paraId="0D8E013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3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3F" w14:textId="77777777" w:rsidR="004C2197" w:rsidRDefault="00863B83">
            <w:pPr>
              <w:jc w:val="right"/>
              <w:textAlignment w:val="bottom"/>
            </w:pPr>
            <w:r>
              <w:rPr>
                <w:rFonts w:ascii="sans-serif" w:eastAsia="sans-serif" w:hAnsi="sans-serif" w:cs="sans-serif"/>
                <w:color w:val="000000"/>
                <w:sz w:val="20"/>
                <w:szCs w:val="20"/>
              </w:rPr>
              <w:t>(401)</w:t>
            </w:r>
          </w:p>
        </w:tc>
        <w:tc>
          <w:tcPr>
            <w:tcW w:w="0" w:type="auto"/>
            <w:shd w:val="clear" w:color="auto" w:fill="FFFFFF"/>
            <w:tcMar>
              <w:top w:w="40" w:type="dxa"/>
              <w:bottom w:w="40" w:type="dxa"/>
              <w:right w:w="20" w:type="dxa"/>
            </w:tcMar>
            <w:vAlign w:val="bottom"/>
          </w:tcPr>
          <w:p w14:paraId="0D8E0140" w14:textId="77777777" w:rsidR="004C2197" w:rsidRDefault="004C2197">
            <w:pPr>
              <w:jc w:val="right"/>
              <w:rPr>
                <w:rFonts w:ascii="宋体"/>
              </w:rPr>
            </w:pPr>
          </w:p>
        </w:tc>
        <w:tc>
          <w:tcPr>
            <w:tcW w:w="0" w:type="auto"/>
            <w:shd w:val="clear" w:color="auto" w:fill="auto"/>
          </w:tcPr>
          <w:p w14:paraId="0D8E0141" w14:textId="77777777" w:rsidR="004C2197" w:rsidRDefault="004C2197">
            <w:pPr>
              <w:rPr>
                <w:rFonts w:ascii="宋体"/>
              </w:rPr>
            </w:pPr>
          </w:p>
        </w:tc>
        <w:tc>
          <w:tcPr>
            <w:tcW w:w="0" w:type="auto"/>
            <w:shd w:val="clear" w:color="auto" w:fill="auto"/>
          </w:tcPr>
          <w:p w14:paraId="0D8E0142" w14:textId="77777777" w:rsidR="004C2197" w:rsidRDefault="004C2197">
            <w:pPr>
              <w:rPr>
                <w:rFonts w:ascii="宋体"/>
              </w:rPr>
            </w:pPr>
          </w:p>
        </w:tc>
        <w:tc>
          <w:tcPr>
            <w:tcW w:w="0" w:type="auto"/>
            <w:shd w:val="clear" w:color="auto" w:fill="auto"/>
          </w:tcPr>
          <w:p w14:paraId="0D8E0143" w14:textId="77777777" w:rsidR="004C2197" w:rsidRDefault="004C2197">
            <w:pPr>
              <w:rPr>
                <w:rFonts w:ascii="宋体"/>
              </w:rPr>
            </w:pPr>
          </w:p>
        </w:tc>
        <w:tc>
          <w:tcPr>
            <w:tcW w:w="0" w:type="auto"/>
            <w:shd w:val="clear" w:color="auto" w:fill="auto"/>
          </w:tcPr>
          <w:p w14:paraId="0D8E0144" w14:textId="77777777" w:rsidR="004C2197" w:rsidRDefault="004C2197">
            <w:pPr>
              <w:rPr>
                <w:rFonts w:ascii="宋体"/>
              </w:rPr>
            </w:pPr>
          </w:p>
        </w:tc>
        <w:tc>
          <w:tcPr>
            <w:tcW w:w="0" w:type="auto"/>
            <w:shd w:val="clear" w:color="auto" w:fill="auto"/>
          </w:tcPr>
          <w:p w14:paraId="0D8E0145" w14:textId="77777777" w:rsidR="004C2197" w:rsidRDefault="004C2197">
            <w:pPr>
              <w:rPr>
                <w:rFonts w:ascii="宋体"/>
              </w:rPr>
            </w:pPr>
          </w:p>
        </w:tc>
        <w:tc>
          <w:tcPr>
            <w:tcW w:w="0" w:type="auto"/>
            <w:shd w:val="clear" w:color="auto" w:fill="auto"/>
          </w:tcPr>
          <w:p w14:paraId="0D8E0146" w14:textId="77777777" w:rsidR="004C2197" w:rsidRDefault="004C2197">
            <w:pPr>
              <w:rPr>
                <w:rFonts w:ascii="宋体"/>
              </w:rPr>
            </w:pPr>
          </w:p>
        </w:tc>
        <w:tc>
          <w:tcPr>
            <w:tcW w:w="0" w:type="auto"/>
            <w:shd w:val="clear" w:color="auto" w:fill="auto"/>
          </w:tcPr>
          <w:p w14:paraId="0D8E0147" w14:textId="77777777" w:rsidR="004C2197" w:rsidRDefault="004C2197">
            <w:pPr>
              <w:rPr>
                <w:rFonts w:ascii="宋体"/>
              </w:rPr>
            </w:pPr>
          </w:p>
        </w:tc>
        <w:tc>
          <w:tcPr>
            <w:tcW w:w="0" w:type="auto"/>
            <w:shd w:val="clear" w:color="auto" w:fill="auto"/>
          </w:tcPr>
          <w:p w14:paraId="0D8E0148" w14:textId="77777777" w:rsidR="004C2197" w:rsidRDefault="004C2197">
            <w:pPr>
              <w:rPr>
                <w:rFonts w:ascii="宋体"/>
              </w:rPr>
            </w:pPr>
          </w:p>
        </w:tc>
        <w:tc>
          <w:tcPr>
            <w:tcW w:w="0" w:type="auto"/>
            <w:shd w:val="clear" w:color="auto" w:fill="auto"/>
          </w:tcPr>
          <w:p w14:paraId="0D8E0149" w14:textId="77777777" w:rsidR="004C2197" w:rsidRDefault="004C2197">
            <w:pPr>
              <w:rPr>
                <w:rFonts w:ascii="宋体"/>
              </w:rPr>
            </w:pPr>
          </w:p>
        </w:tc>
        <w:tc>
          <w:tcPr>
            <w:tcW w:w="0" w:type="auto"/>
            <w:shd w:val="clear" w:color="auto" w:fill="auto"/>
          </w:tcPr>
          <w:p w14:paraId="0D8E014A" w14:textId="77777777" w:rsidR="004C2197" w:rsidRDefault="004C2197">
            <w:pPr>
              <w:rPr>
                <w:rFonts w:ascii="宋体"/>
              </w:rPr>
            </w:pPr>
          </w:p>
        </w:tc>
        <w:tc>
          <w:tcPr>
            <w:tcW w:w="0" w:type="auto"/>
            <w:shd w:val="clear" w:color="auto" w:fill="auto"/>
          </w:tcPr>
          <w:p w14:paraId="0D8E014B" w14:textId="77777777" w:rsidR="004C2197" w:rsidRDefault="004C2197">
            <w:pPr>
              <w:rPr>
                <w:rFonts w:ascii="宋体"/>
              </w:rPr>
            </w:pPr>
          </w:p>
        </w:tc>
        <w:tc>
          <w:tcPr>
            <w:tcW w:w="0" w:type="auto"/>
            <w:shd w:val="clear" w:color="auto" w:fill="auto"/>
          </w:tcPr>
          <w:p w14:paraId="0D8E014C" w14:textId="77777777" w:rsidR="004C2197" w:rsidRDefault="004C2197">
            <w:pPr>
              <w:rPr>
                <w:rFonts w:ascii="宋体"/>
              </w:rPr>
            </w:pPr>
          </w:p>
        </w:tc>
        <w:tc>
          <w:tcPr>
            <w:tcW w:w="0" w:type="auto"/>
            <w:shd w:val="clear" w:color="auto" w:fill="auto"/>
          </w:tcPr>
          <w:p w14:paraId="0D8E014D" w14:textId="77777777" w:rsidR="004C2197" w:rsidRDefault="004C2197">
            <w:pPr>
              <w:rPr>
                <w:rFonts w:ascii="宋体"/>
              </w:rPr>
            </w:pPr>
          </w:p>
        </w:tc>
        <w:tc>
          <w:tcPr>
            <w:tcW w:w="0" w:type="auto"/>
            <w:shd w:val="clear" w:color="auto" w:fill="auto"/>
          </w:tcPr>
          <w:p w14:paraId="0D8E014E" w14:textId="77777777" w:rsidR="004C2197" w:rsidRDefault="004C2197">
            <w:pPr>
              <w:rPr>
                <w:rFonts w:ascii="宋体"/>
              </w:rPr>
            </w:pPr>
          </w:p>
        </w:tc>
        <w:tc>
          <w:tcPr>
            <w:tcW w:w="0" w:type="auto"/>
            <w:shd w:val="clear" w:color="auto" w:fill="auto"/>
          </w:tcPr>
          <w:p w14:paraId="0D8E014F" w14:textId="77777777" w:rsidR="004C2197" w:rsidRDefault="004C2197">
            <w:pPr>
              <w:rPr>
                <w:rFonts w:ascii="宋体"/>
              </w:rPr>
            </w:pPr>
          </w:p>
        </w:tc>
        <w:tc>
          <w:tcPr>
            <w:tcW w:w="0" w:type="auto"/>
            <w:shd w:val="clear" w:color="auto" w:fill="auto"/>
          </w:tcPr>
          <w:p w14:paraId="0D8E0150" w14:textId="77777777" w:rsidR="004C2197" w:rsidRDefault="004C2197">
            <w:pPr>
              <w:rPr>
                <w:rFonts w:ascii="宋体"/>
              </w:rPr>
            </w:pPr>
          </w:p>
        </w:tc>
        <w:tc>
          <w:tcPr>
            <w:tcW w:w="0" w:type="auto"/>
            <w:shd w:val="clear" w:color="auto" w:fill="auto"/>
          </w:tcPr>
          <w:p w14:paraId="0D8E0151" w14:textId="77777777" w:rsidR="004C2197" w:rsidRDefault="004C2197">
            <w:pPr>
              <w:rPr>
                <w:rFonts w:ascii="宋体"/>
              </w:rPr>
            </w:pPr>
          </w:p>
        </w:tc>
        <w:tc>
          <w:tcPr>
            <w:tcW w:w="0" w:type="auto"/>
            <w:shd w:val="clear" w:color="auto" w:fill="auto"/>
          </w:tcPr>
          <w:p w14:paraId="0D8E0152" w14:textId="77777777" w:rsidR="004C2197" w:rsidRDefault="004C2197">
            <w:pPr>
              <w:rPr>
                <w:rFonts w:ascii="宋体"/>
              </w:rPr>
            </w:pPr>
          </w:p>
        </w:tc>
      </w:tr>
      <w:tr w:rsidR="004C2197" w14:paraId="0D8E0172" w14:textId="77777777">
        <w:trPr>
          <w:jc w:val="center"/>
        </w:trPr>
        <w:tc>
          <w:tcPr>
            <w:tcW w:w="0" w:type="auto"/>
            <w:gridSpan w:val="3"/>
            <w:shd w:val="clear" w:color="auto" w:fill="E2EFD9"/>
            <w:tcMar>
              <w:top w:w="40" w:type="dxa"/>
              <w:left w:w="20" w:type="dxa"/>
              <w:bottom w:w="40" w:type="dxa"/>
              <w:right w:w="20" w:type="dxa"/>
            </w:tcMar>
            <w:vAlign w:val="bottom"/>
          </w:tcPr>
          <w:p w14:paraId="0D8E0154" w14:textId="77777777" w:rsidR="004C2197" w:rsidRDefault="00863B83">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0D8E0155" w14:textId="77777777" w:rsidR="004C2197" w:rsidRDefault="00863B83">
            <w:pPr>
              <w:jc w:val="right"/>
              <w:textAlignment w:val="bottom"/>
            </w:pPr>
            <w:r>
              <w:rPr>
                <w:rFonts w:ascii="sans-serif" w:eastAsia="sans-serif" w:hAnsi="sans-serif" w:cs="sans-serif"/>
                <w:color w:val="000000"/>
                <w:sz w:val="20"/>
                <w:szCs w:val="20"/>
              </w:rPr>
              <w:t>(86)</w:t>
            </w:r>
          </w:p>
        </w:tc>
        <w:tc>
          <w:tcPr>
            <w:tcW w:w="0" w:type="auto"/>
            <w:shd w:val="clear" w:color="auto" w:fill="E2EFD9"/>
            <w:tcMar>
              <w:top w:w="40" w:type="dxa"/>
              <w:bottom w:w="40" w:type="dxa"/>
              <w:right w:w="20" w:type="dxa"/>
            </w:tcMar>
            <w:vAlign w:val="bottom"/>
          </w:tcPr>
          <w:p w14:paraId="0D8E015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5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158" w14:textId="77777777" w:rsidR="004C2197" w:rsidRDefault="00863B83">
            <w:pPr>
              <w:jc w:val="right"/>
              <w:textAlignment w:val="bottom"/>
            </w:pPr>
            <w:r>
              <w:rPr>
                <w:rFonts w:ascii="sans-serif" w:eastAsia="sans-serif" w:hAnsi="sans-serif" w:cs="sans-serif"/>
                <w:color w:val="000000"/>
                <w:sz w:val="20"/>
                <w:szCs w:val="20"/>
              </w:rPr>
              <w:t>(69)</w:t>
            </w:r>
          </w:p>
        </w:tc>
        <w:tc>
          <w:tcPr>
            <w:tcW w:w="0" w:type="auto"/>
            <w:shd w:val="clear" w:color="auto" w:fill="E2EFD9"/>
            <w:tcMar>
              <w:top w:w="40" w:type="dxa"/>
              <w:bottom w:w="40" w:type="dxa"/>
              <w:right w:w="20" w:type="dxa"/>
            </w:tcMar>
            <w:vAlign w:val="bottom"/>
          </w:tcPr>
          <w:p w14:paraId="0D8E015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5A"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15B" w14:textId="77777777" w:rsidR="004C2197" w:rsidRDefault="00863B83">
            <w:pPr>
              <w:jc w:val="right"/>
              <w:textAlignment w:val="bottom"/>
            </w:pPr>
            <w:r>
              <w:rPr>
                <w:rFonts w:ascii="sans-serif" w:eastAsia="sans-serif" w:hAnsi="sans-serif" w:cs="sans-serif"/>
                <w:color w:val="000000"/>
                <w:sz w:val="20"/>
                <w:szCs w:val="20"/>
              </w:rPr>
              <w:t>(168)</w:t>
            </w:r>
          </w:p>
        </w:tc>
        <w:tc>
          <w:tcPr>
            <w:tcW w:w="0" w:type="auto"/>
            <w:shd w:val="clear" w:color="auto" w:fill="E2EFD9"/>
            <w:tcMar>
              <w:top w:w="40" w:type="dxa"/>
              <w:bottom w:w="40" w:type="dxa"/>
              <w:right w:w="20" w:type="dxa"/>
            </w:tcMar>
            <w:vAlign w:val="bottom"/>
          </w:tcPr>
          <w:p w14:paraId="0D8E015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5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15E" w14:textId="77777777" w:rsidR="004C2197" w:rsidRDefault="00863B83">
            <w:pPr>
              <w:jc w:val="right"/>
              <w:textAlignment w:val="bottom"/>
            </w:pPr>
            <w:r>
              <w:rPr>
                <w:rFonts w:ascii="sans-serif" w:eastAsia="sans-serif" w:hAnsi="sans-serif" w:cs="sans-serif"/>
                <w:color w:val="000000"/>
                <w:sz w:val="20"/>
                <w:szCs w:val="20"/>
              </w:rPr>
              <w:t>(140)</w:t>
            </w:r>
          </w:p>
        </w:tc>
        <w:tc>
          <w:tcPr>
            <w:tcW w:w="0" w:type="auto"/>
            <w:shd w:val="clear" w:color="auto" w:fill="E2EFD9"/>
            <w:tcMar>
              <w:top w:w="40" w:type="dxa"/>
              <w:bottom w:w="40" w:type="dxa"/>
              <w:right w:w="20" w:type="dxa"/>
            </w:tcMar>
            <w:vAlign w:val="bottom"/>
          </w:tcPr>
          <w:p w14:paraId="0D8E015F" w14:textId="77777777" w:rsidR="004C2197" w:rsidRDefault="004C2197">
            <w:pPr>
              <w:jc w:val="right"/>
              <w:rPr>
                <w:rFonts w:ascii="宋体"/>
              </w:rPr>
            </w:pPr>
          </w:p>
        </w:tc>
        <w:tc>
          <w:tcPr>
            <w:tcW w:w="0" w:type="auto"/>
            <w:shd w:val="clear" w:color="auto" w:fill="auto"/>
          </w:tcPr>
          <w:p w14:paraId="0D8E0160" w14:textId="77777777" w:rsidR="004C2197" w:rsidRDefault="004C2197">
            <w:pPr>
              <w:rPr>
                <w:rFonts w:ascii="宋体"/>
              </w:rPr>
            </w:pPr>
          </w:p>
        </w:tc>
        <w:tc>
          <w:tcPr>
            <w:tcW w:w="0" w:type="auto"/>
            <w:shd w:val="clear" w:color="auto" w:fill="auto"/>
          </w:tcPr>
          <w:p w14:paraId="0D8E0161" w14:textId="77777777" w:rsidR="004C2197" w:rsidRDefault="004C2197">
            <w:pPr>
              <w:rPr>
                <w:rFonts w:ascii="宋体"/>
              </w:rPr>
            </w:pPr>
          </w:p>
        </w:tc>
        <w:tc>
          <w:tcPr>
            <w:tcW w:w="0" w:type="auto"/>
            <w:shd w:val="clear" w:color="auto" w:fill="auto"/>
          </w:tcPr>
          <w:p w14:paraId="0D8E0162" w14:textId="77777777" w:rsidR="004C2197" w:rsidRDefault="004C2197">
            <w:pPr>
              <w:rPr>
                <w:rFonts w:ascii="宋体"/>
              </w:rPr>
            </w:pPr>
          </w:p>
        </w:tc>
        <w:tc>
          <w:tcPr>
            <w:tcW w:w="0" w:type="auto"/>
            <w:shd w:val="clear" w:color="auto" w:fill="auto"/>
          </w:tcPr>
          <w:p w14:paraId="0D8E0163" w14:textId="77777777" w:rsidR="004C2197" w:rsidRDefault="004C2197">
            <w:pPr>
              <w:rPr>
                <w:rFonts w:ascii="宋体"/>
              </w:rPr>
            </w:pPr>
          </w:p>
        </w:tc>
        <w:tc>
          <w:tcPr>
            <w:tcW w:w="0" w:type="auto"/>
            <w:shd w:val="clear" w:color="auto" w:fill="auto"/>
          </w:tcPr>
          <w:p w14:paraId="0D8E0164" w14:textId="77777777" w:rsidR="004C2197" w:rsidRDefault="004C2197">
            <w:pPr>
              <w:rPr>
                <w:rFonts w:ascii="宋体"/>
              </w:rPr>
            </w:pPr>
          </w:p>
        </w:tc>
        <w:tc>
          <w:tcPr>
            <w:tcW w:w="0" w:type="auto"/>
            <w:shd w:val="clear" w:color="auto" w:fill="auto"/>
          </w:tcPr>
          <w:p w14:paraId="0D8E0165" w14:textId="77777777" w:rsidR="004C2197" w:rsidRDefault="004C2197">
            <w:pPr>
              <w:rPr>
                <w:rFonts w:ascii="宋体"/>
              </w:rPr>
            </w:pPr>
          </w:p>
        </w:tc>
        <w:tc>
          <w:tcPr>
            <w:tcW w:w="0" w:type="auto"/>
            <w:shd w:val="clear" w:color="auto" w:fill="auto"/>
          </w:tcPr>
          <w:p w14:paraId="0D8E0166" w14:textId="77777777" w:rsidR="004C2197" w:rsidRDefault="004C2197">
            <w:pPr>
              <w:rPr>
                <w:rFonts w:ascii="宋体"/>
              </w:rPr>
            </w:pPr>
          </w:p>
        </w:tc>
        <w:tc>
          <w:tcPr>
            <w:tcW w:w="0" w:type="auto"/>
            <w:shd w:val="clear" w:color="auto" w:fill="auto"/>
          </w:tcPr>
          <w:p w14:paraId="0D8E0167" w14:textId="77777777" w:rsidR="004C2197" w:rsidRDefault="004C2197">
            <w:pPr>
              <w:rPr>
                <w:rFonts w:ascii="宋体"/>
              </w:rPr>
            </w:pPr>
          </w:p>
        </w:tc>
        <w:tc>
          <w:tcPr>
            <w:tcW w:w="0" w:type="auto"/>
            <w:shd w:val="clear" w:color="auto" w:fill="auto"/>
          </w:tcPr>
          <w:p w14:paraId="0D8E0168" w14:textId="77777777" w:rsidR="004C2197" w:rsidRDefault="004C2197">
            <w:pPr>
              <w:rPr>
                <w:rFonts w:ascii="宋体"/>
              </w:rPr>
            </w:pPr>
          </w:p>
        </w:tc>
        <w:tc>
          <w:tcPr>
            <w:tcW w:w="0" w:type="auto"/>
            <w:shd w:val="clear" w:color="auto" w:fill="auto"/>
          </w:tcPr>
          <w:p w14:paraId="0D8E0169" w14:textId="77777777" w:rsidR="004C2197" w:rsidRDefault="004C2197">
            <w:pPr>
              <w:rPr>
                <w:rFonts w:ascii="宋体"/>
              </w:rPr>
            </w:pPr>
          </w:p>
        </w:tc>
        <w:tc>
          <w:tcPr>
            <w:tcW w:w="0" w:type="auto"/>
            <w:shd w:val="clear" w:color="auto" w:fill="auto"/>
          </w:tcPr>
          <w:p w14:paraId="0D8E016A" w14:textId="77777777" w:rsidR="004C2197" w:rsidRDefault="004C2197">
            <w:pPr>
              <w:rPr>
                <w:rFonts w:ascii="宋体"/>
              </w:rPr>
            </w:pPr>
          </w:p>
        </w:tc>
        <w:tc>
          <w:tcPr>
            <w:tcW w:w="0" w:type="auto"/>
            <w:shd w:val="clear" w:color="auto" w:fill="auto"/>
          </w:tcPr>
          <w:p w14:paraId="0D8E016B" w14:textId="77777777" w:rsidR="004C2197" w:rsidRDefault="004C2197">
            <w:pPr>
              <w:rPr>
                <w:rFonts w:ascii="宋体"/>
              </w:rPr>
            </w:pPr>
          </w:p>
        </w:tc>
        <w:tc>
          <w:tcPr>
            <w:tcW w:w="0" w:type="auto"/>
            <w:shd w:val="clear" w:color="auto" w:fill="auto"/>
          </w:tcPr>
          <w:p w14:paraId="0D8E016C" w14:textId="77777777" w:rsidR="004C2197" w:rsidRDefault="004C2197">
            <w:pPr>
              <w:rPr>
                <w:rFonts w:ascii="宋体"/>
              </w:rPr>
            </w:pPr>
          </w:p>
        </w:tc>
        <w:tc>
          <w:tcPr>
            <w:tcW w:w="0" w:type="auto"/>
            <w:shd w:val="clear" w:color="auto" w:fill="auto"/>
          </w:tcPr>
          <w:p w14:paraId="0D8E016D" w14:textId="77777777" w:rsidR="004C2197" w:rsidRDefault="004C2197">
            <w:pPr>
              <w:rPr>
                <w:rFonts w:ascii="宋体"/>
              </w:rPr>
            </w:pPr>
          </w:p>
        </w:tc>
        <w:tc>
          <w:tcPr>
            <w:tcW w:w="0" w:type="auto"/>
            <w:shd w:val="clear" w:color="auto" w:fill="auto"/>
          </w:tcPr>
          <w:p w14:paraId="0D8E016E" w14:textId="77777777" w:rsidR="004C2197" w:rsidRDefault="004C2197">
            <w:pPr>
              <w:rPr>
                <w:rFonts w:ascii="宋体"/>
              </w:rPr>
            </w:pPr>
          </w:p>
        </w:tc>
        <w:tc>
          <w:tcPr>
            <w:tcW w:w="0" w:type="auto"/>
            <w:shd w:val="clear" w:color="auto" w:fill="auto"/>
          </w:tcPr>
          <w:p w14:paraId="0D8E016F" w14:textId="77777777" w:rsidR="004C2197" w:rsidRDefault="004C2197">
            <w:pPr>
              <w:rPr>
                <w:rFonts w:ascii="宋体"/>
              </w:rPr>
            </w:pPr>
          </w:p>
        </w:tc>
        <w:tc>
          <w:tcPr>
            <w:tcW w:w="0" w:type="auto"/>
            <w:shd w:val="clear" w:color="auto" w:fill="auto"/>
          </w:tcPr>
          <w:p w14:paraId="0D8E0170" w14:textId="77777777" w:rsidR="004C2197" w:rsidRDefault="004C2197">
            <w:pPr>
              <w:rPr>
                <w:rFonts w:ascii="宋体"/>
              </w:rPr>
            </w:pPr>
          </w:p>
        </w:tc>
        <w:tc>
          <w:tcPr>
            <w:tcW w:w="0" w:type="auto"/>
            <w:shd w:val="clear" w:color="auto" w:fill="auto"/>
          </w:tcPr>
          <w:p w14:paraId="0D8E0171" w14:textId="77777777" w:rsidR="004C2197" w:rsidRDefault="004C2197">
            <w:pPr>
              <w:rPr>
                <w:rFonts w:ascii="宋体"/>
              </w:rPr>
            </w:pPr>
          </w:p>
        </w:tc>
      </w:tr>
      <w:tr w:rsidR="004C2197" w14:paraId="0D8E0191" w14:textId="77777777">
        <w:trPr>
          <w:jc w:val="center"/>
        </w:trPr>
        <w:tc>
          <w:tcPr>
            <w:tcW w:w="0" w:type="auto"/>
            <w:gridSpan w:val="3"/>
            <w:shd w:val="clear" w:color="auto" w:fill="FFFFFF"/>
            <w:tcMar>
              <w:top w:w="40" w:type="dxa"/>
              <w:left w:w="20" w:type="dxa"/>
              <w:bottom w:w="40" w:type="dxa"/>
              <w:right w:w="20" w:type="dxa"/>
            </w:tcMar>
            <w:vAlign w:val="bottom"/>
          </w:tcPr>
          <w:p w14:paraId="0D8E0173" w14:textId="77777777" w:rsidR="004C2197" w:rsidRDefault="00863B83">
            <w:pPr>
              <w:textAlignment w:val="bottom"/>
            </w:pPr>
            <w:r>
              <w:rPr>
                <w:rFonts w:ascii="sans-serif" w:eastAsia="sans-serif" w:hAnsi="sans-serif" w:cs="sans-serif"/>
                <w:color w:val="000000"/>
                <w:sz w:val="20"/>
                <w:szCs w:val="20"/>
              </w:rPr>
              <w:t>Legal settlement costs</w:t>
            </w:r>
          </w:p>
        </w:tc>
        <w:tc>
          <w:tcPr>
            <w:tcW w:w="0" w:type="auto"/>
            <w:gridSpan w:val="2"/>
            <w:shd w:val="clear" w:color="auto" w:fill="FFFFFF"/>
            <w:tcMar>
              <w:top w:w="40" w:type="dxa"/>
              <w:left w:w="20" w:type="dxa"/>
              <w:bottom w:w="40" w:type="dxa"/>
              <w:right w:w="0" w:type="dxa"/>
            </w:tcMar>
            <w:vAlign w:val="bottom"/>
          </w:tcPr>
          <w:p w14:paraId="0D8E0174" w14:textId="77777777" w:rsidR="004C2197" w:rsidRDefault="00863B83">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bottom w:w="40" w:type="dxa"/>
              <w:right w:w="20" w:type="dxa"/>
            </w:tcMar>
            <w:vAlign w:val="bottom"/>
          </w:tcPr>
          <w:p w14:paraId="0D8E017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7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77" w14:textId="77777777" w:rsidR="004C2197" w:rsidRDefault="00863B83">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bottom w:w="40" w:type="dxa"/>
              <w:right w:w="20" w:type="dxa"/>
            </w:tcMar>
            <w:vAlign w:val="bottom"/>
          </w:tcPr>
          <w:p w14:paraId="0D8E017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7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7A" w14:textId="77777777" w:rsidR="004C2197" w:rsidRDefault="00863B83">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bottom w:w="40" w:type="dxa"/>
              <w:right w:w="20" w:type="dxa"/>
            </w:tcMar>
            <w:vAlign w:val="bottom"/>
          </w:tcPr>
          <w:p w14:paraId="0D8E017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17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17D" w14:textId="77777777" w:rsidR="004C2197" w:rsidRDefault="00863B83">
            <w:pPr>
              <w:jc w:val="right"/>
              <w:textAlignment w:val="bottom"/>
            </w:pPr>
            <w:r>
              <w:rPr>
                <w:rFonts w:ascii="sans-serif" w:eastAsia="sans-serif" w:hAnsi="sans-serif" w:cs="sans-serif"/>
                <w:color w:val="000000"/>
                <w:sz w:val="20"/>
                <w:szCs w:val="20"/>
              </w:rPr>
              <w:t>(13)</w:t>
            </w:r>
          </w:p>
        </w:tc>
        <w:tc>
          <w:tcPr>
            <w:tcW w:w="0" w:type="auto"/>
            <w:shd w:val="clear" w:color="auto" w:fill="FFFFFF"/>
            <w:tcMar>
              <w:top w:w="40" w:type="dxa"/>
              <w:bottom w:w="40" w:type="dxa"/>
              <w:right w:w="20" w:type="dxa"/>
            </w:tcMar>
            <w:vAlign w:val="bottom"/>
          </w:tcPr>
          <w:p w14:paraId="0D8E017E" w14:textId="77777777" w:rsidR="004C2197" w:rsidRDefault="004C2197">
            <w:pPr>
              <w:jc w:val="right"/>
              <w:rPr>
                <w:rFonts w:ascii="宋体"/>
              </w:rPr>
            </w:pPr>
          </w:p>
        </w:tc>
        <w:tc>
          <w:tcPr>
            <w:tcW w:w="0" w:type="auto"/>
            <w:shd w:val="clear" w:color="auto" w:fill="auto"/>
          </w:tcPr>
          <w:p w14:paraId="0D8E017F" w14:textId="77777777" w:rsidR="004C2197" w:rsidRDefault="004C2197">
            <w:pPr>
              <w:rPr>
                <w:rFonts w:ascii="宋体"/>
              </w:rPr>
            </w:pPr>
          </w:p>
        </w:tc>
        <w:tc>
          <w:tcPr>
            <w:tcW w:w="0" w:type="auto"/>
            <w:shd w:val="clear" w:color="auto" w:fill="auto"/>
          </w:tcPr>
          <w:p w14:paraId="0D8E0180" w14:textId="77777777" w:rsidR="004C2197" w:rsidRDefault="004C2197">
            <w:pPr>
              <w:rPr>
                <w:rFonts w:ascii="宋体"/>
              </w:rPr>
            </w:pPr>
          </w:p>
        </w:tc>
        <w:tc>
          <w:tcPr>
            <w:tcW w:w="0" w:type="auto"/>
            <w:shd w:val="clear" w:color="auto" w:fill="auto"/>
          </w:tcPr>
          <w:p w14:paraId="0D8E0181" w14:textId="77777777" w:rsidR="004C2197" w:rsidRDefault="004C2197">
            <w:pPr>
              <w:rPr>
                <w:rFonts w:ascii="宋体"/>
              </w:rPr>
            </w:pPr>
          </w:p>
        </w:tc>
        <w:tc>
          <w:tcPr>
            <w:tcW w:w="0" w:type="auto"/>
            <w:shd w:val="clear" w:color="auto" w:fill="auto"/>
          </w:tcPr>
          <w:p w14:paraId="0D8E0182" w14:textId="77777777" w:rsidR="004C2197" w:rsidRDefault="004C2197">
            <w:pPr>
              <w:rPr>
                <w:rFonts w:ascii="宋体"/>
              </w:rPr>
            </w:pPr>
          </w:p>
        </w:tc>
        <w:tc>
          <w:tcPr>
            <w:tcW w:w="0" w:type="auto"/>
            <w:shd w:val="clear" w:color="auto" w:fill="auto"/>
          </w:tcPr>
          <w:p w14:paraId="0D8E0183" w14:textId="77777777" w:rsidR="004C2197" w:rsidRDefault="004C2197">
            <w:pPr>
              <w:rPr>
                <w:rFonts w:ascii="宋体"/>
              </w:rPr>
            </w:pPr>
          </w:p>
        </w:tc>
        <w:tc>
          <w:tcPr>
            <w:tcW w:w="0" w:type="auto"/>
            <w:shd w:val="clear" w:color="auto" w:fill="auto"/>
          </w:tcPr>
          <w:p w14:paraId="0D8E0184" w14:textId="77777777" w:rsidR="004C2197" w:rsidRDefault="004C2197">
            <w:pPr>
              <w:rPr>
                <w:rFonts w:ascii="宋体"/>
              </w:rPr>
            </w:pPr>
          </w:p>
        </w:tc>
        <w:tc>
          <w:tcPr>
            <w:tcW w:w="0" w:type="auto"/>
            <w:shd w:val="clear" w:color="auto" w:fill="auto"/>
          </w:tcPr>
          <w:p w14:paraId="0D8E0185" w14:textId="77777777" w:rsidR="004C2197" w:rsidRDefault="004C2197">
            <w:pPr>
              <w:rPr>
                <w:rFonts w:ascii="宋体"/>
              </w:rPr>
            </w:pPr>
          </w:p>
        </w:tc>
        <w:tc>
          <w:tcPr>
            <w:tcW w:w="0" w:type="auto"/>
            <w:shd w:val="clear" w:color="auto" w:fill="auto"/>
          </w:tcPr>
          <w:p w14:paraId="0D8E0186" w14:textId="77777777" w:rsidR="004C2197" w:rsidRDefault="004C2197">
            <w:pPr>
              <w:rPr>
                <w:rFonts w:ascii="宋体"/>
              </w:rPr>
            </w:pPr>
          </w:p>
        </w:tc>
        <w:tc>
          <w:tcPr>
            <w:tcW w:w="0" w:type="auto"/>
            <w:shd w:val="clear" w:color="auto" w:fill="auto"/>
          </w:tcPr>
          <w:p w14:paraId="0D8E0187" w14:textId="77777777" w:rsidR="004C2197" w:rsidRDefault="004C2197">
            <w:pPr>
              <w:rPr>
                <w:rFonts w:ascii="宋体"/>
              </w:rPr>
            </w:pPr>
          </w:p>
        </w:tc>
        <w:tc>
          <w:tcPr>
            <w:tcW w:w="0" w:type="auto"/>
            <w:shd w:val="clear" w:color="auto" w:fill="auto"/>
          </w:tcPr>
          <w:p w14:paraId="0D8E0188" w14:textId="77777777" w:rsidR="004C2197" w:rsidRDefault="004C2197">
            <w:pPr>
              <w:rPr>
                <w:rFonts w:ascii="宋体"/>
              </w:rPr>
            </w:pPr>
          </w:p>
        </w:tc>
        <w:tc>
          <w:tcPr>
            <w:tcW w:w="0" w:type="auto"/>
            <w:shd w:val="clear" w:color="auto" w:fill="auto"/>
          </w:tcPr>
          <w:p w14:paraId="0D8E0189" w14:textId="77777777" w:rsidR="004C2197" w:rsidRDefault="004C2197">
            <w:pPr>
              <w:rPr>
                <w:rFonts w:ascii="宋体"/>
              </w:rPr>
            </w:pPr>
          </w:p>
        </w:tc>
        <w:tc>
          <w:tcPr>
            <w:tcW w:w="0" w:type="auto"/>
            <w:shd w:val="clear" w:color="auto" w:fill="auto"/>
          </w:tcPr>
          <w:p w14:paraId="0D8E018A" w14:textId="77777777" w:rsidR="004C2197" w:rsidRDefault="004C2197">
            <w:pPr>
              <w:rPr>
                <w:rFonts w:ascii="宋体"/>
              </w:rPr>
            </w:pPr>
          </w:p>
        </w:tc>
        <w:tc>
          <w:tcPr>
            <w:tcW w:w="0" w:type="auto"/>
            <w:shd w:val="clear" w:color="auto" w:fill="auto"/>
          </w:tcPr>
          <w:p w14:paraId="0D8E018B" w14:textId="77777777" w:rsidR="004C2197" w:rsidRDefault="004C2197">
            <w:pPr>
              <w:rPr>
                <w:rFonts w:ascii="宋体"/>
              </w:rPr>
            </w:pPr>
          </w:p>
        </w:tc>
        <w:tc>
          <w:tcPr>
            <w:tcW w:w="0" w:type="auto"/>
            <w:shd w:val="clear" w:color="auto" w:fill="auto"/>
          </w:tcPr>
          <w:p w14:paraId="0D8E018C" w14:textId="77777777" w:rsidR="004C2197" w:rsidRDefault="004C2197">
            <w:pPr>
              <w:rPr>
                <w:rFonts w:ascii="宋体"/>
              </w:rPr>
            </w:pPr>
          </w:p>
        </w:tc>
        <w:tc>
          <w:tcPr>
            <w:tcW w:w="0" w:type="auto"/>
            <w:shd w:val="clear" w:color="auto" w:fill="auto"/>
          </w:tcPr>
          <w:p w14:paraId="0D8E018D" w14:textId="77777777" w:rsidR="004C2197" w:rsidRDefault="004C2197">
            <w:pPr>
              <w:rPr>
                <w:rFonts w:ascii="宋体"/>
              </w:rPr>
            </w:pPr>
          </w:p>
        </w:tc>
        <w:tc>
          <w:tcPr>
            <w:tcW w:w="0" w:type="auto"/>
            <w:shd w:val="clear" w:color="auto" w:fill="auto"/>
          </w:tcPr>
          <w:p w14:paraId="0D8E018E" w14:textId="77777777" w:rsidR="004C2197" w:rsidRDefault="004C2197">
            <w:pPr>
              <w:rPr>
                <w:rFonts w:ascii="宋体"/>
              </w:rPr>
            </w:pPr>
          </w:p>
        </w:tc>
        <w:tc>
          <w:tcPr>
            <w:tcW w:w="0" w:type="auto"/>
            <w:shd w:val="clear" w:color="auto" w:fill="auto"/>
          </w:tcPr>
          <w:p w14:paraId="0D8E018F" w14:textId="77777777" w:rsidR="004C2197" w:rsidRDefault="004C2197">
            <w:pPr>
              <w:rPr>
                <w:rFonts w:ascii="宋体"/>
              </w:rPr>
            </w:pPr>
          </w:p>
        </w:tc>
        <w:tc>
          <w:tcPr>
            <w:tcW w:w="0" w:type="auto"/>
            <w:shd w:val="clear" w:color="auto" w:fill="auto"/>
          </w:tcPr>
          <w:p w14:paraId="0D8E0190" w14:textId="77777777" w:rsidR="004C2197" w:rsidRDefault="004C2197">
            <w:pPr>
              <w:rPr>
                <w:rFonts w:ascii="宋体"/>
              </w:rPr>
            </w:pPr>
          </w:p>
        </w:tc>
      </w:tr>
      <w:tr w:rsidR="004C2197" w14:paraId="0D8E01AC" w14:textId="77777777">
        <w:trPr>
          <w:jc w:val="center"/>
          <w:hidden/>
        </w:trPr>
        <w:tc>
          <w:tcPr>
            <w:tcW w:w="0" w:type="auto"/>
            <w:gridSpan w:val="3"/>
            <w:shd w:val="clear" w:color="auto" w:fill="auto"/>
          </w:tcPr>
          <w:p w14:paraId="0D8E0192" w14:textId="77777777" w:rsidR="004C2197" w:rsidRDefault="004C2197">
            <w:pPr>
              <w:rPr>
                <w:rFonts w:ascii="宋体"/>
                <w:vanish/>
              </w:rPr>
            </w:pPr>
          </w:p>
        </w:tc>
        <w:tc>
          <w:tcPr>
            <w:tcW w:w="0" w:type="auto"/>
            <w:gridSpan w:val="3"/>
            <w:shd w:val="clear" w:color="auto" w:fill="auto"/>
          </w:tcPr>
          <w:p w14:paraId="0D8E0193" w14:textId="77777777" w:rsidR="004C2197" w:rsidRDefault="004C2197">
            <w:pPr>
              <w:rPr>
                <w:rFonts w:ascii="宋体"/>
                <w:vanish/>
              </w:rPr>
            </w:pPr>
          </w:p>
        </w:tc>
        <w:tc>
          <w:tcPr>
            <w:tcW w:w="0" w:type="auto"/>
            <w:gridSpan w:val="3"/>
            <w:shd w:val="clear" w:color="auto" w:fill="auto"/>
          </w:tcPr>
          <w:p w14:paraId="0D8E0194" w14:textId="77777777" w:rsidR="004C2197" w:rsidRDefault="004C2197">
            <w:pPr>
              <w:rPr>
                <w:rFonts w:ascii="宋体"/>
                <w:vanish/>
              </w:rPr>
            </w:pPr>
          </w:p>
        </w:tc>
        <w:tc>
          <w:tcPr>
            <w:tcW w:w="0" w:type="auto"/>
            <w:gridSpan w:val="3"/>
            <w:shd w:val="clear" w:color="auto" w:fill="auto"/>
          </w:tcPr>
          <w:p w14:paraId="0D8E0195" w14:textId="77777777" w:rsidR="004C2197" w:rsidRDefault="004C2197">
            <w:pPr>
              <w:rPr>
                <w:rFonts w:ascii="宋体"/>
                <w:vanish/>
              </w:rPr>
            </w:pPr>
          </w:p>
        </w:tc>
        <w:tc>
          <w:tcPr>
            <w:tcW w:w="0" w:type="auto"/>
            <w:gridSpan w:val="3"/>
            <w:shd w:val="clear" w:color="auto" w:fill="auto"/>
          </w:tcPr>
          <w:p w14:paraId="0D8E0196" w14:textId="77777777" w:rsidR="004C2197" w:rsidRDefault="004C2197">
            <w:pPr>
              <w:rPr>
                <w:rFonts w:ascii="宋体"/>
                <w:vanish/>
              </w:rPr>
            </w:pPr>
          </w:p>
        </w:tc>
        <w:tc>
          <w:tcPr>
            <w:tcW w:w="0" w:type="auto"/>
            <w:gridSpan w:val="3"/>
            <w:shd w:val="clear" w:color="auto" w:fill="auto"/>
          </w:tcPr>
          <w:p w14:paraId="0D8E0197" w14:textId="77777777" w:rsidR="004C2197" w:rsidRDefault="004C2197">
            <w:pPr>
              <w:rPr>
                <w:rFonts w:ascii="宋体"/>
                <w:vanish/>
              </w:rPr>
            </w:pPr>
          </w:p>
        </w:tc>
        <w:tc>
          <w:tcPr>
            <w:tcW w:w="0" w:type="auto"/>
            <w:gridSpan w:val="3"/>
            <w:shd w:val="clear" w:color="auto" w:fill="auto"/>
          </w:tcPr>
          <w:p w14:paraId="0D8E0198" w14:textId="77777777" w:rsidR="004C2197" w:rsidRDefault="004C2197">
            <w:pPr>
              <w:rPr>
                <w:rFonts w:ascii="宋体"/>
                <w:vanish/>
              </w:rPr>
            </w:pPr>
          </w:p>
        </w:tc>
        <w:tc>
          <w:tcPr>
            <w:tcW w:w="0" w:type="auto"/>
            <w:gridSpan w:val="3"/>
            <w:shd w:val="clear" w:color="auto" w:fill="auto"/>
          </w:tcPr>
          <w:p w14:paraId="0D8E0199" w14:textId="77777777" w:rsidR="004C2197" w:rsidRDefault="004C2197">
            <w:pPr>
              <w:rPr>
                <w:rFonts w:ascii="宋体"/>
                <w:vanish/>
              </w:rPr>
            </w:pPr>
          </w:p>
        </w:tc>
        <w:tc>
          <w:tcPr>
            <w:tcW w:w="0" w:type="auto"/>
            <w:shd w:val="clear" w:color="auto" w:fill="auto"/>
          </w:tcPr>
          <w:p w14:paraId="0D8E019A" w14:textId="77777777" w:rsidR="004C2197" w:rsidRDefault="004C2197">
            <w:pPr>
              <w:rPr>
                <w:rFonts w:ascii="宋体"/>
              </w:rPr>
            </w:pPr>
          </w:p>
        </w:tc>
        <w:tc>
          <w:tcPr>
            <w:tcW w:w="0" w:type="auto"/>
            <w:shd w:val="clear" w:color="auto" w:fill="auto"/>
          </w:tcPr>
          <w:p w14:paraId="0D8E019B" w14:textId="77777777" w:rsidR="004C2197" w:rsidRDefault="004C2197">
            <w:pPr>
              <w:rPr>
                <w:rFonts w:ascii="宋体"/>
              </w:rPr>
            </w:pPr>
          </w:p>
        </w:tc>
        <w:tc>
          <w:tcPr>
            <w:tcW w:w="0" w:type="auto"/>
            <w:shd w:val="clear" w:color="auto" w:fill="auto"/>
          </w:tcPr>
          <w:p w14:paraId="0D8E019C" w14:textId="77777777" w:rsidR="004C2197" w:rsidRDefault="004C2197">
            <w:pPr>
              <w:rPr>
                <w:rFonts w:ascii="宋体"/>
              </w:rPr>
            </w:pPr>
          </w:p>
        </w:tc>
        <w:tc>
          <w:tcPr>
            <w:tcW w:w="0" w:type="auto"/>
            <w:shd w:val="clear" w:color="auto" w:fill="auto"/>
          </w:tcPr>
          <w:p w14:paraId="0D8E019D" w14:textId="77777777" w:rsidR="004C2197" w:rsidRDefault="004C2197">
            <w:pPr>
              <w:rPr>
                <w:rFonts w:ascii="宋体"/>
              </w:rPr>
            </w:pPr>
          </w:p>
        </w:tc>
        <w:tc>
          <w:tcPr>
            <w:tcW w:w="0" w:type="auto"/>
            <w:shd w:val="clear" w:color="auto" w:fill="auto"/>
          </w:tcPr>
          <w:p w14:paraId="0D8E019E" w14:textId="77777777" w:rsidR="004C2197" w:rsidRDefault="004C2197">
            <w:pPr>
              <w:rPr>
                <w:rFonts w:ascii="宋体"/>
              </w:rPr>
            </w:pPr>
          </w:p>
        </w:tc>
        <w:tc>
          <w:tcPr>
            <w:tcW w:w="0" w:type="auto"/>
            <w:shd w:val="clear" w:color="auto" w:fill="auto"/>
          </w:tcPr>
          <w:p w14:paraId="0D8E019F" w14:textId="77777777" w:rsidR="004C2197" w:rsidRDefault="004C2197">
            <w:pPr>
              <w:rPr>
                <w:rFonts w:ascii="宋体"/>
              </w:rPr>
            </w:pPr>
          </w:p>
        </w:tc>
        <w:tc>
          <w:tcPr>
            <w:tcW w:w="0" w:type="auto"/>
            <w:shd w:val="clear" w:color="auto" w:fill="auto"/>
          </w:tcPr>
          <w:p w14:paraId="0D8E01A0" w14:textId="77777777" w:rsidR="004C2197" w:rsidRDefault="004C2197">
            <w:pPr>
              <w:rPr>
                <w:rFonts w:ascii="宋体"/>
              </w:rPr>
            </w:pPr>
          </w:p>
        </w:tc>
        <w:tc>
          <w:tcPr>
            <w:tcW w:w="0" w:type="auto"/>
            <w:shd w:val="clear" w:color="auto" w:fill="auto"/>
          </w:tcPr>
          <w:p w14:paraId="0D8E01A1" w14:textId="77777777" w:rsidR="004C2197" w:rsidRDefault="004C2197">
            <w:pPr>
              <w:rPr>
                <w:rFonts w:ascii="宋体"/>
              </w:rPr>
            </w:pPr>
          </w:p>
        </w:tc>
        <w:tc>
          <w:tcPr>
            <w:tcW w:w="0" w:type="auto"/>
            <w:shd w:val="clear" w:color="auto" w:fill="auto"/>
          </w:tcPr>
          <w:p w14:paraId="0D8E01A2" w14:textId="77777777" w:rsidR="004C2197" w:rsidRDefault="004C2197">
            <w:pPr>
              <w:rPr>
                <w:rFonts w:ascii="宋体"/>
              </w:rPr>
            </w:pPr>
          </w:p>
        </w:tc>
        <w:tc>
          <w:tcPr>
            <w:tcW w:w="0" w:type="auto"/>
            <w:shd w:val="clear" w:color="auto" w:fill="auto"/>
          </w:tcPr>
          <w:p w14:paraId="0D8E01A3" w14:textId="77777777" w:rsidR="004C2197" w:rsidRDefault="004C2197">
            <w:pPr>
              <w:rPr>
                <w:rFonts w:ascii="宋体"/>
              </w:rPr>
            </w:pPr>
          </w:p>
        </w:tc>
        <w:tc>
          <w:tcPr>
            <w:tcW w:w="0" w:type="auto"/>
            <w:shd w:val="clear" w:color="auto" w:fill="auto"/>
          </w:tcPr>
          <w:p w14:paraId="0D8E01A4" w14:textId="77777777" w:rsidR="004C2197" w:rsidRDefault="004C2197">
            <w:pPr>
              <w:rPr>
                <w:rFonts w:ascii="宋体"/>
              </w:rPr>
            </w:pPr>
          </w:p>
        </w:tc>
        <w:tc>
          <w:tcPr>
            <w:tcW w:w="0" w:type="auto"/>
            <w:shd w:val="clear" w:color="auto" w:fill="auto"/>
          </w:tcPr>
          <w:p w14:paraId="0D8E01A5" w14:textId="77777777" w:rsidR="004C2197" w:rsidRDefault="004C2197">
            <w:pPr>
              <w:rPr>
                <w:rFonts w:ascii="宋体"/>
              </w:rPr>
            </w:pPr>
          </w:p>
        </w:tc>
        <w:tc>
          <w:tcPr>
            <w:tcW w:w="0" w:type="auto"/>
            <w:shd w:val="clear" w:color="auto" w:fill="auto"/>
          </w:tcPr>
          <w:p w14:paraId="0D8E01A6" w14:textId="77777777" w:rsidR="004C2197" w:rsidRDefault="004C2197">
            <w:pPr>
              <w:rPr>
                <w:rFonts w:ascii="宋体"/>
              </w:rPr>
            </w:pPr>
          </w:p>
        </w:tc>
        <w:tc>
          <w:tcPr>
            <w:tcW w:w="0" w:type="auto"/>
            <w:shd w:val="clear" w:color="auto" w:fill="auto"/>
          </w:tcPr>
          <w:p w14:paraId="0D8E01A7" w14:textId="77777777" w:rsidR="004C2197" w:rsidRDefault="004C2197">
            <w:pPr>
              <w:rPr>
                <w:rFonts w:ascii="宋体"/>
              </w:rPr>
            </w:pPr>
          </w:p>
        </w:tc>
        <w:tc>
          <w:tcPr>
            <w:tcW w:w="0" w:type="auto"/>
            <w:shd w:val="clear" w:color="auto" w:fill="auto"/>
          </w:tcPr>
          <w:p w14:paraId="0D8E01A8" w14:textId="77777777" w:rsidR="004C2197" w:rsidRDefault="004C2197">
            <w:pPr>
              <w:rPr>
                <w:rFonts w:ascii="宋体"/>
              </w:rPr>
            </w:pPr>
          </w:p>
        </w:tc>
        <w:tc>
          <w:tcPr>
            <w:tcW w:w="0" w:type="auto"/>
            <w:shd w:val="clear" w:color="auto" w:fill="auto"/>
          </w:tcPr>
          <w:p w14:paraId="0D8E01A9" w14:textId="77777777" w:rsidR="004C2197" w:rsidRDefault="004C2197">
            <w:pPr>
              <w:rPr>
                <w:rFonts w:ascii="宋体"/>
              </w:rPr>
            </w:pPr>
          </w:p>
        </w:tc>
        <w:tc>
          <w:tcPr>
            <w:tcW w:w="0" w:type="auto"/>
            <w:shd w:val="clear" w:color="auto" w:fill="auto"/>
          </w:tcPr>
          <w:p w14:paraId="0D8E01AA" w14:textId="77777777" w:rsidR="004C2197" w:rsidRDefault="004C2197">
            <w:pPr>
              <w:rPr>
                <w:rFonts w:ascii="宋体"/>
              </w:rPr>
            </w:pPr>
          </w:p>
        </w:tc>
        <w:tc>
          <w:tcPr>
            <w:tcW w:w="0" w:type="auto"/>
            <w:shd w:val="clear" w:color="auto" w:fill="auto"/>
          </w:tcPr>
          <w:p w14:paraId="0D8E01AB" w14:textId="77777777" w:rsidR="004C2197" w:rsidRDefault="004C2197">
            <w:pPr>
              <w:rPr>
                <w:rFonts w:ascii="宋体"/>
              </w:rPr>
            </w:pPr>
          </w:p>
        </w:tc>
      </w:tr>
      <w:tr w:rsidR="004C2197" w14:paraId="0D8E01C7" w14:textId="77777777">
        <w:trPr>
          <w:jc w:val="center"/>
          <w:hidden/>
        </w:trPr>
        <w:tc>
          <w:tcPr>
            <w:tcW w:w="0" w:type="auto"/>
            <w:gridSpan w:val="3"/>
            <w:shd w:val="clear" w:color="auto" w:fill="auto"/>
          </w:tcPr>
          <w:p w14:paraId="0D8E01AD" w14:textId="77777777" w:rsidR="004C2197" w:rsidRDefault="004C2197">
            <w:pPr>
              <w:rPr>
                <w:rFonts w:ascii="宋体"/>
                <w:vanish/>
              </w:rPr>
            </w:pPr>
          </w:p>
        </w:tc>
        <w:tc>
          <w:tcPr>
            <w:tcW w:w="0" w:type="auto"/>
            <w:gridSpan w:val="3"/>
            <w:shd w:val="clear" w:color="auto" w:fill="auto"/>
          </w:tcPr>
          <w:p w14:paraId="0D8E01AE" w14:textId="77777777" w:rsidR="004C2197" w:rsidRDefault="004C2197">
            <w:pPr>
              <w:rPr>
                <w:rFonts w:ascii="宋体"/>
                <w:vanish/>
              </w:rPr>
            </w:pPr>
          </w:p>
        </w:tc>
        <w:tc>
          <w:tcPr>
            <w:tcW w:w="0" w:type="auto"/>
            <w:gridSpan w:val="3"/>
            <w:shd w:val="clear" w:color="auto" w:fill="auto"/>
          </w:tcPr>
          <w:p w14:paraId="0D8E01AF" w14:textId="77777777" w:rsidR="004C2197" w:rsidRDefault="004C2197">
            <w:pPr>
              <w:rPr>
                <w:rFonts w:ascii="宋体"/>
                <w:vanish/>
              </w:rPr>
            </w:pPr>
          </w:p>
        </w:tc>
        <w:tc>
          <w:tcPr>
            <w:tcW w:w="0" w:type="auto"/>
            <w:gridSpan w:val="3"/>
            <w:shd w:val="clear" w:color="auto" w:fill="auto"/>
          </w:tcPr>
          <w:p w14:paraId="0D8E01B0" w14:textId="77777777" w:rsidR="004C2197" w:rsidRDefault="004C2197">
            <w:pPr>
              <w:rPr>
                <w:rFonts w:ascii="宋体"/>
                <w:vanish/>
              </w:rPr>
            </w:pPr>
          </w:p>
        </w:tc>
        <w:tc>
          <w:tcPr>
            <w:tcW w:w="0" w:type="auto"/>
            <w:gridSpan w:val="3"/>
            <w:shd w:val="clear" w:color="auto" w:fill="auto"/>
          </w:tcPr>
          <w:p w14:paraId="0D8E01B1" w14:textId="77777777" w:rsidR="004C2197" w:rsidRDefault="004C2197">
            <w:pPr>
              <w:rPr>
                <w:rFonts w:ascii="宋体"/>
                <w:vanish/>
              </w:rPr>
            </w:pPr>
          </w:p>
        </w:tc>
        <w:tc>
          <w:tcPr>
            <w:tcW w:w="0" w:type="auto"/>
            <w:gridSpan w:val="3"/>
            <w:shd w:val="clear" w:color="auto" w:fill="auto"/>
          </w:tcPr>
          <w:p w14:paraId="0D8E01B2" w14:textId="77777777" w:rsidR="004C2197" w:rsidRDefault="004C2197">
            <w:pPr>
              <w:rPr>
                <w:rFonts w:ascii="宋体"/>
                <w:vanish/>
              </w:rPr>
            </w:pPr>
          </w:p>
        </w:tc>
        <w:tc>
          <w:tcPr>
            <w:tcW w:w="0" w:type="auto"/>
            <w:gridSpan w:val="3"/>
            <w:shd w:val="clear" w:color="auto" w:fill="auto"/>
          </w:tcPr>
          <w:p w14:paraId="0D8E01B3" w14:textId="77777777" w:rsidR="004C2197" w:rsidRDefault="004C2197">
            <w:pPr>
              <w:rPr>
                <w:rFonts w:ascii="宋体"/>
                <w:vanish/>
              </w:rPr>
            </w:pPr>
          </w:p>
        </w:tc>
        <w:tc>
          <w:tcPr>
            <w:tcW w:w="0" w:type="auto"/>
            <w:gridSpan w:val="3"/>
            <w:shd w:val="clear" w:color="auto" w:fill="auto"/>
          </w:tcPr>
          <w:p w14:paraId="0D8E01B4" w14:textId="77777777" w:rsidR="004C2197" w:rsidRDefault="004C2197">
            <w:pPr>
              <w:rPr>
                <w:rFonts w:ascii="宋体"/>
                <w:vanish/>
              </w:rPr>
            </w:pPr>
          </w:p>
        </w:tc>
        <w:tc>
          <w:tcPr>
            <w:tcW w:w="0" w:type="auto"/>
            <w:shd w:val="clear" w:color="auto" w:fill="auto"/>
          </w:tcPr>
          <w:p w14:paraId="0D8E01B5" w14:textId="77777777" w:rsidR="004C2197" w:rsidRDefault="004C2197">
            <w:pPr>
              <w:rPr>
                <w:rFonts w:ascii="宋体"/>
              </w:rPr>
            </w:pPr>
          </w:p>
        </w:tc>
        <w:tc>
          <w:tcPr>
            <w:tcW w:w="0" w:type="auto"/>
            <w:shd w:val="clear" w:color="auto" w:fill="auto"/>
          </w:tcPr>
          <w:p w14:paraId="0D8E01B6" w14:textId="77777777" w:rsidR="004C2197" w:rsidRDefault="004C2197">
            <w:pPr>
              <w:rPr>
                <w:rFonts w:ascii="宋体"/>
              </w:rPr>
            </w:pPr>
          </w:p>
        </w:tc>
        <w:tc>
          <w:tcPr>
            <w:tcW w:w="0" w:type="auto"/>
            <w:shd w:val="clear" w:color="auto" w:fill="auto"/>
          </w:tcPr>
          <w:p w14:paraId="0D8E01B7" w14:textId="77777777" w:rsidR="004C2197" w:rsidRDefault="004C2197">
            <w:pPr>
              <w:rPr>
                <w:rFonts w:ascii="宋体"/>
              </w:rPr>
            </w:pPr>
          </w:p>
        </w:tc>
        <w:tc>
          <w:tcPr>
            <w:tcW w:w="0" w:type="auto"/>
            <w:shd w:val="clear" w:color="auto" w:fill="auto"/>
          </w:tcPr>
          <w:p w14:paraId="0D8E01B8" w14:textId="77777777" w:rsidR="004C2197" w:rsidRDefault="004C2197">
            <w:pPr>
              <w:rPr>
                <w:rFonts w:ascii="宋体"/>
              </w:rPr>
            </w:pPr>
          </w:p>
        </w:tc>
        <w:tc>
          <w:tcPr>
            <w:tcW w:w="0" w:type="auto"/>
            <w:shd w:val="clear" w:color="auto" w:fill="auto"/>
          </w:tcPr>
          <w:p w14:paraId="0D8E01B9" w14:textId="77777777" w:rsidR="004C2197" w:rsidRDefault="004C2197">
            <w:pPr>
              <w:rPr>
                <w:rFonts w:ascii="宋体"/>
              </w:rPr>
            </w:pPr>
          </w:p>
        </w:tc>
        <w:tc>
          <w:tcPr>
            <w:tcW w:w="0" w:type="auto"/>
            <w:shd w:val="clear" w:color="auto" w:fill="auto"/>
          </w:tcPr>
          <w:p w14:paraId="0D8E01BA" w14:textId="77777777" w:rsidR="004C2197" w:rsidRDefault="004C2197">
            <w:pPr>
              <w:rPr>
                <w:rFonts w:ascii="宋体"/>
              </w:rPr>
            </w:pPr>
          </w:p>
        </w:tc>
        <w:tc>
          <w:tcPr>
            <w:tcW w:w="0" w:type="auto"/>
            <w:shd w:val="clear" w:color="auto" w:fill="auto"/>
          </w:tcPr>
          <w:p w14:paraId="0D8E01BB" w14:textId="77777777" w:rsidR="004C2197" w:rsidRDefault="004C2197">
            <w:pPr>
              <w:rPr>
                <w:rFonts w:ascii="宋体"/>
              </w:rPr>
            </w:pPr>
          </w:p>
        </w:tc>
        <w:tc>
          <w:tcPr>
            <w:tcW w:w="0" w:type="auto"/>
            <w:shd w:val="clear" w:color="auto" w:fill="auto"/>
          </w:tcPr>
          <w:p w14:paraId="0D8E01BC" w14:textId="77777777" w:rsidR="004C2197" w:rsidRDefault="004C2197">
            <w:pPr>
              <w:rPr>
                <w:rFonts w:ascii="宋体"/>
              </w:rPr>
            </w:pPr>
          </w:p>
        </w:tc>
        <w:tc>
          <w:tcPr>
            <w:tcW w:w="0" w:type="auto"/>
            <w:shd w:val="clear" w:color="auto" w:fill="auto"/>
          </w:tcPr>
          <w:p w14:paraId="0D8E01BD" w14:textId="77777777" w:rsidR="004C2197" w:rsidRDefault="004C2197">
            <w:pPr>
              <w:rPr>
                <w:rFonts w:ascii="宋体"/>
              </w:rPr>
            </w:pPr>
          </w:p>
        </w:tc>
        <w:tc>
          <w:tcPr>
            <w:tcW w:w="0" w:type="auto"/>
            <w:shd w:val="clear" w:color="auto" w:fill="auto"/>
          </w:tcPr>
          <w:p w14:paraId="0D8E01BE" w14:textId="77777777" w:rsidR="004C2197" w:rsidRDefault="004C2197">
            <w:pPr>
              <w:rPr>
                <w:rFonts w:ascii="宋体"/>
              </w:rPr>
            </w:pPr>
          </w:p>
        </w:tc>
        <w:tc>
          <w:tcPr>
            <w:tcW w:w="0" w:type="auto"/>
            <w:shd w:val="clear" w:color="auto" w:fill="auto"/>
          </w:tcPr>
          <w:p w14:paraId="0D8E01BF" w14:textId="77777777" w:rsidR="004C2197" w:rsidRDefault="004C2197">
            <w:pPr>
              <w:rPr>
                <w:rFonts w:ascii="宋体"/>
              </w:rPr>
            </w:pPr>
          </w:p>
        </w:tc>
        <w:tc>
          <w:tcPr>
            <w:tcW w:w="0" w:type="auto"/>
            <w:shd w:val="clear" w:color="auto" w:fill="auto"/>
          </w:tcPr>
          <w:p w14:paraId="0D8E01C0" w14:textId="77777777" w:rsidR="004C2197" w:rsidRDefault="004C2197">
            <w:pPr>
              <w:rPr>
                <w:rFonts w:ascii="宋体"/>
              </w:rPr>
            </w:pPr>
          </w:p>
        </w:tc>
        <w:tc>
          <w:tcPr>
            <w:tcW w:w="0" w:type="auto"/>
            <w:shd w:val="clear" w:color="auto" w:fill="auto"/>
          </w:tcPr>
          <w:p w14:paraId="0D8E01C1" w14:textId="77777777" w:rsidR="004C2197" w:rsidRDefault="004C2197">
            <w:pPr>
              <w:rPr>
                <w:rFonts w:ascii="宋体"/>
              </w:rPr>
            </w:pPr>
          </w:p>
        </w:tc>
        <w:tc>
          <w:tcPr>
            <w:tcW w:w="0" w:type="auto"/>
            <w:shd w:val="clear" w:color="auto" w:fill="auto"/>
          </w:tcPr>
          <w:p w14:paraId="0D8E01C2" w14:textId="77777777" w:rsidR="004C2197" w:rsidRDefault="004C2197">
            <w:pPr>
              <w:rPr>
                <w:rFonts w:ascii="宋体"/>
              </w:rPr>
            </w:pPr>
          </w:p>
        </w:tc>
        <w:tc>
          <w:tcPr>
            <w:tcW w:w="0" w:type="auto"/>
            <w:shd w:val="clear" w:color="auto" w:fill="auto"/>
          </w:tcPr>
          <w:p w14:paraId="0D8E01C3" w14:textId="77777777" w:rsidR="004C2197" w:rsidRDefault="004C2197">
            <w:pPr>
              <w:rPr>
                <w:rFonts w:ascii="宋体"/>
              </w:rPr>
            </w:pPr>
          </w:p>
        </w:tc>
        <w:tc>
          <w:tcPr>
            <w:tcW w:w="0" w:type="auto"/>
            <w:shd w:val="clear" w:color="auto" w:fill="auto"/>
          </w:tcPr>
          <w:p w14:paraId="0D8E01C4" w14:textId="77777777" w:rsidR="004C2197" w:rsidRDefault="004C2197">
            <w:pPr>
              <w:rPr>
                <w:rFonts w:ascii="宋体"/>
              </w:rPr>
            </w:pPr>
          </w:p>
        </w:tc>
        <w:tc>
          <w:tcPr>
            <w:tcW w:w="0" w:type="auto"/>
            <w:shd w:val="clear" w:color="auto" w:fill="auto"/>
          </w:tcPr>
          <w:p w14:paraId="0D8E01C5" w14:textId="77777777" w:rsidR="004C2197" w:rsidRDefault="004C2197">
            <w:pPr>
              <w:rPr>
                <w:rFonts w:ascii="宋体"/>
              </w:rPr>
            </w:pPr>
          </w:p>
        </w:tc>
        <w:tc>
          <w:tcPr>
            <w:tcW w:w="0" w:type="auto"/>
            <w:shd w:val="clear" w:color="auto" w:fill="auto"/>
          </w:tcPr>
          <w:p w14:paraId="0D8E01C6" w14:textId="77777777" w:rsidR="004C2197" w:rsidRDefault="004C2197">
            <w:pPr>
              <w:rPr>
                <w:rFonts w:ascii="宋体"/>
              </w:rPr>
            </w:pPr>
          </w:p>
        </w:tc>
      </w:tr>
      <w:tr w:rsidR="004C2197" w14:paraId="0D8E01EA" w14:textId="77777777">
        <w:trPr>
          <w:jc w:val="center"/>
        </w:trPr>
        <w:tc>
          <w:tcPr>
            <w:tcW w:w="0" w:type="auto"/>
            <w:gridSpan w:val="3"/>
            <w:shd w:val="clear" w:color="auto" w:fill="E2EFD9"/>
            <w:tcMar>
              <w:top w:w="40" w:type="dxa"/>
              <w:left w:w="20" w:type="dxa"/>
              <w:bottom w:w="40" w:type="dxa"/>
              <w:right w:w="20" w:type="dxa"/>
            </w:tcMar>
            <w:vAlign w:val="bottom"/>
          </w:tcPr>
          <w:p w14:paraId="0D8E01C8"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1C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1CA" w14:textId="77777777" w:rsidR="004C2197" w:rsidRDefault="00863B83">
            <w:pPr>
              <w:jc w:val="right"/>
              <w:textAlignment w:val="bottom"/>
            </w:pPr>
            <w:r>
              <w:rPr>
                <w:rFonts w:ascii="sans-serif" w:eastAsia="sans-serif" w:hAnsi="sans-serif" w:cs="sans-serif"/>
                <w:color w:val="000000"/>
                <w:sz w:val="20"/>
                <w:szCs w:val="20"/>
              </w:rPr>
              <w:t>(951)</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1C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CC"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1C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1CE" w14:textId="77777777" w:rsidR="004C2197" w:rsidRDefault="00863B83">
            <w:pPr>
              <w:jc w:val="right"/>
              <w:textAlignment w:val="bottom"/>
            </w:pPr>
            <w:r>
              <w:rPr>
                <w:rFonts w:ascii="sans-serif" w:eastAsia="sans-serif" w:hAnsi="sans-serif" w:cs="sans-serif"/>
                <w:color w:val="000000"/>
                <w:sz w:val="20"/>
                <w:szCs w:val="20"/>
              </w:rPr>
              <w:t>(300)</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1C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D0"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1D1"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1D2" w14:textId="77777777" w:rsidR="004C2197" w:rsidRDefault="00863B83">
            <w:pPr>
              <w:jc w:val="right"/>
              <w:textAlignment w:val="bottom"/>
            </w:pPr>
            <w:r>
              <w:rPr>
                <w:rFonts w:ascii="sans-serif" w:eastAsia="sans-serif" w:hAnsi="sans-serif" w:cs="sans-serif"/>
                <w:color w:val="000000"/>
                <w:sz w:val="20"/>
                <w:szCs w:val="20"/>
              </w:rPr>
              <w:t>(1,262)</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1D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1D4"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1D5"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1D6" w14:textId="77777777" w:rsidR="004C2197" w:rsidRDefault="00863B83">
            <w:pPr>
              <w:jc w:val="right"/>
              <w:textAlignment w:val="bottom"/>
            </w:pPr>
            <w:r>
              <w:rPr>
                <w:rFonts w:ascii="sans-serif" w:eastAsia="sans-serif" w:hAnsi="sans-serif" w:cs="sans-serif"/>
                <w:color w:val="000000"/>
                <w:sz w:val="20"/>
                <w:szCs w:val="20"/>
              </w:rPr>
              <w:t>(569)</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1D7" w14:textId="77777777" w:rsidR="004C2197" w:rsidRDefault="004C2197">
            <w:pPr>
              <w:jc w:val="right"/>
              <w:rPr>
                <w:rFonts w:ascii="宋体"/>
              </w:rPr>
            </w:pPr>
          </w:p>
        </w:tc>
        <w:tc>
          <w:tcPr>
            <w:tcW w:w="0" w:type="auto"/>
            <w:shd w:val="clear" w:color="auto" w:fill="auto"/>
          </w:tcPr>
          <w:p w14:paraId="0D8E01D8" w14:textId="77777777" w:rsidR="004C2197" w:rsidRDefault="004C2197">
            <w:pPr>
              <w:rPr>
                <w:rFonts w:ascii="宋体"/>
              </w:rPr>
            </w:pPr>
          </w:p>
        </w:tc>
        <w:tc>
          <w:tcPr>
            <w:tcW w:w="0" w:type="auto"/>
            <w:shd w:val="clear" w:color="auto" w:fill="auto"/>
          </w:tcPr>
          <w:p w14:paraId="0D8E01D9" w14:textId="77777777" w:rsidR="004C2197" w:rsidRDefault="004C2197">
            <w:pPr>
              <w:rPr>
                <w:rFonts w:ascii="宋体"/>
              </w:rPr>
            </w:pPr>
          </w:p>
        </w:tc>
        <w:tc>
          <w:tcPr>
            <w:tcW w:w="0" w:type="auto"/>
            <w:shd w:val="clear" w:color="auto" w:fill="auto"/>
          </w:tcPr>
          <w:p w14:paraId="0D8E01DA" w14:textId="77777777" w:rsidR="004C2197" w:rsidRDefault="004C2197">
            <w:pPr>
              <w:rPr>
                <w:rFonts w:ascii="宋体"/>
              </w:rPr>
            </w:pPr>
          </w:p>
        </w:tc>
        <w:tc>
          <w:tcPr>
            <w:tcW w:w="0" w:type="auto"/>
            <w:shd w:val="clear" w:color="auto" w:fill="auto"/>
          </w:tcPr>
          <w:p w14:paraId="0D8E01DB" w14:textId="77777777" w:rsidR="004C2197" w:rsidRDefault="004C2197">
            <w:pPr>
              <w:rPr>
                <w:rFonts w:ascii="宋体"/>
              </w:rPr>
            </w:pPr>
          </w:p>
        </w:tc>
        <w:tc>
          <w:tcPr>
            <w:tcW w:w="0" w:type="auto"/>
            <w:shd w:val="clear" w:color="auto" w:fill="auto"/>
          </w:tcPr>
          <w:p w14:paraId="0D8E01DC" w14:textId="77777777" w:rsidR="004C2197" w:rsidRDefault="004C2197">
            <w:pPr>
              <w:rPr>
                <w:rFonts w:ascii="宋体"/>
              </w:rPr>
            </w:pPr>
          </w:p>
        </w:tc>
        <w:tc>
          <w:tcPr>
            <w:tcW w:w="0" w:type="auto"/>
            <w:shd w:val="clear" w:color="auto" w:fill="auto"/>
          </w:tcPr>
          <w:p w14:paraId="0D8E01DD" w14:textId="77777777" w:rsidR="004C2197" w:rsidRDefault="004C2197">
            <w:pPr>
              <w:rPr>
                <w:rFonts w:ascii="宋体"/>
              </w:rPr>
            </w:pPr>
          </w:p>
        </w:tc>
        <w:tc>
          <w:tcPr>
            <w:tcW w:w="0" w:type="auto"/>
            <w:shd w:val="clear" w:color="auto" w:fill="auto"/>
          </w:tcPr>
          <w:p w14:paraId="0D8E01DE" w14:textId="77777777" w:rsidR="004C2197" w:rsidRDefault="004C2197">
            <w:pPr>
              <w:rPr>
                <w:rFonts w:ascii="宋体"/>
              </w:rPr>
            </w:pPr>
          </w:p>
        </w:tc>
        <w:tc>
          <w:tcPr>
            <w:tcW w:w="0" w:type="auto"/>
            <w:shd w:val="clear" w:color="auto" w:fill="auto"/>
          </w:tcPr>
          <w:p w14:paraId="0D8E01DF" w14:textId="77777777" w:rsidR="004C2197" w:rsidRDefault="004C2197">
            <w:pPr>
              <w:rPr>
                <w:rFonts w:ascii="宋体"/>
              </w:rPr>
            </w:pPr>
          </w:p>
        </w:tc>
        <w:tc>
          <w:tcPr>
            <w:tcW w:w="0" w:type="auto"/>
            <w:shd w:val="clear" w:color="auto" w:fill="auto"/>
          </w:tcPr>
          <w:p w14:paraId="0D8E01E0" w14:textId="77777777" w:rsidR="004C2197" w:rsidRDefault="004C2197">
            <w:pPr>
              <w:rPr>
                <w:rFonts w:ascii="宋体"/>
              </w:rPr>
            </w:pPr>
          </w:p>
        </w:tc>
        <w:tc>
          <w:tcPr>
            <w:tcW w:w="0" w:type="auto"/>
            <w:shd w:val="clear" w:color="auto" w:fill="auto"/>
          </w:tcPr>
          <w:p w14:paraId="0D8E01E1" w14:textId="77777777" w:rsidR="004C2197" w:rsidRDefault="004C2197">
            <w:pPr>
              <w:rPr>
                <w:rFonts w:ascii="宋体"/>
              </w:rPr>
            </w:pPr>
          </w:p>
        </w:tc>
        <w:tc>
          <w:tcPr>
            <w:tcW w:w="0" w:type="auto"/>
            <w:shd w:val="clear" w:color="auto" w:fill="auto"/>
          </w:tcPr>
          <w:p w14:paraId="0D8E01E2" w14:textId="77777777" w:rsidR="004C2197" w:rsidRDefault="004C2197">
            <w:pPr>
              <w:rPr>
                <w:rFonts w:ascii="宋体"/>
              </w:rPr>
            </w:pPr>
          </w:p>
        </w:tc>
        <w:tc>
          <w:tcPr>
            <w:tcW w:w="0" w:type="auto"/>
            <w:shd w:val="clear" w:color="auto" w:fill="auto"/>
          </w:tcPr>
          <w:p w14:paraId="0D8E01E3" w14:textId="77777777" w:rsidR="004C2197" w:rsidRDefault="004C2197">
            <w:pPr>
              <w:rPr>
                <w:rFonts w:ascii="宋体"/>
              </w:rPr>
            </w:pPr>
          </w:p>
        </w:tc>
        <w:tc>
          <w:tcPr>
            <w:tcW w:w="0" w:type="auto"/>
            <w:shd w:val="clear" w:color="auto" w:fill="auto"/>
          </w:tcPr>
          <w:p w14:paraId="0D8E01E4" w14:textId="77777777" w:rsidR="004C2197" w:rsidRDefault="004C2197">
            <w:pPr>
              <w:rPr>
                <w:rFonts w:ascii="宋体"/>
              </w:rPr>
            </w:pPr>
          </w:p>
        </w:tc>
        <w:tc>
          <w:tcPr>
            <w:tcW w:w="0" w:type="auto"/>
            <w:shd w:val="clear" w:color="auto" w:fill="auto"/>
          </w:tcPr>
          <w:p w14:paraId="0D8E01E5" w14:textId="77777777" w:rsidR="004C2197" w:rsidRDefault="004C2197">
            <w:pPr>
              <w:rPr>
                <w:rFonts w:ascii="宋体"/>
              </w:rPr>
            </w:pPr>
          </w:p>
        </w:tc>
        <w:tc>
          <w:tcPr>
            <w:tcW w:w="0" w:type="auto"/>
            <w:shd w:val="clear" w:color="auto" w:fill="auto"/>
          </w:tcPr>
          <w:p w14:paraId="0D8E01E6" w14:textId="77777777" w:rsidR="004C2197" w:rsidRDefault="004C2197">
            <w:pPr>
              <w:rPr>
                <w:rFonts w:ascii="宋体"/>
              </w:rPr>
            </w:pPr>
          </w:p>
        </w:tc>
        <w:tc>
          <w:tcPr>
            <w:tcW w:w="0" w:type="auto"/>
            <w:shd w:val="clear" w:color="auto" w:fill="auto"/>
          </w:tcPr>
          <w:p w14:paraId="0D8E01E7" w14:textId="77777777" w:rsidR="004C2197" w:rsidRDefault="004C2197">
            <w:pPr>
              <w:rPr>
                <w:rFonts w:ascii="宋体"/>
              </w:rPr>
            </w:pPr>
          </w:p>
        </w:tc>
        <w:tc>
          <w:tcPr>
            <w:tcW w:w="0" w:type="auto"/>
            <w:shd w:val="clear" w:color="auto" w:fill="auto"/>
          </w:tcPr>
          <w:p w14:paraId="0D8E01E8" w14:textId="77777777" w:rsidR="004C2197" w:rsidRDefault="004C2197">
            <w:pPr>
              <w:rPr>
                <w:rFonts w:ascii="宋体"/>
              </w:rPr>
            </w:pPr>
          </w:p>
        </w:tc>
        <w:tc>
          <w:tcPr>
            <w:tcW w:w="0" w:type="auto"/>
            <w:shd w:val="clear" w:color="auto" w:fill="auto"/>
          </w:tcPr>
          <w:p w14:paraId="0D8E01E9" w14:textId="77777777" w:rsidR="004C2197" w:rsidRDefault="004C2197">
            <w:pPr>
              <w:rPr>
                <w:rFonts w:ascii="宋体"/>
              </w:rPr>
            </w:pPr>
          </w:p>
        </w:tc>
      </w:tr>
    </w:tbl>
    <w:p w14:paraId="0D8E01EB" w14:textId="77777777" w:rsidR="004C2197" w:rsidRDefault="004C2197">
      <w:pPr>
        <w:spacing w:before="360" w:after="360"/>
        <w:jc w:val="both"/>
      </w:pPr>
    </w:p>
    <w:p w14:paraId="0D8E01EC" w14:textId="77777777" w:rsidR="004C2197" w:rsidRDefault="00863B83">
      <w:pPr>
        <w:spacing w:after="180"/>
        <w:jc w:val="center"/>
      </w:pPr>
      <w:r>
        <w:rPr>
          <w:rFonts w:ascii="sans-serif" w:eastAsia="sans-serif" w:hAnsi="sans-serif" w:cs="sans-serif"/>
          <w:color w:val="000000"/>
          <w:sz w:val="20"/>
          <w:szCs w:val="20"/>
        </w:rPr>
        <w:t>24</w:t>
      </w:r>
    </w:p>
    <w:p w14:paraId="0D8E01ED" w14:textId="77777777" w:rsidR="004C2197" w:rsidRDefault="00863B83">
      <w:r>
        <w:pict w14:anchorId="0D8E0CBC">
          <v:rect id="_x0000_i1048" style="width:415.3pt;height:1.5pt" o:hralign="center" o:hrstd="t" o:hr="t" fillcolor="#a0a0a0" stroked="f"/>
        </w:pict>
      </w:r>
    </w:p>
    <w:p w14:paraId="0D8E01EE" w14:textId="77777777" w:rsidR="004C2197" w:rsidRDefault="00863B83">
      <w:pPr>
        <w:jc w:val="center"/>
      </w:pPr>
      <w:r>
        <w:rPr>
          <w:rFonts w:ascii="sans-serif" w:eastAsia="sans-serif" w:hAnsi="sans-serif" w:cs="sans-serif"/>
          <w:b/>
          <w:bCs/>
          <w:color w:val="000000"/>
          <w:sz w:val="20"/>
          <w:szCs w:val="20"/>
        </w:rPr>
        <w:t>NVIDIA CORPORATION AND SUBSIDIARIES</w:t>
      </w:r>
    </w:p>
    <w:p w14:paraId="0D8E01EF" w14:textId="77777777" w:rsidR="004C2197" w:rsidRDefault="00863B83">
      <w:pPr>
        <w:jc w:val="center"/>
      </w:pPr>
      <w:r>
        <w:rPr>
          <w:rFonts w:ascii="sans-serif" w:eastAsia="sans-serif" w:hAnsi="sans-serif" w:cs="sans-serif"/>
          <w:b/>
          <w:bCs/>
          <w:color w:val="000000"/>
          <w:sz w:val="20"/>
          <w:szCs w:val="20"/>
        </w:rPr>
        <w:t>NOTES TO CONDENSED CON</w:t>
      </w:r>
      <w:r>
        <w:rPr>
          <w:rFonts w:ascii="sans-serif" w:eastAsia="sans-serif" w:hAnsi="sans-serif" w:cs="sans-serif"/>
          <w:b/>
          <w:bCs/>
          <w:color w:val="000000"/>
          <w:sz w:val="20"/>
          <w:szCs w:val="20"/>
        </w:rPr>
        <w:t>SOLIDATED FINANCIAL STATEMENTS (Continued)</w:t>
      </w:r>
    </w:p>
    <w:p w14:paraId="0D8E01F0" w14:textId="77777777" w:rsidR="004C2197" w:rsidRDefault="00863B83">
      <w:pPr>
        <w:jc w:val="center"/>
      </w:pPr>
      <w:r>
        <w:rPr>
          <w:rFonts w:ascii="sans-serif" w:eastAsia="sans-serif" w:hAnsi="sans-serif" w:cs="sans-serif"/>
          <w:b/>
          <w:bCs/>
          <w:color w:val="000000"/>
          <w:sz w:val="20"/>
          <w:szCs w:val="20"/>
        </w:rPr>
        <w:t>(Unaudited)</w:t>
      </w:r>
    </w:p>
    <w:p w14:paraId="0D8E01F1" w14:textId="77777777" w:rsidR="004C2197" w:rsidRDefault="004C2197">
      <w:pPr>
        <w:spacing w:after="180"/>
        <w:jc w:val="both"/>
      </w:pPr>
    </w:p>
    <w:p w14:paraId="0D8E01F2" w14:textId="77777777" w:rsidR="004C2197" w:rsidRDefault="004C2197">
      <w:pPr>
        <w:spacing w:after="180"/>
        <w:jc w:val="both"/>
      </w:pPr>
    </w:p>
    <w:p w14:paraId="0D8E01F3" w14:textId="77777777" w:rsidR="004C2197" w:rsidRDefault="00863B83">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w:t>
      </w:r>
      <w:r>
        <w:rPr>
          <w:rFonts w:ascii="sans-serif" w:eastAsia="sans-serif" w:hAnsi="sans-serif" w:cs="sans-serif"/>
          <w:color w:val="000000"/>
          <w:sz w:val="20"/>
          <w:szCs w:val="20"/>
        </w:rPr>
        <w:t xml:space="preserve"> are located in a different location. The following table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254"/>
        <w:gridCol w:w="37"/>
        <w:gridCol w:w="137"/>
        <w:gridCol w:w="875"/>
        <w:gridCol w:w="41"/>
        <w:gridCol w:w="36"/>
        <w:gridCol w:w="36"/>
        <w:gridCol w:w="36"/>
        <w:gridCol w:w="137"/>
        <w:gridCol w:w="815"/>
        <w:gridCol w:w="41"/>
        <w:gridCol w:w="36"/>
        <w:gridCol w:w="36"/>
        <w:gridCol w:w="36"/>
        <w:gridCol w:w="137"/>
        <w:gridCol w:w="815"/>
        <w:gridCol w:w="41"/>
        <w:gridCol w:w="36"/>
        <w:gridCol w:w="36"/>
        <w:gridCol w:w="36"/>
        <w:gridCol w:w="137"/>
        <w:gridCol w:w="81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E020C" w14:textId="77777777">
        <w:trPr>
          <w:gridAfter w:val="18"/>
        </w:trPr>
        <w:tc>
          <w:tcPr>
            <w:tcW w:w="50" w:type="pct"/>
            <w:shd w:val="clear" w:color="auto" w:fill="auto"/>
          </w:tcPr>
          <w:p w14:paraId="0D8E01F4" w14:textId="77777777" w:rsidR="004C2197" w:rsidRDefault="004C2197">
            <w:pPr>
              <w:rPr>
                <w:rFonts w:ascii="宋体"/>
              </w:rPr>
            </w:pPr>
          </w:p>
        </w:tc>
        <w:tc>
          <w:tcPr>
            <w:tcW w:w="2174" w:type="pct"/>
            <w:shd w:val="clear" w:color="auto" w:fill="auto"/>
          </w:tcPr>
          <w:p w14:paraId="0D8E01F5" w14:textId="77777777" w:rsidR="004C2197" w:rsidRDefault="004C2197">
            <w:pPr>
              <w:rPr>
                <w:rFonts w:ascii="宋体"/>
              </w:rPr>
            </w:pPr>
          </w:p>
        </w:tc>
        <w:tc>
          <w:tcPr>
            <w:tcW w:w="5" w:type="pct"/>
            <w:shd w:val="clear" w:color="auto" w:fill="auto"/>
          </w:tcPr>
          <w:p w14:paraId="0D8E01F6" w14:textId="77777777" w:rsidR="004C2197" w:rsidRDefault="004C2197">
            <w:pPr>
              <w:rPr>
                <w:rFonts w:ascii="宋体"/>
              </w:rPr>
            </w:pPr>
          </w:p>
        </w:tc>
        <w:tc>
          <w:tcPr>
            <w:tcW w:w="50" w:type="pct"/>
            <w:shd w:val="clear" w:color="auto" w:fill="auto"/>
          </w:tcPr>
          <w:p w14:paraId="0D8E01F7" w14:textId="77777777" w:rsidR="004C2197" w:rsidRDefault="004C2197">
            <w:pPr>
              <w:rPr>
                <w:rFonts w:ascii="宋体"/>
              </w:rPr>
            </w:pPr>
          </w:p>
        </w:tc>
        <w:tc>
          <w:tcPr>
            <w:tcW w:w="610" w:type="pct"/>
            <w:shd w:val="clear" w:color="auto" w:fill="auto"/>
          </w:tcPr>
          <w:p w14:paraId="0D8E01F8" w14:textId="77777777" w:rsidR="004C2197" w:rsidRDefault="004C2197">
            <w:pPr>
              <w:rPr>
                <w:rFonts w:ascii="宋体"/>
              </w:rPr>
            </w:pPr>
          </w:p>
        </w:tc>
        <w:tc>
          <w:tcPr>
            <w:tcW w:w="5" w:type="pct"/>
            <w:shd w:val="clear" w:color="auto" w:fill="auto"/>
          </w:tcPr>
          <w:p w14:paraId="0D8E01F9" w14:textId="77777777" w:rsidR="004C2197" w:rsidRDefault="004C2197">
            <w:pPr>
              <w:rPr>
                <w:rFonts w:ascii="宋体"/>
              </w:rPr>
            </w:pPr>
          </w:p>
        </w:tc>
        <w:tc>
          <w:tcPr>
            <w:tcW w:w="5" w:type="pct"/>
            <w:shd w:val="clear" w:color="auto" w:fill="auto"/>
          </w:tcPr>
          <w:p w14:paraId="0D8E01FA" w14:textId="77777777" w:rsidR="004C2197" w:rsidRDefault="004C2197">
            <w:pPr>
              <w:rPr>
                <w:rFonts w:ascii="宋体"/>
              </w:rPr>
            </w:pPr>
          </w:p>
        </w:tc>
        <w:tc>
          <w:tcPr>
            <w:tcW w:w="26" w:type="pct"/>
            <w:shd w:val="clear" w:color="auto" w:fill="auto"/>
          </w:tcPr>
          <w:p w14:paraId="0D8E01FB" w14:textId="77777777" w:rsidR="004C2197" w:rsidRDefault="004C2197">
            <w:pPr>
              <w:rPr>
                <w:rFonts w:ascii="宋体"/>
              </w:rPr>
            </w:pPr>
          </w:p>
        </w:tc>
        <w:tc>
          <w:tcPr>
            <w:tcW w:w="5" w:type="pct"/>
            <w:shd w:val="clear" w:color="auto" w:fill="auto"/>
          </w:tcPr>
          <w:p w14:paraId="0D8E01FC" w14:textId="77777777" w:rsidR="004C2197" w:rsidRDefault="004C2197">
            <w:pPr>
              <w:rPr>
                <w:rFonts w:ascii="宋体"/>
              </w:rPr>
            </w:pPr>
          </w:p>
        </w:tc>
        <w:tc>
          <w:tcPr>
            <w:tcW w:w="50" w:type="pct"/>
            <w:shd w:val="clear" w:color="auto" w:fill="auto"/>
          </w:tcPr>
          <w:p w14:paraId="0D8E01FD" w14:textId="77777777" w:rsidR="004C2197" w:rsidRDefault="004C2197">
            <w:pPr>
              <w:rPr>
                <w:rFonts w:ascii="宋体"/>
              </w:rPr>
            </w:pPr>
          </w:p>
        </w:tc>
        <w:tc>
          <w:tcPr>
            <w:tcW w:w="610" w:type="pct"/>
            <w:shd w:val="clear" w:color="auto" w:fill="auto"/>
          </w:tcPr>
          <w:p w14:paraId="0D8E01FE" w14:textId="77777777" w:rsidR="004C2197" w:rsidRDefault="004C2197">
            <w:pPr>
              <w:rPr>
                <w:rFonts w:ascii="宋体"/>
              </w:rPr>
            </w:pPr>
          </w:p>
        </w:tc>
        <w:tc>
          <w:tcPr>
            <w:tcW w:w="5" w:type="pct"/>
            <w:shd w:val="clear" w:color="auto" w:fill="auto"/>
          </w:tcPr>
          <w:p w14:paraId="0D8E01FF" w14:textId="77777777" w:rsidR="004C2197" w:rsidRDefault="004C2197">
            <w:pPr>
              <w:rPr>
                <w:rFonts w:ascii="宋体"/>
              </w:rPr>
            </w:pPr>
          </w:p>
        </w:tc>
        <w:tc>
          <w:tcPr>
            <w:tcW w:w="5" w:type="pct"/>
            <w:shd w:val="clear" w:color="auto" w:fill="auto"/>
          </w:tcPr>
          <w:p w14:paraId="0D8E0200" w14:textId="77777777" w:rsidR="004C2197" w:rsidRDefault="004C2197">
            <w:pPr>
              <w:rPr>
                <w:rFonts w:ascii="宋体"/>
              </w:rPr>
            </w:pPr>
          </w:p>
        </w:tc>
        <w:tc>
          <w:tcPr>
            <w:tcW w:w="26" w:type="pct"/>
            <w:shd w:val="clear" w:color="auto" w:fill="auto"/>
          </w:tcPr>
          <w:p w14:paraId="0D8E0201" w14:textId="77777777" w:rsidR="004C2197" w:rsidRDefault="004C2197">
            <w:pPr>
              <w:rPr>
                <w:rFonts w:ascii="宋体"/>
              </w:rPr>
            </w:pPr>
          </w:p>
        </w:tc>
        <w:tc>
          <w:tcPr>
            <w:tcW w:w="5" w:type="pct"/>
            <w:shd w:val="clear" w:color="auto" w:fill="auto"/>
          </w:tcPr>
          <w:p w14:paraId="0D8E0202" w14:textId="77777777" w:rsidR="004C2197" w:rsidRDefault="004C2197">
            <w:pPr>
              <w:rPr>
                <w:rFonts w:ascii="宋体"/>
              </w:rPr>
            </w:pPr>
          </w:p>
        </w:tc>
        <w:tc>
          <w:tcPr>
            <w:tcW w:w="50" w:type="pct"/>
            <w:shd w:val="clear" w:color="auto" w:fill="auto"/>
          </w:tcPr>
          <w:p w14:paraId="0D8E0203" w14:textId="77777777" w:rsidR="004C2197" w:rsidRDefault="004C2197">
            <w:pPr>
              <w:rPr>
                <w:rFonts w:ascii="宋体"/>
              </w:rPr>
            </w:pPr>
          </w:p>
        </w:tc>
        <w:tc>
          <w:tcPr>
            <w:tcW w:w="610" w:type="pct"/>
            <w:shd w:val="clear" w:color="auto" w:fill="auto"/>
          </w:tcPr>
          <w:p w14:paraId="0D8E0204" w14:textId="77777777" w:rsidR="004C2197" w:rsidRDefault="004C2197">
            <w:pPr>
              <w:rPr>
                <w:rFonts w:ascii="宋体"/>
              </w:rPr>
            </w:pPr>
          </w:p>
        </w:tc>
        <w:tc>
          <w:tcPr>
            <w:tcW w:w="5" w:type="pct"/>
            <w:shd w:val="clear" w:color="auto" w:fill="auto"/>
          </w:tcPr>
          <w:p w14:paraId="0D8E0205" w14:textId="77777777" w:rsidR="004C2197" w:rsidRDefault="004C2197">
            <w:pPr>
              <w:rPr>
                <w:rFonts w:ascii="宋体"/>
              </w:rPr>
            </w:pPr>
          </w:p>
        </w:tc>
        <w:tc>
          <w:tcPr>
            <w:tcW w:w="5" w:type="pct"/>
            <w:shd w:val="clear" w:color="auto" w:fill="auto"/>
          </w:tcPr>
          <w:p w14:paraId="0D8E0206" w14:textId="77777777" w:rsidR="004C2197" w:rsidRDefault="004C2197">
            <w:pPr>
              <w:rPr>
                <w:rFonts w:ascii="宋体"/>
              </w:rPr>
            </w:pPr>
          </w:p>
        </w:tc>
        <w:tc>
          <w:tcPr>
            <w:tcW w:w="26" w:type="pct"/>
            <w:shd w:val="clear" w:color="auto" w:fill="auto"/>
          </w:tcPr>
          <w:p w14:paraId="0D8E0207" w14:textId="77777777" w:rsidR="004C2197" w:rsidRDefault="004C2197">
            <w:pPr>
              <w:rPr>
                <w:rFonts w:ascii="宋体"/>
              </w:rPr>
            </w:pPr>
          </w:p>
        </w:tc>
        <w:tc>
          <w:tcPr>
            <w:tcW w:w="5" w:type="pct"/>
            <w:shd w:val="clear" w:color="auto" w:fill="auto"/>
          </w:tcPr>
          <w:p w14:paraId="0D8E0208" w14:textId="77777777" w:rsidR="004C2197" w:rsidRDefault="004C2197">
            <w:pPr>
              <w:rPr>
                <w:rFonts w:ascii="宋体"/>
              </w:rPr>
            </w:pPr>
          </w:p>
        </w:tc>
        <w:tc>
          <w:tcPr>
            <w:tcW w:w="50" w:type="pct"/>
            <w:shd w:val="clear" w:color="auto" w:fill="auto"/>
          </w:tcPr>
          <w:p w14:paraId="0D8E0209" w14:textId="77777777" w:rsidR="004C2197" w:rsidRDefault="004C2197">
            <w:pPr>
              <w:rPr>
                <w:rFonts w:ascii="宋体"/>
              </w:rPr>
            </w:pPr>
          </w:p>
        </w:tc>
        <w:tc>
          <w:tcPr>
            <w:tcW w:w="610" w:type="pct"/>
            <w:shd w:val="clear" w:color="auto" w:fill="auto"/>
          </w:tcPr>
          <w:p w14:paraId="0D8E020A" w14:textId="77777777" w:rsidR="004C2197" w:rsidRDefault="004C2197">
            <w:pPr>
              <w:rPr>
                <w:rFonts w:ascii="宋体"/>
              </w:rPr>
            </w:pPr>
          </w:p>
        </w:tc>
        <w:tc>
          <w:tcPr>
            <w:tcW w:w="5" w:type="pct"/>
            <w:shd w:val="clear" w:color="auto" w:fill="auto"/>
          </w:tcPr>
          <w:p w14:paraId="0D8E020B" w14:textId="77777777" w:rsidR="004C2197" w:rsidRDefault="004C2197">
            <w:pPr>
              <w:rPr>
                <w:rFonts w:ascii="宋体"/>
              </w:rPr>
            </w:pPr>
          </w:p>
        </w:tc>
      </w:tr>
      <w:tr w:rsidR="004C2197" w14:paraId="0D8E0215" w14:textId="77777777">
        <w:trPr>
          <w:gridAfter w:val="6"/>
        </w:trPr>
        <w:tc>
          <w:tcPr>
            <w:tcW w:w="0" w:type="auto"/>
            <w:gridSpan w:val="3"/>
            <w:shd w:val="clear" w:color="auto" w:fill="auto"/>
            <w:tcMar>
              <w:top w:w="40" w:type="dxa"/>
              <w:left w:w="20" w:type="dxa"/>
              <w:bottom w:w="40" w:type="dxa"/>
              <w:right w:w="20" w:type="dxa"/>
            </w:tcMar>
            <w:vAlign w:val="bottom"/>
          </w:tcPr>
          <w:p w14:paraId="0D8E020D"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20E"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20F" w14:textId="77777777" w:rsidR="004C2197" w:rsidRDefault="004C2197">
            <w:pPr>
              <w:rPr>
                <w:rFonts w:ascii="宋体"/>
                <w:vanish/>
              </w:rPr>
            </w:pPr>
          </w:p>
        </w:tc>
        <w:tc>
          <w:tcPr>
            <w:tcW w:w="0" w:type="auto"/>
            <w:gridSpan w:val="3"/>
            <w:shd w:val="clear" w:color="auto" w:fill="auto"/>
          </w:tcPr>
          <w:p w14:paraId="0D8E0210"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211"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E0212"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E0213" w14:textId="77777777" w:rsidR="004C2197" w:rsidRDefault="004C2197">
            <w:pPr>
              <w:rPr>
                <w:rFonts w:ascii="宋体"/>
                <w:vanish/>
              </w:rPr>
            </w:pPr>
          </w:p>
        </w:tc>
        <w:tc>
          <w:tcPr>
            <w:tcW w:w="0" w:type="auto"/>
            <w:gridSpan w:val="3"/>
            <w:shd w:val="clear" w:color="auto" w:fill="auto"/>
          </w:tcPr>
          <w:p w14:paraId="0D8E0214" w14:textId="77777777" w:rsidR="004C2197" w:rsidRDefault="004C2197">
            <w:pPr>
              <w:rPr>
                <w:rFonts w:ascii="宋体"/>
                <w:vanish/>
              </w:rPr>
            </w:pPr>
          </w:p>
        </w:tc>
      </w:tr>
      <w:tr w:rsidR="004C2197" w14:paraId="0D8E022A" w14:textId="77777777">
        <w:trPr>
          <w:gridAfter w:val="6"/>
        </w:trPr>
        <w:tc>
          <w:tcPr>
            <w:tcW w:w="0" w:type="auto"/>
            <w:gridSpan w:val="3"/>
            <w:shd w:val="clear" w:color="auto" w:fill="auto"/>
            <w:tcMar>
              <w:left w:w="20" w:type="dxa"/>
              <w:right w:w="20" w:type="dxa"/>
            </w:tcMar>
            <w:vAlign w:val="bottom"/>
          </w:tcPr>
          <w:p w14:paraId="0D8E0216"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217"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E0218"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219"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gridSpan w:val="3"/>
            <w:shd w:val="clear" w:color="auto" w:fill="auto"/>
            <w:tcMar>
              <w:left w:w="20" w:type="dxa"/>
              <w:right w:w="20" w:type="dxa"/>
            </w:tcMar>
            <w:vAlign w:val="bottom"/>
          </w:tcPr>
          <w:p w14:paraId="0D8E021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21B"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E021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21D"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shd w:val="clear" w:color="auto" w:fill="auto"/>
          </w:tcPr>
          <w:p w14:paraId="0D8E021E" w14:textId="77777777" w:rsidR="004C2197" w:rsidRDefault="004C2197">
            <w:pPr>
              <w:rPr>
                <w:rFonts w:ascii="宋体"/>
              </w:rPr>
            </w:pPr>
          </w:p>
        </w:tc>
        <w:tc>
          <w:tcPr>
            <w:tcW w:w="0" w:type="auto"/>
            <w:shd w:val="clear" w:color="auto" w:fill="auto"/>
          </w:tcPr>
          <w:p w14:paraId="0D8E021F" w14:textId="77777777" w:rsidR="004C2197" w:rsidRDefault="004C2197">
            <w:pPr>
              <w:rPr>
                <w:rFonts w:ascii="宋体"/>
              </w:rPr>
            </w:pPr>
          </w:p>
        </w:tc>
        <w:tc>
          <w:tcPr>
            <w:tcW w:w="0" w:type="auto"/>
            <w:shd w:val="clear" w:color="auto" w:fill="auto"/>
          </w:tcPr>
          <w:p w14:paraId="0D8E0220" w14:textId="77777777" w:rsidR="004C2197" w:rsidRDefault="004C2197">
            <w:pPr>
              <w:rPr>
                <w:rFonts w:ascii="宋体"/>
              </w:rPr>
            </w:pPr>
          </w:p>
        </w:tc>
        <w:tc>
          <w:tcPr>
            <w:tcW w:w="0" w:type="auto"/>
            <w:shd w:val="clear" w:color="auto" w:fill="auto"/>
          </w:tcPr>
          <w:p w14:paraId="0D8E0221" w14:textId="77777777" w:rsidR="004C2197" w:rsidRDefault="004C2197">
            <w:pPr>
              <w:rPr>
                <w:rFonts w:ascii="宋体"/>
              </w:rPr>
            </w:pPr>
          </w:p>
        </w:tc>
        <w:tc>
          <w:tcPr>
            <w:tcW w:w="0" w:type="auto"/>
            <w:shd w:val="clear" w:color="auto" w:fill="auto"/>
          </w:tcPr>
          <w:p w14:paraId="0D8E0222" w14:textId="77777777" w:rsidR="004C2197" w:rsidRDefault="004C2197">
            <w:pPr>
              <w:rPr>
                <w:rFonts w:ascii="宋体"/>
              </w:rPr>
            </w:pPr>
          </w:p>
        </w:tc>
        <w:tc>
          <w:tcPr>
            <w:tcW w:w="0" w:type="auto"/>
            <w:shd w:val="clear" w:color="auto" w:fill="auto"/>
          </w:tcPr>
          <w:p w14:paraId="0D8E0223" w14:textId="77777777" w:rsidR="004C2197" w:rsidRDefault="004C2197">
            <w:pPr>
              <w:rPr>
                <w:rFonts w:ascii="宋体"/>
              </w:rPr>
            </w:pPr>
          </w:p>
        </w:tc>
        <w:tc>
          <w:tcPr>
            <w:tcW w:w="0" w:type="auto"/>
            <w:shd w:val="clear" w:color="auto" w:fill="auto"/>
          </w:tcPr>
          <w:p w14:paraId="0D8E0224" w14:textId="77777777" w:rsidR="004C2197" w:rsidRDefault="004C2197">
            <w:pPr>
              <w:rPr>
                <w:rFonts w:ascii="宋体"/>
              </w:rPr>
            </w:pPr>
          </w:p>
        </w:tc>
        <w:tc>
          <w:tcPr>
            <w:tcW w:w="0" w:type="auto"/>
            <w:shd w:val="clear" w:color="auto" w:fill="auto"/>
          </w:tcPr>
          <w:p w14:paraId="0D8E0225" w14:textId="77777777" w:rsidR="004C2197" w:rsidRDefault="004C2197">
            <w:pPr>
              <w:rPr>
                <w:rFonts w:ascii="宋体"/>
              </w:rPr>
            </w:pPr>
          </w:p>
        </w:tc>
        <w:tc>
          <w:tcPr>
            <w:tcW w:w="0" w:type="auto"/>
            <w:shd w:val="clear" w:color="auto" w:fill="auto"/>
          </w:tcPr>
          <w:p w14:paraId="0D8E0226" w14:textId="77777777" w:rsidR="004C2197" w:rsidRDefault="004C2197">
            <w:pPr>
              <w:rPr>
                <w:rFonts w:ascii="宋体"/>
              </w:rPr>
            </w:pPr>
          </w:p>
        </w:tc>
        <w:tc>
          <w:tcPr>
            <w:tcW w:w="0" w:type="auto"/>
            <w:shd w:val="clear" w:color="auto" w:fill="auto"/>
          </w:tcPr>
          <w:p w14:paraId="0D8E0227" w14:textId="77777777" w:rsidR="004C2197" w:rsidRDefault="004C2197">
            <w:pPr>
              <w:rPr>
                <w:rFonts w:ascii="宋体"/>
              </w:rPr>
            </w:pPr>
          </w:p>
        </w:tc>
        <w:tc>
          <w:tcPr>
            <w:tcW w:w="0" w:type="auto"/>
            <w:shd w:val="clear" w:color="auto" w:fill="auto"/>
          </w:tcPr>
          <w:p w14:paraId="0D8E0228" w14:textId="77777777" w:rsidR="004C2197" w:rsidRDefault="004C2197">
            <w:pPr>
              <w:rPr>
                <w:rFonts w:ascii="宋体"/>
              </w:rPr>
            </w:pPr>
          </w:p>
        </w:tc>
        <w:tc>
          <w:tcPr>
            <w:tcW w:w="0" w:type="auto"/>
            <w:shd w:val="clear" w:color="auto" w:fill="auto"/>
          </w:tcPr>
          <w:p w14:paraId="0D8E0229" w14:textId="77777777" w:rsidR="004C2197" w:rsidRDefault="004C2197">
            <w:pPr>
              <w:rPr>
                <w:rFonts w:ascii="宋体"/>
              </w:rPr>
            </w:pPr>
          </w:p>
        </w:tc>
      </w:tr>
      <w:tr w:rsidR="004C2197" w14:paraId="0D8E023F" w14:textId="77777777">
        <w:trPr>
          <w:gridAfter w:val="6"/>
        </w:trPr>
        <w:tc>
          <w:tcPr>
            <w:tcW w:w="0" w:type="auto"/>
            <w:gridSpan w:val="3"/>
            <w:shd w:val="clear" w:color="auto" w:fill="auto"/>
            <w:tcMar>
              <w:top w:w="40" w:type="dxa"/>
              <w:left w:w="20" w:type="dxa"/>
              <w:bottom w:w="40" w:type="dxa"/>
              <w:right w:w="20" w:type="dxa"/>
            </w:tcMar>
            <w:vAlign w:val="bottom"/>
          </w:tcPr>
          <w:p w14:paraId="0D8E022B"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E022C"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E022D"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22E"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left w:w="20" w:type="dxa"/>
              <w:right w:w="20" w:type="dxa"/>
            </w:tcMar>
            <w:vAlign w:val="bottom"/>
          </w:tcPr>
          <w:p w14:paraId="0D8E022F"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230"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E0231"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232"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shd w:val="clear" w:color="auto" w:fill="auto"/>
          </w:tcPr>
          <w:p w14:paraId="0D8E0233" w14:textId="77777777" w:rsidR="004C2197" w:rsidRDefault="004C2197">
            <w:pPr>
              <w:rPr>
                <w:rFonts w:ascii="宋体"/>
              </w:rPr>
            </w:pPr>
          </w:p>
        </w:tc>
        <w:tc>
          <w:tcPr>
            <w:tcW w:w="0" w:type="auto"/>
            <w:shd w:val="clear" w:color="auto" w:fill="auto"/>
          </w:tcPr>
          <w:p w14:paraId="0D8E0234" w14:textId="77777777" w:rsidR="004C2197" w:rsidRDefault="004C2197">
            <w:pPr>
              <w:rPr>
                <w:rFonts w:ascii="宋体"/>
              </w:rPr>
            </w:pPr>
          </w:p>
        </w:tc>
        <w:tc>
          <w:tcPr>
            <w:tcW w:w="0" w:type="auto"/>
            <w:shd w:val="clear" w:color="auto" w:fill="auto"/>
          </w:tcPr>
          <w:p w14:paraId="0D8E0235" w14:textId="77777777" w:rsidR="004C2197" w:rsidRDefault="004C2197">
            <w:pPr>
              <w:rPr>
                <w:rFonts w:ascii="宋体"/>
              </w:rPr>
            </w:pPr>
          </w:p>
        </w:tc>
        <w:tc>
          <w:tcPr>
            <w:tcW w:w="0" w:type="auto"/>
            <w:shd w:val="clear" w:color="auto" w:fill="auto"/>
          </w:tcPr>
          <w:p w14:paraId="0D8E0236" w14:textId="77777777" w:rsidR="004C2197" w:rsidRDefault="004C2197">
            <w:pPr>
              <w:rPr>
                <w:rFonts w:ascii="宋体"/>
              </w:rPr>
            </w:pPr>
          </w:p>
        </w:tc>
        <w:tc>
          <w:tcPr>
            <w:tcW w:w="0" w:type="auto"/>
            <w:shd w:val="clear" w:color="auto" w:fill="auto"/>
          </w:tcPr>
          <w:p w14:paraId="0D8E0237" w14:textId="77777777" w:rsidR="004C2197" w:rsidRDefault="004C2197">
            <w:pPr>
              <w:rPr>
                <w:rFonts w:ascii="宋体"/>
              </w:rPr>
            </w:pPr>
          </w:p>
        </w:tc>
        <w:tc>
          <w:tcPr>
            <w:tcW w:w="0" w:type="auto"/>
            <w:shd w:val="clear" w:color="auto" w:fill="auto"/>
          </w:tcPr>
          <w:p w14:paraId="0D8E0238" w14:textId="77777777" w:rsidR="004C2197" w:rsidRDefault="004C2197">
            <w:pPr>
              <w:rPr>
                <w:rFonts w:ascii="宋体"/>
              </w:rPr>
            </w:pPr>
          </w:p>
        </w:tc>
        <w:tc>
          <w:tcPr>
            <w:tcW w:w="0" w:type="auto"/>
            <w:shd w:val="clear" w:color="auto" w:fill="auto"/>
          </w:tcPr>
          <w:p w14:paraId="0D8E0239" w14:textId="77777777" w:rsidR="004C2197" w:rsidRDefault="004C2197">
            <w:pPr>
              <w:rPr>
                <w:rFonts w:ascii="宋体"/>
              </w:rPr>
            </w:pPr>
          </w:p>
        </w:tc>
        <w:tc>
          <w:tcPr>
            <w:tcW w:w="0" w:type="auto"/>
            <w:shd w:val="clear" w:color="auto" w:fill="auto"/>
          </w:tcPr>
          <w:p w14:paraId="0D8E023A" w14:textId="77777777" w:rsidR="004C2197" w:rsidRDefault="004C2197">
            <w:pPr>
              <w:rPr>
                <w:rFonts w:ascii="宋体"/>
              </w:rPr>
            </w:pPr>
          </w:p>
        </w:tc>
        <w:tc>
          <w:tcPr>
            <w:tcW w:w="0" w:type="auto"/>
            <w:shd w:val="clear" w:color="auto" w:fill="auto"/>
          </w:tcPr>
          <w:p w14:paraId="0D8E023B" w14:textId="77777777" w:rsidR="004C2197" w:rsidRDefault="004C2197">
            <w:pPr>
              <w:rPr>
                <w:rFonts w:ascii="宋体"/>
              </w:rPr>
            </w:pPr>
          </w:p>
        </w:tc>
        <w:tc>
          <w:tcPr>
            <w:tcW w:w="0" w:type="auto"/>
            <w:shd w:val="clear" w:color="auto" w:fill="auto"/>
          </w:tcPr>
          <w:p w14:paraId="0D8E023C" w14:textId="77777777" w:rsidR="004C2197" w:rsidRDefault="004C2197">
            <w:pPr>
              <w:rPr>
                <w:rFonts w:ascii="宋体"/>
              </w:rPr>
            </w:pPr>
          </w:p>
        </w:tc>
        <w:tc>
          <w:tcPr>
            <w:tcW w:w="0" w:type="auto"/>
            <w:shd w:val="clear" w:color="auto" w:fill="auto"/>
          </w:tcPr>
          <w:p w14:paraId="0D8E023D" w14:textId="77777777" w:rsidR="004C2197" w:rsidRDefault="004C2197">
            <w:pPr>
              <w:rPr>
                <w:rFonts w:ascii="宋体"/>
              </w:rPr>
            </w:pPr>
          </w:p>
        </w:tc>
        <w:tc>
          <w:tcPr>
            <w:tcW w:w="0" w:type="auto"/>
            <w:shd w:val="clear" w:color="auto" w:fill="auto"/>
          </w:tcPr>
          <w:p w14:paraId="0D8E023E" w14:textId="77777777" w:rsidR="004C2197" w:rsidRDefault="004C2197">
            <w:pPr>
              <w:rPr>
                <w:rFonts w:ascii="宋体"/>
              </w:rPr>
            </w:pPr>
          </w:p>
        </w:tc>
      </w:tr>
      <w:tr w:rsidR="004C2197" w14:paraId="0D8E0254" w14:textId="77777777">
        <w:trPr>
          <w:gridAfter w:val="6"/>
          <w:trHeight w:val="60"/>
        </w:trPr>
        <w:tc>
          <w:tcPr>
            <w:tcW w:w="0" w:type="auto"/>
            <w:gridSpan w:val="3"/>
            <w:shd w:val="clear" w:color="auto" w:fill="auto"/>
            <w:tcMar>
              <w:left w:w="20" w:type="dxa"/>
              <w:right w:w="20" w:type="dxa"/>
            </w:tcMar>
            <w:vAlign w:val="bottom"/>
          </w:tcPr>
          <w:p w14:paraId="0D8E024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24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4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24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4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24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4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247" w14:textId="77777777" w:rsidR="004C2197" w:rsidRDefault="004C2197">
            <w:pPr>
              <w:rPr>
                <w:rFonts w:ascii="宋体"/>
              </w:rPr>
            </w:pPr>
          </w:p>
        </w:tc>
        <w:tc>
          <w:tcPr>
            <w:tcW w:w="0" w:type="auto"/>
            <w:shd w:val="clear" w:color="auto" w:fill="auto"/>
          </w:tcPr>
          <w:p w14:paraId="0D8E0248" w14:textId="77777777" w:rsidR="004C2197" w:rsidRDefault="004C2197">
            <w:pPr>
              <w:rPr>
                <w:rFonts w:ascii="宋体"/>
              </w:rPr>
            </w:pPr>
          </w:p>
        </w:tc>
        <w:tc>
          <w:tcPr>
            <w:tcW w:w="0" w:type="auto"/>
            <w:shd w:val="clear" w:color="auto" w:fill="auto"/>
          </w:tcPr>
          <w:p w14:paraId="0D8E0249" w14:textId="77777777" w:rsidR="004C2197" w:rsidRDefault="004C2197">
            <w:pPr>
              <w:rPr>
                <w:rFonts w:ascii="宋体"/>
              </w:rPr>
            </w:pPr>
          </w:p>
        </w:tc>
        <w:tc>
          <w:tcPr>
            <w:tcW w:w="0" w:type="auto"/>
            <w:shd w:val="clear" w:color="auto" w:fill="auto"/>
          </w:tcPr>
          <w:p w14:paraId="0D8E024A" w14:textId="77777777" w:rsidR="004C2197" w:rsidRDefault="004C2197">
            <w:pPr>
              <w:rPr>
                <w:rFonts w:ascii="宋体"/>
              </w:rPr>
            </w:pPr>
          </w:p>
        </w:tc>
        <w:tc>
          <w:tcPr>
            <w:tcW w:w="0" w:type="auto"/>
            <w:shd w:val="clear" w:color="auto" w:fill="auto"/>
          </w:tcPr>
          <w:p w14:paraId="0D8E024B" w14:textId="77777777" w:rsidR="004C2197" w:rsidRDefault="004C2197">
            <w:pPr>
              <w:rPr>
                <w:rFonts w:ascii="宋体"/>
              </w:rPr>
            </w:pPr>
          </w:p>
        </w:tc>
        <w:tc>
          <w:tcPr>
            <w:tcW w:w="0" w:type="auto"/>
            <w:shd w:val="clear" w:color="auto" w:fill="auto"/>
          </w:tcPr>
          <w:p w14:paraId="0D8E024C" w14:textId="77777777" w:rsidR="004C2197" w:rsidRDefault="004C2197">
            <w:pPr>
              <w:rPr>
                <w:rFonts w:ascii="宋体"/>
              </w:rPr>
            </w:pPr>
          </w:p>
        </w:tc>
        <w:tc>
          <w:tcPr>
            <w:tcW w:w="0" w:type="auto"/>
            <w:shd w:val="clear" w:color="auto" w:fill="auto"/>
          </w:tcPr>
          <w:p w14:paraId="0D8E024D" w14:textId="77777777" w:rsidR="004C2197" w:rsidRDefault="004C2197">
            <w:pPr>
              <w:rPr>
                <w:rFonts w:ascii="宋体"/>
              </w:rPr>
            </w:pPr>
          </w:p>
        </w:tc>
        <w:tc>
          <w:tcPr>
            <w:tcW w:w="0" w:type="auto"/>
            <w:shd w:val="clear" w:color="auto" w:fill="auto"/>
          </w:tcPr>
          <w:p w14:paraId="0D8E024E" w14:textId="77777777" w:rsidR="004C2197" w:rsidRDefault="004C2197">
            <w:pPr>
              <w:rPr>
                <w:rFonts w:ascii="宋体"/>
              </w:rPr>
            </w:pPr>
          </w:p>
        </w:tc>
        <w:tc>
          <w:tcPr>
            <w:tcW w:w="0" w:type="auto"/>
            <w:shd w:val="clear" w:color="auto" w:fill="auto"/>
          </w:tcPr>
          <w:p w14:paraId="0D8E024F" w14:textId="77777777" w:rsidR="004C2197" w:rsidRDefault="004C2197">
            <w:pPr>
              <w:rPr>
                <w:rFonts w:ascii="宋体"/>
              </w:rPr>
            </w:pPr>
          </w:p>
        </w:tc>
        <w:tc>
          <w:tcPr>
            <w:tcW w:w="0" w:type="auto"/>
            <w:shd w:val="clear" w:color="auto" w:fill="auto"/>
          </w:tcPr>
          <w:p w14:paraId="0D8E0250" w14:textId="77777777" w:rsidR="004C2197" w:rsidRDefault="004C2197">
            <w:pPr>
              <w:rPr>
                <w:rFonts w:ascii="宋体"/>
              </w:rPr>
            </w:pPr>
          </w:p>
        </w:tc>
        <w:tc>
          <w:tcPr>
            <w:tcW w:w="0" w:type="auto"/>
            <w:shd w:val="clear" w:color="auto" w:fill="auto"/>
          </w:tcPr>
          <w:p w14:paraId="0D8E0251" w14:textId="77777777" w:rsidR="004C2197" w:rsidRDefault="004C2197">
            <w:pPr>
              <w:rPr>
                <w:rFonts w:ascii="宋体"/>
              </w:rPr>
            </w:pPr>
          </w:p>
        </w:tc>
        <w:tc>
          <w:tcPr>
            <w:tcW w:w="0" w:type="auto"/>
            <w:shd w:val="clear" w:color="auto" w:fill="auto"/>
          </w:tcPr>
          <w:p w14:paraId="0D8E0252" w14:textId="77777777" w:rsidR="004C2197" w:rsidRDefault="004C2197">
            <w:pPr>
              <w:rPr>
                <w:rFonts w:ascii="宋体"/>
              </w:rPr>
            </w:pPr>
          </w:p>
        </w:tc>
        <w:tc>
          <w:tcPr>
            <w:tcW w:w="0" w:type="auto"/>
            <w:shd w:val="clear" w:color="auto" w:fill="auto"/>
          </w:tcPr>
          <w:p w14:paraId="0D8E0253" w14:textId="77777777" w:rsidR="004C2197" w:rsidRDefault="004C2197">
            <w:pPr>
              <w:rPr>
                <w:rFonts w:ascii="宋体"/>
              </w:rPr>
            </w:pPr>
          </w:p>
        </w:tc>
      </w:tr>
      <w:tr w:rsidR="004C2197" w14:paraId="0D8E025D" w14:textId="77777777">
        <w:tc>
          <w:tcPr>
            <w:tcW w:w="0" w:type="auto"/>
            <w:gridSpan w:val="3"/>
            <w:shd w:val="clear" w:color="auto" w:fill="auto"/>
            <w:tcMar>
              <w:top w:w="40" w:type="dxa"/>
              <w:left w:w="20" w:type="dxa"/>
              <w:bottom w:w="40" w:type="dxa"/>
              <w:right w:w="20" w:type="dxa"/>
            </w:tcMar>
            <w:vAlign w:val="bottom"/>
          </w:tcPr>
          <w:p w14:paraId="0D8E0255" w14:textId="77777777" w:rsidR="004C2197" w:rsidRDefault="00863B83">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D8E0256"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E0257" w14:textId="77777777" w:rsidR="004C2197" w:rsidRDefault="004C2197">
            <w:pPr>
              <w:rPr>
                <w:rFonts w:ascii="宋体"/>
                <w:vanish/>
              </w:rPr>
            </w:pPr>
          </w:p>
        </w:tc>
        <w:tc>
          <w:tcPr>
            <w:tcW w:w="0" w:type="auto"/>
            <w:gridSpan w:val="3"/>
            <w:shd w:val="clear" w:color="auto" w:fill="auto"/>
          </w:tcPr>
          <w:p w14:paraId="0D8E0258" w14:textId="77777777" w:rsidR="004C2197" w:rsidRDefault="004C2197">
            <w:pPr>
              <w:rPr>
                <w:rFonts w:ascii="宋体"/>
                <w:vanish/>
              </w:rPr>
            </w:pPr>
          </w:p>
        </w:tc>
        <w:tc>
          <w:tcPr>
            <w:tcW w:w="0" w:type="auto"/>
            <w:gridSpan w:val="3"/>
            <w:shd w:val="clear" w:color="auto" w:fill="auto"/>
          </w:tcPr>
          <w:p w14:paraId="0D8E0259" w14:textId="77777777" w:rsidR="004C2197" w:rsidRDefault="004C2197">
            <w:pPr>
              <w:rPr>
                <w:rFonts w:ascii="宋体"/>
                <w:vanish/>
              </w:rPr>
            </w:pPr>
          </w:p>
        </w:tc>
        <w:tc>
          <w:tcPr>
            <w:tcW w:w="0" w:type="auto"/>
            <w:gridSpan w:val="3"/>
            <w:shd w:val="clear" w:color="auto" w:fill="auto"/>
          </w:tcPr>
          <w:p w14:paraId="0D8E025A" w14:textId="77777777" w:rsidR="004C2197" w:rsidRDefault="004C2197">
            <w:pPr>
              <w:rPr>
                <w:rFonts w:ascii="宋体"/>
                <w:vanish/>
              </w:rPr>
            </w:pPr>
          </w:p>
        </w:tc>
        <w:tc>
          <w:tcPr>
            <w:tcW w:w="0" w:type="auto"/>
            <w:gridSpan w:val="3"/>
            <w:shd w:val="clear" w:color="auto" w:fill="auto"/>
          </w:tcPr>
          <w:p w14:paraId="0D8E025B" w14:textId="77777777" w:rsidR="004C2197" w:rsidRDefault="004C2197">
            <w:pPr>
              <w:rPr>
                <w:rFonts w:ascii="宋体"/>
                <w:vanish/>
              </w:rPr>
            </w:pPr>
          </w:p>
        </w:tc>
        <w:tc>
          <w:tcPr>
            <w:tcW w:w="0" w:type="auto"/>
            <w:gridSpan w:val="3"/>
            <w:shd w:val="clear" w:color="auto" w:fill="auto"/>
          </w:tcPr>
          <w:p w14:paraId="0D8E025C" w14:textId="77777777" w:rsidR="004C2197" w:rsidRDefault="004C2197">
            <w:pPr>
              <w:rPr>
                <w:rFonts w:ascii="宋体"/>
                <w:vanish/>
              </w:rPr>
            </w:pPr>
          </w:p>
        </w:tc>
      </w:tr>
      <w:tr w:rsidR="004C2197" w14:paraId="0D8E0278" w14:textId="77777777">
        <w:tc>
          <w:tcPr>
            <w:tcW w:w="0" w:type="auto"/>
            <w:gridSpan w:val="3"/>
            <w:shd w:val="clear" w:color="auto" w:fill="auto"/>
            <w:tcMar>
              <w:top w:w="40" w:type="dxa"/>
              <w:left w:w="20" w:type="dxa"/>
              <w:bottom w:w="40" w:type="dxa"/>
              <w:right w:w="20" w:type="dxa"/>
            </w:tcMar>
            <w:vAlign w:val="bottom"/>
          </w:tcPr>
          <w:p w14:paraId="0D8E025E" w14:textId="77777777" w:rsidR="004C2197" w:rsidRDefault="00863B83">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0D8E025F"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0D8E026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261"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0D8E026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6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6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265" w14:textId="77777777" w:rsidR="004C2197" w:rsidRDefault="004C2197">
            <w:pPr>
              <w:rPr>
                <w:rFonts w:ascii="宋体"/>
              </w:rPr>
            </w:pPr>
          </w:p>
        </w:tc>
        <w:tc>
          <w:tcPr>
            <w:tcW w:w="0" w:type="auto"/>
            <w:shd w:val="clear" w:color="auto" w:fill="auto"/>
          </w:tcPr>
          <w:p w14:paraId="0D8E0266" w14:textId="77777777" w:rsidR="004C2197" w:rsidRDefault="004C2197">
            <w:pPr>
              <w:rPr>
                <w:rFonts w:ascii="宋体"/>
              </w:rPr>
            </w:pPr>
          </w:p>
        </w:tc>
        <w:tc>
          <w:tcPr>
            <w:tcW w:w="0" w:type="auto"/>
            <w:shd w:val="clear" w:color="auto" w:fill="auto"/>
          </w:tcPr>
          <w:p w14:paraId="0D8E0267" w14:textId="77777777" w:rsidR="004C2197" w:rsidRDefault="004C2197">
            <w:pPr>
              <w:rPr>
                <w:rFonts w:ascii="宋体"/>
              </w:rPr>
            </w:pPr>
          </w:p>
        </w:tc>
        <w:tc>
          <w:tcPr>
            <w:tcW w:w="0" w:type="auto"/>
            <w:shd w:val="clear" w:color="auto" w:fill="auto"/>
          </w:tcPr>
          <w:p w14:paraId="0D8E0268" w14:textId="77777777" w:rsidR="004C2197" w:rsidRDefault="004C2197">
            <w:pPr>
              <w:rPr>
                <w:rFonts w:ascii="宋体"/>
              </w:rPr>
            </w:pPr>
          </w:p>
        </w:tc>
        <w:tc>
          <w:tcPr>
            <w:tcW w:w="0" w:type="auto"/>
            <w:shd w:val="clear" w:color="auto" w:fill="auto"/>
          </w:tcPr>
          <w:p w14:paraId="0D8E0269" w14:textId="77777777" w:rsidR="004C2197" w:rsidRDefault="004C2197">
            <w:pPr>
              <w:rPr>
                <w:rFonts w:ascii="宋体"/>
              </w:rPr>
            </w:pPr>
          </w:p>
        </w:tc>
        <w:tc>
          <w:tcPr>
            <w:tcW w:w="0" w:type="auto"/>
            <w:shd w:val="clear" w:color="auto" w:fill="auto"/>
          </w:tcPr>
          <w:p w14:paraId="0D8E026A" w14:textId="77777777" w:rsidR="004C2197" w:rsidRDefault="004C2197">
            <w:pPr>
              <w:rPr>
                <w:rFonts w:ascii="宋体"/>
              </w:rPr>
            </w:pPr>
          </w:p>
        </w:tc>
        <w:tc>
          <w:tcPr>
            <w:tcW w:w="0" w:type="auto"/>
            <w:shd w:val="clear" w:color="auto" w:fill="auto"/>
          </w:tcPr>
          <w:p w14:paraId="0D8E026B" w14:textId="77777777" w:rsidR="004C2197" w:rsidRDefault="004C2197">
            <w:pPr>
              <w:rPr>
                <w:rFonts w:ascii="宋体"/>
              </w:rPr>
            </w:pPr>
          </w:p>
        </w:tc>
        <w:tc>
          <w:tcPr>
            <w:tcW w:w="0" w:type="auto"/>
            <w:shd w:val="clear" w:color="auto" w:fill="auto"/>
          </w:tcPr>
          <w:p w14:paraId="0D8E026C" w14:textId="77777777" w:rsidR="004C2197" w:rsidRDefault="004C2197">
            <w:pPr>
              <w:rPr>
                <w:rFonts w:ascii="宋体"/>
              </w:rPr>
            </w:pPr>
          </w:p>
        </w:tc>
        <w:tc>
          <w:tcPr>
            <w:tcW w:w="0" w:type="auto"/>
            <w:shd w:val="clear" w:color="auto" w:fill="auto"/>
          </w:tcPr>
          <w:p w14:paraId="0D8E026D" w14:textId="77777777" w:rsidR="004C2197" w:rsidRDefault="004C2197">
            <w:pPr>
              <w:rPr>
                <w:rFonts w:ascii="宋体"/>
              </w:rPr>
            </w:pPr>
          </w:p>
        </w:tc>
        <w:tc>
          <w:tcPr>
            <w:tcW w:w="0" w:type="auto"/>
            <w:shd w:val="clear" w:color="auto" w:fill="auto"/>
          </w:tcPr>
          <w:p w14:paraId="0D8E026E" w14:textId="77777777" w:rsidR="004C2197" w:rsidRDefault="004C2197">
            <w:pPr>
              <w:rPr>
                <w:rFonts w:ascii="宋体"/>
              </w:rPr>
            </w:pPr>
          </w:p>
        </w:tc>
        <w:tc>
          <w:tcPr>
            <w:tcW w:w="0" w:type="auto"/>
            <w:shd w:val="clear" w:color="auto" w:fill="auto"/>
          </w:tcPr>
          <w:p w14:paraId="0D8E026F" w14:textId="77777777" w:rsidR="004C2197" w:rsidRDefault="004C2197">
            <w:pPr>
              <w:rPr>
                <w:rFonts w:ascii="宋体"/>
              </w:rPr>
            </w:pPr>
          </w:p>
        </w:tc>
        <w:tc>
          <w:tcPr>
            <w:tcW w:w="0" w:type="auto"/>
            <w:shd w:val="clear" w:color="auto" w:fill="auto"/>
          </w:tcPr>
          <w:p w14:paraId="0D8E0270" w14:textId="77777777" w:rsidR="004C2197" w:rsidRDefault="004C2197">
            <w:pPr>
              <w:rPr>
                <w:rFonts w:ascii="宋体"/>
              </w:rPr>
            </w:pPr>
          </w:p>
        </w:tc>
        <w:tc>
          <w:tcPr>
            <w:tcW w:w="0" w:type="auto"/>
            <w:shd w:val="clear" w:color="auto" w:fill="auto"/>
          </w:tcPr>
          <w:p w14:paraId="0D8E0271" w14:textId="77777777" w:rsidR="004C2197" w:rsidRDefault="004C2197">
            <w:pPr>
              <w:rPr>
                <w:rFonts w:ascii="宋体"/>
              </w:rPr>
            </w:pPr>
          </w:p>
        </w:tc>
        <w:tc>
          <w:tcPr>
            <w:tcW w:w="0" w:type="auto"/>
            <w:shd w:val="clear" w:color="auto" w:fill="auto"/>
          </w:tcPr>
          <w:p w14:paraId="0D8E0272" w14:textId="77777777" w:rsidR="004C2197" w:rsidRDefault="004C2197">
            <w:pPr>
              <w:rPr>
                <w:rFonts w:ascii="宋体"/>
              </w:rPr>
            </w:pPr>
          </w:p>
        </w:tc>
        <w:tc>
          <w:tcPr>
            <w:tcW w:w="0" w:type="auto"/>
            <w:shd w:val="clear" w:color="auto" w:fill="auto"/>
          </w:tcPr>
          <w:p w14:paraId="0D8E0273" w14:textId="77777777" w:rsidR="004C2197" w:rsidRDefault="004C2197">
            <w:pPr>
              <w:rPr>
                <w:rFonts w:ascii="宋体"/>
              </w:rPr>
            </w:pPr>
          </w:p>
        </w:tc>
        <w:tc>
          <w:tcPr>
            <w:tcW w:w="0" w:type="auto"/>
            <w:shd w:val="clear" w:color="auto" w:fill="auto"/>
          </w:tcPr>
          <w:p w14:paraId="0D8E0274" w14:textId="77777777" w:rsidR="004C2197" w:rsidRDefault="004C2197">
            <w:pPr>
              <w:rPr>
                <w:rFonts w:ascii="宋体"/>
              </w:rPr>
            </w:pPr>
          </w:p>
        </w:tc>
        <w:tc>
          <w:tcPr>
            <w:tcW w:w="0" w:type="auto"/>
            <w:shd w:val="clear" w:color="auto" w:fill="auto"/>
          </w:tcPr>
          <w:p w14:paraId="0D8E0275" w14:textId="77777777" w:rsidR="004C2197" w:rsidRDefault="004C2197">
            <w:pPr>
              <w:rPr>
                <w:rFonts w:ascii="宋体"/>
              </w:rPr>
            </w:pPr>
          </w:p>
        </w:tc>
        <w:tc>
          <w:tcPr>
            <w:tcW w:w="0" w:type="auto"/>
            <w:shd w:val="clear" w:color="auto" w:fill="auto"/>
          </w:tcPr>
          <w:p w14:paraId="0D8E0276" w14:textId="77777777" w:rsidR="004C2197" w:rsidRDefault="004C2197">
            <w:pPr>
              <w:rPr>
                <w:rFonts w:ascii="宋体"/>
              </w:rPr>
            </w:pPr>
          </w:p>
        </w:tc>
        <w:tc>
          <w:tcPr>
            <w:tcW w:w="0" w:type="auto"/>
            <w:shd w:val="clear" w:color="auto" w:fill="auto"/>
          </w:tcPr>
          <w:p w14:paraId="0D8E0277" w14:textId="77777777" w:rsidR="004C2197" w:rsidRDefault="004C2197">
            <w:pPr>
              <w:rPr>
                <w:rFonts w:ascii="宋体"/>
              </w:rPr>
            </w:pPr>
          </w:p>
        </w:tc>
      </w:tr>
      <w:tr w:rsidR="004C2197" w14:paraId="0D8E029B" w14:textId="77777777">
        <w:tc>
          <w:tcPr>
            <w:tcW w:w="0" w:type="auto"/>
            <w:gridSpan w:val="3"/>
            <w:shd w:val="clear" w:color="auto" w:fill="E2EFD9"/>
            <w:tcMar>
              <w:top w:w="40" w:type="dxa"/>
              <w:left w:w="360" w:type="dxa"/>
              <w:bottom w:w="40" w:type="dxa"/>
              <w:right w:w="20" w:type="dxa"/>
            </w:tcMar>
            <w:vAlign w:val="bottom"/>
          </w:tcPr>
          <w:p w14:paraId="0D8E0279" w14:textId="77777777" w:rsidR="004C2197" w:rsidRDefault="00863B83">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tcMar>
            <w:vAlign w:val="bottom"/>
          </w:tcPr>
          <w:p w14:paraId="0D8E027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27B" w14:textId="77777777" w:rsidR="004C2197" w:rsidRDefault="00863B83">
            <w:pPr>
              <w:jc w:val="right"/>
              <w:textAlignment w:val="bottom"/>
            </w:pPr>
            <w:r>
              <w:rPr>
                <w:rFonts w:ascii="sans-serif" w:eastAsia="sans-serif" w:hAnsi="sans-serif" w:cs="sans-serif"/>
                <w:color w:val="000000"/>
                <w:sz w:val="20"/>
                <w:szCs w:val="20"/>
              </w:rPr>
              <w:t>954 </w:t>
            </w:r>
          </w:p>
        </w:tc>
        <w:tc>
          <w:tcPr>
            <w:tcW w:w="0" w:type="auto"/>
            <w:shd w:val="clear" w:color="auto" w:fill="E2EFD9"/>
            <w:tcMar>
              <w:top w:w="40" w:type="dxa"/>
              <w:bottom w:w="40" w:type="dxa"/>
              <w:right w:w="20" w:type="dxa"/>
            </w:tcMar>
            <w:vAlign w:val="bottom"/>
          </w:tcPr>
          <w:p w14:paraId="0D8E027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7D"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27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27F" w14:textId="77777777" w:rsidR="004C2197" w:rsidRDefault="00863B83">
            <w:pPr>
              <w:jc w:val="right"/>
              <w:textAlignment w:val="bottom"/>
            </w:pPr>
            <w:r>
              <w:rPr>
                <w:rFonts w:ascii="sans-serif" w:eastAsia="sans-serif" w:hAnsi="sans-serif" w:cs="sans-serif"/>
                <w:color w:val="000000"/>
                <w:sz w:val="20"/>
                <w:szCs w:val="20"/>
              </w:rPr>
              <w:t>635 </w:t>
            </w:r>
          </w:p>
        </w:tc>
        <w:tc>
          <w:tcPr>
            <w:tcW w:w="0" w:type="auto"/>
            <w:shd w:val="clear" w:color="auto" w:fill="E2EFD9"/>
            <w:tcMar>
              <w:top w:w="40" w:type="dxa"/>
              <w:bottom w:w="40" w:type="dxa"/>
              <w:right w:w="20" w:type="dxa"/>
            </w:tcMar>
            <w:vAlign w:val="bottom"/>
          </w:tcPr>
          <w:p w14:paraId="0D8E028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81"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28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283" w14:textId="77777777" w:rsidR="004C2197" w:rsidRDefault="00863B83">
            <w:pPr>
              <w:jc w:val="right"/>
              <w:textAlignment w:val="bottom"/>
            </w:pPr>
            <w:r>
              <w:rPr>
                <w:rFonts w:ascii="sans-serif" w:eastAsia="sans-serif" w:hAnsi="sans-serif" w:cs="sans-serif"/>
                <w:color w:val="000000"/>
                <w:sz w:val="20"/>
                <w:szCs w:val="20"/>
              </w:rPr>
              <w:t>1,766 </w:t>
            </w:r>
          </w:p>
        </w:tc>
        <w:tc>
          <w:tcPr>
            <w:tcW w:w="0" w:type="auto"/>
            <w:shd w:val="clear" w:color="auto" w:fill="E2EFD9"/>
            <w:tcMar>
              <w:top w:w="40" w:type="dxa"/>
              <w:bottom w:w="40" w:type="dxa"/>
              <w:right w:w="20" w:type="dxa"/>
            </w:tcMar>
            <w:vAlign w:val="bottom"/>
          </w:tcPr>
          <w:p w14:paraId="0D8E028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85"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28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287" w14:textId="77777777" w:rsidR="004C2197" w:rsidRDefault="00863B83">
            <w:pPr>
              <w:jc w:val="right"/>
              <w:textAlignment w:val="bottom"/>
            </w:pPr>
            <w:r>
              <w:rPr>
                <w:rFonts w:ascii="sans-serif" w:eastAsia="sans-serif" w:hAnsi="sans-serif" w:cs="sans-serif"/>
                <w:color w:val="000000"/>
                <w:sz w:val="20"/>
                <w:szCs w:val="20"/>
              </w:rPr>
              <w:t>1,333 </w:t>
            </w:r>
          </w:p>
        </w:tc>
        <w:tc>
          <w:tcPr>
            <w:tcW w:w="0" w:type="auto"/>
            <w:shd w:val="clear" w:color="auto" w:fill="E2EFD9"/>
            <w:tcMar>
              <w:top w:w="40" w:type="dxa"/>
              <w:bottom w:w="40" w:type="dxa"/>
              <w:right w:w="20" w:type="dxa"/>
            </w:tcMar>
            <w:vAlign w:val="bottom"/>
          </w:tcPr>
          <w:p w14:paraId="0D8E0288" w14:textId="77777777" w:rsidR="004C2197" w:rsidRDefault="004C2197">
            <w:pPr>
              <w:jc w:val="right"/>
              <w:rPr>
                <w:rFonts w:ascii="宋体"/>
              </w:rPr>
            </w:pPr>
          </w:p>
        </w:tc>
        <w:tc>
          <w:tcPr>
            <w:tcW w:w="0" w:type="auto"/>
            <w:shd w:val="clear" w:color="auto" w:fill="auto"/>
          </w:tcPr>
          <w:p w14:paraId="0D8E0289" w14:textId="77777777" w:rsidR="004C2197" w:rsidRDefault="004C2197">
            <w:pPr>
              <w:rPr>
                <w:rFonts w:ascii="宋体"/>
              </w:rPr>
            </w:pPr>
          </w:p>
        </w:tc>
        <w:tc>
          <w:tcPr>
            <w:tcW w:w="0" w:type="auto"/>
            <w:shd w:val="clear" w:color="auto" w:fill="auto"/>
          </w:tcPr>
          <w:p w14:paraId="0D8E028A" w14:textId="77777777" w:rsidR="004C2197" w:rsidRDefault="004C2197">
            <w:pPr>
              <w:rPr>
                <w:rFonts w:ascii="宋体"/>
              </w:rPr>
            </w:pPr>
          </w:p>
        </w:tc>
        <w:tc>
          <w:tcPr>
            <w:tcW w:w="0" w:type="auto"/>
            <w:shd w:val="clear" w:color="auto" w:fill="auto"/>
          </w:tcPr>
          <w:p w14:paraId="0D8E028B" w14:textId="77777777" w:rsidR="004C2197" w:rsidRDefault="004C2197">
            <w:pPr>
              <w:rPr>
                <w:rFonts w:ascii="宋体"/>
              </w:rPr>
            </w:pPr>
          </w:p>
        </w:tc>
        <w:tc>
          <w:tcPr>
            <w:tcW w:w="0" w:type="auto"/>
            <w:shd w:val="clear" w:color="auto" w:fill="auto"/>
          </w:tcPr>
          <w:p w14:paraId="0D8E028C" w14:textId="77777777" w:rsidR="004C2197" w:rsidRDefault="004C2197">
            <w:pPr>
              <w:rPr>
                <w:rFonts w:ascii="宋体"/>
              </w:rPr>
            </w:pPr>
          </w:p>
        </w:tc>
        <w:tc>
          <w:tcPr>
            <w:tcW w:w="0" w:type="auto"/>
            <w:shd w:val="clear" w:color="auto" w:fill="auto"/>
          </w:tcPr>
          <w:p w14:paraId="0D8E028D" w14:textId="77777777" w:rsidR="004C2197" w:rsidRDefault="004C2197">
            <w:pPr>
              <w:rPr>
                <w:rFonts w:ascii="宋体"/>
              </w:rPr>
            </w:pPr>
          </w:p>
        </w:tc>
        <w:tc>
          <w:tcPr>
            <w:tcW w:w="0" w:type="auto"/>
            <w:shd w:val="clear" w:color="auto" w:fill="auto"/>
          </w:tcPr>
          <w:p w14:paraId="0D8E028E" w14:textId="77777777" w:rsidR="004C2197" w:rsidRDefault="004C2197">
            <w:pPr>
              <w:rPr>
                <w:rFonts w:ascii="宋体"/>
              </w:rPr>
            </w:pPr>
          </w:p>
        </w:tc>
        <w:tc>
          <w:tcPr>
            <w:tcW w:w="0" w:type="auto"/>
            <w:shd w:val="clear" w:color="auto" w:fill="auto"/>
          </w:tcPr>
          <w:p w14:paraId="0D8E028F" w14:textId="77777777" w:rsidR="004C2197" w:rsidRDefault="004C2197">
            <w:pPr>
              <w:rPr>
                <w:rFonts w:ascii="宋体"/>
              </w:rPr>
            </w:pPr>
          </w:p>
        </w:tc>
        <w:tc>
          <w:tcPr>
            <w:tcW w:w="0" w:type="auto"/>
            <w:shd w:val="clear" w:color="auto" w:fill="auto"/>
          </w:tcPr>
          <w:p w14:paraId="0D8E0290" w14:textId="77777777" w:rsidR="004C2197" w:rsidRDefault="004C2197">
            <w:pPr>
              <w:rPr>
                <w:rFonts w:ascii="宋体"/>
              </w:rPr>
            </w:pPr>
          </w:p>
        </w:tc>
        <w:tc>
          <w:tcPr>
            <w:tcW w:w="0" w:type="auto"/>
            <w:shd w:val="clear" w:color="auto" w:fill="auto"/>
          </w:tcPr>
          <w:p w14:paraId="0D8E0291" w14:textId="77777777" w:rsidR="004C2197" w:rsidRDefault="004C2197">
            <w:pPr>
              <w:rPr>
                <w:rFonts w:ascii="宋体"/>
              </w:rPr>
            </w:pPr>
          </w:p>
        </w:tc>
        <w:tc>
          <w:tcPr>
            <w:tcW w:w="0" w:type="auto"/>
            <w:shd w:val="clear" w:color="auto" w:fill="auto"/>
          </w:tcPr>
          <w:p w14:paraId="0D8E0292" w14:textId="77777777" w:rsidR="004C2197" w:rsidRDefault="004C2197">
            <w:pPr>
              <w:rPr>
                <w:rFonts w:ascii="宋体"/>
              </w:rPr>
            </w:pPr>
          </w:p>
        </w:tc>
        <w:tc>
          <w:tcPr>
            <w:tcW w:w="0" w:type="auto"/>
            <w:shd w:val="clear" w:color="auto" w:fill="auto"/>
          </w:tcPr>
          <w:p w14:paraId="0D8E0293" w14:textId="77777777" w:rsidR="004C2197" w:rsidRDefault="004C2197">
            <w:pPr>
              <w:rPr>
                <w:rFonts w:ascii="宋体"/>
              </w:rPr>
            </w:pPr>
          </w:p>
        </w:tc>
        <w:tc>
          <w:tcPr>
            <w:tcW w:w="0" w:type="auto"/>
            <w:shd w:val="clear" w:color="auto" w:fill="auto"/>
          </w:tcPr>
          <w:p w14:paraId="0D8E0294" w14:textId="77777777" w:rsidR="004C2197" w:rsidRDefault="004C2197">
            <w:pPr>
              <w:rPr>
                <w:rFonts w:ascii="宋体"/>
              </w:rPr>
            </w:pPr>
          </w:p>
        </w:tc>
        <w:tc>
          <w:tcPr>
            <w:tcW w:w="0" w:type="auto"/>
            <w:shd w:val="clear" w:color="auto" w:fill="auto"/>
          </w:tcPr>
          <w:p w14:paraId="0D8E0295" w14:textId="77777777" w:rsidR="004C2197" w:rsidRDefault="004C2197">
            <w:pPr>
              <w:rPr>
                <w:rFonts w:ascii="宋体"/>
              </w:rPr>
            </w:pPr>
          </w:p>
        </w:tc>
        <w:tc>
          <w:tcPr>
            <w:tcW w:w="0" w:type="auto"/>
            <w:shd w:val="clear" w:color="auto" w:fill="auto"/>
          </w:tcPr>
          <w:p w14:paraId="0D8E0296" w14:textId="77777777" w:rsidR="004C2197" w:rsidRDefault="004C2197">
            <w:pPr>
              <w:rPr>
                <w:rFonts w:ascii="宋体"/>
              </w:rPr>
            </w:pPr>
          </w:p>
        </w:tc>
        <w:tc>
          <w:tcPr>
            <w:tcW w:w="0" w:type="auto"/>
            <w:shd w:val="clear" w:color="auto" w:fill="auto"/>
          </w:tcPr>
          <w:p w14:paraId="0D8E0297" w14:textId="77777777" w:rsidR="004C2197" w:rsidRDefault="004C2197">
            <w:pPr>
              <w:rPr>
                <w:rFonts w:ascii="宋体"/>
              </w:rPr>
            </w:pPr>
          </w:p>
        </w:tc>
        <w:tc>
          <w:tcPr>
            <w:tcW w:w="0" w:type="auto"/>
            <w:shd w:val="clear" w:color="auto" w:fill="auto"/>
          </w:tcPr>
          <w:p w14:paraId="0D8E0298" w14:textId="77777777" w:rsidR="004C2197" w:rsidRDefault="004C2197">
            <w:pPr>
              <w:rPr>
                <w:rFonts w:ascii="宋体"/>
              </w:rPr>
            </w:pPr>
          </w:p>
        </w:tc>
        <w:tc>
          <w:tcPr>
            <w:tcW w:w="0" w:type="auto"/>
            <w:shd w:val="clear" w:color="auto" w:fill="auto"/>
          </w:tcPr>
          <w:p w14:paraId="0D8E0299" w14:textId="77777777" w:rsidR="004C2197" w:rsidRDefault="004C2197">
            <w:pPr>
              <w:rPr>
                <w:rFonts w:ascii="宋体"/>
              </w:rPr>
            </w:pPr>
          </w:p>
        </w:tc>
        <w:tc>
          <w:tcPr>
            <w:tcW w:w="0" w:type="auto"/>
            <w:shd w:val="clear" w:color="auto" w:fill="auto"/>
          </w:tcPr>
          <w:p w14:paraId="0D8E029A" w14:textId="77777777" w:rsidR="004C2197" w:rsidRDefault="004C2197">
            <w:pPr>
              <w:rPr>
                <w:rFonts w:ascii="宋体"/>
              </w:rPr>
            </w:pPr>
          </w:p>
        </w:tc>
      </w:tr>
      <w:tr w:rsidR="004C2197" w14:paraId="0D8E02BA" w14:textId="77777777">
        <w:tc>
          <w:tcPr>
            <w:tcW w:w="0" w:type="auto"/>
            <w:gridSpan w:val="3"/>
            <w:shd w:val="clear" w:color="auto" w:fill="FFFFFF"/>
            <w:tcMar>
              <w:top w:w="40" w:type="dxa"/>
              <w:left w:w="360" w:type="dxa"/>
              <w:bottom w:w="40" w:type="dxa"/>
              <w:right w:w="20" w:type="dxa"/>
            </w:tcMar>
            <w:vAlign w:val="bottom"/>
          </w:tcPr>
          <w:p w14:paraId="0D8E029C" w14:textId="77777777" w:rsidR="004C2197" w:rsidRDefault="00863B83">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0D8E029D" w14:textId="77777777" w:rsidR="004C2197" w:rsidRDefault="00863B83">
            <w:pPr>
              <w:jc w:val="right"/>
              <w:textAlignment w:val="bottom"/>
            </w:pPr>
            <w:r>
              <w:rPr>
                <w:rFonts w:ascii="sans-serif" w:eastAsia="sans-serif" w:hAnsi="sans-serif" w:cs="sans-serif"/>
                <w:color w:val="000000"/>
                <w:sz w:val="20"/>
                <w:szCs w:val="20"/>
              </w:rPr>
              <w:t>944 </w:t>
            </w:r>
          </w:p>
        </w:tc>
        <w:tc>
          <w:tcPr>
            <w:tcW w:w="0" w:type="auto"/>
            <w:shd w:val="clear" w:color="auto" w:fill="FFFFFF"/>
            <w:tcMar>
              <w:top w:w="40" w:type="dxa"/>
              <w:bottom w:w="40" w:type="dxa"/>
              <w:right w:w="20" w:type="dxa"/>
            </w:tcMar>
            <w:vAlign w:val="bottom"/>
          </w:tcPr>
          <w:p w14:paraId="0D8E029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9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A0" w14:textId="77777777" w:rsidR="004C2197" w:rsidRDefault="00863B83">
            <w:pPr>
              <w:jc w:val="right"/>
              <w:textAlignment w:val="bottom"/>
            </w:pPr>
            <w:r>
              <w:rPr>
                <w:rFonts w:ascii="sans-serif" w:eastAsia="sans-serif" w:hAnsi="sans-serif" w:cs="sans-serif"/>
                <w:color w:val="000000"/>
                <w:sz w:val="20"/>
                <w:szCs w:val="20"/>
              </w:rPr>
              <w:t>188 </w:t>
            </w:r>
          </w:p>
        </w:tc>
        <w:tc>
          <w:tcPr>
            <w:tcW w:w="0" w:type="auto"/>
            <w:shd w:val="clear" w:color="auto" w:fill="FFFFFF"/>
            <w:tcMar>
              <w:top w:w="40" w:type="dxa"/>
              <w:bottom w:w="40" w:type="dxa"/>
              <w:right w:w="20" w:type="dxa"/>
            </w:tcMar>
            <w:vAlign w:val="bottom"/>
          </w:tcPr>
          <w:p w14:paraId="0D8E02A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A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A3" w14:textId="77777777" w:rsidR="004C2197" w:rsidRDefault="00863B83">
            <w:pPr>
              <w:jc w:val="right"/>
              <w:textAlignment w:val="bottom"/>
            </w:pPr>
            <w:r>
              <w:rPr>
                <w:rFonts w:ascii="sans-serif" w:eastAsia="sans-serif" w:hAnsi="sans-serif" w:cs="sans-serif"/>
                <w:color w:val="000000"/>
                <w:sz w:val="20"/>
                <w:szCs w:val="20"/>
              </w:rPr>
              <w:t>1,441 </w:t>
            </w:r>
          </w:p>
        </w:tc>
        <w:tc>
          <w:tcPr>
            <w:tcW w:w="0" w:type="auto"/>
            <w:shd w:val="clear" w:color="auto" w:fill="FFFFFF"/>
            <w:tcMar>
              <w:top w:w="40" w:type="dxa"/>
              <w:bottom w:w="40" w:type="dxa"/>
              <w:right w:w="20" w:type="dxa"/>
            </w:tcMar>
            <w:vAlign w:val="bottom"/>
          </w:tcPr>
          <w:p w14:paraId="0D8E02A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A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A6" w14:textId="77777777" w:rsidR="004C2197" w:rsidRDefault="00863B83">
            <w:pPr>
              <w:jc w:val="right"/>
              <w:textAlignment w:val="bottom"/>
            </w:pPr>
            <w:r>
              <w:rPr>
                <w:rFonts w:ascii="sans-serif" w:eastAsia="sans-serif" w:hAnsi="sans-serif" w:cs="sans-serif"/>
                <w:color w:val="000000"/>
                <w:sz w:val="20"/>
                <w:szCs w:val="20"/>
              </w:rPr>
              <w:t>353 </w:t>
            </w:r>
          </w:p>
        </w:tc>
        <w:tc>
          <w:tcPr>
            <w:tcW w:w="0" w:type="auto"/>
            <w:shd w:val="clear" w:color="auto" w:fill="FFFFFF"/>
            <w:tcMar>
              <w:top w:w="40" w:type="dxa"/>
              <w:bottom w:w="40" w:type="dxa"/>
              <w:right w:w="20" w:type="dxa"/>
            </w:tcMar>
            <w:vAlign w:val="bottom"/>
          </w:tcPr>
          <w:p w14:paraId="0D8E02A7" w14:textId="77777777" w:rsidR="004C2197" w:rsidRDefault="004C2197">
            <w:pPr>
              <w:jc w:val="right"/>
              <w:rPr>
                <w:rFonts w:ascii="宋体"/>
              </w:rPr>
            </w:pPr>
          </w:p>
        </w:tc>
        <w:tc>
          <w:tcPr>
            <w:tcW w:w="0" w:type="auto"/>
            <w:shd w:val="clear" w:color="auto" w:fill="auto"/>
          </w:tcPr>
          <w:p w14:paraId="0D8E02A8" w14:textId="77777777" w:rsidR="004C2197" w:rsidRDefault="004C2197">
            <w:pPr>
              <w:rPr>
                <w:rFonts w:ascii="宋体"/>
              </w:rPr>
            </w:pPr>
          </w:p>
        </w:tc>
        <w:tc>
          <w:tcPr>
            <w:tcW w:w="0" w:type="auto"/>
            <w:shd w:val="clear" w:color="auto" w:fill="auto"/>
          </w:tcPr>
          <w:p w14:paraId="0D8E02A9" w14:textId="77777777" w:rsidR="004C2197" w:rsidRDefault="004C2197">
            <w:pPr>
              <w:rPr>
                <w:rFonts w:ascii="宋体"/>
              </w:rPr>
            </w:pPr>
          </w:p>
        </w:tc>
        <w:tc>
          <w:tcPr>
            <w:tcW w:w="0" w:type="auto"/>
            <w:shd w:val="clear" w:color="auto" w:fill="auto"/>
          </w:tcPr>
          <w:p w14:paraId="0D8E02AA" w14:textId="77777777" w:rsidR="004C2197" w:rsidRDefault="004C2197">
            <w:pPr>
              <w:rPr>
                <w:rFonts w:ascii="宋体"/>
              </w:rPr>
            </w:pPr>
          </w:p>
        </w:tc>
        <w:tc>
          <w:tcPr>
            <w:tcW w:w="0" w:type="auto"/>
            <w:shd w:val="clear" w:color="auto" w:fill="auto"/>
          </w:tcPr>
          <w:p w14:paraId="0D8E02AB" w14:textId="77777777" w:rsidR="004C2197" w:rsidRDefault="004C2197">
            <w:pPr>
              <w:rPr>
                <w:rFonts w:ascii="宋体"/>
              </w:rPr>
            </w:pPr>
          </w:p>
        </w:tc>
        <w:tc>
          <w:tcPr>
            <w:tcW w:w="0" w:type="auto"/>
            <w:shd w:val="clear" w:color="auto" w:fill="auto"/>
          </w:tcPr>
          <w:p w14:paraId="0D8E02AC" w14:textId="77777777" w:rsidR="004C2197" w:rsidRDefault="004C2197">
            <w:pPr>
              <w:rPr>
                <w:rFonts w:ascii="宋体"/>
              </w:rPr>
            </w:pPr>
          </w:p>
        </w:tc>
        <w:tc>
          <w:tcPr>
            <w:tcW w:w="0" w:type="auto"/>
            <w:shd w:val="clear" w:color="auto" w:fill="auto"/>
          </w:tcPr>
          <w:p w14:paraId="0D8E02AD" w14:textId="77777777" w:rsidR="004C2197" w:rsidRDefault="004C2197">
            <w:pPr>
              <w:rPr>
                <w:rFonts w:ascii="宋体"/>
              </w:rPr>
            </w:pPr>
          </w:p>
        </w:tc>
        <w:tc>
          <w:tcPr>
            <w:tcW w:w="0" w:type="auto"/>
            <w:shd w:val="clear" w:color="auto" w:fill="auto"/>
          </w:tcPr>
          <w:p w14:paraId="0D8E02AE" w14:textId="77777777" w:rsidR="004C2197" w:rsidRDefault="004C2197">
            <w:pPr>
              <w:rPr>
                <w:rFonts w:ascii="宋体"/>
              </w:rPr>
            </w:pPr>
          </w:p>
        </w:tc>
        <w:tc>
          <w:tcPr>
            <w:tcW w:w="0" w:type="auto"/>
            <w:shd w:val="clear" w:color="auto" w:fill="auto"/>
          </w:tcPr>
          <w:p w14:paraId="0D8E02AF" w14:textId="77777777" w:rsidR="004C2197" w:rsidRDefault="004C2197">
            <w:pPr>
              <w:rPr>
                <w:rFonts w:ascii="宋体"/>
              </w:rPr>
            </w:pPr>
          </w:p>
        </w:tc>
        <w:tc>
          <w:tcPr>
            <w:tcW w:w="0" w:type="auto"/>
            <w:shd w:val="clear" w:color="auto" w:fill="auto"/>
          </w:tcPr>
          <w:p w14:paraId="0D8E02B0" w14:textId="77777777" w:rsidR="004C2197" w:rsidRDefault="004C2197">
            <w:pPr>
              <w:rPr>
                <w:rFonts w:ascii="宋体"/>
              </w:rPr>
            </w:pPr>
          </w:p>
        </w:tc>
        <w:tc>
          <w:tcPr>
            <w:tcW w:w="0" w:type="auto"/>
            <w:shd w:val="clear" w:color="auto" w:fill="auto"/>
          </w:tcPr>
          <w:p w14:paraId="0D8E02B1" w14:textId="77777777" w:rsidR="004C2197" w:rsidRDefault="004C2197">
            <w:pPr>
              <w:rPr>
                <w:rFonts w:ascii="宋体"/>
              </w:rPr>
            </w:pPr>
          </w:p>
        </w:tc>
        <w:tc>
          <w:tcPr>
            <w:tcW w:w="0" w:type="auto"/>
            <w:shd w:val="clear" w:color="auto" w:fill="auto"/>
          </w:tcPr>
          <w:p w14:paraId="0D8E02B2" w14:textId="77777777" w:rsidR="004C2197" w:rsidRDefault="004C2197">
            <w:pPr>
              <w:rPr>
                <w:rFonts w:ascii="宋体"/>
              </w:rPr>
            </w:pPr>
          </w:p>
        </w:tc>
        <w:tc>
          <w:tcPr>
            <w:tcW w:w="0" w:type="auto"/>
            <w:shd w:val="clear" w:color="auto" w:fill="auto"/>
          </w:tcPr>
          <w:p w14:paraId="0D8E02B3" w14:textId="77777777" w:rsidR="004C2197" w:rsidRDefault="004C2197">
            <w:pPr>
              <w:rPr>
                <w:rFonts w:ascii="宋体"/>
              </w:rPr>
            </w:pPr>
          </w:p>
        </w:tc>
        <w:tc>
          <w:tcPr>
            <w:tcW w:w="0" w:type="auto"/>
            <w:shd w:val="clear" w:color="auto" w:fill="auto"/>
          </w:tcPr>
          <w:p w14:paraId="0D8E02B4" w14:textId="77777777" w:rsidR="004C2197" w:rsidRDefault="004C2197">
            <w:pPr>
              <w:rPr>
                <w:rFonts w:ascii="宋体"/>
              </w:rPr>
            </w:pPr>
          </w:p>
        </w:tc>
        <w:tc>
          <w:tcPr>
            <w:tcW w:w="0" w:type="auto"/>
            <w:shd w:val="clear" w:color="auto" w:fill="auto"/>
          </w:tcPr>
          <w:p w14:paraId="0D8E02B5" w14:textId="77777777" w:rsidR="004C2197" w:rsidRDefault="004C2197">
            <w:pPr>
              <w:rPr>
                <w:rFonts w:ascii="宋体"/>
              </w:rPr>
            </w:pPr>
          </w:p>
        </w:tc>
        <w:tc>
          <w:tcPr>
            <w:tcW w:w="0" w:type="auto"/>
            <w:shd w:val="clear" w:color="auto" w:fill="auto"/>
          </w:tcPr>
          <w:p w14:paraId="0D8E02B6" w14:textId="77777777" w:rsidR="004C2197" w:rsidRDefault="004C2197">
            <w:pPr>
              <w:rPr>
                <w:rFonts w:ascii="宋体"/>
              </w:rPr>
            </w:pPr>
          </w:p>
        </w:tc>
        <w:tc>
          <w:tcPr>
            <w:tcW w:w="0" w:type="auto"/>
            <w:shd w:val="clear" w:color="auto" w:fill="auto"/>
          </w:tcPr>
          <w:p w14:paraId="0D8E02B7" w14:textId="77777777" w:rsidR="004C2197" w:rsidRDefault="004C2197">
            <w:pPr>
              <w:rPr>
                <w:rFonts w:ascii="宋体"/>
              </w:rPr>
            </w:pPr>
          </w:p>
        </w:tc>
        <w:tc>
          <w:tcPr>
            <w:tcW w:w="0" w:type="auto"/>
            <w:shd w:val="clear" w:color="auto" w:fill="auto"/>
          </w:tcPr>
          <w:p w14:paraId="0D8E02B8" w14:textId="77777777" w:rsidR="004C2197" w:rsidRDefault="004C2197">
            <w:pPr>
              <w:rPr>
                <w:rFonts w:ascii="宋体"/>
              </w:rPr>
            </w:pPr>
          </w:p>
        </w:tc>
        <w:tc>
          <w:tcPr>
            <w:tcW w:w="0" w:type="auto"/>
            <w:shd w:val="clear" w:color="auto" w:fill="auto"/>
          </w:tcPr>
          <w:p w14:paraId="0D8E02B9" w14:textId="77777777" w:rsidR="004C2197" w:rsidRDefault="004C2197">
            <w:pPr>
              <w:rPr>
                <w:rFonts w:ascii="宋体"/>
              </w:rPr>
            </w:pPr>
          </w:p>
        </w:tc>
      </w:tr>
      <w:tr w:rsidR="004C2197" w14:paraId="0D8E02D9" w14:textId="77777777">
        <w:tc>
          <w:tcPr>
            <w:tcW w:w="0" w:type="auto"/>
            <w:gridSpan w:val="3"/>
            <w:shd w:val="clear" w:color="auto" w:fill="E2EFD9"/>
            <w:tcMar>
              <w:top w:w="40" w:type="dxa"/>
              <w:left w:w="360" w:type="dxa"/>
              <w:bottom w:w="40" w:type="dxa"/>
              <w:right w:w="20" w:type="dxa"/>
            </w:tcMar>
            <w:vAlign w:val="bottom"/>
          </w:tcPr>
          <w:p w14:paraId="0D8E02BB" w14:textId="77777777" w:rsidR="004C2197" w:rsidRDefault="00863B83">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E2EFD9"/>
            <w:tcMar>
              <w:top w:w="40" w:type="dxa"/>
              <w:left w:w="20" w:type="dxa"/>
              <w:bottom w:w="40" w:type="dxa"/>
              <w:right w:w="0" w:type="dxa"/>
            </w:tcMar>
            <w:vAlign w:val="bottom"/>
          </w:tcPr>
          <w:p w14:paraId="0D8E02BC" w14:textId="77777777" w:rsidR="004C2197" w:rsidRDefault="00863B83">
            <w:pPr>
              <w:jc w:val="right"/>
              <w:textAlignment w:val="bottom"/>
            </w:pPr>
            <w:r>
              <w:rPr>
                <w:rFonts w:ascii="sans-serif" w:eastAsia="sans-serif" w:hAnsi="sans-serif" w:cs="sans-serif"/>
                <w:color w:val="000000"/>
                <w:sz w:val="20"/>
                <w:szCs w:val="20"/>
              </w:rPr>
              <w:t>855 </w:t>
            </w:r>
          </w:p>
        </w:tc>
        <w:tc>
          <w:tcPr>
            <w:tcW w:w="0" w:type="auto"/>
            <w:shd w:val="clear" w:color="auto" w:fill="E2EFD9"/>
            <w:tcMar>
              <w:top w:w="40" w:type="dxa"/>
              <w:bottom w:w="40" w:type="dxa"/>
              <w:right w:w="20" w:type="dxa"/>
            </w:tcMar>
            <w:vAlign w:val="bottom"/>
          </w:tcPr>
          <w:p w14:paraId="0D8E02B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BE"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2BF" w14:textId="77777777" w:rsidR="004C2197" w:rsidRDefault="00863B83">
            <w:pPr>
              <w:jc w:val="right"/>
              <w:textAlignment w:val="bottom"/>
            </w:pPr>
            <w:r>
              <w:rPr>
                <w:rFonts w:ascii="sans-serif" w:eastAsia="sans-serif" w:hAnsi="sans-serif" w:cs="sans-serif"/>
                <w:color w:val="000000"/>
                <w:sz w:val="20"/>
                <w:szCs w:val="20"/>
              </w:rPr>
              <w:t>583 </w:t>
            </w:r>
          </w:p>
        </w:tc>
        <w:tc>
          <w:tcPr>
            <w:tcW w:w="0" w:type="auto"/>
            <w:shd w:val="clear" w:color="auto" w:fill="E2EFD9"/>
            <w:tcMar>
              <w:top w:w="40" w:type="dxa"/>
              <w:bottom w:w="40" w:type="dxa"/>
              <w:right w:w="20" w:type="dxa"/>
            </w:tcMar>
            <w:vAlign w:val="bottom"/>
          </w:tcPr>
          <w:p w14:paraId="0D8E02C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C1"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2C2" w14:textId="77777777" w:rsidR="004C2197" w:rsidRDefault="00863B83">
            <w:pPr>
              <w:jc w:val="right"/>
              <w:textAlignment w:val="bottom"/>
            </w:pPr>
            <w:r>
              <w:rPr>
                <w:rFonts w:ascii="sans-serif" w:eastAsia="sans-serif" w:hAnsi="sans-serif" w:cs="sans-serif"/>
                <w:color w:val="000000"/>
                <w:sz w:val="20"/>
                <w:szCs w:val="20"/>
              </w:rPr>
              <w:t>1,614 </w:t>
            </w:r>
          </w:p>
        </w:tc>
        <w:tc>
          <w:tcPr>
            <w:tcW w:w="0" w:type="auto"/>
            <w:shd w:val="clear" w:color="auto" w:fill="E2EFD9"/>
            <w:tcMar>
              <w:top w:w="40" w:type="dxa"/>
              <w:bottom w:w="40" w:type="dxa"/>
              <w:right w:w="20" w:type="dxa"/>
            </w:tcMar>
            <w:vAlign w:val="bottom"/>
          </w:tcPr>
          <w:p w14:paraId="0D8E02C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C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2C5" w14:textId="77777777" w:rsidR="004C2197" w:rsidRDefault="00863B83">
            <w:pPr>
              <w:jc w:val="right"/>
              <w:textAlignment w:val="bottom"/>
            </w:pPr>
            <w:r>
              <w:rPr>
                <w:rFonts w:ascii="sans-serif" w:eastAsia="sans-serif" w:hAnsi="sans-serif" w:cs="sans-serif"/>
                <w:color w:val="000000"/>
                <w:sz w:val="20"/>
                <w:szCs w:val="20"/>
              </w:rPr>
              <w:t>1,136 </w:t>
            </w:r>
          </w:p>
        </w:tc>
        <w:tc>
          <w:tcPr>
            <w:tcW w:w="0" w:type="auto"/>
            <w:shd w:val="clear" w:color="auto" w:fill="E2EFD9"/>
            <w:tcMar>
              <w:top w:w="40" w:type="dxa"/>
              <w:bottom w:w="40" w:type="dxa"/>
              <w:right w:w="20" w:type="dxa"/>
            </w:tcMar>
            <w:vAlign w:val="bottom"/>
          </w:tcPr>
          <w:p w14:paraId="0D8E02C6" w14:textId="77777777" w:rsidR="004C2197" w:rsidRDefault="004C2197">
            <w:pPr>
              <w:jc w:val="right"/>
              <w:rPr>
                <w:rFonts w:ascii="宋体"/>
              </w:rPr>
            </w:pPr>
          </w:p>
        </w:tc>
        <w:tc>
          <w:tcPr>
            <w:tcW w:w="0" w:type="auto"/>
            <w:shd w:val="clear" w:color="auto" w:fill="auto"/>
          </w:tcPr>
          <w:p w14:paraId="0D8E02C7" w14:textId="77777777" w:rsidR="004C2197" w:rsidRDefault="004C2197">
            <w:pPr>
              <w:rPr>
                <w:rFonts w:ascii="宋体"/>
              </w:rPr>
            </w:pPr>
          </w:p>
        </w:tc>
        <w:tc>
          <w:tcPr>
            <w:tcW w:w="0" w:type="auto"/>
            <w:shd w:val="clear" w:color="auto" w:fill="auto"/>
          </w:tcPr>
          <w:p w14:paraId="0D8E02C8" w14:textId="77777777" w:rsidR="004C2197" w:rsidRDefault="004C2197">
            <w:pPr>
              <w:rPr>
                <w:rFonts w:ascii="宋体"/>
              </w:rPr>
            </w:pPr>
          </w:p>
        </w:tc>
        <w:tc>
          <w:tcPr>
            <w:tcW w:w="0" w:type="auto"/>
            <w:shd w:val="clear" w:color="auto" w:fill="auto"/>
          </w:tcPr>
          <w:p w14:paraId="0D8E02C9" w14:textId="77777777" w:rsidR="004C2197" w:rsidRDefault="004C2197">
            <w:pPr>
              <w:rPr>
                <w:rFonts w:ascii="宋体"/>
              </w:rPr>
            </w:pPr>
          </w:p>
        </w:tc>
        <w:tc>
          <w:tcPr>
            <w:tcW w:w="0" w:type="auto"/>
            <w:shd w:val="clear" w:color="auto" w:fill="auto"/>
          </w:tcPr>
          <w:p w14:paraId="0D8E02CA" w14:textId="77777777" w:rsidR="004C2197" w:rsidRDefault="004C2197">
            <w:pPr>
              <w:rPr>
                <w:rFonts w:ascii="宋体"/>
              </w:rPr>
            </w:pPr>
          </w:p>
        </w:tc>
        <w:tc>
          <w:tcPr>
            <w:tcW w:w="0" w:type="auto"/>
            <w:shd w:val="clear" w:color="auto" w:fill="auto"/>
          </w:tcPr>
          <w:p w14:paraId="0D8E02CB" w14:textId="77777777" w:rsidR="004C2197" w:rsidRDefault="004C2197">
            <w:pPr>
              <w:rPr>
                <w:rFonts w:ascii="宋体"/>
              </w:rPr>
            </w:pPr>
          </w:p>
        </w:tc>
        <w:tc>
          <w:tcPr>
            <w:tcW w:w="0" w:type="auto"/>
            <w:shd w:val="clear" w:color="auto" w:fill="auto"/>
          </w:tcPr>
          <w:p w14:paraId="0D8E02CC" w14:textId="77777777" w:rsidR="004C2197" w:rsidRDefault="004C2197">
            <w:pPr>
              <w:rPr>
                <w:rFonts w:ascii="宋体"/>
              </w:rPr>
            </w:pPr>
          </w:p>
        </w:tc>
        <w:tc>
          <w:tcPr>
            <w:tcW w:w="0" w:type="auto"/>
            <w:shd w:val="clear" w:color="auto" w:fill="auto"/>
          </w:tcPr>
          <w:p w14:paraId="0D8E02CD" w14:textId="77777777" w:rsidR="004C2197" w:rsidRDefault="004C2197">
            <w:pPr>
              <w:rPr>
                <w:rFonts w:ascii="宋体"/>
              </w:rPr>
            </w:pPr>
          </w:p>
        </w:tc>
        <w:tc>
          <w:tcPr>
            <w:tcW w:w="0" w:type="auto"/>
            <w:shd w:val="clear" w:color="auto" w:fill="auto"/>
          </w:tcPr>
          <w:p w14:paraId="0D8E02CE" w14:textId="77777777" w:rsidR="004C2197" w:rsidRDefault="004C2197">
            <w:pPr>
              <w:rPr>
                <w:rFonts w:ascii="宋体"/>
              </w:rPr>
            </w:pPr>
          </w:p>
        </w:tc>
        <w:tc>
          <w:tcPr>
            <w:tcW w:w="0" w:type="auto"/>
            <w:shd w:val="clear" w:color="auto" w:fill="auto"/>
          </w:tcPr>
          <w:p w14:paraId="0D8E02CF" w14:textId="77777777" w:rsidR="004C2197" w:rsidRDefault="004C2197">
            <w:pPr>
              <w:rPr>
                <w:rFonts w:ascii="宋体"/>
              </w:rPr>
            </w:pPr>
          </w:p>
        </w:tc>
        <w:tc>
          <w:tcPr>
            <w:tcW w:w="0" w:type="auto"/>
            <w:shd w:val="clear" w:color="auto" w:fill="auto"/>
          </w:tcPr>
          <w:p w14:paraId="0D8E02D0" w14:textId="77777777" w:rsidR="004C2197" w:rsidRDefault="004C2197">
            <w:pPr>
              <w:rPr>
                <w:rFonts w:ascii="宋体"/>
              </w:rPr>
            </w:pPr>
          </w:p>
        </w:tc>
        <w:tc>
          <w:tcPr>
            <w:tcW w:w="0" w:type="auto"/>
            <w:shd w:val="clear" w:color="auto" w:fill="auto"/>
          </w:tcPr>
          <w:p w14:paraId="0D8E02D1" w14:textId="77777777" w:rsidR="004C2197" w:rsidRDefault="004C2197">
            <w:pPr>
              <w:rPr>
                <w:rFonts w:ascii="宋体"/>
              </w:rPr>
            </w:pPr>
          </w:p>
        </w:tc>
        <w:tc>
          <w:tcPr>
            <w:tcW w:w="0" w:type="auto"/>
            <w:shd w:val="clear" w:color="auto" w:fill="auto"/>
          </w:tcPr>
          <w:p w14:paraId="0D8E02D2" w14:textId="77777777" w:rsidR="004C2197" w:rsidRDefault="004C2197">
            <w:pPr>
              <w:rPr>
                <w:rFonts w:ascii="宋体"/>
              </w:rPr>
            </w:pPr>
          </w:p>
        </w:tc>
        <w:tc>
          <w:tcPr>
            <w:tcW w:w="0" w:type="auto"/>
            <w:shd w:val="clear" w:color="auto" w:fill="auto"/>
          </w:tcPr>
          <w:p w14:paraId="0D8E02D3" w14:textId="77777777" w:rsidR="004C2197" w:rsidRDefault="004C2197">
            <w:pPr>
              <w:rPr>
                <w:rFonts w:ascii="宋体"/>
              </w:rPr>
            </w:pPr>
          </w:p>
        </w:tc>
        <w:tc>
          <w:tcPr>
            <w:tcW w:w="0" w:type="auto"/>
            <w:shd w:val="clear" w:color="auto" w:fill="auto"/>
          </w:tcPr>
          <w:p w14:paraId="0D8E02D4" w14:textId="77777777" w:rsidR="004C2197" w:rsidRDefault="004C2197">
            <w:pPr>
              <w:rPr>
                <w:rFonts w:ascii="宋体"/>
              </w:rPr>
            </w:pPr>
          </w:p>
        </w:tc>
        <w:tc>
          <w:tcPr>
            <w:tcW w:w="0" w:type="auto"/>
            <w:shd w:val="clear" w:color="auto" w:fill="auto"/>
          </w:tcPr>
          <w:p w14:paraId="0D8E02D5" w14:textId="77777777" w:rsidR="004C2197" w:rsidRDefault="004C2197">
            <w:pPr>
              <w:rPr>
                <w:rFonts w:ascii="宋体"/>
              </w:rPr>
            </w:pPr>
          </w:p>
        </w:tc>
        <w:tc>
          <w:tcPr>
            <w:tcW w:w="0" w:type="auto"/>
            <w:shd w:val="clear" w:color="auto" w:fill="auto"/>
          </w:tcPr>
          <w:p w14:paraId="0D8E02D6" w14:textId="77777777" w:rsidR="004C2197" w:rsidRDefault="004C2197">
            <w:pPr>
              <w:rPr>
                <w:rFonts w:ascii="宋体"/>
              </w:rPr>
            </w:pPr>
          </w:p>
        </w:tc>
        <w:tc>
          <w:tcPr>
            <w:tcW w:w="0" w:type="auto"/>
            <w:shd w:val="clear" w:color="auto" w:fill="auto"/>
          </w:tcPr>
          <w:p w14:paraId="0D8E02D7" w14:textId="77777777" w:rsidR="004C2197" w:rsidRDefault="004C2197">
            <w:pPr>
              <w:rPr>
                <w:rFonts w:ascii="宋体"/>
              </w:rPr>
            </w:pPr>
          </w:p>
        </w:tc>
        <w:tc>
          <w:tcPr>
            <w:tcW w:w="0" w:type="auto"/>
            <w:shd w:val="clear" w:color="auto" w:fill="auto"/>
          </w:tcPr>
          <w:p w14:paraId="0D8E02D8" w14:textId="77777777" w:rsidR="004C2197" w:rsidRDefault="004C2197">
            <w:pPr>
              <w:rPr>
                <w:rFonts w:ascii="宋体"/>
              </w:rPr>
            </w:pPr>
          </w:p>
        </w:tc>
      </w:tr>
      <w:tr w:rsidR="004C2197" w14:paraId="0D8E02F8" w14:textId="77777777">
        <w:tc>
          <w:tcPr>
            <w:tcW w:w="0" w:type="auto"/>
            <w:gridSpan w:val="3"/>
            <w:shd w:val="clear" w:color="auto" w:fill="FFFFFF"/>
            <w:tcMar>
              <w:top w:w="40" w:type="dxa"/>
              <w:left w:w="360" w:type="dxa"/>
              <w:bottom w:w="40" w:type="dxa"/>
              <w:right w:w="20" w:type="dxa"/>
            </w:tcMar>
            <w:vAlign w:val="bottom"/>
          </w:tcPr>
          <w:p w14:paraId="0D8E02DA" w14:textId="77777777" w:rsidR="004C2197" w:rsidRDefault="00863B83">
            <w:pPr>
              <w:textAlignment w:val="bottom"/>
            </w:pPr>
            <w:r>
              <w:rPr>
                <w:rFonts w:ascii="sans-serif" w:eastAsia="sans-serif" w:hAnsi="sans-serif" w:cs="sans-serif"/>
                <w:color w:val="000000"/>
                <w:sz w:val="20"/>
                <w:szCs w:val="20"/>
              </w:rPr>
              <w:t>Other Asia Pacific</w:t>
            </w:r>
          </w:p>
        </w:tc>
        <w:tc>
          <w:tcPr>
            <w:tcW w:w="0" w:type="auto"/>
            <w:gridSpan w:val="2"/>
            <w:shd w:val="clear" w:color="auto" w:fill="FFFFFF"/>
            <w:tcMar>
              <w:top w:w="40" w:type="dxa"/>
              <w:left w:w="20" w:type="dxa"/>
              <w:bottom w:w="40" w:type="dxa"/>
              <w:right w:w="0" w:type="dxa"/>
            </w:tcMar>
            <w:vAlign w:val="bottom"/>
          </w:tcPr>
          <w:p w14:paraId="0D8E02DB" w14:textId="77777777" w:rsidR="004C2197" w:rsidRDefault="00863B83">
            <w:pPr>
              <w:jc w:val="right"/>
              <w:textAlignment w:val="bottom"/>
            </w:pPr>
            <w:r>
              <w:rPr>
                <w:rFonts w:ascii="sans-serif" w:eastAsia="sans-serif" w:hAnsi="sans-serif" w:cs="sans-serif"/>
                <w:color w:val="000000"/>
                <w:sz w:val="20"/>
                <w:szCs w:val="20"/>
              </w:rPr>
              <w:t>698 </w:t>
            </w:r>
          </w:p>
        </w:tc>
        <w:tc>
          <w:tcPr>
            <w:tcW w:w="0" w:type="auto"/>
            <w:shd w:val="clear" w:color="auto" w:fill="FFFFFF"/>
            <w:tcMar>
              <w:top w:w="40" w:type="dxa"/>
              <w:bottom w:w="40" w:type="dxa"/>
              <w:right w:w="20" w:type="dxa"/>
            </w:tcMar>
            <w:vAlign w:val="bottom"/>
          </w:tcPr>
          <w:p w14:paraId="0D8E02D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D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DE" w14:textId="77777777" w:rsidR="004C2197" w:rsidRDefault="00863B83">
            <w:pPr>
              <w:jc w:val="right"/>
              <w:textAlignment w:val="bottom"/>
            </w:pPr>
            <w:r>
              <w:rPr>
                <w:rFonts w:ascii="sans-serif" w:eastAsia="sans-serif" w:hAnsi="sans-serif" w:cs="sans-serif"/>
                <w:color w:val="000000"/>
                <w:sz w:val="20"/>
                <w:szCs w:val="20"/>
              </w:rPr>
              <w:t>756 </w:t>
            </w:r>
          </w:p>
        </w:tc>
        <w:tc>
          <w:tcPr>
            <w:tcW w:w="0" w:type="auto"/>
            <w:shd w:val="clear" w:color="auto" w:fill="FFFFFF"/>
            <w:tcMar>
              <w:top w:w="40" w:type="dxa"/>
              <w:bottom w:w="40" w:type="dxa"/>
              <w:right w:w="20" w:type="dxa"/>
            </w:tcMar>
            <w:vAlign w:val="bottom"/>
          </w:tcPr>
          <w:p w14:paraId="0D8E02D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E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E1" w14:textId="77777777" w:rsidR="004C2197" w:rsidRDefault="00863B83">
            <w:pPr>
              <w:jc w:val="right"/>
              <w:textAlignment w:val="bottom"/>
            </w:pPr>
            <w:r>
              <w:rPr>
                <w:rFonts w:ascii="sans-serif" w:eastAsia="sans-serif" w:hAnsi="sans-serif" w:cs="sans-serif"/>
                <w:color w:val="000000"/>
                <w:sz w:val="20"/>
                <w:szCs w:val="20"/>
              </w:rPr>
              <w:t>1,305 </w:t>
            </w:r>
          </w:p>
        </w:tc>
        <w:tc>
          <w:tcPr>
            <w:tcW w:w="0" w:type="auto"/>
            <w:shd w:val="clear" w:color="auto" w:fill="FFFFFF"/>
            <w:tcMar>
              <w:top w:w="40" w:type="dxa"/>
              <w:bottom w:w="40" w:type="dxa"/>
              <w:right w:w="20" w:type="dxa"/>
            </w:tcMar>
            <w:vAlign w:val="bottom"/>
          </w:tcPr>
          <w:p w14:paraId="0D8E02E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2E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2E4" w14:textId="77777777" w:rsidR="004C2197" w:rsidRDefault="00863B83">
            <w:pPr>
              <w:jc w:val="right"/>
              <w:textAlignment w:val="bottom"/>
            </w:pPr>
            <w:r>
              <w:rPr>
                <w:rFonts w:ascii="sans-serif" w:eastAsia="sans-serif" w:hAnsi="sans-serif" w:cs="sans-serif"/>
                <w:color w:val="000000"/>
                <w:sz w:val="20"/>
                <w:szCs w:val="20"/>
              </w:rPr>
              <w:t>1,178 </w:t>
            </w:r>
          </w:p>
        </w:tc>
        <w:tc>
          <w:tcPr>
            <w:tcW w:w="0" w:type="auto"/>
            <w:shd w:val="clear" w:color="auto" w:fill="FFFFFF"/>
            <w:tcMar>
              <w:top w:w="40" w:type="dxa"/>
              <w:bottom w:w="40" w:type="dxa"/>
              <w:right w:w="20" w:type="dxa"/>
            </w:tcMar>
            <w:vAlign w:val="bottom"/>
          </w:tcPr>
          <w:p w14:paraId="0D8E02E5" w14:textId="77777777" w:rsidR="004C2197" w:rsidRDefault="004C2197">
            <w:pPr>
              <w:jc w:val="right"/>
              <w:rPr>
                <w:rFonts w:ascii="宋体"/>
              </w:rPr>
            </w:pPr>
          </w:p>
        </w:tc>
        <w:tc>
          <w:tcPr>
            <w:tcW w:w="0" w:type="auto"/>
            <w:shd w:val="clear" w:color="auto" w:fill="auto"/>
          </w:tcPr>
          <w:p w14:paraId="0D8E02E6" w14:textId="77777777" w:rsidR="004C2197" w:rsidRDefault="004C2197">
            <w:pPr>
              <w:rPr>
                <w:rFonts w:ascii="宋体"/>
              </w:rPr>
            </w:pPr>
          </w:p>
        </w:tc>
        <w:tc>
          <w:tcPr>
            <w:tcW w:w="0" w:type="auto"/>
            <w:shd w:val="clear" w:color="auto" w:fill="auto"/>
          </w:tcPr>
          <w:p w14:paraId="0D8E02E7" w14:textId="77777777" w:rsidR="004C2197" w:rsidRDefault="004C2197">
            <w:pPr>
              <w:rPr>
                <w:rFonts w:ascii="宋体"/>
              </w:rPr>
            </w:pPr>
          </w:p>
        </w:tc>
        <w:tc>
          <w:tcPr>
            <w:tcW w:w="0" w:type="auto"/>
            <w:shd w:val="clear" w:color="auto" w:fill="auto"/>
          </w:tcPr>
          <w:p w14:paraId="0D8E02E8" w14:textId="77777777" w:rsidR="004C2197" w:rsidRDefault="004C2197">
            <w:pPr>
              <w:rPr>
                <w:rFonts w:ascii="宋体"/>
              </w:rPr>
            </w:pPr>
          </w:p>
        </w:tc>
        <w:tc>
          <w:tcPr>
            <w:tcW w:w="0" w:type="auto"/>
            <w:shd w:val="clear" w:color="auto" w:fill="auto"/>
          </w:tcPr>
          <w:p w14:paraId="0D8E02E9" w14:textId="77777777" w:rsidR="004C2197" w:rsidRDefault="004C2197">
            <w:pPr>
              <w:rPr>
                <w:rFonts w:ascii="宋体"/>
              </w:rPr>
            </w:pPr>
          </w:p>
        </w:tc>
        <w:tc>
          <w:tcPr>
            <w:tcW w:w="0" w:type="auto"/>
            <w:shd w:val="clear" w:color="auto" w:fill="auto"/>
          </w:tcPr>
          <w:p w14:paraId="0D8E02EA" w14:textId="77777777" w:rsidR="004C2197" w:rsidRDefault="004C2197">
            <w:pPr>
              <w:rPr>
                <w:rFonts w:ascii="宋体"/>
              </w:rPr>
            </w:pPr>
          </w:p>
        </w:tc>
        <w:tc>
          <w:tcPr>
            <w:tcW w:w="0" w:type="auto"/>
            <w:shd w:val="clear" w:color="auto" w:fill="auto"/>
          </w:tcPr>
          <w:p w14:paraId="0D8E02EB" w14:textId="77777777" w:rsidR="004C2197" w:rsidRDefault="004C2197">
            <w:pPr>
              <w:rPr>
                <w:rFonts w:ascii="宋体"/>
              </w:rPr>
            </w:pPr>
          </w:p>
        </w:tc>
        <w:tc>
          <w:tcPr>
            <w:tcW w:w="0" w:type="auto"/>
            <w:shd w:val="clear" w:color="auto" w:fill="auto"/>
          </w:tcPr>
          <w:p w14:paraId="0D8E02EC" w14:textId="77777777" w:rsidR="004C2197" w:rsidRDefault="004C2197">
            <w:pPr>
              <w:rPr>
                <w:rFonts w:ascii="宋体"/>
              </w:rPr>
            </w:pPr>
          </w:p>
        </w:tc>
        <w:tc>
          <w:tcPr>
            <w:tcW w:w="0" w:type="auto"/>
            <w:shd w:val="clear" w:color="auto" w:fill="auto"/>
          </w:tcPr>
          <w:p w14:paraId="0D8E02ED" w14:textId="77777777" w:rsidR="004C2197" w:rsidRDefault="004C2197">
            <w:pPr>
              <w:rPr>
                <w:rFonts w:ascii="宋体"/>
              </w:rPr>
            </w:pPr>
          </w:p>
        </w:tc>
        <w:tc>
          <w:tcPr>
            <w:tcW w:w="0" w:type="auto"/>
            <w:shd w:val="clear" w:color="auto" w:fill="auto"/>
          </w:tcPr>
          <w:p w14:paraId="0D8E02EE" w14:textId="77777777" w:rsidR="004C2197" w:rsidRDefault="004C2197">
            <w:pPr>
              <w:rPr>
                <w:rFonts w:ascii="宋体"/>
              </w:rPr>
            </w:pPr>
          </w:p>
        </w:tc>
        <w:tc>
          <w:tcPr>
            <w:tcW w:w="0" w:type="auto"/>
            <w:shd w:val="clear" w:color="auto" w:fill="auto"/>
          </w:tcPr>
          <w:p w14:paraId="0D8E02EF" w14:textId="77777777" w:rsidR="004C2197" w:rsidRDefault="004C2197">
            <w:pPr>
              <w:rPr>
                <w:rFonts w:ascii="宋体"/>
              </w:rPr>
            </w:pPr>
          </w:p>
        </w:tc>
        <w:tc>
          <w:tcPr>
            <w:tcW w:w="0" w:type="auto"/>
            <w:shd w:val="clear" w:color="auto" w:fill="auto"/>
          </w:tcPr>
          <w:p w14:paraId="0D8E02F0" w14:textId="77777777" w:rsidR="004C2197" w:rsidRDefault="004C2197">
            <w:pPr>
              <w:rPr>
                <w:rFonts w:ascii="宋体"/>
              </w:rPr>
            </w:pPr>
          </w:p>
        </w:tc>
        <w:tc>
          <w:tcPr>
            <w:tcW w:w="0" w:type="auto"/>
            <w:shd w:val="clear" w:color="auto" w:fill="auto"/>
          </w:tcPr>
          <w:p w14:paraId="0D8E02F1" w14:textId="77777777" w:rsidR="004C2197" w:rsidRDefault="004C2197">
            <w:pPr>
              <w:rPr>
                <w:rFonts w:ascii="宋体"/>
              </w:rPr>
            </w:pPr>
          </w:p>
        </w:tc>
        <w:tc>
          <w:tcPr>
            <w:tcW w:w="0" w:type="auto"/>
            <w:shd w:val="clear" w:color="auto" w:fill="auto"/>
          </w:tcPr>
          <w:p w14:paraId="0D8E02F2" w14:textId="77777777" w:rsidR="004C2197" w:rsidRDefault="004C2197">
            <w:pPr>
              <w:rPr>
                <w:rFonts w:ascii="宋体"/>
              </w:rPr>
            </w:pPr>
          </w:p>
        </w:tc>
        <w:tc>
          <w:tcPr>
            <w:tcW w:w="0" w:type="auto"/>
            <w:shd w:val="clear" w:color="auto" w:fill="auto"/>
          </w:tcPr>
          <w:p w14:paraId="0D8E02F3" w14:textId="77777777" w:rsidR="004C2197" w:rsidRDefault="004C2197">
            <w:pPr>
              <w:rPr>
                <w:rFonts w:ascii="宋体"/>
              </w:rPr>
            </w:pPr>
          </w:p>
        </w:tc>
        <w:tc>
          <w:tcPr>
            <w:tcW w:w="0" w:type="auto"/>
            <w:shd w:val="clear" w:color="auto" w:fill="auto"/>
          </w:tcPr>
          <w:p w14:paraId="0D8E02F4" w14:textId="77777777" w:rsidR="004C2197" w:rsidRDefault="004C2197">
            <w:pPr>
              <w:rPr>
                <w:rFonts w:ascii="宋体"/>
              </w:rPr>
            </w:pPr>
          </w:p>
        </w:tc>
        <w:tc>
          <w:tcPr>
            <w:tcW w:w="0" w:type="auto"/>
            <w:shd w:val="clear" w:color="auto" w:fill="auto"/>
          </w:tcPr>
          <w:p w14:paraId="0D8E02F5" w14:textId="77777777" w:rsidR="004C2197" w:rsidRDefault="004C2197">
            <w:pPr>
              <w:rPr>
                <w:rFonts w:ascii="宋体"/>
              </w:rPr>
            </w:pPr>
          </w:p>
        </w:tc>
        <w:tc>
          <w:tcPr>
            <w:tcW w:w="0" w:type="auto"/>
            <w:shd w:val="clear" w:color="auto" w:fill="auto"/>
          </w:tcPr>
          <w:p w14:paraId="0D8E02F6" w14:textId="77777777" w:rsidR="004C2197" w:rsidRDefault="004C2197">
            <w:pPr>
              <w:rPr>
                <w:rFonts w:ascii="宋体"/>
              </w:rPr>
            </w:pPr>
          </w:p>
        </w:tc>
        <w:tc>
          <w:tcPr>
            <w:tcW w:w="0" w:type="auto"/>
            <w:shd w:val="clear" w:color="auto" w:fill="auto"/>
          </w:tcPr>
          <w:p w14:paraId="0D8E02F7" w14:textId="77777777" w:rsidR="004C2197" w:rsidRDefault="004C2197">
            <w:pPr>
              <w:rPr>
                <w:rFonts w:ascii="宋体"/>
              </w:rPr>
            </w:pPr>
          </w:p>
        </w:tc>
      </w:tr>
      <w:tr w:rsidR="004C2197" w14:paraId="0D8E0317" w14:textId="77777777">
        <w:tc>
          <w:tcPr>
            <w:tcW w:w="0" w:type="auto"/>
            <w:gridSpan w:val="3"/>
            <w:shd w:val="clear" w:color="auto" w:fill="E2EFD9"/>
            <w:tcMar>
              <w:top w:w="40" w:type="dxa"/>
              <w:left w:w="360" w:type="dxa"/>
              <w:bottom w:w="40" w:type="dxa"/>
              <w:right w:w="20" w:type="dxa"/>
            </w:tcMar>
            <w:vAlign w:val="bottom"/>
          </w:tcPr>
          <w:p w14:paraId="0D8E02F9" w14:textId="77777777" w:rsidR="004C2197" w:rsidRDefault="00863B83">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0D8E02FA" w14:textId="77777777" w:rsidR="004C2197" w:rsidRDefault="00863B83">
            <w:pPr>
              <w:jc w:val="right"/>
              <w:textAlignment w:val="bottom"/>
            </w:pPr>
            <w:r>
              <w:rPr>
                <w:rFonts w:ascii="sans-serif" w:eastAsia="sans-serif" w:hAnsi="sans-serif" w:cs="sans-serif"/>
                <w:color w:val="000000"/>
                <w:sz w:val="20"/>
                <w:szCs w:val="20"/>
              </w:rPr>
              <w:t>240 </w:t>
            </w:r>
          </w:p>
        </w:tc>
        <w:tc>
          <w:tcPr>
            <w:tcW w:w="0" w:type="auto"/>
            <w:shd w:val="clear" w:color="auto" w:fill="E2EFD9"/>
            <w:tcMar>
              <w:top w:w="40" w:type="dxa"/>
              <w:bottom w:w="40" w:type="dxa"/>
              <w:right w:w="20" w:type="dxa"/>
            </w:tcMar>
            <w:vAlign w:val="bottom"/>
          </w:tcPr>
          <w:p w14:paraId="0D8E02F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F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2FD" w14:textId="77777777" w:rsidR="004C2197" w:rsidRDefault="00863B83">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bottom w:w="40" w:type="dxa"/>
              <w:right w:w="20" w:type="dxa"/>
            </w:tcMar>
            <w:vAlign w:val="bottom"/>
          </w:tcPr>
          <w:p w14:paraId="0D8E02F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2F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300" w14:textId="77777777" w:rsidR="004C2197" w:rsidRDefault="00863B83">
            <w:pPr>
              <w:jc w:val="right"/>
              <w:textAlignment w:val="bottom"/>
            </w:pPr>
            <w:r>
              <w:rPr>
                <w:rFonts w:ascii="sans-serif" w:eastAsia="sans-serif" w:hAnsi="sans-serif" w:cs="sans-serif"/>
                <w:color w:val="000000"/>
                <w:sz w:val="20"/>
                <w:szCs w:val="20"/>
              </w:rPr>
              <w:t>494 </w:t>
            </w:r>
          </w:p>
        </w:tc>
        <w:tc>
          <w:tcPr>
            <w:tcW w:w="0" w:type="auto"/>
            <w:shd w:val="clear" w:color="auto" w:fill="E2EFD9"/>
            <w:tcMar>
              <w:top w:w="40" w:type="dxa"/>
              <w:bottom w:w="40" w:type="dxa"/>
              <w:right w:w="20" w:type="dxa"/>
            </w:tcMar>
            <w:vAlign w:val="bottom"/>
          </w:tcPr>
          <w:p w14:paraId="0D8E030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0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303" w14:textId="77777777" w:rsidR="004C2197" w:rsidRDefault="00863B83">
            <w:pPr>
              <w:jc w:val="right"/>
              <w:textAlignment w:val="bottom"/>
            </w:pPr>
            <w:r>
              <w:rPr>
                <w:rFonts w:ascii="sans-serif" w:eastAsia="sans-serif" w:hAnsi="sans-serif" w:cs="sans-serif"/>
                <w:color w:val="000000"/>
                <w:sz w:val="20"/>
                <w:szCs w:val="20"/>
              </w:rPr>
              <w:t>537 </w:t>
            </w:r>
          </w:p>
        </w:tc>
        <w:tc>
          <w:tcPr>
            <w:tcW w:w="0" w:type="auto"/>
            <w:shd w:val="clear" w:color="auto" w:fill="E2EFD9"/>
            <w:tcMar>
              <w:top w:w="40" w:type="dxa"/>
              <w:bottom w:w="40" w:type="dxa"/>
              <w:right w:w="20" w:type="dxa"/>
            </w:tcMar>
            <w:vAlign w:val="bottom"/>
          </w:tcPr>
          <w:p w14:paraId="0D8E0304" w14:textId="77777777" w:rsidR="004C2197" w:rsidRDefault="004C2197">
            <w:pPr>
              <w:jc w:val="right"/>
              <w:rPr>
                <w:rFonts w:ascii="宋体"/>
              </w:rPr>
            </w:pPr>
          </w:p>
        </w:tc>
        <w:tc>
          <w:tcPr>
            <w:tcW w:w="0" w:type="auto"/>
            <w:shd w:val="clear" w:color="auto" w:fill="auto"/>
          </w:tcPr>
          <w:p w14:paraId="0D8E0305" w14:textId="77777777" w:rsidR="004C2197" w:rsidRDefault="004C2197">
            <w:pPr>
              <w:rPr>
                <w:rFonts w:ascii="宋体"/>
              </w:rPr>
            </w:pPr>
          </w:p>
        </w:tc>
        <w:tc>
          <w:tcPr>
            <w:tcW w:w="0" w:type="auto"/>
            <w:shd w:val="clear" w:color="auto" w:fill="auto"/>
          </w:tcPr>
          <w:p w14:paraId="0D8E0306" w14:textId="77777777" w:rsidR="004C2197" w:rsidRDefault="004C2197">
            <w:pPr>
              <w:rPr>
                <w:rFonts w:ascii="宋体"/>
              </w:rPr>
            </w:pPr>
          </w:p>
        </w:tc>
        <w:tc>
          <w:tcPr>
            <w:tcW w:w="0" w:type="auto"/>
            <w:shd w:val="clear" w:color="auto" w:fill="auto"/>
          </w:tcPr>
          <w:p w14:paraId="0D8E0307" w14:textId="77777777" w:rsidR="004C2197" w:rsidRDefault="004C2197">
            <w:pPr>
              <w:rPr>
                <w:rFonts w:ascii="宋体"/>
              </w:rPr>
            </w:pPr>
          </w:p>
        </w:tc>
        <w:tc>
          <w:tcPr>
            <w:tcW w:w="0" w:type="auto"/>
            <w:shd w:val="clear" w:color="auto" w:fill="auto"/>
          </w:tcPr>
          <w:p w14:paraId="0D8E0308" w14:textId="77777777" w:rsidR="004C2197" w:rsidRDefault="004C2197">
            <w:pPr>
              <w:rPr>
                <w:rFonts w:ascii="宋体"/>
              </w:rPr>
            </w:pPr>
          </w:p>
        </w:tc>
        <w:tc>
          <w:tcPr>
            <w:tcW w:w="0" w:type="auto"/>
            <w:shd w:val="clear" w:color="auto" w:fill="auto"/>
          </w:tcPr>
          <w:p w14:paraId="0D8E0309" w14:textId="77777777" w:rsidR="004C2197" w:rsidRDefault="004C2197">
            <w:pPr>
              <w:rPr>
                <w:rFonts w:ascii="宋体"/>
              </w:rPr>
            </w:pPr>
          </w:p>
        </w:tc>
        <w:tc>
          <w:tcPr>
            <w:tcW w:w="0" w:type="auto"/>
            <w:shd w:val="clear" w:color="auto" w:fill="auto"/>
          </w:tcPr>
          <w:p w14:paraId="0D8E030A" w14:textId="77777777" w:rsidR="004C2197" w:rsidRDefault="004C2197">
            <w:pPr>
              <w:rPr>
                <w:rFonts w:ascii="宋体"/>
              </w:rPr>
            </w:pPr>
          </w:p>
        </w:tc>
        <w:tc>
          <w:tcPr>
            <w:tcW w:w="0" w:type="auto"/>
            <w:shd w:val="clear" w:color="auto" w:fill="auto"/>
          </w:tcPr>
          <w:p w14:paraId="0D8E030B" w14:textId="77777777" w:rsidR="004C2197" w:rsidRDefault="004C2197">
            <w:pPr>
              <w:rPr>
                <w:rFonts w:ascii="宋体"/>
              </w:rPr>
            </w:pPr>
          </w:p>
        </w:tc>
        <w:tc>
          <w:tcPr>
            <w:tcW w:w="0" w:type="auto"/>
            <w:shd w:val="clear" w:color="auto" w:fill="auto"/>
          </w:tcPr>
          <w:p w14:paraId="0D8E030C" w14:textId="77777777" w:rsidR="004C2197" w:rsidRDefault="004C2197">
            <w:pPr>
              <w:rPr>
                <w:rFonts w:ascii="宋体"/>
              </w:rPr>
            </w:pPr>
          </w:p>
        </w:tc>
        <w:tc>
          <w:tcPr>
            <w:tcW w:w="0" w:type="auto"/>
            <w:shd w:val="clear" w:color="auto" w:fill="auto"/>
          </w:tcPr>
          <w:p w14:paraId="0D8E030D" w14:textId="77777777" w:rsidR="004C2197" w:rsidRDefault="004C2197">
            <w:pPr>
              <w:rPr>
                <w:rFonts w:ascii="宋体"/>
              </w:rPr>
            </w:pPr>
          </w:p>
        </w:tc>
        <w:tc>
          <w:tcPr>
            <w:tcW w:w="0" w:type="auto"/>
            <w:shd w:val="clear" w:color="auto" w:fill="auto"/>
          </w:tcPr>
          <w:p w14:paraId="0D8E030E" w14:textId="77777777" w:rsidR="004C2197" w:rsidRDefault="004C2197">
            <w:pPr>
              <w:rPr>
                <w:rFonts w:ascii="宋体"/>
              </w:rPr>
            </w:pPr>
          </w:p>
        </w:tc>
        <w:tc>
          <w:tcPr>
            <w:tcW w:w="0" w:type="auto"/>
            <w:shd w:val="clear" w:color="auto" w:fill="auto"/>
          </w:tcPr>
          <w:p w14:paraId="0D8E030F" w14:textId="77777777" w:rsidR="004C2197" w:rsidRDefault="004C2197">
            <w:pPr>
              <w:rPr>
                <w:rFonts w:ascii="宋体"/>
              </w:rPr>
            </w:pPr>
          </w:p>
        </w:tc>
        <w:tc>
          <w:tcPr>
            <w:tcW w:w="0" w:type="auto"/>
            <w:shd w:val="clear" w:color="auto" w:fill="auto"/>
          </w:tcPr>
          <w:p w14:paraId="0D8E0310" w14:textId="77777777" w:rsidR="004C2197" w:rsidRDefault="004C2197">
            <w:pPr>
              <w:rPr>
                <w:rFonts w:ascii="宋体"/>
              </w:rPr>
            </w:pPr>
          </w:p>
        </w:tc>
        <w:tc>
          <w:tcPr>
            <w:tcW w:w="0" w:type="auto"/>
            <w:shd w:val="clear" w:color="auto" w:fill="auto"/>
          </w:tcPr>
          <w:p w14:paraId="0D8E0311" w14:textId="77777777" w:rsidR="004C2197" w:rsidRDefault="004C2197">
            <w:pPr>
              <w:rPr>
                <w:rFonts w:ascii="宋体"/>
              </w:rPr>
            </w:pPr>
          </w:p>
        </w:tc>
        <w:tc>
          <w:tcPr>
            <w:tcW w:w="0" w:type="auto"/>
            <w:shd w:val="clear" w:color="auto" w:fill="auto"/>
          </w:tcPr>
          <w:p w14:paraId="0D8E0312" w14:textId="77777777" w:rsidR="004C2197" w:rsidRDefault="004C2197">
            <w:pPr>
              <w:rPr>
                <w:rFonts w:ascii="宋体"/>
              </w:rPr>
            </w:pPr>
          </w:p>
        </w:tc>
        <w:tc>
          <w:tcPr>
            <w:tcW w:w="0" w:type="auto"/>
            <w:shd w:val="clear" w:color="auto" w:fill="auto"/>
          </w:tcPr>
          <w:p w14:paraId="0D8E0313" w14:textId="77777777" w:rsidR="004C2197" w:rsidRDefault="004C2197">
            <w:pPr>
              <w:rPr>
                <w:rFonts w:ascii="宋体"/>
              </w:rPr>
            </w:pPr>
          </w:p>
        </w:tc>
        <w:tc>
          <w:tcPr>
            <w:tcW w:w="0" w:type="auto"/>
            <w:shd w:val="clear" w:color="auto" w:fill="auto"/>
          </w:tcPr>
          <w:p w14:paraId="0D8E0314" w14:textId="77777777" w:rsidR="004C2197" w:rsidRDefault="004C2197">
            <w:pPr>
              <w:rPr>
                <w:rFonts w:ascii="宋体"/>
              </w:rPr>
            </w:pPr>
          </w:p>
        </w:tc>
        <w:tc>
          <w:tcPr>
            <w:tcW w:w="0" w:type="auto"/>
            <w:shd w:val="clear" w:color="auto" w:fill="auto"/>
          </w:tcPr>
          <w:p w14:paraId="0D8E0315" w14:textId="77777777" w:rsidR="004C2197" w:rsidRDefault="004C2197">
            <w:pPr>
              <w:rPr>
                <w:rFonts w:ascii="宋体"/>
              </w:rPr>
            </w:pPr>
          </w:p>
        </w:tc>
        <w:tc>
          <w:tcPr>
            <w:tcW w:w="0" w:type="auto"/>
            <w:shd w:val="clear" w:color="auto" w:fill="auto"/>
          </w:tcPr>
          <w:p w14:paraId="0D8E0316" w14:textId="77777777" w:rsidR="004C2197" w:rsidRDefault="004C2197">
            <w:pPr>
              <w:rPr>
                <w:rFonts w:ascii="宋体"/>
              </w:rPr>
            </w:pPr>
          </w:p>
        </w:tc>
      </w:tr>
      <w:tr w:rsidR="004C2197" w14:paraId="0D8E0336" w14:textId="77777777">
        <w:tc>
          <w:tcPr>
            <w:tcW w:w="0" w:type="auto"/>
            <w:gridSpan w:val="3"/>
            <w:shd w:val="clear" w:color="auto" w:fill="FFFFFF"/>
            <w:tcMar>
              <w:top w:w="40" w:type="dxa"/>
              <w:left w:w="360" w:type="dxa"/>
              <w:bottom w:w="40" w:type="dxa"/>
              <w:right w:w="20" w:type="dxa"/>
            </w:tcMar>
            <w:vAlign w:val="bottom"/>
          </w:tcPr>
          <w:p w14:paraId="0D8E0318" w14:textId="77777777" w:rsidR="004C2197" w:rsidRDefault="00863B83">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0D8E0319" w14:textId="77777777" w:rsidR="004C2197" w:rsidRDefault="00863B83">
            <w:pPr>
              <w:jc w:val="right"/>
              <w:textAlignment w:val="bottom"/>
            </w:pPr>
            <w:r>
              <w:rPr>
                <w:rFonts w:ascii="sans-serif" w:eastAsia="sans-serif" w:hAnsi="sans-serif" w:cs="sans-serif"/>
                <w:color w:val="000000"/>
                <w:sz w:val="20"/>
                <w:szCs w:val="20"/>
              </w:rPr>
              <w:t>175 </w:t>
            </w:r>
          </w:p>
        </w:tc>
        <w:tc>
          <w:tcPr>
            <w:tcW w:w="0" w:type="auto"/>
            <w:shd w:val="clear" w:color="auto" w:fill="FFFFFF"/>
            <w:tcMar>
              <w:top w:w="40" w:type="dxa"/>
              <w:bottom w:w="40" w:type="dxa"/>
              <w:right w:w="20" w:type="dxa"/>
            </w:tcMar>
            <w:vAlign w:val="bottom"/>
          </w:tcPr>
          <w:p w14:paraId="0D8E031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31B"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31C" w14:textId="77777777" w:rsidR="004C2197" w:rsidRDefault="00863B83">
            <w:pPr>
              <w:jc w:val="right"/>
              <w:textAlignment w:val="bottom"/>
            </w:pPr>
            <w:r>
              <w:rPr>
                <w:rFonts w:ascii="sans-serif" w:eastAsia="sans-serif" w:hAnsi="sans-serif" w:cs="sans-serif"/>
                <w:color w:val="000000"/>
                <w:sz w:val="20"/>
                <w:szCs w:val="20"/>
              </w:rPr>
              <w:t>129 </w:t>
            </w:r>
          </w:p>
        </w:tc>
        <w:tc>
          <w:tcPr>
            <w:tcW w:w="0" w:type="auto"/>
            <w:shd w:val="clear" w:color="auto" w:fill="FFFFFF"/>
            <w:tcMar>
              <w:top w:w="40" w:type="dxa"/>
              <w:bottom w:w="40" w:type="dxa"/>
              <w:right w:w="20" w:type="dxa"/>
            </w:tcMar>
            <w:vAlign w:val="bottom"/>
          </w:tcPr>
          <w:p w14:paraId="0D8E031D"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31E"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31F" w14:textId="77777777" w:rsidR="004C2197" w:rsidRDefault="00863B83">
            <w:pPr>
              <w:jc w:val="right"/>
              <w:textAlignment w:val="bottom"/>
            </w:pPr>
            <w:r>
              <w:rPr>
                <w:rFonts w:ascii="sans-serif" w:eastAsia="sans-serif" w:hAnsi="sans-serif" w:cs="sans-serif"/>
                <w:color w:val="000000"/>
                <w:sz w:val="20"/>
                <w:szCs w:val="20"/>
              </w:rPr>
              <w:t>326 </w:t>
            </w:r>
          </w:p>
        </w:tc>
        <w:tc>
          <w:tcPr>
            <w:tcW w:w="0" w:type="auto"/>
            <w:shd w:val="clear" w:color="auto" w:fill="FFFFFF"/>
            <w:tcMar>
              <w:top w:w="40" w:type="dxa"/>
              <w:bottom w:w="40" w:type="dxa"/>
              <w:right w:w="20" w:type="dxa"/>
            </w:tcMar>
            <w:vAlign w:val="bottom"/>
          </w:tcPr>
          <w:p w14:paraId="0D8E032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321"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322" w14:textId="77777777" w:rsidR="004C2197" w:rsidRDefault="00863B83">
            <w:pPr>
              <w:jc w:val="right"/>
              <w:textAlignment w:val="bottom"/>
            </w:pPr>
            <w:r>
              <w:rPr>
                <w:rFonts w:ascii="sans-serif" w:eastAsia="sans-serif" w:hAnsi="sans-serif" w:cs="sans-serif"/>
                <w:color w:val="000000"/>
                <w:sz w:val="20"/>
                <w:szCs w:val="20"/>
              </w:rPr>
              <w:t>262 </w:t>
            </w:r>
          </w:p>
        </w:tc>
        <w:tc>
          <w:tcPr>
            <w:tcW w:w="0" w:type="auto"/>
            <w:shd w:val="clear" w:color="auto" w:fill="FFFFFF"/>
            <w:tcMar>
              <w:top w:w="40" w:type="dxa"/>
              <w:bottom w:w="40" w:type="dxa"/>
              <w:right w:w="20" w:type="dxa"/>
            </w:tcMar>
            <w:vAlign w:val="bottom"/>
          </w:tcPr>
          <w:p w14:paraId="0D8E0323" w14:textId="77777777" w:rsidR="004C2197" w:rsidRDefault="004C2197">
            <w:pPr>
              <w:jc w:val="right"/>
              <w:rPr>
                <w:rFonts w:ascii="宋体"/>
              </w:rPr>
            </w:pPr>
          </w:p>
        </w:tc>
        <w:tc>
          <w:tcPr>
            <w:tcW w:w="0" w:type="auto"/>
            <w:shd w:val="clear" w:color="auto" w:fill="auto"/>
          </w:tcPr>
          <w:p w14:paraId="0D8E0324" w14:textId="77777777" w:rsidR="004C2197" w:rsidRDefault="004C2197">
            <w:pPr>
              <w:rPr>
                <w:rFonts w:ascii="宋体"/>
              </w:rPr>
            </w:pPr>
          </w:p>
        </w:tc>
        <w:tc>
          <w:tcPr>
            <w:tcW w:w="0" w:type="auto"/>
            <w:shd w:val="clear" w:color="auto" w:fill="auto"/>
          </w:tcPr>
          <w:p w14:paraId="0D8E0325" w14:textId="77777777" w:rsidR="004C2197" w:rsidRDefault="004C2197">
            <w:pPr>
              <w:rPr>
                <w:rFonts w:ascii="宋体"/>
              </w:rPr>
            </w:pPr>
          </w:p>
        </w:tc>
        <w:tc>
          <w:tcPr>
            <w:tcW w:w="0" w:type="auto"/>
            <w:shd w:val="clear" w:color="auto" w:fill="auto"/>
          </w:tcPr>
          <w:p w14:paraId="0D8E0326" w14:textId="77777777" w:rsidR="004C2197" w:rsidRDefault="004C2197">
            <w:pPr>
              <w:rPr>
                <w:rFonts w:ascii="宋体"/>
              </w:rPr>
            </w:pPr>
          </w:p>
        </w:tc>
        <w:tc>
          <w:tcPr>
            <w:tcW w:w="0" w:type="auto"/>
            <w:shd w:val="clear" w:color="auto" w:fill="auto"/>
          </w:tcPr>
          <w:p w14:paraId="0D8E0327" w14:textId="77777777" w:rsidR="004C2197" w:rsidRDefault="004C2197">
            <w:pPr>
              <w:rPr>
                <w:rFonts w:ascii="宋体"/>
              </w:rPr>
            </w:pPr>
          </w:p>
        </w:tc>
        <w:tc>
          <w:tcPr>
            <w:tcW w:w="0" w:type="auto"/>
            <w:shd w:val="clear" w:color="auto" w:fill="auto"/>
          </w:tcPr>
          <w:p w14:paraId="0D8E0328" w14:textId="77777777" w:rsidR="004C2197" w:rsidRDefault="004C2197">
            <w:pPr>
              <w:rPr>
                <w:rFonts w:ascii="宋体"/>
              </w:rPr>
            </w:pPr>
          </w:p>
        </w:tc>
        <w:tc>
          <w:tcPr>
            <w:tcW w:w="0" w:type="auto"/>
            <w:shd w:val="clear" w:color="auto" w:fill="auto"/>
          </w:tcPr>
          <w:p w14:paraId="0D8E0329" w14:textId="77777777" w:rsidR="004C2197" w:rsidRDefault="004C2197">
            <w:pPr>
              <w:rPr>
                <w:rFonts w:ascii="宋体"/>
              </w:rPr>
            </w:pPr>
          </w:p>
        </w:tc>
        <w:tc>
          <w:tcPr>
            <w:tcW w:w="0" w:type="auto"/>
            <w:shd w:val="clear" w:color="auto" w:fill="auto"/>
          </w:tcPr>
          <w:p w14:paraId="0D8E032A" w14:textId="77777777" w:rsidR="004C2197" w:rsidRDefault="004C2197">
            <w:pPr>
              <w:rPr>
                <w:rFonts w:ascii="宋体"/>
              </w:rPr>
            </w:pPr>
          </w:p>
        </w:tc>
        <w:tc>
          <w:tcPr>
            <w:tcW w:w="0" w:type="auto"/>
            <w:shd w:val="clear" w:color="auto" w:fill="auto"/>
          </w:tcPr>
          <w:p w14:paraId="0D8E032B" w14:textId="77777777" w:rsidR="004C2197" w:rsidRDefault="004C2197">
            <w:pPr>
              <w:rPr>
                <w:rFonts w:ascii="宋体"/>
              </w:rPr>
            </w:pPr>
          </w:p>
        </w:tc>
        <w:tc>
          <w:tcPr>
            <w:tcW w:w="0" w:type="auto"/>
            <w:shd w:val="clear" w:color="auto" w:fill="auto"/>
          </w:tcPr>
          <w:p w14:paraId="0D8E032C" w14:textId="77777777" w:rsidR="004C2197" w:rsidRDefault="004C2197">
            <w:pPr>
              <w:rPr>
                <w:rFonts w:ascii="宋体"/>
              </w:rPr>
            </w:pPr>
          </w:p>
        </w:tc>
        <w:tc>
          <w:tcPr>
            <w:tcW w:w="0" w:type="auto"/>
            <w:shd w:val="clear" w:color="auto" w:fill="auto"/>
          </w:tcPr>
          <w:p w14:paraId="0D8E032D" w14:textId="77777777" w:rsidR="004C2197" w:rsidRDefault="004C2197">
            <w:pPr>
              <w:rPr>
                <w:rFonts w:ascii="宋体"/>
              </w:rPr>
            </w:pPr>
          </w:p>
        </w:tc>
        <w:tc>
          <w:tcPr>
            <w:tcW w:w="0" w:type="auto"/>
            <w:shd w:val="clear" w:color="auto" w:fill="auto"/>
          </w:tcPr>
          <w:p w14:paraId="0D8E032E" w14:textId="77777777" w:rsidR="004C2197" w:rsidRDefault="004C2197">
            <w:pPr>
              <w:rPr>
                <w:rFonts w:ascii="宋体"/>
              </w:rPr>
            </w:pPr>
          </w:p>
        </w:tc>
        <w:tc>
          <w:tcPr>
            <w:tcW w:w="0" w:type="auto"/>
            <w:shd w:val="clear" w:color="auto" w:fill="auto"/>
          </w:tcPr>
          <w:p w14:paraId="0D8E032F" w14:textId="77777777" w:rsidR="004C2197" w:rsidRDefault="004C2197">
            <w:pPr>
              <w:rPr>
                <w:rFonts w:ascii="宋体"/>
              </w:rPr>
            </w:pPr>
          </w:p>
        </w:tc>
        <w:tc>
          <w:tcPr>
            <w:tcW w:w="0" w:type="auto"/>
            <w:shd w:val="clear" w:color="auto" w:fill="auto"/>
          </w:tcPr>
          <w:p w14:paraId="0D8E0330" w14:textId="77777777" w:rsidR="004C2197" w:rsidRDefault="004C2197">
            <w:pPr>
              <w:rPr>
                <w:rFonts w:ascii="宋体"/>
              </w:rPr>
            </w:pPr>
          </w:p>
        </w:tc>
        <w:tc>
          <w:tcPr>
            <w:tcW w:w="0" w:type="auto"/>
            <w:shd w:val="clear" w:color="auto" w:fill="auto"/>
          </w:tcPr>
          <w:p w14:paraId="0D8E0331" w14:textId="77777777" w:rsidR="004C2197" w:rsidRDefault="004C2197">
            <w:pPr>
              <w:rPr>
                <w:rFonts w:ascii="宋体"/>
              </w:rPr>
            </w:pPr>
          </w:p>
        </w:tc>
        <w:tc>
          <w:tcPr>
            <w:tcW w:w="0" w:type="auto"/>
            <w:shd w:val="clear" w:color="auto" w:fill="auto"/>
          </w:tcPr>
          <w:p w14:paraId="0D8E0332" w14:textId="77777777" w:rsidR="004C2197" w:rsidRDefault="004C2197">
            <w:pPr>
              <w:rPr>
                <w:rFonts w:ascii="宋体"/>
              </w:rPr>
            </w:pPr>
          </w:p>
        </w:tc>
        <w:tc>
          <w:tcPr>
            <w:tcW w:w="0" w:type="auto"/>
            <w:shd w:val="clear" w:color="auto" w:fill="auto"/>
          </w:tcPr>
          <w:p w14:paraId="0D8E0333" w14:textId="77777777" w:rsidR="004C2197" w:rsidRDefault="004C2197">
            <w:pPr>
              <w:rPr>
                <w:rFonts w:ascii="宋体"/>
              </w:rPr>
            </w:pPr>
          </w:p>
        </w:tc>
        <w:tc>
          <w:tcPr>
            <w:tcW w:w="0" w:type="auto"/>
            <w:shd w:val="clear" w:color="auto" w:fill="auto"/>
          </w:tcPr>
          <w:p w14:paraId="0D8E0334" w14:textId="77777777" w:rsidR="004C2197" w:rsidRDefault="004C2197">
            <w:pPr>
              <w:rPr>
                <w:rFonts w:ascii="宋体"/>
              </w:rPr>
            </w:pPr>
          </w:p>
        </w:tc>
        <w:tc>
          <w:tcPr>
            <w:tcW w:w="0" w:type="auto"/>
            <w:shd w:val="clear" w:color="auto" w:fill="auto"/>
          </w:tcPr>
          <w:p w14:paraId="0D8E0335" w14:textId="77777777" w:rsidR="004C2197" w:rsidRDefault="004C2197">
            <w:pPr>
              <w:rPr>
                <w:rFonts w:ascii="宋体"/>
              </w:rPr>
            </w:pPr>
          </w:p>
        </w:tc>
      </w:tr>
      <w:tr w:rsidR="004C2197" w14:paraId="0D8E0359" w14:textId="77777777">
        <w:tc>
          <w:tcPr>
            <w:tcW w:w="0" w:type="auto"/>
            <w:gridSpan w:val="3"/>
            <w:shd w:val="clear" w:color="auto" w:fill="E2EFD9"/>
            <w:tcMar>
              <w:top w:w="40" w:type="dxa"/>
              <w:left w:w="20" w:type="dxa"/>
              <w:bottom w:w="40" w:type="dxa"/>
              <w:right w:w="20" w:type="dxa"/>
            </w:tcMar>
            <w:vAlign w:val="bottom"/>
          </w:tcPr>
          <w:p w14:paraId="0D8E0337" w14:textId="77777777" w:rsidR="004C2197" w:rsidRDefault="00863B83">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338"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339"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33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3B"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33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33D"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33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3F"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34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341" w14:textId="77777777" w:rsidR="004C2197" w:rsidRDefault="00863B83">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34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43"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34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345" w14:textId="77777777" w:rsidR="004C2197" w:rsidRDefault="00863B83">
            <w:pPr>
              <w:jc w:val="right"/>
              <w:textAlignment w:val="bottom"/>
            </w:pPr>
            <w:r>
              <w:rPr>
                <w:rFonts w:ascii="sans-serif" w:eastAsia="sans-serif" w:hAnsi="sans-serif" w:cs="sans-serif"/>
                <w:color w:val="000000"/>
                <w:sz w:val="20"/>
                <w:szCs w:val="20"/>
              </w:rPr>
              <w:t>4,799 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346" w14:textId="77777777" w:rsidR="004C2197" w:rsidRDefault="004C2197">
            <w:pPr>
              <w:jc w:val="right"/>
              <w:rPr>
                <w:rFonts w:ascii="宋体"/>
              </w:rPr>
            </w:pPr>
          </w:p>
        </w:tc>
        <w:tc>
          <w:tcPr>
            <w:tcW w:w="0" w:type="auto"/>
            <w:shd w:val="clear" w:color="auto" w:fill="auto"/>
          </w:tcPr>
          <w:p w14:paraId="0D8E0347" w14:textId="77777777" w:rsidR="004C2197" w:rsidRDefault="004C2197">
            <w:pPr>
              <w:rPr>
                <w:rFonts w:ascii="宋体"/>
              </w:rPr>
            </w:pPr>
          </w:p>
        </w:tc>
        <w:tc>
          <w:tcPr>
            <w:tcW w:w="0" w:type="auto"/>
            <w:shd w:val="clear" w:color="auto" w:fill="auto"/>
          </w:tcPr>
          <w:p w14:paraId="0D8E0348" w14:textId="77777777" w:rsidR="004C2197" w:rsidRDefault="004C2197">
            <w:pPr>
              <w:rPr>
                <w:rFonts w:ascii="宋体"/>
              </w:rPr>
            </w:pPr>
          </w:p>
        </w:tc>
        <w:tc>
          <w:tcPr>
            <w:tcW w:w="0" w:type="auto"/>
            <w:shd w:val="clear" w:color="auto" w:fill="auto"/>
          </w:tcPr>
          <w:p w14:paraId="0D8E0349" w14:textId="77777777" w:rsidR="004C2197" w:rsidRDefault="004C2197">
            <w:pPr>
              <w:rPr>
                <w:rFonts w:ascii="宋体"/>
              </w:rPr>
            </w:pPr>
          </w:p>
        </w:tc>
        <w:tc>
          <w:tcPr>
            <w:tcW w:w="0" w:type="auto"/>
            <w:shd w:val="clear" w:color="auto" w:fill="auto"/>
          </w:tcPr>
          <w:p w14:paraId="0D8E034A" w14:textId="77777777" w:rsidR="004C2197" w:rsidRDefault="004C2197">
            <w:pPr>
              <w:rPr>
                <w:rFonts w:ascii="宋体"/>
              </w:rPr>
            </w:pPr>
          </w:p>
        </w:tc>
        <w:tc>
          <w:tcPr>
            <w:tcW w:w="0" w:type="auto"/>
            <w:shd w:val="clear" w:color="auto" w:fill="auto"/>
          </w:tcPr>
          <w:p w14:paraId="0D8E034B" w14:textId="77777777" w:rsidR="004C2197" w:rsidRDefault="004C2197">
            <w:pPr>
              <w:rPr>
                <w:rFonts w:ascii="宋体"/>
              </w:rPr>
            </w:pPr>
          </w:p>
        </w:tc>
        <w:tc>
          <w:tcPr>
            <w:tcW w:w="0" w:type="auto"/>
            <w:shd w:val="clear" w:color="auto" w:fill="auto"/>
          </w:tcPr>
          <w:p w14:paraId="0D8E034C" w14:textId="77777777" w:rsidR="004C2197" w:rsidRDefault="004C2197">
            <w:pPr>
              <w:rPr>
                <w:rFonts w:ascii="宋体"/>
              </w:rPr>
            </w:pPr>
          </w:p>
        </w:tc>
        <w:tc>
          <w:tcPr>
            <w:tcW w:w="0" w:type="auto"/>
            <w:shd w:val="clear" w:color="auto" w:fill="auto"/>
          </w:tcPr>
          <w:p w14:paraId="0D8E034D" w14:textId="77777777" w:rsidR="004C2197" w:rsidRDefault="004C2197">
            <w:pPr>
              <w:rPr>
                <w:rFonts w:ascii="宋体"/>
              </w:rPr>
            </w:pPr>
          </w:p>
        </w:tc>
        <w:tc>
          <w:tcPr>
            <w:tcW w:w="0" w:type="auto"/>
            <w:shd w:val="clear" w:color="auto" w:fill="auto"/>
          </w:tcPr>
          <w:p w14:paraId="0D8E034E" w14:textId="77777777" w:rsidR="004C2197" w:rsidRDefault="004C2197">
            <w:pPr>
              <w:rPr>
                <w:rFonts w:ascii="宋体"/>
              </w:rPr>
            </w:pPr>
          </w:p>
        </w:tc>
        <w:tc>
          <w:tcPr>
            <w:tcW w:w="0" w:type="auto"/>
            <w:shd w:val="clear" w:color="auto" w:fill="auto"/>
          </w:tcPr>
          <w:p w14:paraId="0D8E034F" w14:textId="77777777" w:rsidR="004C2197" w:rsidRDefault="004C2197">
            <w:pPr>
              <w:rPr>
                <w:rFonts w:ascii="宋体"/>
              </w:rPr>
            </w:pPr>
          </w:p>
        </w:tc>
        <w:tc>
          <w:tcPr>
            <w:tcW w:w="0" w:type="auto"/>
            <w:shd w:val="clear" w:color="auto" w:fill="auto"/>
          </w:tcPr>
          <w:p w14:paraId="0D8E0350" w14:textId="77777777" w:rsidR="004C2197" w:rsidRDefault="004C2197">
            <w:pPr>
              <w:rPr>
                <w:rFonts w:ascii="宋体"/>
              </w:rPr>
            </w:pPr>
          </w:p>
        </w:tc>
        <w:tc>
          <w:tcPr>
            <w:tcW w:w="0" w:type="auto"/>
            <w:shd w:val="clear" w:color="auto" w:fill="auto"/>
          </w:tcPr>
          <w:p w14:paraId="0D8E0351" w14:textId="77777777" w:rsidR="004C2197" w:rsidRDefault="004C2197">
            <w:pPr>
              <w:rPr>
                <w:rFonts w:ascii="宋体"/>
              </w:rPr>
            </w:pPr>
          </w:p>
        </w:tc>
        <w:tc>
          <w:tcPr>
            <w:tcW w:w="0" w:type="auto"/>
            <w:shd w:val="clear" w:color="auto" w:fill="auto"/>
          </w:tcPr>
          <w:p w14:paraId="0D8E0352" w14:textId="77777777" w:rsidR="004C2197" w:rsidRDefault="004C2197">
            <w:pPr>
              <w:rPr>
                <w:rFonts w:ascii="宋体"/>
              </w:rPr>
            </w:pPr>
          </w:p>
        </w:tc>
        <w:tc>
          <w:tcPr>
            <w:tcW w:w="0" w:type="auto"/>
            <w:shd w:val="clear" w:color="auto" w:fill="auto"/>
          </w:tcPr>
          <w:p w14:paraId="0D8E0353" w14:textId="77777777" w:rsidR="004C2197" w:rsidRDefault="004C2197">
            <w:pPr>
              <w:rPr>
                <w:rFonts w:ascii="宋体"/>
              </w:rPr>
            </w:pPr>
          </w:p>
        </w:tc>
        <w:tc>
          <w:tcPr>
            <w:tcW w:w="0" w:type="auto"/>
            <w:shd w:val="clear" w:color="auto" w:fill="auto"/>
          </w:tcPr>
          <w:p w14:paraId="0D8E0354" w14:textId="77777777" w:rsidR="004C2197" w:rsidRDefault="004C2197">
            <w:pPr>
              <w:rPr>
                <w:rFonts w:ascii="宋体"/>
              </w:rPr>
            </w:pPr>
          </w:p>
        </w:tc>
        <w:tc>
          <w:tcPr>
            <w:tcW w:w="0" w:type="auto"/>
            <w:shd w:val="clear" w:color="auto" w:fill="auto"/>
          </w:tcPr>
          <w:p w14:paraId="0D8E0355" w14:textId="77777777" w:rsidR="004C2197" w:rsidRDefault="004C2197">
            <w:pPr>
              <w:rPr>
                <w:rFonts w:ascii="宋体"/>
              </w:rPr>
            </w:pPr>
          </w:p>
        </w:tc>
        <w:tc>
          <w:tcPr>
            <w:tcW w:w="0" w:type="auto"/>
            <w:shd w:val="clear" w:color="auto" w:fill="auto"/>
          </w:tcPr>
          <w:p w14:paraId="0D8E0356" w14:textId="77777777" w:rsidR="004C2197" w:rsidRDefault="004C2197">
            <w:pPr>
              <w:rPr>
                <w:rFonts w:ascii="宋体"/>
              </w:rPr>
            </w:pPr>
          </w:p>
        </w:tc>
        <w:tc>
          <w:tcPr>
            <w:tcW w:w="0" w:type="auto"/>
            <w:shd w:val="clear" w:color="auto" w:fill="auto"/>
          </w:tcPr>
          <w:p w14:paraId="0D8E0357" w14:textId="77777777" w:rsidR="004C2197" w:rsidRDefault="004C2197">
            <w:pPr>
              <w:rPr>
                <w:rFonts w:ascii="宋体"/>
              </w:rPr>
            </w:pPr>
          </w:p>
        </w:tc>
        <w:tc>
          <w:tcPr>
            <w:tcW w:w="0" w:type="auto"/>
            <w:shd w:val="clear" w:color="auto" w:fill="auto"/>
          </w:tcPr>
          <w:p w14:paraId="0D8E0358" w14:textId="77777777" w:rsidR="004C2197" w:rsidRDefault="004C2197">
            <w:pPr>
              <w:rPr>
                <w:rFonts w:ascii="宋体"/>
              </w:rPr>
            </w:pPr>
          </w:p>
        </w:tc>
      </w:tr>
    </w:tbl>
    <w:p w14:paraId="0D8E035A" w14:textId="77777777" w:rsidR="004C2197" w:rsidRDefault="00863B83">
      <w:pPr>
        <w:spacing w:before="360" w:after="360"/>
        <w:jc w:val="both"/>
      </w:pPr>
      <w:r>
        <w:rPr>
          <w:rFonts w:ascii="sans-serif" w:eastAsia="sans-serif" w:hAnsi="sans-serif" w:cs="sans-serif"/>
          <w:color w:val="000000"/>
          <w:sz w:val="20"/>
          <w:szCs w:val="20"/>
        </w:rPr>
        <w:t>The following table summarizes information pertaining to our reven</w:t>
      </w:r>
      <w:r>
        <w:rPr>
          <w:rFonts w:ascii="sans-serif" w:eastAsia="sans-serif" w:hAnsi="sans-serif" w:cs="sans-serif"/>
          <w:color w:val="000000"/>
          <w:sz w:val="20"/>
          <w:szCs w:val="20"/>
        </w:rPr>
        <w:t>ue by each of the specialized markets we serve:</w:t>
      </w:r>
    </w:p>
    <w:tbl>
      <w:tblPr>
        <w:tblW w:w="5000" w:type="pct"/>
        <w:tblCellMar>
          <w:top w:w="15" w:type="dxa"/>
          <w:left w:w="15" w:type="dxa"/>
          <w:bottom w:w="15" w:type="dxa"/>
          <w:right w:w="15" w:type="dxa"/>
        </w:tblCellMar>
        <w:tblLook w:val="04A0" w:firstRow="1" w:lastRow="0" w:firstColumn="1" w:lastColumn="0" w:noHBand="0" w:noVBand="1"/>
      </w:tblPr>
      <w:tblGrid>
        <w:gridCol w:w="38"/>
        <w:gridCol w:w="3255"/>
        <w:gridCol w:w="36"/>
        <w:gridCol w:w="137"/>
        <w:gridCol w:w="875"/>
        <w:gridCol w:w="41"/>
        <w:gridCol w:w="36"/>
        <w:gridCol w:w="36"/>
        <w:gridCol w:w="36"/>
        <w:gridCol w:w="137"/>
        <w:gridCol w:w="815"/>
        <w:gridCol w:w="41"/>
        <w:gridCol w:w="36"/>
        <w:gridCol w:w="36"/>
        <w:gridCol w:w="36"/>
        <w:gridCol w:w="137"/>
        <w:gridCol w:w="816"/>
        <w:gridCol w:w="41"/>
        <w:gridCol w:w="36"/>
        <w:gridCol w:w="36"/>
        <w:gridCol w:w="36"/>
        <w:gridCol w:w="137"/>
        <w:gridCol w:w="817"/>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4C2197" w14:paraId="0D8E0373" w14:textId="77777777">
        <w:trPr>
          <w:gridAfter w:val="18"/>
        </w:trPr>
        <w:tc>
          <w:tcPr>
            <w:tcW w:w="50" w:type="pct"/>
            <w:shd w:val="clear" w:color="auto" w:fill="auto"/>
          </w:tcPr>
          <w:p w14:paraId="0D8E035B" w14:textId="77777777" w:rsidR="004C2197" w:rsidRDefault="004C2197">
            <w:pPr>
              <w:rPr>
                <w:rFonts w:ascii="宋体"/>
              </w:rPr>
            </w:pPr>
          </w:p>
        </w:tc>
        <w:tc>
          <w:tcPr>
            <w:tcW w:w="2174" w:type="pct"/>
            <w:shd w:val="clear" w:color="auto" w:fill="auto"/>
          </w:tcPr>
          <w:p w14:paraId="0D8E035C" w14:textId="77777777" w:rsidR="004C2197" w:rsidRDefault="004C2197">
            <w:pPr>
              <w:rPr>
                <w:rFonts w:ascii="宋体"/>
              </w:rPr>
            </w:pPr>
          </w:p>
        </w:tc>
        <w:tc>
          <w:tcPr>
            <w:tcW w:w="5" w:type="pct"/>
            <w:shd w:val="clear" w:color="auto" w:fill="auto"/>
          </w:tcPr>
          <w:p w14:paraId="0D8E035D" w14:textId="77777777" w:rsidR="004C2197" w:rsidRDefault="004C2197">
            <w:pPr>
              <w:rPr>
                <w:rFonts w:ascii="宋体"/>
              </w:rPr>
            </w:pPr>
          </w:p>
        </w:tc>
        <w:tc>
          <w:tcPr>
            <w:tcW w:w="50" w:type="pct"/>
            <w:shd w:val="clear" w:color="auto" w:fill="auto"/>
          </w:tcPr>
          <w:p w14:paraId="0D8E035E" w14:textId="77777777" w:rsidR="004C2197" w:rsidRDefault="004C2197">
            <w:pPr>
              <w:rPr>
                <w:rFonts w:ascii="宋体"/>
              </w:rPr>
            </w:pPr>
          </w:p>
        </w:tc>
        <w:tc>
          <w:tcPr>
            <w:tcW w:w="610" w:type="pct"/>
            <w:shd w:val="clear" w:color="auto" w:fill="auto"/>
          </w:tcPr>
          <w:p w14:paraId="0D8E035F" w14:textId="77777777" w:rsidR="004C2197" w:rsidRDefault="004C2197">
            <w:pPr>
              <w:rPr>
                <w:rFonts w:ascii="宋体"/>
              </w:rPr>
            </w:pPr>
          </w:p>
        </w:tc>
        <w:tc>
          <w:tcPr>
            <w:tcW w:w="5" w:type="pct"/>
            <w:shd w:val="clear" w:color="auto" w:fill="auto"/>
          </w:tcPr>
          <w:p w14:paraId="0D8E0360" w14:textId="77777777" w:rsidR="004C2197" w:rsidRDefault="004C2197">
            <w:pPr>
              <w:rPr>
                <w:rFonts w:ascii="宋体"/>
              </w:rPr>
            </w:pPr>
          </w:p>
        </w:tc>
        <w:tc>
          <w:tcPr>
            <w:tcW w:w="5" w:type="pct"/>
            <w:shd w:val="clear" w:color="auto" w:fill="auto"/>
          </w:tcPr>
          <w:p w14:paraId="0D8E0361" w14:textId="77777777" w:rsidR="004C2197" w:rsidRDefault="004C2197">
            <w:pPr>
              <w:rPr>
                <w:rFonts w:ascii="宋体"/>
              </w:rPr>
            </w:pPr>
          </w:p>
        </w:tc>
        <w:tc>
          <w:tcPr>
            <w:tcW w:w="26" w:type="pct"/>
            <w:shd w:val="clear" w:color="auto" w:fill="auto"/>
          </w:tcPr>
          <w:p w14:paraId="0D8E0362" w14:textId="77777777" w:rsidR="004C2197" w:rsidRDefault="004C2197">
            <w:pPr>
              <w:rPr>
                <w:rFonts w:ascii="宋体"/>
              </w:rPr>
            </w:pPr>
          </w:p>
        </w:tc>
        <w:tc>
          <w:tcPr>
            <w:tcW w:w="5" w:type="pct"/>
            <w:shd w:val="clear" w:color="auto" w:fill="auto"/>
          </w:tcPr>
          <w:p w14:paraId="0D8E0363" w14:textId="77777777" w:rsidR="004C2197" w:rsidRDefault="004C2197">
            <w:pPr>
              <w:rPr>
                <w:rFonts w:ascii="宋体"/>
              </w:rPr>
            </w:pPr>
          </w:p>
        </w:tc>
        <w:tc>
          <w:tcPr>
            <w:tcW w:w="50" w:type="pct"/>
            <w:shd w:val="clear" w:color="auto" w:fill="auto"/>
          </w:tcPr>
          <w:p w14:paraId="0D8E0364" w14:textId="77777777" w:rsidR="004C2197" w:rsidRDefault="004C2197">
            <w:pPr>
              <w:rPr>
                <w:rFonts w:ascii="宋体"/>
              </w:rPr>
            </w:pPr>
          </w:p>
        </w:tc>
        <w:tc>
          <w:tcPr>
            <w:tcW w:w="610" w:type="pct"/>
            <w:shd w:val="clear" w:color="auto" w:fill="auto"/>
          </w:tcPr>
          <w:p w14:paraId="0D8E0365" w14:textId="77777777" w:rsidR="004C2197" w:rsidRDefault="004C2197">
            <w:pPr>
              <w:rPr>
                <w:rFonts w:ascii="宋体"/>
              </w:rPr>
            </w:pPr>
          </w:p>
        </w:tc>
        <w:tc>
          <w:tcPr>
            <w:tcW w:w="5" w:type="pct"/>
            <w:shd w:val="clear" w:color="auto" w:fill="auto"/>
          </w:tcPr>
          <w:p w14:paraId="0D8E0366" w14:textId="77777777" w:rsidR="004C2197" w:rsidRDefault="004C2197">
            <w:pPr>
              <w:rPr>
                <w:rFonts w:ascii="宋体"/>
              </w:rPr>
            </w:pPr>
          </w:p>
        </w:tc>
        <w:tc>
          <w:tcPr>
            <w:tcW w:w="5" w:type="pct"/>
            <w:shd w:val="clear" w:color="auto" w:fill="auto"/>
          </w:tcPr>
          <w:p w14:paraId="0D8E0367" w14:textId="77777777" w:rsidR="004C2197" w:rsidRDefault="004C2197">
            <w:pPr>
              <w:rPr>
                <w:rFonts w:ascii="宋体"/>
              </w:rPr>
            </w:pPr>
          </w:p>
        </w:tc>
        <w:tc>
          <w:tcPr>
            <w:tcW w:w="26" w:type="pct"/>
            <w:shd w:val="clear" w:color="auto" w:fill="auto"/>
          </w:tcPr>
          <w:p w14:paraId="0D8E0368" w14:textId="77777777" w:rsidR="004C2197" w:rsidRDefault="004C2197">
            <w:pPr>
              <w:rPr>
                <w:rFonts w:ascii="宋体"/>
              </w:rPr>
            </w:pPr>
          </w:p>
        </w:tc>
        <w:tc>
          <w:tcPr>
            <w:tcW w:w="5" w:type="pct"/>
            <w:shd w:val="clear" w:color="auto" w:fill="auto"/>
          </w:tcPr>
          <w:p w14:paraId="0D8E0369" w14:textId="77777777" w:rsidR="004C2197" w:rsidRDefault="004C2197">
            <w:pPr>
              <w:rPr>
                <w:rFonts w:ascii="宋体"/>
              </w:rPr>
            </w:pPr>
          </w:p>
        </w:tc>
        <w:tc>
          <w:tcPr>
            <w:tcW w:w="50" w:type="pct"/>
            <w:shd w:val="clear" w:color="auto" w:fill="auto"/>
          </w:tcPr>
          <w:p w14:paraId="0D8E036A" w14:textId="77777777" w:rsidR="004C2197" w:rsidRDefault="004C2197">
            <w:pPr>
              <w:rPr>
                <w:rFonts w:ascii="宋体"/>
              </w:rPr>
            </w:pPr>
          </w:p>
        </w:tc>
        <w:tc>
          <w:tcPr>
            <w:tcW w:w="610" w:type="pct"/>
            <w:shd w:val="clear" w:color="auto" w:fill="auto"/>
          </w:tcPr>
          <w:p w14:paraId="0D8E036B" w14:textId="77777777" w:rsidR="004C2197" w:rsidRDefault="004C2197">
            <w:pPr>
              <w:rPr>
                <w:rFonts w:ascii="宋体"/>
              </w:rPr>
            </w:pPr>
          </w:p>
        </w:tc>
        <w:tc>
          <w:tcPr>
            <w:tcW w:w="5" w:type="pct"/>
            <w:shd w:val="clear" w:color="auto" w:fill="auto"/>
          </w:tcPr>
          <w:p w14:paraId="0D8E036C" w14:textId="77777777" w:rsidR="004C2197" w:rsidRDefault="004C2197">
            <w:pPr>
              <w:rPr>
                <w:rFonts w:ascii="宋体"/>
              </w:rPr>
            </w:pPr>
          </w:p>
        </w:tc>
        <w:tc>
          <w:tcPr>
            <w:tcW w:w="5" w:type="pct"/>
            <w:shd w:val="clear" w:color="auto" w:fill="auto"/>
          </w:tcPr>
          <w:p w14:paraId="0D8E036D" w14:textId="77777777" w:rsidR="004C2197" w:rsidRDefault="004C2197">
            <w:pPr>
              <w:rPr>
                <w:rFonts w:ascii="宋体"/>
              </w:rPr>
            </w:pPr>
          </w:p>
        </w:tc>
        <w:tc>
          <w:tcPr>
            <w:tcW w:w="26" w:type="pct"/>
            <w:shd w:val="clear" w:color="auto" w:fill="auto"/>
          </w:tcPr>
          <w:p w14:paraId="0D8E036E" w14:textId="77777777" w:rsidR="004C2197" w:rsidRDefault="004C2197">
            <w:pPr>
              <w:rPr>
                <w:rFonts w:ascii="宋体"/>
              </w:rPr>
            </w:pPr>
          </w:p>
        </w:tc>
        <w:tc>
          <w:tcPr>
            <w:tcW w:w="5" w:type="pct"/>
            <w:shd w:val="clear" w:color="auto" w:fill="auto"/>
          </w:tcPr>
          <w:p w14:paraId="0D8E036F" w14:textId="77777777" w:rsidR="004C2197" w:rsidRDefault="004C2197">
            <w:pPr>
              <w:rPr>
                <w:rFonts w:ascii="宋体"/>
              </w:rPr>
            </w:pPr>
          </w:p>
        </w:tc>
        <w:tc>
          <w:tcPr>
            <w:tcW w:w="50" w:type="pct"/>
            <w:shd w:val="clear" w:color="auto" w:fill="auto"/>
          </w:tcPr>
          <w:p w14:paraId="0D8E0370" w14:textId="77777777" w:rsidR="004C2197" w:rsidRDefault="004C2197">
            <w:pPr>
              <w:rPr>
                <w:rFonts w:ascii="宋体"/>
              </w:rPr>
            </w:pPr>
          </w:p>
        </w:tc>
        <w:tc>
          <w:tcPr>
            <w:tcW w:w="610" w:type="pct"/>
            <w:shd w:val="clear" w:color="auto" w:fill="auto"/>
          </w:tcPr>
          <w:p w14:paraId="0D8E0371" w14:textId="77777777" w:rsidR="004C2197" w:rsidRDefault="004C2197">
            <w:pPr>
              <w:rPr>
                <w:rFonts w:ascii="宋体"/>
              </w:rPr>
            </w:pPr>
          </w:p>
        </w:tc>
        <w:tc>
          <w:tcPr>
            <w:tcW w:w="5" w:type="pct"/>
            <w:shd w:val="clear" w:color="auto" w:fill="auto"/>
          </w:tcPr>
          <w:p w14:paraId="0D8E0372" w14:textId="77777777" w:rsidR="004C2197" w:rsidRDefault="004C2197">
            <w:pPr>
              <w:rPr>
                <w:rFonts w:ascii="宋体"/>
              </w:rPr>
            </w:pPr>
          </w:p>
        </w:tc>
      </w:tr>
      <w:tr w:rsidR="004C2197" w14:paraId="0D8E037C" w14:textId="77777777">
        <w:trPr>
          <w:gridAfter w:val="6"/>
        </w:trPr>
        <w:tc>
          <w:tcPr>
            <w:tcW w:w="0" w:type="auto"/>
            <w:gridSpan w:val="3"/>
            <w:shd w:val="clear" w:color="auto" w:fill="auto"/>
            <w:tcMar>
              <w:top w:w="40" w:type="dxa"/>
              <w:left w:w="20" w:type="dxa"/>
              <w:bottom w:w="40" w:type="dxa"/>
              <w:right w:w="20" w:type="dxa"/>
            </w:tcMar>
            <w:vAlign w:val="bottom"/>
          </w:tcPr>
          <w:p w14:paraId="0D8E0374"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375"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376" w14:textId="77777777" w:rsidR="004C2197" w:rsidRDefault="004C2197">
            <w:pPr>
              <w:rPr>
                <w:rFonts w:ascii="宋体"/>
                <w:vanish/>
              </w:rPr>
            </w:pPr>
          </w:p>
        </w:tc>
        <w:tc>
          <w:tcPr>
            <w:tcW w:w="0" w:type="auto"/>
            <w:gridSpan w:val="3"/>
            <w:shd w:val="clear" w:color="auto" w:fill="auto"/>
          </w:tcPr>
          <w:p w14:paraId="0D8E0377"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378"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E0379"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E037A" w14:textId="77777777" w:rsidR="004C2197" w:rsidRDefault="004C2197">
            <w:pPr>
              <w:rPr>
                <w:rFonts w:ascii="宋体"/>
                <w:vanish/>
              </w:rPr>
            </w:pPr>
          </w:p>
        </w:tc>
        <w:tc>
          <w:tcPr>
            <w:tcW w:w="0" w:type="auto"/>
            <w:gridSpan w:val="3"/>
            <w:shd w:val="clear" w:color="auto" w:fill="auto"/>
          </w:tcPr>
          <w:p w14:paraId="0D8E037B" w14:textId="77777777" w:rsidR="004C2197" w:rsidRDefault="004C2197">
            <w:pPr>
              <w:rPr>
                <w:rFonts w:ascii="宋体"/>
                <w:vanish/>
              </w:rPr>
            </w:pPr>
          </w:p>
        </w:tc>
      </w:tr>
      <w:tr w:rsidR="004C2197" w14:paraId="0D8E0391" w14:textId="77777777">
        <w:trPr>
          <w:gridAfter w:val="6"/>
        </w:trPr>
        <w:tc>
          <w:tcPr>
            <w:tcW w:w="0" w:type="auto"/>
            <w:gridSpan w:val="3"/>
            <w:shd w:val="clear" w:color="auto" w:fill="auto"/>
            <w:tcMar>
              <w:left w:w="20" w:type="dxa"/>
              <w:right w:w="20" w:type="dxa"/>
            </w:tcMar>
            <w:vAlign w:val="bottom"/>
          </w:tcPr>
          <w:p w14:paraId="0D8E037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37E"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E037F"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380"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gridSpan w:val="3"/>
            <w:shd w:val="clear" w:color="auto" w:fill="auto"/>
            <w:tcMar>
              <w:left w:w="20" w:type="dxa"/>
              <w:right w:w="20" w:type="dxa"/>
            </w:tcMar>
            <w:vAlign w:val="bottom"/>
          </w:tcPr>
          <w:p w14:paraId="0D8E0381"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382" w14:textId="77777777" w:rsidR="004C2197" w:rsidRDefault="00863B83">
            <w:pPr>
              <w:jc w:val="center"/>
              <w:textAlignment w:val="bottom"/>
            </w:pPr>
            <w:r>
              <w:rPr>
                <w:rFonts w:ascii="sans-serif" w:eastAsia="sans-serif" w:hAnsi="sans-serif" w:cs="sans-serif"/>
                <w:b/>
                <w:bCs/>
                <w:color w:val="000000"/>
                <w:sz w:val="20"/>
                <w:szCs w:val="20"/>
              </w:rPr>
              <w:t>July 26,</w:t>
            </w:r>
          </w:p>
        </w:tc>
        <w:tc>
          <w:tcPr>
            <w:tcW w:w="0" w:type="auto"/>
            <w:gridSpan w:val="3"/>
            <w:tcBorders>
              <w:top w:val="single" w:sz="8" w:space="0" w:color="000000"/>
            </w:tcBorders>
            <w:shd w:val="clear" w:color="auto" w:fill="auto"/>
            <w:tcMar>
              <w:left w:w="20" w:type="dxa"/>
              <w:right w:w="20" w:type="dxa"/>
            </w:tcMar>
            <w:vAlign w:val="bottom"/>
          </w:tcPr>
          <w:p w14:paraId="0D8E0383"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384" w14:textId="77777777" w:rsidR="004C2197" w:rsidRDefault="00863B83">
            <w:pPr>
              <w:jc w:val="center"/>
              <w:textAlignment w:val="bottom"/>
            </w:pPr>
            <w:r>
              <w:rPr>
                <w:rFonts w:ascii="sans-serif" w:eastAsia="sans-serif" w:hAnsi="sans-serif" w:cs="sans-serif"/>
                <w:b/>
                <w:bCs/>
                <w:color w:val="000000"/>
                <w:sz w:val="20"/>
                <w:szCs w:val="20"/>
              </w:rPr>
              <w:t>July 28,</w:t>
            </w:r>
          </w:p>
        </w:tc>
        <w:tc>
          <w:tcPr>
            <w:tcW w:w="0" w:type="auto"/>
            <w:shd w:val="clear" w:color="auto" w:fill="auto"/>
          </w:tcPr>
          <w:p w14:paraId="0D8E0385" w14:textId="77777777" w:rsidR="004C2197" w:rsidRDefault="004C2197">
            <w:pPr>
              <w:rPr>
                <w:rFonts w:ascii="宋体"/>
              </w:rPr>
            </w:pPr>
          </w:p>
        </w:tc>
        <w:tc>
          <w:tcPr>
            <w:tcW w:w="0" w:type="auto"/>
            <w:shd w:val="clear" w:color="auto" w:fill="auto"/>
          </w:tcPr>
          <w:p w14:paraId="0D8E0386" w14:textId="77777777" w:rsidR="004C2197" w:rsidRDefault="004C2197">
            <w:pPr>
              <w:rPr>
                <w:rFonts w:ascii="宋体"/>
              </w:rPr>
            </w:pPr>
          </w:p>
        </w:tc>
        <w:tc>
          <w:tcPr>
            <w:tcW w:w="0" w:type="auto"/>
            <w:shd w:val="clear" w:color="auto" w:fill="auto"/>
          </w:tcPr>
          <w:p w14:paraId="0D8E0387" w14:textId="77777777" w:rsidR="004C2197" w:rsidRDefault="004C2197">
            <w:pPr>
              <w:rPr>
                <w:rFonts w:ascii="宋体"/>
              </w:rPr>
            </w:pPr>
          </w:p>
        </w:tc>
        <w:tc>
          <w:tcPr>
            <w:tcW w:w="0" w:type="auto"/>
            <w:shd w:val="clear" w:color="auto" w:fill="auto"/>
          </w:tcPr>
          <w:p w14:paraId="0D8E0388" w14:textId="77777777" w:rsidR="004C2197" w:rsidRDefault="004C2197">
            <w:pPr>
              <w:rPr>
                <w:rFonts w:ascii="宋体"/>
              </w:rPr>
            </w:pPr>
          </w:p>
        </w:tc>
        <w:tc>
          <w:tcPr>
            <w:tcW w:w="0" w:type="auto"/>
            <w:shd w:val="clear" w:color="auto" w:fill="auto"/>
          </w:tcPr>
          <w:p w14:paraId="0D8E0389" w14:textId="77777777" w:rsidR="004C2197" w:rsidRDefault="004C2197">
            <w:pPr>
              <w:rPr>
                <w:rFonts w:ascii="宋体"/>
              </w:rPr>
            </w:pPr>
          </w:p>
        </w:tc>
        <w:tc>
          <w:tcPr>
            <w:tcW w:w="0" w:type="auto"/>
            <w:shd w:val="clear" w:color="auto" w:fill="auto"/>
          </w:tcPr>
          <w:p w14:paraId="0D8E038A" w14:textId="77777777" w:rsidR="004C2197" w:rsidRDefault="004C2197">
            <w:pPr>
              <w:rPr>
                <w:rFonts w:ascii="宋体"/>
              </w:rPr>
            </w:pPr>
          </w:p>
        </w:tc>
        <w:tc>
          <w:tcPr>
            <w:tcW w:w="0" w:type="auto"/>
            <w:shd w:val="clear" w:color="auto" w:fill="auto"/>
          </w:tcPr>
          <w:p w14:paraId="0D8E038B" w14:textId="77777777" w:rsidR="004C2197" w:rsidRDefault="004C2197">
            <w:pPr>
              <w:rPr>
                <w:rFonts w:ascii="宋体"/>
              </w:rPr>
            </w:pPr>
          </w:p>
        </w:tc>
        <w:tc>
          <w:tcPr>
            <w:tcW w:w="0" w:type="auto"/>
            <w:shd w:val="clear" w:color="auto" w:fill="auto"/>
          </w:tcPr>
          <w:p w14:paraId="0D8E038C" w14:textId="77777777" w:rsidR="004C2197" w:rsidRDefault="004C2197">
            <w:pPr>
              <w:rPr>
                <w:rFonts w:ascii="宋体"/>
              </w:rPr>
            </w:pPr>
          </w:p>
        </w:tc>
        <w:tc>
          <w:tcPr>
            <w:tcW w:w="0" w:type="auto"/>
            <w:shd w:val="clear" w:color="auto" w:fill="auto"/>
          </w:tcPr>
          <w:p w14:paraId="0D8E038D" w14:textId="77777777" w:rsidR="004C2197" w:rsidRDefault="004C2197">
            <w:pPr>
              <w:rPr>
                <w:rFonts w:ascii="宋体"/>
              </w:rPr>
            </w:pPr>
          </w:p>
        </w:tc>
        <w:tc>
          <w:tcPr>
            <w:tcW w:w="0" w:type="auto"/>
            <w:shd w:val="clear" w:color="auto" w:fill="auto"/>
          </w:tcPr>
          <w:p w14:paraId="0D8E038E" w14:textId="77777777" w:rsidR="004C2197" w:rsidRDefault="004C2197">
            <w:pPr>
              <w:rPr>
                <w:rFonts w:ascii="宋体"/>
              </w:rPr>
            </w:pPr>
          </w:p>
        </w:tc>
        <w:tc>
          <w:tcPr>
            <w:tcW w:w="0" w:type="auto"/>
            <w:shd w:val="clear" w:color="auto" w:fill="auto"/>
          </w:tcPr>
          <w:p w14:paraId="0D8E038F" w14:textId="77777777" w:rsidR="004C2197" w:rsidRDefault="004C2197">
            <w:pPr>
              <w:rPr>
                <w:rFonts w:ascii="宋体"/>
              </w:rPr>
            </w:pPr>
          </w:p>
        </w:tc>
        <w:tc>
          <w:tcPr>
            <w:tcW w:w="0" w:type="auto"/>
            <w:shd w:val="clear" w:color="auto" w:fill="auto"/>
          </w:tcPr>
          <w:p w14:paraId="0D8E0390" w14:textId="77777777" w:rsidR="004C2197" w:rsidRDefault="004C2197">
            <w:pPr>
              <w:rPr>
                <w:rFonts w:ascii="宋体"/>
              </w:rPr>
            </w:pPr>
          </w:p>
        </w:tc>
      </w:tr>
      <w:tr w:rsidR="004C2197" w14:paraId="0D8E03A6" w14:textId="77777777">
        <w:trPr>
          <w:gridAfter w:val="6"/>
        </w:trPr>
        <w:tc>
          <w:tcPr>
            <w:tcW w:w="0" w:type="auto"/>
            <w:gridSpan w:val="3"/>
            <w:shd w:val="clear" w:color="auto" w:fill="auto"/>
            <w:tcMar>
              <w:top w:w="40" w:type="dxa"/>
              <w:left w:w="20" w:type="dxa"/>
              <w:bottom w:w="40" w:type="dxa"/>
              <w:right w:w="20" w:type="dxa"/>
            </w:tcMar>
            <w:vAlign w:val="bottom"/>
          </w:tcPr>
          <w:p w14:paraId="0D8E0392"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0D8E0393"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E0394"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395"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tcMar>
              <w:left w:w="20" w:type="dxa"/>
              <w:right w:w="20" w:type="dxa"/>
            </w:tcMar>
            <w:vAlign w:val="bottom"/>
          </w:tcPr>
          <w:p w14:paraId="0D8E039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397" w14:textId="77777777" w:rsidR="004C2197" w:rsidRDefault="00863B83">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left w:w="20" w:type="dxa"/>
              <w:right w:w="20" w:type="dxa"/>
            </w:tcMar>
            <w:vAlign w:val="bottom"/>
          </w:tcPr>
          <w:p w14:paraId="0D8E0398"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399" w14:textId="77777777" w:rsidR="004C2197" w:rsidRDefault="00863B83">
            <w:pPr>
              <w:jc w:val="center"/>
              <w:textAlignment w:val="bottom"/>
            </w:pPr>
            <w:r>
              <w:rPr>
                <w:rFonts w:ascii="sans-serif" w:eastAsia="sans-serif" w:hAnsi="sans-serif" w:cs="sans-serif"/>
                <w:b/>
                <w:bCs/>
                <w:color w:val="000000"/>
                <w:sz w:val="20"/>
                <w:szCs w:val="20"/>
              </w:rPr>
              <w:t>2019</w:t>
            </w:r>
          </w:p>
        </w:tc>
        <w:tc>
          <w:tcPr>
            <w:tcW w:w="0" w:type="auto"/>
            <w:shd w:val="clear" w:color="auto" w:fill="auto"/>
          </w:tcPr>
          <w:p w14:paraId="0D8E039A" w14:textId="77777777" w:rsidR="004C2197" w:rsidRDefault="004C2197">
            <w:pPr>
              <w:rPr>
                <w:rFonts w:ascii="宋体"/>
              </w:rPr>
            </w:pPr>
          </w:p>
        </w:tc>
        <w:tc>
          <w:tcPr>
            <w:tcW w:w="0" w:type="auto"/>
            <w:shd w:val="clear" w:color="auto" w:fill="auto"/>
          </w:tcPr>
          <w:p w14:paraId="0D8E039B" w14:textId="77777777" w:rsidR="004C2197" w:rsidRDefault="004C2197">
            <w:pPr>
              <w:rPr>
                <w:rFonts w:ascii="宋体"/>
              </w:rPr>
            </w:pPr>
          </w:p>
        </w:tc>
        <w:tc>
          <w:tcPr>
            <w:tcW w:w="0" w:type="auto"/>
            <w:shd w:val="clear" w:color="auto" w:fill="auto"/>
          </w:tcPr>
          <w:p w14:paraId="0D8E039C" w14:textId="77777777" w:rsidR="004C2197" w:rsidRDefault="004C2197">
            <w:pPr>
              <w:rPr>
                <w:rFonts w:ascii="宋体"/>
              </w:rPr>
            </w:pPr>
          </w:p>
        </w:tc>
        <w:tc>
          <w:tcPr>
            <w:tcW w:w="0" w:type="auto"/>
            <w:shd w:val="clear" w:color="auto" w:fill="auto"/>
          </w:tcPr>
          <w:p w14:paraId="0D8E039D" w14:textId="77777777" w:rsidR="004C2197" w:rsidRDefault="004C2197">
            <w:pPr>
              <w:rPr>
                <w:rFonts w:ascii="宋体"/>
              </w:rPr>
            </w:pPr>
          </w:p>
        </w:tc>
        <w:tc>
          <w:tcPr>
            <w:tcW w:w="0" w:type="auto"/>
            <w:shd w:val="clear" w:color="auto" w:fill="auto"/>
          </w:tcPr>
          <w:p w14:paraId="0D8E039E" w14:textId="77777777" w:rsidR="004C2197" w:rsidRDefault="004C2197">
            <w:pPr>
              <w:rPr>
                <w:rFonts w:ascii="宋体"/>
              </w:rPr>
            </w:pPr>
          </w:p>
        </w:tc>
        <w:tc>
          <w:tcPr>
            <w:tcW w:w="0" w:type="auto"/>
            <w:shd w:val="clear" w:color="auto" w:fill="auto"/>
          </w:tcPr>
          <w:p w14:paraId="0D8E039F" w14:textId="77777777" w:rsidR="004C2197" w:rsidRDefault="004C2197">
            <w:pPr>
              <w:rPr>
                <w:rFonts w:ascii="宋体"/>
              </w:rPr>
            </w:pPr>
          </w:p>
        </w:tc>
        <w:tc>
          <w:tcPr>
            <w:tcW w:w="0" w:type="auto"/>
            <w:shd w:val="clear" w:color="auto" w:fill="auto"/>
          </w:tcPr>
          <w:p w14:paraId="0D8E03A0" w14:textId="77777777" w:rsidR="004C2197" w:rsidRDefault="004C2197">
            <w:pPr>
              <w:rPr>
                <w:rFonts w:ascii="宋体"/>
              </w:rPr>
            </w:pPr>
          </w:p>
        </w:tc>
        <w:tc>
          <w:tcPr>
            <w:tcW w:w="0" w:type="auto"/>
            <w:shd w:val="clear" w:color="auto" w:fill="auto"/>
          </w:tcPr>
          <w:p w14:paraId="0D8E03A1" w14:textId="77777777" w:rsidR="004C2197" w:rsidRDefault="004C2197">
            <w:pPr>
              <w:rPr>
                <w:rFonts w:ascii="宋体"/>
              </w:rPr>
            </w:pPr>
          </w:p>
        </w:tc>
        <w:tc>
          <w:tcPr>
            <w:tcW w:w="0" w:type="auto"/>
            <w:shd w:val="clear" w:color="auto" w:fill="auto"/>
          </w:tcPr>
          <w:p w14:paraId="0D8E03A2" w14:textId="77777777" w:rsidR="004C2197" w:rsidRDefault="004C2197">
            <w:pPr>
              <w:rPr>
                <w:rFonts w:ascii="宋体"/>
              </w:rPr>
            </w:pPr>
          </w:p>
        </w:tc>
        <w:tc>
          <w:tcPr>
            <w:tcW w:w="0" w:type="auto"/>
            <w:shd w:val="clear" w:color="auto" w:fill="auto"/>
          </w:tcPr>
          <w:p w14:paraId="0D8E03A3" w14:textId="77777777" w:rsidR="004C2197" w:rsidRDefault="004C2197">
            <w:pPr>
              <w:rPr>
                <w:rFonts w:ascii="宋体"/>
              </w:rPr>
            </w:pPr>
          </w:p>
        </w:tc>
        <w:tc>
          <w:tcPr>
            <w:tcW w:w="0" w:type="auto"/>
            <w:shd w:val="clear" w:color="auto" w:fill="auto"/>
          </w:tcPr>
          <w:p w14:paraId="0D8E03A4" w14:textId="77777777" w:rsidR="004C2197" w:rsidRDefault="004C2197">
            <w:pPr>
              <w:rPr>
                <w:rFonts w:ascii="宋体"/>
              </w:rPr>
            </w:pPr>
          </w:p>
        </w:tc>
        <w:tc>
          <w:tcPr>
            <w:tcW w:w="0" w:type="auto"/>
            <w:shd w:val="clear" w:color="auto" w:fill="auto"/>
          </w:tcPr>
          <w:p w14:paraId="0D8E03A5" w14:textId="77777777" w:rsidR="004C2197" w:rsidRDefault="004C2197">
            <w:pPr>
              <w:rPr>
                <w:rFonts w:ascii="宋体"/>
              </w:rPr>
            </w:pPr>
          </w:p>
        </w:tc>
      </w:tr>
      <w:tr w:rsidR="004C2197" w14:paraId="0D8E03BB" w14:textId="77777777">
        <w:trPr>
          <w:gridAfter w:val="6"/>
          <w:trHeight w:val="60"/>
        </w:trPr>
        <w:tc>
          <w:tcPr>
            <w:tcW w:w="0" w:type="auto"/>
            <w:gridSpan w:val="3"/>
            <w:shd w:val="clear" w:color="auto" w:fill="auto"/>
            <w:tcMar>
              <w:left w:w="20" w:type="dxa"/>
              <w:right w:w="20" w:type="dxa"/>
            </w:tcMar>
            <w:vAlign w:val="bottom"/>
          </w:tcPr>
          <w:p w14:paraId="0D8E03A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3A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A9"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3A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AB"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3A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AD"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3AE" w14:textId="77777777" w:rsidR="004C2197" w:rsidRDefault="004C2197">
            <w:pPr>
              <w:rPr>
                <w:rFonts w:ascii="宋体"/>
              </w:rPr>
            </w:pPr>
          </w:p>
        </w:tc>
        <w:tc>
          <w:tcPr>
            <w:tcW w:w="0" w:type="auto"/>
            <w:shd w:val="clear" w:color="auto" w:fill="auto"/>
          </w:tcPr>
          <w:p w14:paraId="0D8E03AF" w14:textId="77777777" w:rsidR="004C2197" w:rsidRDefault="004C2197">
            <w:pPr>
              <w:rPr>
                <w:rFonts w:ascii="宋体"/>
              </w:rPr>
            </w:pPr>
          </w:p>
        </w:tc>
        <w:tc>
          <w:tcPr>
            <w:tcW w:w="0" w:type="auto"/>
            <w:shd w:val="clear" w:color="auto" w:fill="auto"/>
          </w:tcPr>
          <w:p w14:paraId="0D8E03B0" w14:textId="77777777" w:rsidR="004C2197" w:rsidRDefault="004C2197">
            <w:pPr>
              <w:rPr>
                <w:rFonts w:ascii="宋体"/>
              </w:rPr>
            </w:pPr>
          </w:p>
        </w:tc>
        <w:tc>
          <w:tcPr>
            <w:tcW w:w="0" w:type="auto"/>
            <w:shd w:val="clear" w:color="auto" w:fill="auto"/>
          </w:tcPr>
          <w:p w14:paraId="0D8E03B1" w14:textId="77777777" w:rsidR="004C2197" w:rsidRDefault="004C2197">
            <w:pPr>
              <w:rPr>
                <w:rFonts w:ascii="宋体"/>
              </w:rPr>
            </w:pPr>
          </w:p>
        </w:tc>
        <w:tc>
          <w:tcPr>
            <w:tcW w:w="0" w:type="auto"/>
            <w:shd w:val="clear" w:color="auto" w:fill="auto"/>
          </w:tcPr>
          <w:p w14:paraId="0D8E03B2" w14:textId="77777777" w:rsidR="004C2197" w:rsidRDefault="004C2197">
            <w:pPr>
              <w:rPr>
                <w:rFonts w:ascii="宋体"/>
              </w:rPr>
            </w:pPr>
          </w:p>
        </w:tc>
        <w:tc>
          <w:tcPr>
            <w:tcW w:w="0" w:type="auto"/>
            <w:shd w:val="clear" w:color="auto" w:fill="auto"/>
          </w:tcPr>
          <w:p w14:paraId="0D8E03B3" w14:textId="77777777" w:rsidR="004C2197" w:rsidRDefault="004C2197">
            <w:pPr>
              <w:rPr>
                <w:rFonts w:ascii="宋体"/>
              </w:rPr>
            </w:pPr>
          </w:p>
        </w:tc>
        <w:tc>
          <w:tcPr>
            <w:tcW w:w="0" w:type="auto"/>
            <w:shd w:val="clear" w:color="auto" w:fill="auto"/>
          </w:tcPr>
          <w:p w14:paraId="0D8E03B4" w14:textId="77777777" w:rsidR="004C2197" w:rsidRDefault="004C2197">
            <w:pPr>
              <w:rPr>
                <w:rFonts w:ascii="宋体"/>
              </w:rPr>
            </w:pPr>
          </w:p>
        </w:tc>
        <w:tc>
          <w:tcPr>
            <w:tcW w:w="0" w:type="auto"/>
            <w:shd w:val="clear" w:color="auto" w:fill="auto"/>
          </w:tcPr>
          <w:p w14:paraId="0D8E03B5" w14:textId="77777777" w:rsidR="004C2197" w:rsidRDefault="004C2197">
            <w:pPr>
              <w:rPr>
                <w:rFonts w:ascii="宋体"/>
              </w:rPr>
            </w:pPr>
          </w:p>
        </w:tc>
        <w:tc>
          <w:tcPr>
            <w:tcW w:w="0" w:type="auto"/>
            <w:shd w:val="clear" w:color="auto" w:fill="auto"/>
          </w:tcPr>
          <w:p w14:paraId="0D8E03B6" w14:textId="77777777" w:rsidR="004C2197" w:rsidRDefault="004C2197">
            <w:pPr>
              <w:rPr>
                <w:rFonts w:ascii="宋体"/>
              </w:rPr>
            </w:pPr>
          </w:p>
        </w:tc>
        <w:tc>
          <w:tcPr>
            <w:tcW w:w="0" w:type="auto"/>
            <w:shd w:val="clear" w:color="auto" w:fill="auto"/>
          </w:tcPr>
          <w:p w14:paraId="0D8E03B7" w14:textId="77777777" w:rsidR="004C2197" w:rsidRDefault="004C2197">
            <w:pPr>
              <w:rPr>
                <w:rFonts w:ascii="宋体"/>
              </w:rPr>
            </w:pPr>
          </w:p>
        </w:tc>
        <w:tc>
          <w:tcPr>
            <w:tcW w:w="0" w:type="auto"/>
            <w:shd w:val="clear" w:color="auto" w:fill="auto"/>
          </w:tcPr>
          <w:p w14:paraId="0D8E03B8" w14:textId="77777777" w:rsidR="004C2197" w:rsidRDefault="004C2197">
            <w:pPr>
              <w:rPr>
                <w:rFonts w:ascii="宋体"/>
              </w:rPr>
            </w:pPr>
          </w:p>
        </w:tc>
        <w:tc>
          <w:tcPr>
            <w:tcW w:w="0" w:type="auto"/>
            <w:shd w:val="clear" w:color="auto" w:fill="auto"/>
          </w:tcPr>
          <w:p w14:paraId="0D8E03B9" w14:textId="77777777" w:rsidR="004C2197" w:rsidRDefault="004C2197">
            <w:pPr>
              <w:rPr>
                <w:rFonts w:ascii="宋体"/>
              </w:rPr>
            </w:pPr>
          </w:p>
        </w:tc>
        <w:tc>
          <w:tcPr>
            <w:tcW w:w="0" w:type="auto"/>
            <w:shd w:val="clear" w:color="auto" w:fill="auto"/>
          </w:tcPr>
          <w:p w14:paraId="0D8E03BA" w14:textId="77777777" w:rsidR="004C2197" w:rsidRDefault="004C2197">
            <w:pPr>
              <w:rPr>
                <w:rFonts w:ascii="宋体"/>
              </w:rPr>
            </w:pPr>
          </w:p>
        </w:tc>
      </w:tr>
      <w:tr w:rsidR="004C2197" w14:paraId="0D8E03C4" w14:textId="77777777">
        <w:tc>
          <w:tcPr>
            <w:tcW w:w="0" w:type="auto"/>
            <w:gridSpan w:val="3"/>
            <w:shd w:val="clear" w:color="auto" w:fill="auto"/>
            <w:tcMar>
              <w:top w:w="40" w:type="dxa"/>
              <w:left w:w="20" w:type="dxa"/>
              <w:bottom w:w="40" w:type="dxa"/>
              <w:right w:w="20" w:type="dxa"/>
            </w:tcMar>
            <w:vAlign w:val="bottom"/>
          </w:tcPr>
          <w:p w14:paraId="0D8E03BC" w14:textId="77777777" w:rsidR="004C2197" w:rsidRDefault="00863B83">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D8E03BD"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E03BE" w14:textId="77777777" w:rsidR="004C2197" w:rsidRDefault="004C2197">
            <w:pPr>
              <w:rPr>
                <w:rFonts w:ascii="宋体"/>
                <w:vanish/>
              </w:rPr>
            </w:pPr>
          </w:p>
        </w:tc>
        <w:tc>
          <w:tcPr>
            <w:tcW w:w="0" w:type="auto"/>
            <w:gridSpan w:val="3"/>
            <w:shd w:val="clear" w:color="auto" w:fill="auto"/>
          </w:tcPr>
          <w:p w14:paraId="0D8E03BF" w14:textId="77777777" w:rsidR="004C2197" w:rsidRDefault="004C2197">
            <w:pPr>
              <w:rPr>
                <w:rFonts w:ascii="宋体"/>
                <w:vanish/>
              </w:rPr>
            </w:pPr>
          </w:p>
        </w:tc>
        <w:tc>
          <w:tcPr>
            <w:tcW w:w="0" w:type="auto"/>
            <w:gridSpan w:val="3"/>
            <w:shd w:val="clear" w:color="auto" w:fill="auto"/>
          </w:tcPr>
          <w:p w14:paraId="0D8E03C0" w14:textId="77777777" w:rsidR="004C2197" w:rsidRDefault="004C2197">
            <w:pPr>
              <w:rPr>
                <w:rFonts w:ascii="宋体"/>
                <w:vanish/>
              </w:rPr>
            </w:pPr>
          </w:p>
        </w:tc>
        <w:tc>
          <w:tcPr>
            <w:tcW w:w="0" w:type="auto"/>
            <w:gridSpan w:val="3"/>
            <w:shd w:val="clear" w:color="auto" w:fill="auto"/>
          </w:tcPr>
          <w:p w14:paraId="0D8E03C1" w14:textId="77777777" w:rsidR="004C2197" w:rsidRDefault="004C2197">
            <w:pPr>
              <w:rPr>
                <w:rFonts w:ascii="宋体"/>
                <w:vanish/>
              </w:rPr>
            </w:pPr>
          </w:p>
        </w:tc>
        <w:tc>
          <w:tcPr>
            <w:tcW w:w="0" w:type="auto"/>
            <w:gridSpan w:val="3"/>
            <w:shd w:val="clear" w:color="auto" w:fill="auto"/>
          </w:tcPr>
          <w:p w14:paraId="0D8E03C2" w14:textId="77777777" w:rsidR="004C2197" w:rsidRDefault="004C2197">
            <w:pPr>
              <w:rPr>
                <w:rFonts w:ascii="宋体"/>
                <w:vanish/>
              </w:rPr>
            </w:pPr>
          </w:p>
        </w:tc>
        <w:tc>
          <w:tcPr>
            <w:tcW w:w="0" w:type="auto"/>
            <w:gridSpan w:val="3"/>
            <w:shd w:val="clear" w:color="auto" w:fill="auto"/>
          </w:tcPr>
          <w:p w14:paraId="0D8E03C3" w14:textId="77777777" w:rsidR="004C2197" w:rsidRDefault="004C2197">
            <w:pPr>
              <w:rPr>
                <w:rFonts w:ascii="宋体"/>
                <w:vanish/>
              </w:rPr>
            </w:pPr>
          </w:p>
        </w:tc>
      </w:tr>
      <w:tr w:rsidR="004C2197" w14:paraId="0D8E03DF" w14:textId="77777777">
        <w:tc>
          <w:tcPr>
            <w:tcW w:w="0" w:type="auto"/>
            <w:gridSpan w:val="3"/>
            <w:shd w:val="clear" w:color="auto" w:fill="auto"/>
            <w:tcMar>
              <w:top w:w="40" w:type="dxa"/>
              <w:left w:w="20" w:type="dxa"/>
              <w:bottom w:w="40" w:type="dxa"/>
              <w:right w:w="20" w:type="dxa"/>
            </w:tcMar>
            <w:vAlign w:val="bottom"/>
          </w:tcPr>
          <w:p w14:paraId="0D8E03C5" w14:textId="77777777" w:rsidR="004C2197" w:rsidRDefault="00863B83">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0D8E03C6"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0D8E03C7"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3C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shd w:val="clear" w:color="auto" w:fill="auto"/>
            <w:tcMar>
              <w:left w:w="20" w:type="dxa"/>
              <w:right w:w="20" w:type="dxa"/>
            </w:tcMar>
            <w:vAlign w:val="bottom"/>
          </w:tcPr>
          <w:p w14:paraId="0D8E03C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C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C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3CC" w14:textId="77777777" w:rsidR="004C2197" w:rsidRDefault="004C2197">
            <w:pPr>
              <w:rPr>
                <w:rFonts w:ascii="宋体"/>
              </w:rPr>
            </w:pPr>
          </w:p>
        </w:tc>
        <w:tc>
          <w:tcPr>
            <w:tcW w:w="0" w:type="auto"/>
            <w:shd w:val="clear" w:color="auto" w:fill="auto"/>
          </w:tcPr>
          <w:p w14:paraId="0D8E03CD" w14:textId="77777777" w:rsidR="004C2197" w:rsidRDefault="004C2197">
            <w:pPr>
              <w:rPr>
                <w:rFonts w:ascii="宋体"/>
              </w:rPr>
            </w:pPr>
          </w:p>
        </w:tc>
        <w:tc>
          <w:tcPr>
            <w:tcW w:w="0" w:type="auto"/>
            <w:shd w:val="clear" w:color="auto" w:fill="auto"/>
          </w:tcPr>
          <w:p w14:paraId="0D8E03CE" w14:textId="77777777" w:rsidR="004C2197" w:rsidRDefault="004C2197">
            <w:pPr>
              <w:rPr>
                <w:rFonts w:ascii="宋体"/>
              </w:rPr>
            </w:pPr>
          </w:p>
        </w:tc>
        <w:tc>
          <w:tcPr>
            <w:tcW w:w="0" w:type="auto"/>
            <w:shd w:val="clear" w:color="auto" w:fill="auto"/>
          </w:tcPr>
          <w:p w14:paraId="0D8E03CF" w14:textId="77777777" w:rsidR="004C2197" w:rsidRDefault="004C2197">
            <w:pPr>
              <w:rPr>
                <w:rFonts w:ascii="宋体"/>
              </w:rPr>
            </w:pPr>
          </w:p>
        </w:tc>
        <w:tc>
          <w:tcPr>
            <w:tcW w:w="0" w:type="auto"/>
            <w:shd w:val="clear" w:color="auto" w:fill="auto"/>
          </w:tcPr>
          <w:p w14:paraId="0D8E03D0" w14:textId="77777777" w:rsidR="004C2197" w:rsidRDefault="004C2197">
            <w:pPr>
              <w:rPr>
                <w:rFonts w:ascii="宋体"/>
              </w:rPr>
            </w:pPr>
          </w:p>
        </w:tc>
        <w:tc>
          <w:tcPr>
            <w:tcW w:w="0" w:type="auto"/>
            <w:shd w:val="clear" w:color="auto" w:fill="auto"/>
          </w:tcPr>
          <w:p w14:paraId="0D8E03D1" w14:textId="77777777" w:rsidR="004C2197" w:rsidRDefault="004C2197">
            <w:pPr>
              <w:rPr>
                <w:rFonts w:ascii="宋体"/>
              </w:rPr>
            </w:pPr>
          </w:p>
        </w:tc>
        <w:tc>
          <w:tcPr>
            <w:tcW w:w="0" w:type="auto"/>
            <w:shd w:val="clear" w:color="auto" w:fill="auto"/>
          </w:tcPr>
          <w:p w14:paraId="0D8E03D2" w14:textId="77777777" w:rsidR="004C2197" w:rsidRDefault="004C2197">
            <w:pPr>
              <w:rPr>
                <w:rFonts w:ascii="宋体"/>
              </w:rPr>
            </w:pPr>
          </w:p>
        </w:tc>
        <w:tc>
          <w:tcPr>
            <w:tcW w:w="0" w:type="auto"/>
            <w:shd w:val="clear" w:color="auto" w:fill="auto"/>
          </w:tcPr>
          <w:p w14:paraId="0D8E03D3" w14:textId="77777777" w:rsidR="004C2197" w:rsidRDefault="004C2197">
            <w:pPr>
              <w:rPr>
                <w:rFonts w:ascii="宋体"/>
              </w:rPr>
            </w:pPr>
          </w:p>
        </w:tc>
        <w:tc>
          <w:tcPr>
            <w:tcW w:w="0" w:type="auto"/>
            <w:shd w:val="clear" w:color="auto" w:fill="auto"/>
          </w:tcPr>
          <w:p w14:paraId="0D8E03D4" w14:textId="77777777" w:rsidR="004C2197" w:rsidRDefault="004C2197">
            <w:pPr>
              <w:rPr>
                <w:rFonts w:ascii="宋体"/>
              </w:rPr>
            </w:pPr>
          </w:p>
        </w:tc>
        <w:tc>
          <w:tcPr>
            <w:tcW w:w="0" w:type="auto"/>
            <w:shd w:val="clear" w:color="auto" w:fill="auto"/>
          </w:tcPr>
          <w:p w14:paraId="0D8E03D5" w14:textId="77777777" w:rsidR="004C2197" w:rsidRDefault="004C2197">
            <w:pPr>
              <w:rPr>
                <w:rFonts w:ascii="宋体"/>
              </w:rPr>
            </w:pPr>
          </w:p>
        </w:tc>
        <w:tc>
          <w:tcPr>
            <w:tcW w:w="0" w:type="auto"/>
            <w:shd w:val="clear" w:color="auto" w:fill="auto"/>
          </w:tcPr>
          <w:p w14:paraId="0D8E03D6" w14:textId="77777777" w:rsidR="004C2197" w:rsidRDefault="004C2197">
            <w:pPr>
              <w:rPr>
                <w:rFonts w:ascii="宋体"/>
              </w:rPr>
            </w:pPr>
          </w:p>
        </w:tc>
        <w:tc>
          <w:tcPr>
            <w:tcW w:w="0" w:type="auto"/>
            <w:shd w:val="clear" w:color="auto" w:fill="auto"/>
          </w:tcPr>
          <w:p w14:paraId="0D8E03D7" w14:textId="77777777" w:rsidR="004C2197" w:rsidRDefault="004C2197">
            <w:pPr>
              <w:rPr>
                <w:rFonts w:ascii="宋体"/>
              </w:rPr>
            </w:pPr>
          </w:p>
        </w:tc>
        <w:tc>
          <w:tcPr>
            <w:tcW w:w="0" w:type="auto"/>
            <w:shd w:val="clear" w:color="auto" w:fill="auto"/>
          </w:tcPr>
          <w:p w14:paraId="0D8E03D8" w14:textId="77777777" w:rsidR="004C2197" w:rsidRDefault="004C2197">
            <w:pPr>
              <w:rPr>
                <w:rFonts w:ascii="宋体"/>
              </w:rPr>
            </w:pPr>
          </w:p>
        </w:tc>
        <w:tc>
          <w:tcPr>
            <w:tcW w:w="0" w:type="auto"/>
            <w:shd w:val="clear" w:color="auto" w:fill="auto"/>
          </w:tcPr>
          <w:p w14:paraId="0D8E03D9" w14:textId="77777777" w:rsidR="004C2197" w:rsidRDefault="004C2197">
            <w:pPr>
              <w:rPr>
                <w:rFonts w:ascii="宋体"/>
              </w:rPr>
            </w:pPr>
          </w:p>
        </w:tc>
        <w:tc>
          <w:tcPr>
            <w:tcW w:w="0" w:type="auto"/>
            <w:shd w:val="clear" w:color="auto" w:fill="auto"/>
          </w:tcPr>
          <w:p w14:paraId="0D8E03DA" w14:textId="77777777" w:rsidR="004C2197" w:rsidRDefault="004C2197">
            <w:pPr>
              <w:rPr>
                <w:rFonts w:ascii="宋体"/>
              </w:rPr>
            </w:pPr>
          </w:p>
        </w:tc>
        <w:tc>
          <w:tcPr>
            <w:tcW w:w="0" w:type="auto"/>
            <w:shd w:val="clear" w:color="auto" w:fill="auto"/>
          </w:tcPr>
          <w:p w14:paraId="0D8E03DB" w14:textId="77777777" w:rsidR="004C2197" w:rsidRDefault="004C2197">
            <w:pPr>
              <w:rPr>
                <w:rFonts w:ascii="宋体"/>
              </w:rPr>
            </w:pPr>
          </w:p>
        </w:tc>
        <w:tc>
          <w:tcPr>
            <w:tcW w:w="0" w:type="auto"/>
            <w:shd w:val="clear" w:color="auto" w:fill="auto"/>
          </w:tcPr>
          <w:p w14:paraId="0D8E03DC" w14:textId="77777777" w:rsidR="004C2197" w:rsidRDefault="004C2197">
            <w:pPr>
              <w:rPr>
                <w:rFonts w:ascii="宋体"/>
              </w:rPr>
            </w:pPr>
          </w:p>
        </w:tc>
        <w:tc>
          <w:tcPr>
            <w:tcW w:w="0" w:type="auto"/>
            <w:shd w:val="clear" w:color="auto" w:fill="auto"/>
          </w:tcPr>
          <w:p w14:paraId="0D8E03DD" w14:textId="77777777" w:rsidR="004C2197" w:rsidRDefault="004C2197">
            <w:pPr>
              <w:rPr>
                <w:rFonts w:ascii="宋体"/>
              </w:rPr>
            </w:pPr>
          </w:p>
        </w:tc>
        <w:tc>
          <w:tcPr>
            <w:tcW w:w="0" w:type="auto"/>
            <w:shd w:val="clear" w:color="auto" w:fill="auto"/>
          </w:tcPr>
          <w:p w14:paraId="0D8E03DE" w14:textId="77777777" w:rsidR="004C2197" w:rsidRDefault="004C2197">
            <w:pPr>
              <w:rPr>
                <w:rFonts w:ascii="宋体"/>
              </w:rPr>
            </w:pPr>
          </w:p>
        </w:tc>
      </w:tr>
      <w:tr w:rsidR="004C2197" w14:paraId="0D8E0402" w14:textId="77777777">
        <w:tc>
          <w:tcPr>
            <w:tcW w:w="0" w:type="auto"/>
            <w:gridSpan w:val="3"/>
            <w:shd w:val="clear" w:color="auto" w:fill="E2EFD9"/>
            <w:tcMar>
              <w:top w:w="40" w:type="dxa"/>
              <w:left w:w="225" w:type="dxa"/>
              <w:bottom w:w="40" w:type="dxa"/>
              <w:right w:w="20" w:type="dxa"/>
            </w:tcMar>
            <w:vAlign w:val="bottom"/>
          </w:tcPr>
          <w:p w14:paraId="0D8E03E0" w14:textId="77777777" w:rsidR="004C2197" w:rsidRDefault="00863B83">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tcMar>
            <w:vAlign w:val="bottom"/>
          </w:tcPr>
          <w:p w14:paraId="0D8E03E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3E2" w14:textId="77777777" w:rsidR="004C2197" w:rsidRDefault="00863B83">
            <w:pPr>
              <w:jc w:val="right"/>
              <w:textAlignment w:val="bottom"/>
            </w:pPr>
            <w:r>
              <w:rPr>
                <w:rFonts w:ascii="sans-serif" w:eastAsia="sans-serif" w:hAnsi="sans-serif" w:cs="sans-serif"/>
                <w:color w:val="000000"/>
                <w:sz w:val="20"/>
                <w:szCs w:val="20"/>
              </w:rPr>
              <w:t>1,654 </w:t>
            </w:r>
          </w:p>
        </w:tc>
        <w:tc>
          <w:tcPr>
            <w:tcW w:w="0" w:type="auto"/>
            <w:shd w:val="clear" w:color="auto" w:fill="E2EFD9"/>
            <w:tcMar>
              <w:top w:w="40" w:type="dxa"/>
              <w:bottom w:w="40" w:type="dxa"/>
              <w:right w:w="20" w:type="dxa"/>
            </w:tcMar>
            <w:vAlign w:val="bottom"/>
          </w:tcPr>
          <w:p w14:paraId="0D8E03E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E4"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3E5"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3E6" w14:textId="77777777" w:rsidR="004C2197" w:rsidRDefault="00863B83">
            <w:pPr>
              <w:jc w:val="right"/>
              <w:textAlignment w:val="bottom"/>
            </w:pPr>
            <w:r>
              <w:rPr>
                <w:rFonts w:ascii="sans-serif" w:eastAsia="sans-serif" w:hAnsi="sans-serif" w:cs="sans-serif"/>
                <w:color w:val="000000"/>
                <w:sz w:val="20"/>
                <w:szCs w:val="20"/>
              </w:rPr>
              <w:t>1,313 </w:t>
            </w:r>
          </w:p>
        </w:tc>
        <w:tc>
          <w:tcPr>
            <w:tcW w:w="0" w:type="auto"/>
            <w:shd w:val="clear" w:color="auto" w:fill="E2EFD9"/>
            <w:tcMar>
              <w:top w:w="40" w:type="dxa"/>
              <w:bottom w:w="40" w:type="dxa"/>
              <w:right w:w="20" w:type="dxa"/>
            </w:tcMar>
            <w:vAlign w:val="bottom"/>
          </w:tcPr>
          <w:p w14:paraId="0D8E03E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E8"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3E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3EA" w14:textId="77777777" w:rsidR="004C2197" w:rsidRDefault="00863B83">
            <w:pPr>
              <w:jc w:val="right"/>
              <w:textAlignment w:val="bottom"/>
            </w:pPr>
            <w:r>
              <w:rPr>
                <w:rFonts w:ascii="sans-serif" w:eastAsia="sans-serif" w:hAnsi="sans-serif" w:cs="sans-serif"/>
                <w:color w:val="000000"/>
                <w:sz w:val="20"/>
                <w:szCs w:val="20"/>
              </w:rPr>
              <w:t>2,993 </w:t>
            </w:r>
          </w:p>
        </w:tc>
        <w:tc>
          <w:tcPr>
            <w:tcW w:w="0" w:type="auto"/>
            <w:shd w:val="clear" w:color="auto" w:fill="E2EFD9"/>
            <w:tcMar>
              <w:top w:w="40" w:type="dxa"/>
              <w:bottom w:w="40" w:type="dxa"/>
              <w:right w:w="20" w:type="dxa"/>
            </w:tcMar>
            <w:vAlign w:val="bottom"/>
          </w:tcPr>
          <w:p w14:paraId="0D8E03E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3EC"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3E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3EE" w14:textId="77777777" w:rsidR="004C2197" w:rsidRDefault="00863B83">
            <w:pPr>
              <w:jc w:val="right"/>
              <w:textAlignment w:val="bottom"/>
            </w:pPr>
            <w:r>
              <w:rPr>
                <w:rFonts w:ascii="sans-serif" w:eastAsia="sans-serif" w:hAnsi="sans-serif" w:cs="sans-serif"/>
                <w:color w:val="000000"/>
                <w:sz w:val="20"/>
                <w:szCs w:val="20"/>
              </w:rPr>
              <w:t>2,368 </w:t>
            </w:r>
          </w:p>
        </w:tc>
        <w:tc>
          <w:tcPr>
            <w:tcW w:w="0" w:type="auto"/>
            <w:shd w:val="clear" w:color="auto" w:fill="E2EFD9"/>
            <w:tcMar>
              <w:top w:w="40" w:type="dxa"/>
              <w:bottom w:w="40" w:type="dxa"/>
              <w:right w:w="20" w:type="dxa"/>
            </w:tcMar>
            <w:vAlign w:val="bottom"/>
          </w:tcPr>
          <w:p w14:paraId="0D8E03EF" w14:textId="77777777" w:rsidR="004C2197" w:rsidRDefault="004C2197">
            <w:pPr>
              <w:jc w:val="right"/>
              <w:rPr>
                <w:rFonts w:ascii="宋体"/>
              </w:rPr>
            </w:pPr>
          </w:p>
        </w:tc>
        <w:tc>
          <w:tcPr>
            <w:tcW w:w="0" w:type="auto"/>
            <w:shd w:val="clear" w:color="auto" w:fill="auto"/>
          </w:tcPr>
          <w:p w14:paraId="0D8E03F0" w14:textId="77777777" w:rsidR="004C2197" w:rsidRDefault="004C2197">
            <w:pPr>
              <w:rPr>
                <w:rFonts w:ascii="宋体"/>
              </w:rPr>
            </w:pPr>
          </w:p>
        </w:tc>
        <w:tc>
          <w:tcPr>
            <w:tcW w:w="0" w:type="auto"/>
            <w:shd w:val="clear" w:color="auto" w:fill="auto"/>
          </w:tcPr>
          <w:p w14:paraId="0D8E03F1" w14:textId="77777777" w:rsidR="004C2197" w:rsidRDefault="004C2197">
            <w:pPr>
              <w:rPr>
                <w:rFonts w:ascii="宋体"/>
              </w:rPr>
            </w:pPr>
          </w:p>
        </w:tc>
        <w:tc>
          <w:tcPr>
            <w:tcW w:w="0" w:type="auto"/>
            <w:shd w:val="clear" w:color="auto" w:fill="auto"/>
          </w:tcPr>
          <w:p w14:paraId="0D8E03F2" w14:textId="77777777" w:rsidR="004C2197" w:rsidRDefault="004C2197">
            <w:pPr>
              <w:rPr>
                <w:rFonts w:ascii="宋体"/>
              </w:rPr>
            </w:pPr>
          </w:p>
        </w:tc>
        <w:tc>
          <w:tcPr>
            <w:tcW w:w="0" w:type="auto"/>
            <w:shd w:val="clear" w:color="auto" w:fill="auto"/>
          </w:tcPr>
          <w:p w14:paraId="0D8E03F3" w14:textId="77777777" w:rsidR="004C2197" w:rsidRDefault="004C2197">
            <w:pPr>
              <w:rPr>
                <w:rFonts w:ascii="宋体"/>
              </w:rPr>
            </w:pPr>
          </w:p>
        </w:tc>
        <w:tc>
          <w:tcPr>
            <w:tcW w:w="0" w:type="auto"/>
            <w:shd w:val="clear" w:color="auto" w:fill="auto"/>
          </w:tcPr>
          <w:p w14:paraId="0D8E03F4" w14:textId="77777777" w:rsidR="004C2197" w:rsidRDefault="004C2197">
            <w:pPr>
              <w:rPr>
                <w:rFonts w:ascii="宋体"/>
              </w:rPr>
            </w:pPr>
          </w:p>
        </w:tc>
        <w:tc>
          <w:tcPr>
            <w:tcW w:w="0" w:type="auto"/>
            <w:shd w:val="clear" w:color="auto" w:fill="auto"/>
          </w:tcPr>
          <w:p w14:paraId="0D8E03F5" w14:textId="77777777" w:rsidR="004C2197" w:rsidRDefault="004C2197">
            <w:pPr>
              <w:rPr>
                <w:rFonts w:ascii="宋体"/>
              </w:rPr>
            </w:pPr>
          </w:p>
        </w:tc>
        <w:tc>
          <w:tcPr>
            <w:tcW w:w="0" w:type="auto"/>
            <w:shd w:val="clear" w:color="auto" w:fill="auto"/>
          </w:tcPr>
          <w:p w14:paraId="0D8E03F6" w14:textId="77777777" w:rsidR="004C2197" w:rsidRDefault="004C2197">
            <w:pPr>
              <w:rPr>
                <w:rFonts w:ascii="宋体"/>
              </w:rPr>
            </w:pPr>
          </w:p>
        </w:tc>
        <w:tc>
          <w:tcPr>
            <w:tcW w:w="0" w:type="auto"/>
            <w:shd w:val="clear" w:color="auto" w:fill="auto"/>
          </w:tcPr>
          <w:p w14:paraId="0D8E03F7" w14:textId="77777777" w:rsidR="004C2197" w:rsidRDefault="004C2197">
            <w:pPr>
              <w:rPr>
                <w:rFonts w:ascii="宋体"/>
              </w:rPr>
            </w:pPr>
          </w:p>
        </w:tc>
        <w:tc>
          <w:tcPr>
            <w:tcW w:w="0" w:type="auto"/>
            <w:shd w:val="clear" w:color="auto" w:fill="auto"/>
          </w:tcPr>
          <w:p w14:paraId="0D8E03F8" w14:textId="77777777" w:rsidR="004C2197" w:rsidRDefault="004C2197">
            <w:pPr>
              <w:rPr>
                <w:rFonts w:ascii="宋体"/>
              </w:rPr>
            </w:pPr>
          </w:p>
        </w:tc>
        <w:tc>
          <w:tcPr>
            <w:tcW w:w="0" w:type="auto"/>
            <w:shd w:val="clear" w:color="auto" w:fill="auto"/>
          </w:tcPr>
          <w:p w14:paraId="0D8E03F9" w14:textId="77777777" w:rsidR="004C2197" w:rsidRDefault="004C2197">
            <w:pPr>
              <w:rPr>
                <w:rFonts w:ascii="宋体"/>
              </w:rPr>
            </w:pPr>
          </w:p>
        </w:tc>
        <w:tc>
          <w:tcPr>
            <w:tcW w:w="0" w:type="auto"/>
            <w:shd w:val="clear" w:color="auto" w:fill="auto"/>
          </w:tcPr>
          <w:p w14:paraId="0D8E03FA" w14:textId="77777777" w:rsidR="004C2197" w:rsidRDefault="004C2197">
            <w:pPr>
              <w:rPr>
                <w:rFonts w:ascii="宋体"/>
              </w:rPr>
            </w:pPr>
          </w:p>
        </w:tc>
        <w:tc>
          <w:tcPr>
            <w:tcW w:w="0" w:type="auto"/>
            <w:shd w:val="clear" w:color="auto" w:fill="auto"/>
          </w:tcPr>
          <w:p w14:paraId="0D8E03FB" w14:textId="77777777" w:rsidR="004C2197" w:rsidRDefault="004C2197">
            <w:pPr>
              <w:rPr>
                <w:rFonts w:ascii="宋体"/>
              </w:rPr>
            </w:pPr>
          </w:p>
        </w:tc>
        <w:tc>
          <w:tcPr>
            <w:tcW w:w="0" w:type="auto"/>
            <w:shd w:val="clear" w:color="auto" w:fill="auto"/>
          </w:tcPr>
          <w:p w14:paraId="0D8E03FC" w14:textId="77777777" w:rsidR="004C2197" w:rsidRDefault="004C2197">
            <w:pPr>
              <w:rPr>
                <w:rFonts w:ascii="宋体"/>
              </w:rPr>
            </w:pPr>
          </w:p>
        </w:tc>
        <w:tc>
          <w:tcPr>
            <w:tcW w:w="0" w:type="auto"/>
            <w:shd w:val="clear" w:color="auto" w:fill="auto"/>
          </w:tcPr>
          <w:p w14:paraId="0D8E03FD" w14:textId="77777777" w:rsidR="004C2197" w:rsidRDefault="004C2197">
            <w:pPr>
              <w:rPr>
                <w:rFonts w:ascii="宋体"/>
              </w:rPr>
            </w:pPr>
          </w:p>
        </w:tc>
        <w:tc>
          <w:tcPr>
            <w:tcW w:w="0" w:type="auto"/>
            <w:shd w:val="clear" w:color="auto" w:fill="auto"/>
          </w:tcPr>
          <w:p w14:paraId="0D8E03FE" w14:textId="77777777" w:rsidR="004C2197" w:rsidRDefault="004C2197">
            <w:pPr>
              <w:rPr>
                <w:rFonts w:ascii="宋体"/>
              </w:rPr>
            </w:pPr>
          </w:p>
        </w:tc>
        <w:tc>
          <w:tcPr>
            <w:tcW w:w="0" w:type="auto"/>
            <w:shd w:val="clear" w:color="auto" w:fill="auto"/>
          </w:tcPr>
          <w:p w14:paraId="0D8E03FF" w14:textId="77777777" w:rsidR="004C2197" w:rsidRDefault="004C2197">
            <w:pPr>
              <w:rPr>
                <w:rFonts w:ascii="宋体"/>
              </w:rPr>
            </w:pPr>
          </w:p>
        </w:tc>
        <w:tc>
          <w:tcPr>
            <w:tcW w:w="0" w:type="auto"/>
            <w:shd w:val="clear" w:color="auto" w:fill="auto"/>
          </w:tcPr>
          <w:p w14:paraId="0D8E0400" w14:textId="77777777" w:rsidR="004C2197" w:rsidRDefault="004C2197">
            <w:pPr>
              <w:rPr>
                <w:rFonts w:ascii="宋体"/>
              </w:rPr>
            </w:pPr>
          </w:p>
        </w:tc>
        <w:tc>
          <w:tcPr>
            <w:tcW w:w="0" w:type="auto"/>
            <w:shd w:val="clear" w:color="auto" w:fill="auto"/>
          </w:tcPr>
          <w:p w14:paraId="0D8E0401" w14:textId="77777777" w:rsidR="004C2197" w:rsidRDefault="004C2197">
            <w:pPr>
              <w:rPr>
                <w:rFonts w:ascii="宋体"/>
              </w:rPr>
            </w:pPr>
          </w:p>
        </w:tc>
      </w:tr>
      <w:tr w:rsidR="004C2197" w14:paraId="0D8E0421" w14:textId="77777777">
        <w:tc>
          <w:tcPr>
            <w:tcW w:w="0" w:type="auto"/>
            <w:gridSpan w:val="3"/>
            <w:shd w:val="clear" w:color="auto" w:fill="FFFFFF"/>
            <w:tcMar>
              <w:top w:w="40" w:type="dxa"/>
              <w:left w:w="225" w:type="dxa"/>
              <w:bottom w:w="40" w:type="dxa"/>
              <w:right w:w="20" w:type="dxa"/>
            </w:tcMar>
            <w:vAlign w:val="bottom"/>
          </w:tcPr>
          <w:p w14:paraId="0D8E0403" w14:textId="77777777" w:rsidR="004C2197" w:rsidRDefault="00863B83">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FFFFFF"/>
            <w:tcMar>
              <w:top w:w="40" w:type="dxa"/>
              <w:left w:w="20" w:type="dxa"/>
              <w:bottom w:w="40" w:type="dxa"/>
              <w:right w:w="0" w:type="dxa"/>
            </w:tcMar>
            <w:vAlign w:val="bottom"/>
          </w:tcPr>
          <w:p w14:paraId="0D8E0404" w14:textId="77777777" w:rsidR="004C2197" w:rsidRDefault="00863B83">
            <w:pPr>
              <w:jc w:val="right"/>
              <w:textAlignment w:val="bottom"/>
            </w:pPr>
            <w:r>
              <w:rPr>
                <w:rFonts w:ascii="sans-serif" w:eastAsia="sans-serif" w:hAnsi="sans-serif" w:cs="sans-serif"/>
                <w:color w:val="000000"/>
                <w:sz w:val="20"/>
                <w:szCs w:val="20"/>
              </w:rPr>
              <w:t>203 </w:t>
            </w:r>
          </w:p>
        </w:tc>
        <w:tc>
          <w:tcPr>
            <w:tcW w:w="0" w:type="auto"/>
            <w:shd w:val="clear" w:color="auto" w:fill="FFFFFF"/>
            <w:tcMar>
              <w:top w:w="40" w:type="dxa"/>
              <w:bottom w:w="40" w:type="dxa"/>
              <w:right w:w="20" w:type="dxa"/>
            </w:tcMar>
            <w:vAlign w:val="bottom"/>
          </w:tcPr>
          <w:p w14:paraId="0D8E040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0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07" w14:textId="77777777" w:rsidR="004C2197" w:rsidRDefault="00863B83">
            <w:pPr>
              <w:jc w:val="right"/>
              <w:textAlignment w:val="bottom"/>
            </w:pPr>
            <w:r>
              <w:rPr>
                <w:rFonts w:ascii="sans-serif" w:eastAsia="sans-serif" w:hAnsi="sans-serif" w:cs="sans-serif"/>
                <w:color w:val="000000"/>
                <w:sz w:val="20"/>
                <w:szCs w:val="20"/>
              </w:rPr>
              <w:t>291 </w:t>
            </w:r>
          </w:p>
        </w:tc>
        <w:tc>
          <w:tcPr>
            <w:tcW w:w="0" w:type="auto"/>
            <w:shd w:val="clear" w:color="auto" w:fill="FFFFFF"/>
            <w:tcMar>
              <w:top w:w="40" w:type="dxa"/>
              <w:bottom w:w="40" w:type="dxa"/>
              <w:right w:w="20" w:type="dxa"/>
            </w:tcMar>
            <w:vAlign w:val="bottom"/>
          </w:tcPr>
          <w:p w14:paraId="0D8E040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0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0A" w14:textId="77777777" w:rsidR="004C2197" w:rsidRDefault="00863B83">
            <w:pPr>
              <w:jc w:val="right"/>
              <w:textAlignment w:val="bottom"/>
            </w:pPr>
            <w:r>
              <w:rPr>
                <w:rFonts w:ascii="sans-serif" w:eastAsia="sans-serif" w:hAnsi="sans-serif" w:cs="sans-serif"/>
                <w:color w:val="000000"/>
                <w:sz w:val="20"/>
                <w:szCs w:val="20"/>
              </w:rPr>
              <w:t>510 </w:t>
            </w:r>
          </w:p>
        </w:tc>
        <w:tc>
          <w:tcPr>
            <w:tcW w:w="0" w:type="auto"/>
            <w:shd w:val="clear" w:color="auto" w:fill="FFFFFF"/>
            <w:tcMar>
              <w:top w:w="40" w:type="dxa"/>
              <w:bottom w:w="40" w:type="dxa"/>
              <w:right w:w="20" w:type="dxa"/>
            </w:tcMar>
            <w:vAlign w:val="bottom"/>
          </w:tcPr>
          <w:p w14:paraId="0D8E040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0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0D" w14:textId="77777777" w:rsidR="004C2197" w:rsidRDefault="00863B83">
            <w:pPr>
              <w:jc w:val="right"/>
              <w:textAlignment w:val="bottom"/>
            </w:pPr>
            <w:r>
              <w:rPr>
                <w:rFonts w:ascii="sans-serif" w:eastAsia="sans-serif" w:hAnsi="sans-serif" w:cs="sans-serif"/>
                <w:color w:val="000000"/>
                <w:sz w:val="20"/>
                <w:szCs w:val="20"/>
              </w:rPr>
              <w:t>557 </w:t>
            </w:r>
          </w:p>
        </w:tc>
        <w:tc>
          <w:tcPr>
            <w:tcW w:w="0" w:type="auto"/>
            <w:shd w:val="clear" w:color="auto" w:fill="FFFFFF"/>
            <w:tcMar>
              <w:top w:w="40" w:type="dxa"/>
              <w:bottom w:w="40" w:type="dxa"/>
              <w:right w:w="20" w:type="dxa"/>
            </w:tcMar>
            <w:vAlign w:val="bottom"/>
          </w:tcPr>
          <w:p w14:paraId="0D8E040E" w14:textId="77777777" w:rsidR="004C2197" w:rsidRDefault="004C2197">
            <w:pPr>
              <w:jc w:val="right"/>
              <w:rPr>
                <w:rFonts w:ascii="宋体"/>
              </w:rPr>
            </w:pPr>
          </w:p>
        </w:tc>
        <w:tc>
          <w:tcPr>
            <w:tcW w:w="0" w:type="auto"/>
            <w:shd w:val="clear" w:color="auto" w:fill="auto"/>
          </w:tcPr>
          <w:p w14:paraId="0D8E040F" w14:textId="77777777" w:rsidR="004C2197" w:rsidRDefault="004C2197">
            <w:pPr>
              <w:rPr>
                <w:rFonts w:ascii="宋体"/>
              </w:rPr>
            </w:pPr>
          </w:p>
        </w:tc>
        <w:tc>
          <w:tcPr>
            <w:tcW w:w="0" w:type="auto"/>
            <w:shd w:val="clear" w:color="auto" w:fill="auto"/>
          </w:tcPr>
          <w:p w14:paraId="0D8E0410" w14:textId="77777777" w:rsidR="004C2197" w:rsidRDefault="004C2197">
            <w:pPr>
              <w:rPr>
                <w:rFonts w:ascii="宋体"/>
              </w:rPr>
            </w:pPr>
          </w:p>
        </w:tc>
        <w:tc>
          <w:tcPr>
            <w:tcW w:w="0" w:type="auto"/>
            <w:shd w:val="clear" w:color="auto" w:fill="auto"/>
          </w:tcPr>
          <w:p w14:paraId="0D8E0411" w14:textId="77777777" w:rsidR="004C2197" w:rsidRDefault="004C2197">
            <w:pPr>
              <w:rPr>
                <w:rFonts w:ascii="宋体"/>
              </w:rPr>
            </w:pPr>
          </w:p>
        </w:tc>
        <w:tc>
          <w:tcPr>
            <w:tcW w:w="0" w:type="auto"/>
            <w:shd w:val="clear" w:color="auto" w:fill="auto"/>
          </w:tcPr>
          <w:p w14:paraId="0D8E0412" w14:textId="77777777" w:rsidR="004C2197" w:rsidRDefault="004C2197">
            <w:pPr>
              <w:rPr>
                <w:rFonts w:ascii="宋体"/>
              </w:rPr>
            </w:pPr>
          </w:p>
        </w:tc>
        <w:tc>
          <w:tcPr>
            <w:tcW w:w="0" w:type="auto"/>
            <w:shd w:val="clear" w:color="auto" w:fill="auto"/>
          </w:tcPr>
          <w:p w14:paraId="0D8E0413" w14:textId="77777777" w:rsidR="004C2197" w:rsidRDefault="004C2197">
            <w:pPr>
              <w:rPr>
                <w:rFonts w:ascii="宋体"/>
              </w:rPr>
            </w:pPr>
          </w:p>
        </w:tc>
        <w:tc>
          <w:tcPr>
            <w:tcW w:w="0" w:type="auto"/>
            <w:shd w:val="clear" w:color="auto" w:fill="auto"/>
          </w:tcPr>
          <w:p w14:paraId="0D8E0414" w14:textId="77777777" w:rsidR="004C2197" w:rsidRDefault="004C2197">
            <w:pPr>
              <w:rPr>
                <w:rFonts w:ascii="宋体"/>
              </w:rPr>
            </w:pPr>
          </w:p>
        </w:tc>
        <w:tc>
          <w:tcPr>
            <w:tcW w:w="0" w:type="auto"/>
            <w:shd w:val="clear" w:color="auto" w:fill="auto"/>
          </w:tcPr>
          <w:p w14:paraId="0D8E0415" w14:textId="77777777" w:rsidR="004C2197" w:rsidRDefault="004C2197">
            <w:pPr>
              <w:rPr>
                <w:rFonts w:ascii="宋体"/>
              </w:rPr>
            </w:pPr>
          </w:p>
        </w:tc>
        <w:tc>
          <w:tcPr>
            <w:tcW w:w="0" w:type="auto"/>
            <w:shd w:val="clear" w:color="auto" w:fill="auto"/>
          </w:tcPr>
          <w:p w14:paraId="0D8E0416" w14:textId="77777777" w:rsidR="004C2197" w:rsidRDefault="004C2197">
            <w:pPr>
              <w:rPr>
                <w:rFonts w:ascii="宋体"/>
              </w:rPr>
            </w:pPr>
          </w:p>
        </w:tc>
        <w:tc>
          <w:tcPr>
            <w:tcW w:w="0" w:type="auto"/>
            <w:shd w:val="clear" w:color="auto" w:fill="auto"/>
          </w:tcPr>
          <w:p w14:paraId="0D8E0417" w14:textId="77777777" w:rsidR="004C2197" w:rsidRDefault="004C2197">
            <w:pPr>
              <w:rPr>
                <w:rFonts w:ascii="宋体"/>
              </w:rPr>
            </w:pPr>
          </w:p>
        </w:tc>
        <w:tc>
          <w:tcPr>
            <w:tcW w:w="0" w:type="auto"/>
            <w:shd w:val="clear" w:color="auto" w:fill="auto"/>
          </w:tcPr>
          <w:p w14:paraId="0D8E0418" w14:textId="77777777" w:rsidR="004C2197" w:rsidRDefault="004C2197">
            <w:pPr>
              <w:rPr>
                <w:rFonts w:ascii="宋体"/>
              </w:rPr>
            </w:pPr>
          </w:p>
        </w:tc>
        <w:tc>
          <w:tcPr>
            <w:tcW w:w="0" w:type="auto"/>
            <w:shd w:val="clear" w:color="auto" w:fill="auto"/>
          </w:tcPr>
          <w:p w14:paraId="0D8E0419" w14:textId="77777777" w:rsidR="004C2197" w:rsidRDefault="004C2197">
            <w:pPr>
              <w:rPr>
                <w:rFonts w:ascii="宋体"/>
              </w:rPr>
            </w:pPr>
          </w:p>
        </w:tc>
        <w:tc>
          <w:tcPr>
            <w:tcW w:w="0" w:type="auto"/>
            <w:shd w:val="clear" w:color="auto" w:fill="auto"/>
          </w:tcPr>
          <w:p w14:paraId="0D8E041A" w14:textId="77777777" w:rsidR="004C2197" w:rsidRDefault="004C2197">
            <w:pPr>
              <w:rPr>
                <w:rFonts w:ascii="宋体"/>
              </w:rPr>
            </w:pPr>
          </w:p>
        </w:tc>
        <w:tc>
          <w:tcPr>
            <w:tcW w:w="0" w:type="auto"/>
            <w:shd w:val="clear" w:color="auto" w:fill="auto"/>
          </w:tcPr>
          <w:p w14:paraId="0D8E041B" w14:textId="77777777" w:rsidR="004C2197" w:rsidRDefault="004C2197">
            <w:pPr>
              <w:rPr>
                <w:rFonts w:ascii="宋体"/>
              </w:rPr>
            </w:pPr>
          </w:p>
        </w:tc>
        <w:tc>
          <w:tcPr>
            <w:tcW w:w="0" w:type="auto"/>
            <w:shd w:val="clear" w:color="auto" w:fill="auto"/>
          </w:tcPr>
          <w:p w14:paraId="0D8E041C" w14:textId="77777777" w:rsidR="004C2197" w:rsidRDefault="004C2197">
            <w:pPr>
              <w:rPr>
                <w:rFonts w:ascii="宋体"/>
              </w:rPr>
            </w:pPr>
          </w:p>
        </w:tc>
        <w:tc>
          <w:tcPr>
            <w:tcW w:w="0" w:type="auto"/>
            <w:shd w:val="clear" w:color="auto" w:fill="auto"/>
          </w:tcPr>
          <w:p w14:paraId="0D8E041D" w14:textId="77777777" w:rsidR="004C2197" w:rsidRDefault="004C2197">
            <w:pPr>
              <w:rPr>
                <w:rFonts w:ascii="宋体"/>
              </w:rPr>
            </w:pPr>
          </w:p>
        </w:tc>
        <w:tc>
          <w:tcPr>
            <w:tcW w:w="0" w:type="auto"/>
            <w:shd w:val="clear" w:color="auto" w:fill="auto"/>
          </w:tcPr>
          <w:p w14:paraId="0D8E041E" w14:textId="77777777" w:rsidR="004C2197" w:rsidRDefault="004C2197">
            <w:pPr>
              <w:rPr>
                <w:rFonts w:ascii="宋体"/>
              </w:rPr>
            </w:pPr>
          </w:p>
        </w:tc>
        <w:tc>
          <w:tcPr>
            <w:tcW w:w="0" w:type="auto"/>
            <w:shd w:val="clear" w:color="auto" w:fill="auto"/>
          </w:tcPr>
          <w:p w14:paraId="0D8E041F" w14:textId="77777777" w:rsidR="004C2197" w:rsidRDefault="004C2197">
            <w:pPr>
              <w:rPr>
                <w:rFonts w:ascii="宋体"/>
              </w:rPr>
            </w:pPr>
          </w:p>
        </w:tc>
        <w:tc>
          <w:tcPr>
            <w:tcW w:w="0" w:type="auto"/>
            <w:shd w:val="clear" w:color="auto" w:fill="auto"/>
          </w:tcPr>
          <w:p w14:paraId="0D8E0420" w14:textId="77777777" w:rsidR="004C2197" w:rsidRDefault="004C2197">
            <w:pPr>
              <w:rPr>
                <w:rFonts w:ascii="宋体"/>
              </w:rPr>
            </w:pPr>
          </w:p>
        </w:tc>
      </w:tr>
      <w:tr w:rsidR="004C2197" w14:paraId="0D8E0440" w14:textId="77777777">
        <w:tc>
          <w:tcPr>
            <w:tcW w:w="0" w:type="auto"/>
            <w:gridSpan w:val="3"/>
            <w:shd w:val="clear" w:color="auto" w:fill="E2EFD9"/>
            <w:tcMar>
              <w:top w:w="40" w:type="dxa"/>
              <w:left w:w="225" w:type="dxa"/>
              <w:bottom w:w="40" w:type="dxa"/>
              <w:right w:w="20" w:type="dxa"/>
            </w:tcMar>
            <w:vAlign w:val="bottom"/>
          </w:tcPr>
          <w:p w14:paraId="0D8E0422" w14:textId="77777777" w:rsidR="004C2197" w:rsidRDefault="00863B83">
            <w:pPr>
              <w:textAlignment w:val="bottom"/>
            </w:pPr>
            <w:r>
              <w:rPr>
                <w:rFonts w:ascii="sans-serif" w:eastAsia="sans-serif" w:hAnsi="sans-serif" w:cs="sans-serif"/>
                <w:color w:val="000000"/>
                <w:sz w:val="20"/>
                <w:szCs w:val="20"/>
              </w:rPr>
              <w:t>Data Center</w:t>
            </w:r>
          </w:p>
        </w:tc>
        <w:tc>
          <w:tcPr>
            <w:tcW w:w="0" w:type="auto"/>
            <w:gridSpan w:val="2"/>
            <w:shd w:val="clear" w:color="auto" w:fill="E2EFD9"/>
            <w:tcMar>
              <w:top w:w="40" w:type="dxa"/>
              <w:left w:w="20" w:type="dxa"/>
              <w:bottom w:w="40" w:type="dxa"/>
              <w:right w:w="0" w:type="dxa"/>
            </w:tcMar>
            <w:vAlign w:val="bottom"/>
          </w:tcPr>
          <w:p w14:paraId="0D8E0423" w14:textId="77777777" w:rsidR="004C2197" w:rsidRDefault="00863B83">
            <w:pPr>
              <w:jc w:val="right"/>
              <w:textAlignment w:val="bottom"/>
            </w:pPr>
            <w:r>
              <w:rPr>
                <w:rFonts w:ascii="sans-serif" w:eastAsia="sans-serif" w:hAnsi="sans-serif" w:cs="sans-serif"/>
                <w:color w:val="000000"/>
                <w:sz w:val="20"/>
                <w:szCs w:val="20"/>
              </w:rPr>
              <w:t>1,752 </w:t>
            </w:r>
          </w:p>
        </w:tc>
        <w:tc>
          <w:tcPr>
            <w:tcW w:w="0" w:type="auto"/>
            <w:shd w:val="clear" w:color="auto" w:fill="E2EFD9"/>
            <w:tcMar>
              <w:top w:w="40" w:type="dxa"/>
              <w:bottom w:w="40" w:type="dxa"/>
              <w:right w:w="20" w:type="dxa"/>
            </w:tcMar>
            <w:vAlign w:val="bottom"/>
          </w:tcPr>
          <w:p w14:paraId="0D8E042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2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26" w14:textId="77777777" w:rsidR="004C2197" w:rsidRDefault="00863B83">
            <w:pPr>
              <w:jc w:val="right"/>
              <w:textAlignment w:val="bottom"/>
            </w:pPr>
            <w:r>
              <w:rPr>
                <w:rFonts w:ascii="sans-serif" w:eastAsia="sans-serif" w:hAnsi="sans-serif" w:cs="sans-serif"/>
                <w:color w:val="000000"/>
                <w:sz w:val="20"/>
                <w:szCs w:val="20"/>
              </w:rPr>
              <w:t>655 </w:t>
            </w:r>
          </w:p>
        </w:tc>
        <w:tc>
          <w:tcPr>
            <w:tcW w:w="0" w:type="auto"/>
            <w:shd w:val="clear" w:color="auto" w:fill="E2EFD9"/>
            <w:tcMar>
              <w:top w:w="40" w:type="dxa"/>
              <w:bottom w:w="40" w:type="dxa"/>
              <w:right w:w="20" w:type="dxa"/>
            </w:tcMar>
            <w:vAlign w:val="bottom"/>
          </w:tcPr>
          <w:p w14:paraId="0D8E042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2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29" w14:textId="77777777" w:rsidR="004C2197" w:rsidRDefault="00863B83">
            <w:pPr>
              <w:jc w:val="right"/>
              <w:textAlignment w:val="bottom"/>
            </w:pPr>
            <w:r>
              <w:rPr>
                <w:rFonts w:ascii="sans-serif" w:eastAsia="sans-serif" w:hAnsi="sans-serif" w:cs="sans-serif"/>
                <w:color w:val="000000"/>
                <w:sz w:val="20"/>
                <w:szCs w:val="20"/>
              </w:rPr>
              <w:t>2,893 </w:t>
            </w:r>
          </w:p>
        </w:tc>
        <w:tc>
          <w:tcPr>
            <w:tcW w:w="0" w:type="auto"/>
            <w:shd w:val="clear" w:color="auto" w:fill="E2EFD9"/>
            <w:tcMar>
              <w:top w:w="40" w:type="dxa"/>
              <w:bottom w:w="40" w:type="dxa"/>
              <w:right w:w="20" w:type="dxa"/>
            </w:tcMar>
            <w:vAlign w:val="bottom"/>
          </w:tcPr>
          <w:p w14:paraId="0D8E042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2B"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2C" w14:textId="77777777" w:rsidR="004C2197" w:rsidRDefault="00863B83">
            <w:pPr>
              <w:jc w:val="right"/>
              <w:textAlignment w:val="bottom"/>
            </w:pPr>
            <w:r>
              <w:rPr>
                <w:rFonts w:ascii="sans-serif" w:eastAsia="sans-serif" w:hAnsi="sans-serif" w:cs="sans-serif"/>
                <w:color w:val="000000"/>
                <w:sz w:val="20"/>
                <w:szCs w:val="20"/>
              </w:rPr>
              <w:t>1,289 </w:t>
            </w:r>
          </w:p>
        </w:tc>
        <w:tc>
          <w:tcPr>
            <w:tcW w:w="0" w:type="auto"/>
            <w:shd w:val="clear" w:color="auto" w:fill="E2EFD9"/>
            <w:tcMar>
              <w:top w:w="40" w:type="dxa"/>
              <w:bottom w:w="40" w:type="dxa"/>
              <w:right w:w="20" w:type="dxa"/>
            </w:tcMar>
            <w:vAlign w:val="bottom"/>
          </w:tcPr>
          <w:p w14:paraId="0D8E042D" w14:textId="77777777" w:rsidR="004C2197" w:rsidRDefault="004C2197">
            <w:pPr>
              <w:jc w:val="right"/>
              <w:rPr>
                <w:rFonts w:ascii="宋体"/>
              </w:rPr>
            </w:pPr>
          </w:p>
        </w:tc>
        <w:tc>
          <w:tcPr>
            <w:tcW w:w="0" w:type="auto"/>
            <w:shd w:val="clear" w:color="auto" w:fill="auto"/>
          </w:tcPr>
          <w:p w14:paraId="0D8E042E" w14:textId="77777777" w:rsidR="004C2197" w:rsidRDefault="004C2197">
            <w:pPr>
              <w:rPr>
                <w:rFonts w:ascii="宋体"/>
              </w:rPr>
            </w:pPr>
          </w:p>
        </w:tc>
        <w:tc>
          <w:tcPr>
            <w:tcW w:w="0" w:type="auto"/>
            <w:shd w:val="clear" w:color="auto" w:fill="auto"/>
          </w:tcPr>
          <w:p w14:paraId="0D8E042F" w14:textId="77777777" w:rsidR="004C2197" w:rsidRDefault="004C2197">
            <w:pPr>
              <w:rPr>
                <w:rFonts w:ascii="宋体"/>
              </w:rPr>
            </w:pPr>
          </w:p>
        </w:tc>
        <w:tc>
          <w:tcPr>
            <w:tcW w:w="0" w:type="auto"/>
            <w:shd w:val="clear" w:color="auto" w:fill="auto"/>
          </w:tcPr>
          <w:p w14:paraId="0D8E0430" w14:textId="77777777" w:rsidR="004C2197" w:rsidRDefault="004C2197">
            <w:pPr>
              <w:rPr>
                <w:rFonts w:ascii="宋体"/>
              </w:rPr>
            </w:pPr>
          </w:p>
        </w:tc>
        <w:tc>
          <w:tcPr>
            <w:tcW w:w="0" w:type="auto"/>
            <w:shd w:val="clear" w:color="auto" w:fill="auto"/>
          </w:tcPr>
          <w:p w14:paraId="0D8E0431" w14:textId="77777777" w:rsidR="004C2197" w:rsidRDefault="004C2197">
            <w:pPr>
              <w:rPr>
                <w:rFonts w:ascii="宋体"/>
              </w:rPr>
            </w:pPr>
          </w:p>
        </w:tc>
        <w:tc>
          <w:tcPr>
            <w:tcW w:w="0" w:type="auto"/>
            <w:shd w:val="clear" w:color="auto" w:fill="auto"/>
          </w:tcPr>
          <w:p w14:paraId="0D8E0432" w14:textId="77777777" w:rsidR="004C2197" w:rsidRDefault="004C2197">
            <w:pPr>
              <w:rPr>
                <w:rFonts w:ascii="宋体"/>
              </w:rPr>
            </w:pPr>
          </w:p>
        </w:tc>
        <w:tc>
          <w:tcPr>
            <w:tcW w:w="0" w:type="auto"/>
            <w:shd w:val="clear" w:color="auto" w:fill="auto"/>
          </w:tcPr>
          <w:p w14:paraId="0D8E0433" w14:textId="77777777" w:rsidR="004C2197" w:rsidRDefault="004C2197">
            <w:pPr>
              <w:rPr>
                <w:rFonts w:ascii="宋体"/>
              </w:rPr>
            </w:pPr>
          </w:p>
        </w:tc>
        <w:tc>
          <w:tcPr>
            <w:tcW w:w="0" w:type="auto"/>
            <w:shd w:val="clear" w:color="auto" w:fill="auto"/>
          </w:tcPr>
          <w:p w14:paraId="0D8E0434" w14:textId="77777777" w:rsidR="004C2197" w:rsidRDefault="004C2197">
            <w:pPr>
              <w:rPr>
                <w:rFonts w:ascii="宋体"/>
              </w:rPr>
            </w:pPr>
          </w:p>
        </w:tc>
        <w:tc>
          <w:tcPr>
            <w:tcW w:w="0" w:type="auto"/>
            <w:shd w:val="clear" w:color="auto" w:fill="auto"/>
          </w:tcPr>
          <w:p w14:paraId="0D8E0435" w14:textId="77777777" w:rsidR="004C2197" w:rsidRDefault="004C2197">
            <w:pPr>
              <w:rPr>
                <w:rFonts w:ascii="宋体"/>
              </w:rPr>
            </w:pPr>
          </w:p>
        </w:tc>
        <w:tc>
          <w:tcPr>
            <w:tcW w:w="0" w:type="auto"/>
            <w:shd w:val="clear" w:color="auto" w:fill="auto"/>
          </w:tcPr>
          <w:p w14:paraId="0D8E0436" w14:textId="77777777" w:rsidR="004C2197" w:rsidRDefault="004C2197">
            <w:pPr>
              <w:rPr>
                <w:rFonts w:ascii="宋体"/>
              </w:rPr>
            </w:pPr>
          </w:p>
        </w:tc>
        <w:tc>
          <w:tcPr>
            <w:tcW w:w="0" w:type="auto"/>
            <w:shd w:val="clear" w:color="auto" w:fill="auto"/>
          </w:tcPr>
          <w:p w14:paraId="0D8E0437" w14:textId="77777777" w:rsidR="004C2197" w:rsidRDefault="004C2197">
            <w:pPr>
              <w:rPr>
                <w:rFonts w:ascii="宋体"/>
              </w:rPr>
            </w:pPr>
          </w:p>
        </w:tc>
        <w:tc>
          <w:tcPr>
            <w:tcW w:w="0" w:type="auto"/>
            <w:shd w:val="clear" w:color="auto" w:fill="auto"/>
          </w:tcPr>
          <w:p w14:paraId="0D8E0438" w14:textId="77777777" w:rsidR="004C2197" w:rsidRDefault="004C2197">
            <w:pPr>
              <w:rPr>
                <w:rFonts w:ascii="宋体"/>
              </w:rPr>
            </w:pPr>
          </w:p>
        </w:tc>
        <w:tc>
          <w:tcPr>
            <w:tcW w:w="0" w:type="auto"/>
            <w:shd w:val="clear" w:color="auto" w:fill="auto"/>
          </w:tcPr>
          <w:p w14:paraId="0D8E0439" w14:textId="77777777" w:rsidR="004C2197" w:rsidRDefault="004C2197">
            <w:pPr>
              <w:rPr>
                <w:rFonts w:ascii="宋体"/>
              </w:rPr>
            </w:pPr>
          </w:p>
        </w:tc>
        <w:tc>
          <w:tcPr>
            <w:tcW w:w="0" w:type="auto"/>
            <w:shd w:val="clear" w:color="auto" w:fill="auto"/>
          </w:tcPr>
          <w:p w14:paraId="0D8E043A" w14:textId="77777777" w:rsidR="004C2197" w:rsidRDefault="004C2197">
            <w:pPr>
              <w:rPr>
                <w:rFonts w:ascii="宋体"/>
              </w:rPr>
            </w:pPr>
          </w:p>
        </w:tc>
        <w:tc>
          <w:tcPr>
            <w:tcW w:w="0" w:type="auto"/>
            <w:shd w:val="clear" w:color="auto" w:fill="auto"/>
          </w:tcPr>
          <w:p w14:paraId="0D8E043B" w14:textId="77777777" w:rsidR="004C2197" w:rsidRDefault="004C2197">
            <w:pPr>
              <w:rPr>
                <w:rFonts w:ascii="宋体"/>
              </w:rPr>
            </w:pPr>
          </w:p>
        </w:tc>
        <w:tc>
          <w:tcPr>
            <w:tcW w:w="0" w:type="auto"/>
            <w:shd w:val="clear" w:color="auto" w:fill="auto"/>
          </w:tcPr>
          <w:p w14:paraId="0D8E043C" w14:textId="77777777" w:rsidR="004C2197" w:rsidRDefault="004C2197">
            <w:pPr>
              <w:rPr>
                <w:rFonts w:ascii="宋体"/>
              </w:rPr>
            </w:pPr>
          </w:p>
        </w:tc>
        <w:tc>
          <w:tcPr>
            <w:tcW w:w="0" w:type="auto"/>
            <w:shd w:val="clear" w:color="auto" w:fill="auto"/>
          </w:tcPr>
          <w:p w14:paraId="0D8E043D" w14:textId="77777777" w:rsidR="004C2197" w:rsidRDefault="004C2197">
            <w:pPr>
              <w:rPr>
                <w:rFonts w:ascii="宋体"/>
              </w:rPr>
            </w:pPr>
          </w:p>
        </w:tc>
        <w:tc>
          <w:tcPr>
            <w:tcW w:w="0" w:type="auto"/>
            <w:shd w:val="clear" w:color="auto" w:fill="auto"/>
          </w:tcPr>
          <w:p w14:paraId="0D8E043E" w14:textId="77777777" w:rsidR="004C2197" w:rsidRDefault="004C2197">
            <w:pPr>
              <w:rPr>
                <w:rFonts w:ascii="宋体"/>
              </w:rPr>
            </w:pPr>
          </w:p>
        </w:tc>
        <w:tc>
          <w:tcPr>
            <w:tcW w:w="0" w:type="auto"/>
            <w:shd w:val="clear" w:color="auto" w:fill="auto"/>
          </w:tcPr>
          <w:p w14:paraId="0D8E043F" w14:textId="77777777" w:rsidR="004C2197" w:rsidRDefault="004C2197">
            <w:pPr>
              <w:rPr>
                <w:rFonts w:ascii="宋体"/>
              </w:rPr>
            </w:pPr>
          </w:p>
        </w:tc>
      </w:tr>
      <w:tr w:rsidR="004C2197" w14:paraId="0D8E045F" w14:textId="77777777">
        <w:tc>
          <w:tcPr>
            <w:tcW w:w="0" w:type="auto"/>
            <w:gridSpan w:val="3"/>
            <w:shd w:val="clear" w:color="auto" w:fill="FFFFFF"/>
            <w:tcMar>
              <w:top w:w="40" w:type="dxa"/>
              <w:left w:w="225" w:type="dxa"/>
              <w:bottom w:w="40" w:type="dxa"/>
              <w:right w:w="20" w:type="dxa"/>
            </w:tcMar>
            <w:vAlign w:val="bottom"/>
          </w:tcPr>
          <w:p w14:paraId="0D8E0441" w14:textId="77777777" w:rsidR="004C2197" w:rsidRDefault="00863B83">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0D8E0442" w14:textId="77777777" w:rsidR="004C2197" w:rsidRDefault="00863B83">
            <w:pPr>
              <w:jc w:val="right"/>
              <w:textAlignment w:val="bottom"/>
            </w:pPr>
            <w:r>
              <w:rPr>
                <w:rFonts w:ascii="sans-serif" w:eastAsia="sans-serif" w:hAnsi="sans-serif" w:cs="sans-serif"/>
                <w:color w:val="000000"/>
                <w:sz w:val="20"/>
                <w:szCs w:val="20"/>
              </w:rPr>
              <w:t>111 </w:t>
            </w:r>
          </w:p>
        </w:tc>
        <w:tc>
          <w:tcPr>
            <w:tcW w:w="0" w:type="auto"/>
            <w:shd w:val="clear" w:color="auto" w:fill="FFFFFF"/>
            <w:tcMar>
              <w:top w:w="40" w:type="dxa"/>
              <w:bottom w:w="40" w:type="dxa"/>
              <w:right w:w="20" w:type="dxa"/>
            </w:tcMar>
            <w:vAlign w:val="bottom"/>
          </w:tcPr>
          <w:p w14:paraId="0D8E0443"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44"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45" w14:textId="77777777" w:rsidR="004C2197" w:rsidRDefault="00863B83">
            <w:pPr>
              <w:jc w:val="right"/>
              <w:textAlignment w:val="bottom"/>
            </w:pPr>
            <w:r>
              <w:rPr>
                <w:rFonts w:ascii="sans-serif" w:eastAsia="sans-serif" w:hAnsi="sans-serif" w:cs="sans-serif"/>
                <w:color w:val="000000"/>
                <w:sz w:val="20"/>
                <w:szCs w:val="20"/>
              </w:rPr>
              <w:t>209 </w:t>
            </w:r>
          </w:p>
        </w:tc>
        <w:tc>
          <w:tcPr>
            <w:tcW w:w="0" w:type="auto"/>
            <w:shd w:val="clear" w:color="auto" w:fill="FFFFFF"/>
            <w:tcMar>
              <w:top w:w="40" w:type="dxa"/>
              <w:bottom w:w="40" w:type="dxa"/>
              <w:right w:w="20" w:type="dxa"/>
            </w:tcMar>
            <w:vAlign w:val="bottom"/>
          </w:tcPr>
          <w:p w14:paraId="0D8E044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47"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48" w14:textId="77777777" w:rsidR="004C2197" w:rsidRDefault="00863B83">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bottom w:w="40" w:type="dxa"/>
              <w:right w:w="20" w:type="dxa"/>
            </w:tcMar>
            <w:vAlign w:val="bottom"/>
          </w:tcPr>
          <w:p w14:paraId="0D8E044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4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44B" w14:textId="77777777" w:rsidR="004C2197" w:rsidRDefault="00863B83">
            <w:pPr>
              <w:jc w:val="right"/>
              <w:textAlignment w:val="bottom"/>
            </w:pPr>
            <w:r>
              <w:rPr>
                <w:rFonts w:ascii="sans-serif" w:eastAsia="sans-serif" w:hAnsi="sans-serif" w:cs="sans-serif"/>
                <w:color w:val="000000"/>
                <w:sz w:val="20"/>
                <w:szCs w:val="20"/>
              </w:rPr>
              <w:t>375 </w:t>
            </w:r>
          </w:p>
        </w:tc>
        <w:tc>
          <w:tcPr>
            <w:tcW w:w="0" w:type="auto"/>
            <w:shd w:val="clear" w:color="auto" w:fill="FFFFFF"/>
            <w:tcMar>
              <w:top w:w="40" w:type="dxa"/>
              <w:bottom w:w="40" w:type="dxa"/>
              <w:right w:w="20" w:type="dxa"/>
            </w:tcMar>
            <w:vAlign w:val="bottom"/>
          </w:tcPr>
          <w:p w14:paraId="0D8E044C" w14:textId="77777777" w:rsidR="004C2197" w:rsidRDefault="004C2197">
            <w:pPr>
              <w:jc w:val="right"/>
              <w:rPr>
                <w:rFonts w:ascii="宋体"/>
              </w:rPr>
            </w:pPr>
          </w:p>
        </w:tc>
        <w:tc>
          <w:tcPr>
            <w:tcW w:w="0" w:type="auto"/>
            <w:shd w:val="clear" w:color="auto" w:fill="auto"/>
          </w:tcPr>
          <w:p w14:paraId="0D8E044D" w14:textId="77777777" w:rsidR="004C2197" w:rsidRDefault="004C2197">
            <w:pPr>
              <w:rPr>
                <w:rFonts w:ascii="宋体"/>
              </w:rPr>
            </w:pPr>
          </w:p>
        </w:tc>
        <w:tc>
          <w:tcPr>
            <w:tcW w:w="0" w:type="auto"/>
            <w:shd w:val="clear" w:color="auto" w:fill="auto"/>
          </w:tcPr>
          <w:p w14:paraId="0D8E044E" w14:textId="77777777" w:rsidR="004C2197" w:rsidRDefault="004C2197">
            <w:pPr>
              <w:rPr>
                <w:rFonts w:ascii="宋体"/>
              </w:rPr>
            </w:pPr>
          </w:p>
        </w:tc>
        <w:tc>
          <w:tcPr>
            <w:tcW w:w="0" w:type="auto"/>
            <w:shd w:val="clear" w:color="auto" w:fill="auto"/>
          </w:tcPr>
          <w:p w14:paraId="0D8E044F" w14:textId="77777777" w:rsidR="004C2197" w:rsidRDefault="004C2197">
            <w:pPr>
              <w:rPr>
                <w:rFonts w:ascii="宋体"/>
              </w:rPr>
            </w:pPr>
          </w:p>
        </w:tc>
        <w:tc>
          <w:tcPr>
            <w:tcW w:w="0" w:type="auto"/>
            <w:shd w:val="clear" w:color="auto" w:fill="auto"/>
          </w:tcPr>
          <w:p w14:paraId="0D8E0450" w14:textId="77777777" w:rsidR="004C2197" w:rsidRDefault="004C2197">
            <w:pPr>
              <w:rPr>
                <w:rFonts w:ascii="宋体"/>
              </w:rPr>
            </w:pPr>
          </w:p>
        </w:tc>
        <w:tc>
          <w:tcPr>
            <w:tcW w:w="0" w:type="auto"/>
            <w:shd w:val="clear" w:color="auto" w:fill="auto"/>
          </w:tcPr>
          <w:p w14:paraId="0D8E0451" w14:textId="77777777" w:rsidR="004C2197" w:rsidRDefault="004C2197">
            <w:pPr>
              <w:rPr>
                <w:rFonts w:ascii="宋体"/>
              </w:rPr>
            </w:pPr>
          </w:p>
        </w:tc>
        <w:tc>
          <w:tcPr>
            <w:tcW w:w="0" w:type="auto"/>
            <w:shd w:val="clear" w:color="auto" w:fill="auto"/>
          </w:tcPr>
          <w:p w14:paraId="0D8E0452" w14:textId="77777777" w:rsidR="004C2197" w:rsidRDefault="004C2197">
            <w:pPr>
              <w:rPr>
                <w:rFonts w:ascii="宋体"/>
              </w:rPr>
            </w:pPr>
          </w:p>
        </w:tc>
        <w:tc>
          <w:tcPr>
            <w:tcW w:w="0" w:type="auto"/>
            <w:shd w:val="clear" w:color="auto" w:fill="auto"/>
          </w:tcPr>
          <w:p w14:paraId="0D8E0453" w14:textId="77777777" w:rsidR="004C2197" w:rsidRDefault="004C2197">
            <w:pPr>
              <w:rPr>
                <w:rFonts w:ascii="宋体"/>
              </w:rPr>
            </w:pPr>
          </w:p>
        </w:tc>
        <w:tc>
          <w:tcPr>
            <w:tcW w:w="0" w:type="auto"/>
            <w:shd w:val="clear" w:color="auto" w:fill="auto"/>
          </w:tcPr>
          <w:p w14:paraId="0D8E0454" w14:textId="77777777" w:rsidR="004C2197" w:rsidRDefault="004C2197">
            <w:pPr>
              <w:rPr>
                <w:rFonts w:ascii="宋体"/>
              </w:rPr>
            </w:pPr>
          </w:p>
        </w:tc>
        <w:tc>
          <w:tcPr>
            <w:tcW w:w="0" w:type="auto"/>
            <w:shd w:val="clear" w:color="auto" w:fill="auto"/>
          </w:tcPr>
          <w:p w14:paraId="0D8E0455" w14:textId="77777777" w:rsidR="004C2197" w:rsidRDefault="004C2197">
            <w:pPr>
              <w:rPr>
                <w:rFonts w:ascii="宋体"/>
              </w:rPr>
            </w:pPr>
          </w:p>
        </w:tc>
        <w:tc>
          <w:tcPr>
            <w:tcW w:w="0" w:type="auto"/>
            <w:shd w:val="clear" w:color="auto" w:fill="auto"/>
          </w:tcPr>
          <w:p w14:paraId="0D8E0456" w14:textId="77777777" w:rsidR="004C2197" w:rsidRDefault="004C2197">
            <w:pPr>
              <w:rPr>
                <w:rFonts w:ascii="宋体"/>
              </w:rPr>
            </w:pPr>
          </w:p>
        </w:tc>
        <w:tc>
          <w:tcPr>
            <w:tcW w:w="0" w:type="auto"/>
            <w:shd w:val="clear" w:color="auto" w:fill="auto"/>
          </w:tcPr>
          <w:p w14:paraId="0D8E0457" w14:textId="77777777" w:rsidR="004C2197" w:rsidRDefault="004C2197">
            <w:pPr>
              <w:rPr>
                <w:rFonts w:ascii="宋体"/>
              </w:rPr>
            </w:pPr>
          </w:p>
        </w:tc>
        <w:tc>
          <w:tcPr>
            <w:tcW w:w="0" w:type="auto"/>
            <w:shd w:val="clear" w:color="auto" w:fill="auto"/>
          </w:tcPr>
          <w:p w14:paraId="0D8E0458" w14:textId="77777777" w:rsidR="004C2197" w:rsidRDefault="004C2197">
            <w:pPr>
              <w:rPr>
                <w:rFonts w:ascii="宋体"/>
              </w:rPr>
            </w:pPr>
          </w:p>
        </w:tc>
        <w:tc>
          <w:tcPr>
            <w:tcW w:w="0" w:type="auto"/>
            <w:shd w:val="clear" w:color="auto" w:fill="auto"/>
          </w:tcPr>
          <w:p w14:paraId="0D8E0459" w14:textId="77777777" w:rsidR="004C2197" w:rsidRDefault="004C2197">
            <w:pPr>
              <w:rPr>
                <w:rFonts w:ascii="宋体"/>
              </w:rPr>
            </w:pPr>
          </w:p>
        </w:tc>
        <w:tc>
          <w:tcPr>
            <w:tcW w:w="0" w:type="auto"/>
            <w:shd w:val="clear" w:color="auto" w:fill="auto"/>
          </w:tcPr>
          <w:p w14:paraId="0D8E045A" w14:textId="77777777" w:rsidR="004C2197" w:rsidRDefault="004C2197">
            <w:pPr>
              <w:rPr>
                <w:rFonts w:ascii="宋体"/>
              </w:rPr>
            </w:pPr>
          </w:p>
        </w:tc>
        <w:tc>
          <w:tcPr>
            <w:tcW w:w="0" w:type="auto"/>
            <w:shd w:val="clear" w:color="auto" w:fill="auto"/>
          </w:tcPr>
          <w:p w14:paraId="0D8E045B" w14:textId="77777777" w:rsidR="004C2197" w:rsidRDefault="004C2197">
            <w:pPr>
              <w:rPr>
                <w:rFonts w:ascii="宋体"/>
              </w:rPr>
            </w:pPr>
          </w:p>
        </w:tc>
        <w:tc>
          <w:tcPr>
            <w:tcW w:w="0" w:type="auto"/>
            <w:shd w:val="clear" w:color="auto" w:fill="auto"/>
          </w:tcPr>
          <w:p w14:paraId="0D8E045C" w14:textId="77777777" w:rsidR="004C2197" w:rsidRDefault="004C2197">
            <w:pPr>
              <w:rPr>
                <w:rFonts w:ascii="宋体"/>
              </w:rPr>
            </w:pPr>
          </w:p>
        </w:tc>
        <w:tc>
          <w:tcPr>
            <w:tcW w:w="0" w:type="auto"/>
            <w:shd w:val="clear" w:color="auto" w:fill="auto"/>
          </w:tcPr>
          <w:p w14:paraId="0D8E045D" w14:textId="77777777" w:rsidR="004C2197" w:rsidRDefault="004C2197">
            <w:pPr>
              <w:rPr>
                <w:rFonts w:ascii="宋体"/>
              </w:rPr>
            </w:pPr>
          </w:p>
        </w:tc>
        <w:tc>
          <w:tcPr>
            <w:tcW w:w="0" w:type="auto"/>
            <w:shd w:val="clear" w:color="auto" w:fill="auto"/>
          </w:tcPr>
          <w:p w14:paraId="0D8E045E" w14:textId="77777777" w:rsidR="004C2197" w:rsidRDefault="004C2197">
            <w:pPr>
              <w:rPr>
                <w:rFonts w:ascii="宋体"/>
              </w:rPr>
            </w:pPr>
          </w:p>
        </w:tc>
      </w:tr>
      <w:tr w:rsidR="004C2197" w14:paraId="0D8E047E" w14:textId="77777777">
        <w:tc>
          <w:tcPr>
            <w:tcW w:w="0" w:type="auto"/>
            <w:gridSpan w:val="3"/>
            <w:shd w:val="clear" w:color="auto" w:fill="E2EFD9"/>
            <w:tcMar>
              <w:top w:w="40" w:type="dxa"/>
              <w:left w:w="225" w:type="dxa"/>
              <w:bottom w:w="40" w:type="dxa"/>
              <w:right w:w="20" w:type="dxa"/>
            </w:tcMar>
            <w:vAlign w:val="bottom"/>
          </w:tcPr>
          <w:p w14:paraId="0D8E0460" w14:textId="77777777" w:rsidR="004C2197" w:rsidRDefault="00863B83">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0D8E0461" w14:textId="77777777" w:rsidR="004C2197" w:rsidRDefault="00863B83">
            <w:pPr>
              <w:jc w:val="right"/>
              <w:textAlignment w:val="bottom"/>
            </w:pPr>
            <w:r>
              <w:rPr>
                <w:rFonts w:ascii="sans-serif" w:eastAsia="sans-serif" w:hAnsi="sans-serif" w:cs="sans-serif"/>
                <w:color w:val="000000"/>
                <w:sz w:val="20"/>
                <w:szCs w:val="20"/>
              </w:rPr>
              <w:t>146 </w:t>
            </w:r>
          </w:p>
        </w:tc>
        <w:tc>
          <w:tcPr>
            <w:tcW w:w="0" w:type="auto"/>
            <w:shd w:val="clear" w:color="auto" w:fill="E2EFD9"/>
            <w:tcMar>
              <w:top w:w="40" w:type="dxa"/>
              <w:bottom w:w="40" w:type="dxa"/>
              <w:right w:w="20" w:type="dxa"/>
            </w:tcMar>
            <w:vAlign w:val="bottom"/>
          </w:tcPr>
          <w:p w14:paraId="0D8E046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6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64" w14:textId="77777777" w:rsidR="004C2197" w:rsidRDefault="00863B83">
            <w:pPr>
              <w:jc w:val="right"/>
              <w:textAlignment w:val="bottom"/>
            </w:pPr>
            <w:r>
              <w:rPr>
                <w:rFonts w:ascii="sans-serif" w:eastAsia="sans-serif" w:hAnsi="sans-serif" w:cs="sans-serif"/>
                <w:color w:val="000000"/>
                <w:sz w:val="20"/>
                <w:szCs w:val="20"/>
              </w:rPr>
              <w:t>111 </w:t>
            </w:r>
          </w:p>
        </w:tc>
        <w:tc>
          <w:tcPr>
            <w:tcW w:w="0" w:type="auto"/>
            <w:shd w:val="clear" w:color="auto" w:fill="E2EFD9"/>
            <w:tcMar>
              <w:top w:w="40" w:type="dxa"/>
              <w:bottom w:w="40" w:type="dxa"/>
              <w:right w:w="20" w:type="dxa"/>
            </w:tcMar>
            <w:vAlign w:val="bottom"/>
          </w:tcPr>
          <w:p w14:paraId="0D8E046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6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67" w14:textId="77777777" w:rsidR="004C2197" w:rsidRDefault="00863B83">
            <w:pPr>
              <w:jc w:val="right"/>
              <w:textAlignment w:val="bottom"/>
            </w:pPr>
            <w:r>
              <w:rPr>
                <w:rFonts w:ascii="sans-serif" w:eastAsia="sans-serif" w:hAnsi="sans-serif" w:cs="sans-serif"/>
                <w:color w:val="000000"/>
                <w:sz w:val="20"/>
                <w:szCs w:val="20"/>
              </w:rPr>
              <w:t>284 </w:t>
            </w:r>
          </w:p>
        </w:tc>
        <w:tc>
          <w:tcPr>
            <w:tcW w:w="0" w:type="auto"/>
            <w:shd w:val="clear" w:color="auto" w:fill="E2EFD9"/>
            <w:tcMar>
              <w:top w:w="40" w:type="dxa"/>
              <w:bottom w:w="40" w:type="dxa"/>
              <w:right w:w="20" w:type="dxa"/>
            </w:tcMar>
            <w:vAlign w:val="bottom"/>
          </w:tcPr>
          <w:p w14:paraId="0D8E046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46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46A" w14:textId="77777777" w:rsidR="004C2197" w:rsidRDefault="00863B83">
            <w:pPr>
              <w:jc w:val="right"/>
              <w:textAlignment w:val="bottom"/>
            </w:pPr>
            <w:r>
              <w:rPr>
                <w:rFonts w:ascii="sans-serif" w:eastAsia="sans-serif" w:hAnsi="sans-serif" w:cs="sans-serif"/>
                <w:color w:val="000000"/>
                <w:sz w:val="20"/>
                <w:szCs w:val="20"/>
              </w:rPr>
              <w:t>210 </w:t>
            </w:r>
          </w:p>
        </w:tc>
        <w:tc>
          <w:tcPr>
            <w:tcW w:w="0" w:type="auto"/>
            <w:shd w:val="clear" w:color="auto" w:fill="E2EFD9"/>
            <w:tcMar>
              <w:top w:w="40" w:type="dxa"/>
              <w:bottom w:w="40" w:type="dxa"/>
              <w:right w:w="20" w:type="dxa"/>
            </w:tcMar>
            <w:vAlign w:val="bottom"/>
          </w:tcPr>
          <w:p w14:paraId="0D8E046B" w14:textId="77777777" w:rsidR="004C2197" w:rsidRDefault="004C2197">
            <w:pPr>
              <w:jc w:val="right"/>
              <w:rPr>
                <w:rFonts w:ascii="宋体"/>
              </w:rPr>
            </w:pPr>
          </w:p>
        </w:tc>
        <w:tc>
          <w:tcPr>
            <w:tcW w:w="0" w:type="auto"/>
            <w:shd w:val="clear" w:color="auto" w:fill="auto"/>
          </w:tcPr>
          <w:p w14:paraId="0D8E046C" w14:textId="77777777" w:rsidR="004C2197" w:rsidRDefault="004C2197">
            <w:pPr>
              <w:rPr>
                <w:rFonts w:ascii="宋体"/>
              </w:rPr>
            </w:pPr>
          </w:p>
        </w:tc>
        <w:tc>
          <w:tcPr>
            <w:tcW w:w="0" w:type="auto"/>
            <w:shd w:val="clear" w:color="auto" w:fill="auto"/>
          </w:tcPr>
          <w:p w14:paraId="0D8E046D" w14:textId="77777777" w:rsidR="004C2197" w:rsidRDefault="004C2197">
            <w:pPr>
              <w:rPr>
                <w:rFonts w:ascii="宋体"/>
              </w:rPr>
            </w:pPr>
          </w:p>
        </w:tc>
        <w:tc>
          <w:tcPr>
            <w:tcW w:w="0" w:type="auto"/>
            <w:shd w:val="clear" w:color="auto" w:fill="auto"/>
          </w:tcPr>
          <w:p w14:paraId="0D8E046E" w14:textId="77777777" w:rsidR="004C2197" w:rsidRDefault="004C2197">
            <w:pPr>
              <w:rPr>
                <w:rFonts w:ascii="宋体"/>
              </w:rPr>
            </w:pPr>
          </w:p>
        </w:tc>
        <w:tc>
          <w:tcPr>
            <w:tcW w:w="0" w:type="auto"/>
            <w:shd w:val="clear" w:color="auto" w:fill="auto"/>
          </w:tcPr>
          <w:p w14:paraId="0D8E046F" w14:textId="77777777" w:rsidR="004C2197" w:rsidRDefault="004C2197">
            <w:pPr>
              <w:rPr>
                <w:rFonts w:ascii="宋体"/>
              </w:rPr>
            </w:pPr>
          </w:p>
        </w:tc>
        <w:tc>
          <w:tcPr>
            <w:tcW w:w="0" w:type="auto"/>
            <w:shd w:val="clear" w:color="auto" w:fill="auto"/>
          </w:tcPr>
          <w:p w14:paraId="0D8E0470" w14:textId="77777777" w:rsidR="004C2197" w:rsidRDefault="004C2197">
            <w:pPr>
              <w:rPr>
                <w:rFonts w:ascii="宋体"/>
              </w:rPr>
            </w:pPr>
          </w:p>
        </w:tc>
        <w:tc>
          <w:tcPr>
            <w:tcW w:w="0" w:type="auto"/>
            <w:shd w:val="clear" w:color="auto" w:fill="auto"/>
          </w:tcPr>
          <w:p w14:paraId="0D8E0471" w14:textId="77777777" w:rsidR="004C2197" w:rsidRDefault="004C2197">
            <w:pPr>
              <w:rPr>
                <w:rFonts w:ascii="宋体"/>
              </w:rPr>
            </w:pPr>
          </w:p>
        </w:tc>
        <w:tc>
          <w:tcPr>
            <w:tcW w:w="0" w:type="auto"/>
            <w:shd w:val="clear" w:color="auto" w:fill="auto"/>
          </w:tcPr>
          <w:p w14:paraId="0D8E0472" w14:textId="77777777" w:rsidR="004C2197" w:rsidRDefault="004C2197">
            <w:pPr>
              <w:rPr>
                <w:rFonts w:ascii="宋体"/>
              </w:rPr>
            </w:pPr>
          </w:p>
        </w:tc>
        <w:tc>
          <w:tcPr>
            <w:tcW w:w="0" w:type="auto"/>
            <w:shd w:val="clear" w:color="auto" w:fill="auto"/>
          </w:tcPr>
          <w:p w14:paraId="0D8E0473" w14:textId="77777777" w:rsidR="004C2197" w:rsidRDefault="004C2197">
            <w:pPr>
              <w:rPr>
                <w:rFonts w:ascii="宋体"/>
              </w:rPr>
            </w:pPr>
          </w:p>
        </w:tc>
        <w:tc>
          <w:tcPr>
            <w:tcW w:w="0" w:type="auto"/>
            <w:shd w:val="clear" w:color="auto" w:fill="auto"/>
          </w:tcPr>
          <w:p w14:paraId="0D8E0474" w14:textId="77777777" w:rsidR="004C2197" w:rsidRDefault="004C2197">
            <w:pPr>
              <w:rPr>
                <w:rFonts w:ascii="宋体"/>
              </w:rPr>
            </w:pPr>
          </w:p>
        </w:tc>
        <w:tc>
          <w:tcPr>
            <w:tcW w:w="0" w:type="auto"/>
            <w:shd w:val="clear" w:color="auto" w:fill="auto"/>
          </w:tcPr>
          <w:p w14:paraId="0D8E0475" w14:textId="77777777" w:rsidR="004C2197" w:rsidRDefault="004C2197">
            <w:pPr>
              <w:rPr>
                <w:rFonts w:ascii="宋体"/>
              </w:rPr>
            </w:pPr>
          </w:p>
        </w:tc>
        <w:tc>
          <w:tcPr>
            <w:tcW w:w="0" w:type="auto"/>
            <w:shd w:val="clear" w:color="auto" w:fill="auto"/>
          </w:tcPr>
          <w:p w14:paraId="0D8E0476" w14:textId="77777777" w:rsidR="004C2197" w:rsidRDefault="004C2197">
            <w:pPr>
              <w:rPr>
                <w:rFonts w:ascii="宋体"/>
              </w:rPr>
            </w:pPr>
          </w:p>
        </w:tc>
        <w:tc>
          <w:tcPr>
            <w:tcW w:w="0" w:type="auto"/>
            <w:shd w:val="clear" w:color="auto" w:fill="auto"/>
          </w:tcPr>
          <w:p w14:paraId="0D8E0477" w14:textId="77777777" w:rsidR="004C2197" w:rsidRDefault="004C2197">
            <w:pPr>
              <w:rPr>
                <w:rFonts w:ascii="宋体"/>
              </w:rPr>
            </w:pPr>
          </w:p>
        </w:tc>
        <w:tc>
          <w:tcPr>
            <w:tcW w:w="0" w:type="auto"/>
            <w:shd w:val="clear" w:color="auto" w:fill="auto"/>
          </w:tcPr>
          <w:p w14:paraId="0D8E0478" w14:textId="77777777" w:rsidR="004C2197" w:rsidRDefault="004C2197">
            <w:pPr>
              <w:rPr>
                <w:rFonts w:ascii="宋体"/>
              </w:rPr>
            </w:pPr>
          </w:p>
        </w:tc>
        <w:tc>
          <w:tcPr>
            <w:tcW w:w="0" w:type="auto"/>
            <w:shd w:val="clear" w:color="auto" w:fill="auto"/>
          </w:tcPr>
          <w:p w14:paraId="0D8E0479" w14:textId="77777777" w:rsidR="004C2197" w:rsidRDefault="004C2197">
            <w:pPr>
              <w:rPr>
                <w:rFonts w:ascii="宋体"/>
              </w:rPr>
            </w:pPr>
          </w:p>
        </w:tc>
        <w:tc>
          <w:tcPr>
            <w:tcW w:w="0" w:type="auto"/>
            <w:shd w:val="clear" w:color="auto" w:fill="auto"/>
          </w:tcPr>
          <w:p w14:paraId="0D8E047A" w14:textId="77777777" w:rsidR="004C2197" w:rsidRDefault="004C2197">
            <w:pPr>
              <w:rPr>
                <w:rFonts w:ascii="宋体"/>
              </w:rPr>
            </w:pPr>
          </w:p>
        </w:tc>
        <w:tc>
          <w:tcPr>
            <w:tcW w:w="0" w:type="auto"/>
            <w:shd w:val="clear" w:color="auto" w:fill="auto"/>
          </w:tcPr>
          <w:p w14:paraId="0D8E047B" w14:textId="77777777" w:rsidR="004C2197" w:rsidRDefault="004C2197">
            <w:pPr>
              <w:rPr>
                <w:rFonts w:ascii="宋体"/>
              </w:rPr>
            </w:pPr>
          </w:p>
        </w:tc>
        <w:tc>
          <w:tcPr>
            <w:tcW w:w="0" w:type="auto"/>
            <w:shd w:val="clear" w:color="auto" w:fill="auto"/>
          </w:tcPr>
          <w:p w14:paraId="0D8E047C" w14:textId="77777777" w:rsidR="004C2197" w:rsidRDefault="004C2197">
            <w:pPr>
              <w:rPr>
                <w:rFonts w:ascii="宋体"/>
              </w:rPr>
            </w:pPr>
          </w:p>
        </w:tc>
        <w:tc>
          <w:tcPr>
            <w:tcW w:w="0" w:type="auto"/>
            <w:shd w:val="clear" w:color="auto" w:fill="auto"/>
          </w:tcPr>
          <w:p w14:paraId="0D8E047D" w14:textId="77777777" w:rsidR="004C2197" w:rsidRDefault="004C2197">
            <w:pPr>
              <w:rPr>
                <w:rFonts w:ascii="宋体"/>
              </w:rPr>
            </w:pPr>
          </w:p>
        </w:tc>
      </w:tr>
      <w:tr w:rsidR="004C2197" w14:paraId="0D8E04A1" w14:textId="77777777">
        <w:tc>
          <w:tcPr>
            <w:tcW w:w="0" w:type="auto"/>
            <w:gridSpan w:val="3"/>
            <w:shd w:val="clear" w:color="auto" w:fill="FFFFFF"/>
            <w:tcMar>
              <w:top w:w="40" w:type="dxa"/>
              <w:left w:w="20" w:type="dxa"/>
              <w:bottom w:w="40" w:type="dxa"/>
              <w:right w:w="20" w:type="dxa"/>
            </w:tcMar>
            <w:vAlign w:val="bottom"/>
          </w:tcPr>
          <w:p w14:paraId="0D8E047F" w14:textId="77777777" w:rsidR="004C2197" w:rsidRDefault="00863B83">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E048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E0481"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48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83"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E048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E0485"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486"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87"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E0488"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E0489" w14:textId="77777777" w:rsidR="004C2197" w:rsidRDefault="00863B83">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48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48B" w14:textId="77777777" w:rsidR="004C2197" w:rsidRDefault="004C219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0D8E048C"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0D8E048D" w14:textId="77777777" w:rsidR="004C2197" w:rsidRDefault="00863B83">
            <w:pPr>
              <w:jc w:val="right"/>
              <w:textAlignment w:val="bottom"/>
            </w:pPr>
            <w:r>
              <w:rPr>
                <w:rFonts w:ascii="sans-serif" w:eastAsia="sans-serif" w:hAnsi="sans-serif" w:cs="sans-serif"/>
                <w:color w:val="000000"/>
                <w:sz w:val="20"/>
                <w:szCs w:val="20"/>
              </w:rPr>
              <w:t>4,799 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48E" w14:textId="77777777" w:rsidR="004C2197" w:rsidRDefault="004C2197">
            <w:pPr>
              <w:jc w:val="right"/>
              <w:rPr>
                <w:rFonts w:ascii="宋体"/>
              </w:rPr>
            </w:pPr>
          </w:p>
        </w:tc>
        <w:tc>
          <w:tcPr>
            <w:tcW w:w="0" w:type="auto"/>
            <w:shd w:val="clear" w:color="auto" w:fill="auto"/>
          </w:tcPr>
          <w:p w14:paraId="0D8E048F" w14:textId="77777777" w:rsidR="004C2197" w:rsidRDefault="004C2197">
            <w:pPr>
              <w:rPr>
                <w:rFonts w:ascii="宋体"/>
              </w:rPr>
            </w:pPr>
          </w:p>
        </w:tc>
        <w:tc>
          <w:tcPr>
            <w:tcW w:w="0" w:type="auto"/>
            <w:shd w:val="clear" w:color="auto" w:fill="auto"/>
          </w:tcPr>
          <w:p w14:paraId="0D8E0490" w14:textId="77777777" w:rsidR="004C2197" w:rsidRDefault="004C2197">
            <w:pPr>
              <w:rPr>
                <w:rFonts w:ascii="宋体"/>
              </w:rPr>
            </w:pPr>
          </w:p>
        </w:tc>
        <w:tc>
          <w:tcPr>
            <w:tcW w:w="0" w:type="auto"/>
            <w:shd w:val="clear" w:color="auto" w:fill="auto"/>
          </w:tcPr>
          <w:p w14:paraId="0D8E0491" w14:textId="77777777" w:rsidR="004C2197" w:rsidRDefault="004C2197">
            <w:pPr>
              <w:rPr>
                <w:rFonts w:ascii="宋体"/>
              </w:rPr>
            </w:pPr>
          </w:p>
        </w:tc>
        <w:tc>
          <w:tcPr>
            <w:tcW w:w="0" w:type="auto"/>
            <w:shd w:val="clear" w:color="auto" w:fill="auto"/>
          </w:tcPr>
          <w:p w14:paraId="0D8E0492" w14:textId="77777777" w:rsidR="004C2197" w:rsidRDefault="004C2197">
            <w:pPr>
              <w:rPr>
                <w:rFonts w:ascii="宋体"/>
              </w:rPr>
            </w:pPr>
          </w:p>
        </w:tc>
        <w:tc>
          <w:tcPr>
            <w:tcW w:w="0" w:type="auto"/>
            <w:shd w:val="clear" w:color="auto" w:fill="auto"/>
          </w:tcPr>
          <w:p w14:paraId="0D8E0493" w14:textId="77777777" w:rsidR="004C2197" w:rsidRDefault="004C2197">
            <w:pPr>
              <w:rPr>
                <w:rFonts w:ascii="宋体"/>
              </w:rPr>
            </w:pPr>
          </w:p>
        </w:tc>
        <w:tc>
          <w:tcPr>
            <w:tcW w:w="0" w:type="auto"/>
            <w:shd w:val="clear" w:color="auto" w:fill="auto"/>
          </w:tcPr>
          <w:p w14:paraId="0D8E0494" w14:textId="77777777" w:rsidR="004C2197" w:rsidRDefault="004C2197">
            <w:pPr>
              <w:rPr>
                <w:rFonts w:ascii="宋体"/>
              </w:rPr>
            </w:pPr>
          </w:p>
        </w:tc>
        <w:tc>
          <w:tcPr>
            <w:tcW w:w="0" w:type="auto"/>
            <w:shd w:val="clear" w:color="auto" w:fill="auto"/>
          </w:tcPr>
          <w:p w14:paraId="0D8E0495" w14:textId="77777777" w:rsidR="004C2197" w:rsidRDefault="004C2197">
            <w:pPr>
              <w:rPr>
                <w:rFonts w:ascii="宋体"/>
              </w:rPr>
            </w:pPr>
          </w:p>
        </w:tc>
        <w:tc>
          <w:tcPr>
            <w:tcW w:w="0" w:type="auto"/>
            <w:shd w:val="clear" w:color="auto" w:fill="auto"/>
          </w:tcPr>
          <w:p w14:paraId="0D8E0496" w14:textId="77777777" w:rsidR="004C2197" w:rsidRDefault="004C2197">
            <w:pPr>
              <w:rPr>
                <w:rFonts w:ascii="宋体"/>
              </w:rPr>
            </w:pPr>
          </w:p>
        </w:tc>
        <w:tc>
          <w:tcPr>
            <w:tcW w:w="0" w:type="auto"/>
            <w:shd w:val="clear" w:color="auto" w:fill="auto"/>
          </w:tcPr>
          <w:p w14:paraId="0D8E0497" w14:textId="77777777" w:rsidR="004C2197" w:rsidRDefault="004C2197">
            <w:pPr>
              <w:rPr>
                <w:rFonts w:ascii="宋体"/>
              </w:rPr>
            </w:pPr>
          </w:p>
        </w:tc>
        <w:tc>
          <w:tcPr>
            <w:tcW w:w="0" w:type="auto"/>
            <w:shd w:val="clear" w:color="auto" w:fill="auto"/>
          </w:tcPr>
          <w:p w14:paraId="0D8E0498" w14:textId="77777777" w:rsidR="004C2197" w:rsidRDefault="004C2197">
            <w:pPr>
              <w:rPr>
                <w:rFonts w:ascii="宋体"/>
              </w:rPr>
            </w:pPr>
          </w:p>
        </w:tc>
        <w:tc>
          <w:tcPr>
            <w:tcW w:w="0" w:type="auto"/>
            <w:shd w:val="clear" w:color="auto" w:fill="auto"/>
          </w:tcPr>
          <w:p w14:paraId="0D8E0499" w14:textId="77777777" w:rsidR="004C2197" w:rsidRDefault="004C2197">
            <w:pPr>
              <w:rPr>
                <w:rFonts w:ascii="宋体"/>
              </w:rPr>
            </w:pPr>
          </w:p>
        </w:tc>
        <w:tc>
          <w:tcPr>
            <w:tcW w:w="0" w:type="auto"/>
            <w:shd w:val="clear" w:color="auto" w:fill="auto"/>
          </w:tcPr>
          <w:p w14:paraId="0D8E049A" w14:textId="77777777" w:rsidR="004C2197" w:rsidRDefault="004C2197">
            <w:pPr>
              <w:rPr>
                <w:rFonts w:ascii="宋体"/>
              </w:rPr>
            </w:pPr>
          </w:p>
        </w:tc>
        <w:tc>
          <w:tcPr>
            <w:tcW w:w="0" w:type="auto"/>
            <w:shd w:val="clear" w:color="auto" w:fill="auto"/>
          </w:tcPr>
          <w:p w14:paraId="0D8E049B" w14:textId="77777777" w:rsidR="004C2197" w:rsidRDefault="004C2197">
            <w:pPr>
              <w:rPr>
                <w:rFonts w:ascii="宋体"/>
              </w:rPr>
            </w:pPr>
          </w:p>
        </w:tc>
        <w:tc>
          <w:tcPr>
            <w:tcW w:w="0" w:type="auto"/>
            <w:shd w:val="clear" w:color="auto" w:fill="auto"/>
          </w:tcPr>
          <w:p w14:paraId="0D8E049C" w14:textId="77777777" w:rsidR="004C2197" w:rsidRDefault="004C2197">
            <w:pPr>
              <w:rPr>
                <w:rFonts w:ascii="宋体"/>
              </w:rPr>
            </w:pPr>
          </w:p>
        </w:tc>
        <w:tc>
          <w:tcPr>
            <w:tcW w:w="0" w:type="auto"/>
            <w:shd w:val="clear" w:color="auto" w:fill="auto"/>
          </w:tcPr>
          <w:p w14:paraId="0D8E049D" w14:textId="77777777" w:rsidR="004C2197" w:rsidRDefault="004C2197">
            <w:pPr>
              <w:rPr>
                <w:rFonts w:ascii="宋体"/>
              </w:rPr>
            </w:pPr>
          </w:p>
        </w:tc>
        <w:tc>
          <w:tcPr>
            <w:tcW w:w="0" w:type="auto"/>
            <w:shd w:val="clear" w:color="auto" w:fill="auto"/>
          </w:tcPr>
          <w:p w14:paraId="0D8E049E" w14:textId="77777777" w:rsidR="004C2197" w:rsidRDefault="004C2197">
            <w:pPr>
              <w:rPr>
                <w:rFonts w:ascii="宋体"/>
              </w:rPr>
            </w:pPr>
          </w:p>
        </w:tc>
        <w:tc>
          <w:tcPr>
            <w:tcW w:w="0" w:type="auto"/>
            <w:shd w:val="clear" w:color="auto" w:fill="auto"/>
          </w:tcPr>
          <w:p w14:paraId="0D8E049F" w14:textId="77777777" w:rsidR="004C2197" w:rsidRDefault="004C2197">
            <w:pPr>
              <w:rPr>
                <w:rFonts w:ascii="宋体"/>
              </w:rPr>
            </w:pPr>
          </w:p>
        </w:tc>
        <w:tc>
          <w:tcPr>
            <w:tcW w:w="0" w:type="auto"/>
            <w:shd w:val="clear" w:color="auto" w:fill="auto"/>
          </w:tcPr>
          <w:p w14:paraId="0D8E04A0" w14:textId="77777777" w:rsidR="004C2197" w:rsidRDefault="004C2197">
            <w:pPr>
              <w:rPr>
                <w:rFonts w:ascii="宋体"/>
              </w:rPr>
            </w:pPr>
          </w:p>
        </w:tc>
      </w:tr>
    </w:tbl>
    <w:p w14:paraId="0D8E04A2" w14:textId="77777777" w:rsidR="004C2197" w:rsidRDefault="00863B83">
      <w:pPr>
        <w:spacing w:before="180" w:after="180"/>
        <w:jc w:val="both"/>
      </w:pPr>
      <w:r>
        <w:rPr>
          <w:rFonts w:ascii="sans-serif" w:eastAsia="sans-serif" w:hAnsi="sans-serif" w:cs="sans-serif"/>
          <w:color w:val="000000"/>
          <w:sz w:val="20"/>
          <w:szCs w:val="20"/>
        </w:rPr>
        <w:t>No customer represented 10% or more of total revenue for the secon</w:t>
      </w:r>
      <w:r>
        <w:rPr>
          <w:rFonts w:ascii="sans-serif" w:eastAsia="sans-serif" w:hAnsi="sans-serif" w:cs="sans-serif"/>
          <w:color w:val="000000"/>
          <w:sz w:val="20"/>
          <w:szCs w:val="20"/>
        </w:rPr>
        <w:t>d quarter and first half of fiscal year 2021. One customer represented 11% of our total revenue for the second quarter and first half of fiscal year 2020, and was attributable primarily to the Graphics segment.</w:t>
      </w:r>
    </w:p>
    <w:p w14:paraId="0D8E04A3" w14:textId="77777777" w:rsidR="004C2197" w:rsidRDefault="00863B83">
      <w:pPr>
        <w:spacing w:after="180"/>
        <w:jc w:val="both"/>
      </w:pPr>
      <w:r>
        <w:rPr>
          <w:rFonts w:ascii="sans-serif" w:eastAsia="sans-serif" w:hAnsi="sans-serif" w:cs="sans-serif"/>
          <w:color w:val="000000"/>
          <w:sz w:val="20"/>
          <w:szCs w:val="20"/>
        </w:rPr>
        <w:t>One customer represented 14% and 21% of our a</w:t>
      </w:r>
      <w:r>
        <w:rPr>
          <w:rFonts w:ascii="sans-serif" w:eastAsia="sans-serif" w:hAnsi="sans-serif" w:cs="sans-serif"/>
          <w:color w:val="000000"/>
          <w:sz w:val="20"/>
          <w:szCs w:val="20"/>
        </w:rPr>
        <w:t>ccounts receivable balance as of July 26, 2020 and January 26, 2020, respectively.</w:t>
      </w:r>
    </w:p>
    <w:p w14:paraId="0D8E04A4" w14:textId="77777777" w:rsidR="004C2197" w:rsidRDefault="004C2197">
      <w:pPr>
        <w:spacing w:after="180"/>
        <w:jc w:val="both"/>
      </w:pPr>
    </w:p>
    <w:p w14:paraId="0D8E04A5" w14:textId="77777777" w:rsidR="004C2197" w:rsidRDefault="00863B83">
      <w:pPr>
        <w:spacing w:before="240" w:after="120"/>
        <w:jc w:val="both"/>
      </w:pPr>
      <w:r>
        <w:rPr>
          <w:rFonts w:ascii="sans-serif" w:eastAsia="sans-serif" w:hAnsi="sans-serif" w:cs="sans-serif"/>
          <w:b/>
          <w:bCs/>
          <w:color w:val="76B900"/>
          <w:sz w:val="22"/>
          <w:szCs w:val="22"/>
        </w:rPr>
        <w:t xml:space="preserve">Note 16 - Goodwill </w:t>
      </w:r>
    </w:p>
    <w:p w14:paraId="0D8E04A6" w14:textId="77777777" w:rsidR="004C2197" w:rsidRDefault="00863B83">
      <w:pPr>
        <w:spacing w:after="180"/>
        <w:jc w:val="both"/>
      </w:pPr>
      <w:r>
        <w:rPr>
          <w:rFonts w:ascii="sans-serif" w:eastAsia="sans-serif" w:hAnsi="sans-serif" w:cs="sans-serif"/>
          <w:color w:val="000000"/>
          <w:sz w:val="20"/>
          <w:szCs w:val="20"/>
        </w:rPr>
        <w:t xml:space="preserve">During the first quarter of fiscal year 2021, we changed our operating segments to Graphics and Compute &amp; Networking, as discussed in Note 15 of these Notes to Condensed Consolidated Financial Statements. As a result, our reporting units also changed, and </w:t>
      </w:r>
      <w:r>
        <w:rPr>
          <w:rFonts w:ascii="sans-serif" w:eastAsia="sans-serif" w:hAnsi="sans-serif" w:cs="sans-serif"/>
          <w:color w:val="000000"/>
          <w:sz w:val="20"/>
          <w:szCs w:val="20"/>
        </w:rPr>
        <w:t>we reassigned the goodwill balance to the new reporting units based on their relative fair values. We determined there was no goodwill impairment immediately prior to the reorganization. As of July 26, 2020, the total carrying amount of goodwill was $4.19 </w:t>
      </w:r>
      <w:r>
        <w:rPr>
          <w:rFonts w:ascii="sans-serif" w:eastAsia="sans-serif" w:hAnsi="sans-serif" w:cs="sans-serif"/>
          <w:color w:val="000000"/>
          <w:sz w:val="20"/>
          <w:szCs w:val="20"/>
        </w:rPr>
        <w:t xml:space="preserve">billion and the amount of goodwill allocated to our Graphics and Compute &amp; Networking reporting units was $347 million and $3.85 billion, respectively. In the second quarter and first half of fiscal </w:t>
      </w:r>
    </w:p>
    <w:p w14:paraId="0D8E04A7" w14:textId="77777777" w:rsidR="004C2197" w:rsidRDefault="00863B83">
      <w:pPr>
        <w:spacing w:after="180"/>
        <w:jc w:val="center"/>
      </w:pPr>
      <w:r>
        <w:rPr>
          <w:rFonts w:ascii="sans-serif" w:eastAsia="sans-serif" w:hAnsi="sans-serif" w:cs="sans-serif"/>
          <w:color w:val="000000"/>
          <w:sz w:val="20"/>
          <w:szCs w:val="20"/>
        </w:rPr>
        <w:t>25</w:t>
      </w:r>
    </w:p>
    <w:p w14:paraId="0D8E04A8" w14:textId="77777777" w:rsidR="004C2197" w:rsidRDefault="00863B83">
      <w:r>
        <w:pict w14:anchorId="0D8E0CBD">
          <v:rect id="_x0000_i1049" style="width:415.3pt;height:1.5pt" o:hralign="center" o:hrstd="t" o:hr="t" fillcolor="#a0a0a0" stroked="f"/>
        </w:pict>
      </w:r>
    </w:p>
    <w:p w14:paraId="0D8E04A9" w14:textId="77777777" w:rsidR="004C2197" w:rsidRDefault="00863B83">
      <w:pPr>
        <w:jc w:val="center"/>
      </w:pPr>
      <w:r>
        <w:rPr>
          <w:rFonts w:ascii="sans-serif" w:eastAsia="sans-serif" w:hAnsi="sans-serif" w:cs="sans-serif"/>
          <w:b/>
          <w:bCs/>
          <w:color w:val="000000"/>
          <w:sz w:val="20"/>
          <w:szCs w:val="20"/>
        </w:rPr>
        <w:t>NVIDIA CORPORATION AND SUBSIDIARIES</w:t>
      </w:r>
    </w:p>
    <w:p w14:paraId="0D8E04AA" w14:textId="77777777" w:rsidR="004C2197" w:rsidRDefault="00863B83">
      <w:pPr>
        <w:jc w:val="center"/>
      </w:pPr>
      <w:r>
        <w:rPr>
          <w:rFonts w:ascii="sans-serif" w:eastAsia="sans-serif" w:hAnsi="sans-serif" w:cs="sans-serif"/>
          <w:b/>
          <w:bCs/>
          <w:color w:val="000000"/>
          <w:sz w:val="20"/>
          <w:szCs w:val="20"/>
        </w:rPr>
        <w:t>NOTES TO CONDEN</w:t>
      </w:r>
      <w:r>
        <w:rPr>
          <w:rFonts w:ascii="sans-serif" w:eastAsia="sans-serif" w:hAnsi="sans-serif" w:cs="sans-serif"/>
          <w:b/>
          <w:bCs/>
          <w:color w:val="000000"/>
          <w:sz w:val="20"/>
          <w:szCs w:val="20"/>
        </w:rPr>
        <w:t>SED CONSOLIDATED FINANCIAL STATEMENTS (Continued)</w:t>
      </w:r>
    </w:p>
    <w:p w14:paraId="0D8E04AB" w14:textId="77777777" w:rsidR="004C2197" w:rsidRDefault="00863B83">
      <w:pPr>
        <w:jc w:val="center"/>
      </w:pPr>
      <w:r>
        <w:rPr>
          <w:rFonts w:ascii="sans-serif" w:eastAsia="sans-serif" w:hAnsi="sans-serif" w:cs="sans-serif"/>
          <w:b/>
          <w:bCs/>
          <w:color w:val="000000"/>
          <w:sz w:val="20"/>
          <w:szCs w:val="20"/>
        </w:rPr>
        <w:t>(Unaudited)</w:t>
      </w:r>
    </w:p>
    <w:p w14:paraId="0D8E04AC" w14:textId="77777777" w:rsidR="004C2197" w:rsidRDefault="004C2197">
      <w:pPr>
        <w:spacing w:after="180"/>
        <w:jc w:val="both"/>
      </w:pPr>
    </w:p>
    <w:p w14:paraId="0D8E04AD" w14:textId="77777777" w:rsidR="004C2197" w:rsidRDefault="004C2197">
      <w:pPr>
        <w:spacing w:after="180"/>
        <w:jc w:val="both"/>
      </w:pPr>
    </w:p>
    <w:p w14:paraId="0D8E04AE" w14:textId="77777777" w:rsidR="004C2197" w:rsidRDefault="00863B83">
      <w:pPr>
        <w:spacing w:after="180"/>
        <w:jc w:val="both"/>
      </w:pPr>
      <w:r>
        <w:rPr>
          <w:rFonts w:ascii="sans-serif" w:eastAsia="sans-serif" w:hAnsi="sans-serif" w:cs="sans-serif"/>
          <w:color w:val="000000"/>
          <w:sz w:val="20"/>
          <w:szCs w:val="20"/>
        </w:rPr>
        <w:t xml:space="preserve">year 2021, goodwill increased by $3.56 billion and $3.57 billion, respectively. The increase in goodwill in the second quarter of fiscal year 2021 was due to goodwill of </w:t>
      </w:r>
      <w:r>
        <w:rPr>
          <w:rFonts w:ascii="sans-serif" w:eastAsia="sans-serif" w:hAnsi="sans-serif" w:cs="sans-serif"/>
          <w:color w:val="000000"/>
          <w:sz w:val="20"/>
          <w:szCs w:val="20"/>
        </w:rPr>
        <w:t>$3.43 billion arising from the Mellanox acquisition, and goodwill of $133 million from other acquisition activity, both of which were allocated to the Compute &amp; Networking reporting unit.</w:t>
      </w:r>
    </w:p>
    <w:p w14:paraId="0D8E04AF" w14:textId="77777777" w:rsidR="004C2197" w:rsidRDefault="00863B83">
      <w:pPr>
        <w:spacing w:after="180"/>
        <w:jc w:val="center"/>
      </w:pPr>
      <w:r>
        <w:rPr>
          <w:rFonts w:ascii="sans-serif" w:eastAsia="sans-serif" w:hAnsi="sans-serif" w:cs="sans-serif"/>
          <w:color w:val="000000"/>
          <w:sz w:val="20"/>
          <w:szCs w:val="20"/>
        </w:rPr>
        <w:t>26</w:t>
      </w:r>
    </w:p>
    <w:p w14:paraId="0D8E04B0" w14:textId="77777777" w:rsidR="004C2197" w:rsidRDefault="00863B83">
      <w:r>
        <w:pict w14:anchorId="0D8E0CBE">
          <v:rect id="_x0000_i1050" style="width:415.3pt;height:1.5pt" o:hralign="center" o:hrstd="t" o:hr="t" fillcolor="#a0a0a0" stroked="f"/>
        </w:pict>
      </w:r>
    </w:p>
    <w:p w14:paraId="0D8E04B1" w14:textId="77777777" w:rsidR="004C2197" w:rsidRDefault="004C2197">
      <w:pPr>
        <w:spacing w:after="180"/>
        <w:jc w:val="both"/>
      </w:pPr>
    </w:p>
    <w:p w14:paraId="0D8E04B2" w14:textId="77777777" w:rsidR="004C2197" w:rsidRDefault="004C2197">
      <w:pPr>
        <w:spacing w:after="180"/>
        <w:jc w:val="both"/>
      </w:pPr>
    </w:p>
    <w:p w14:paraId="0D8E04B3" w14:textId="77777777" w:rsidR="004C2197" w:rsidRDefault="004C2197">
      <w:pPr>
        <w:spacing w:after="180"/>
        <w:jc w:val="both"/>
      </w:pPr>
    </w:p>
    <w:p w14:paraId="0D8E04B4" w14:textId="77777777" w:rsidR="004C2197" w:rsidRDefault="00863B83">
      <w:pPr>
        <w:spacing w:before="240" w:after="120"/>
        <w:jc w:val="both"/>
      </w:pPr>
      <w:r>
        <w:rPr>
          <w:rFonts w:ascii="sans-serif" w:eastAsia="sans-serif" w:hAnsi="sans-serif" w:cs="sans-serif"/>
          <w:b/>
          <w:bCs/>
          <w:color w:val="76B900"/>
          <w:sz w:val="22"/>
          <w:szCs w:val="22"/>
        </w:rPr>
        <w:t>ITEM 2. MANAGEMENT’S DISCUSSION AND ANALYSIS OF FINANCIAL CO</w:t>
      </w:r>
      <w:r>
        <w:rPr>
          <w:rFonts w:ascii="sans-serif" w:eastAsia="sans-serif" w:hAnsi="sans-serif" w:cs="sans-serif"/>
          <w:b/>
          <w:bCs/>
          <w:color w:val="76B900"/>
          <w:sz w:val="22"/>
          <w:szCs w:val="22"/>
        </w:rPr>
        <w:t>NDITION AND RESULTS OF OPERATIONS</w:t>
      </w:r>
    </w:p>
    <w:p w14:paraId="0D8E04B5" w14:textId="77777777" w:rsidR="004C2197" w:rsidRDefault="00863B83">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0D8E04B6" w14:textId="77777777" w:rsidR="004C2197" w:rsidRDefault="00863B83">
      <w:pPr>
        <w:spacing w:after="180"/>
        <w:jc w:val="both"/>
      </w:pPr>
      <w:r>
        <w:rPr>
          <w:rFonts w:ascii="sans-serif" w:eastAsia="sans-serif" w:hAnsi="sans-serif" w:cs="sans-serif"/>
          <w:i/>
          <w:iCs/>
          <w:color w:val="000000"/>
          <w:sz w:val="20"/>
          <w:szCs w:val="20"/>
        </w:rPr>
        <w:t>This Quarterly Report on Form 10-Q contains forward-looking statements within the meaning of Section 27A of the Securities Act of 1933, as amended, and Section 21E of the Securities Exchange Act</w:t>
      </w:r>
      <w:r>
        <w:rPr>
          <w:rFonts w:ascii="sans-serif" w:eastAsia="sans-serif" w:hAnsi="sans-serif" w:cs="sans-serif"/>
          <w:i/>
          <w:iCs/>
          <w:color w:val="000000"/>
          <w:sz w:val="20"/>
          <w:szCs w:val="20"/>
        </w:rPr>
        <w:t xml:space="preserve"> of 1934, as amended, which are subject to the “safe harbor” created by those sections. Forward-looking statements are based on our management’s beliefs and assumptions and on information currently available to our management. In some cases, you can identi</w:t>
      </w:r>
      <w:r>
        <w:rPr>
          <w:rFonts w:ascii="sans-serif" w:eastAsia="sans-serif" w:hAnsi="sans-serif" w:cs="sans-serif"/>
          <w:i/>
          <w:iCs/>
          <w:color w:val="000000"/>
          <w:sz w:val="20"/>
          <w:szCs w:val="20"/>
        </w:rPr>
        <w:t>fy forward-looking statements by terms such as “may,” “will,” “should,” “could,” “goal,” “would,” “expect,” “plan,” “anticipate,” “believe,” “estimate,” “project,” “predict,” “potential” and similar expressions intended to identify forward-looking statemen</w:t>
      </w:r>
      <w:r>
        <w:rPr>
          <w:rFonts w:ascii="sans-serif" w:eastAsia="sans-serif" w:hAnsi="sans-serif" w:cs="sans-serif"/>
          <w:i/>
          <w:iCs/>
          <w:color w:val="000000"/>
          <w:sz w:val="20"/>
          <w:szCs w:val="20"/>
        </w:rPr>
        <w:t>ts. Other statements in this Form 10-Q regarding the potential future impact of the COVID-19 pandemic on the Company’s business and results of operations are forward-looking statements. These statements involve known and unknown risks, uncertainties and ot</w:t>
      </w:r>
      <w:r>
        <w:rPr>
          <w:rFonts w:ascii="sans-serif" w:eastAsia="sans-serif" w:hAnsi="sans-serif" w:cs="sans-serif"/>
          <w:i/>
          <w:iCs/>
          <w:color w:val="000000"/>
          <w:sz w:val="20"/>
          <w:szCs w:val="20"/>
        </w:rPr>
        <w:t>her factors, which may cause our actual results, performance, time frames or achievements to be materially different from any future results, performance, time frames or achievements expressed or implied by the forward-looking statements. We discuss many o</w:t>
      </w:r>
      <w:r>
        <w:rPr>
          <w:rFonts w:ascii="sans-serif" w:eastAsia="sans-serif" w:hAnsi="sans-serif" w:cs="sans-serif"/>
          <w:i/>
          <w:iCs/>
          <w:color w:val="000000"/>
          <w:sz w:val="20"/>
          <w:szCs w:val="20"/>
        </w:rPr>
        <w:t>f these risks, uncertainties and other factors in this Quarterly Report on Form 10-Q in greater detail under the heading “Risk Factors.” Given these risks, uncertainties and other factors, you should not place undue reliance on these forward-looking statem</w:t>
      </w:r>
      <w:r>
        <w:rPr>
          <w:rFonts w:ascii="sans-serif" w:eastAsia="sans-serif" w:hAnsi="sans-serif" w:cs="sans-serif"/>
          <w:i/>
          <w:iCs/>
          <w:color w:val="000000"/>
          <w:sz w:val="20"/>
          <w:szCs w:val="20"/>
        </w:rPr>
        <w:t>ents. Also, these forward-looking statements represent our estimates and assumptions only as of the date of this filing. You should read this Quarterly Report on Form 10-Q completely and with the understanding that our actual future results may be material</w:t>
      </w:r>
      <w:r>
        <w:rPr>
          <w:rFonts w:ascii="sans-serif" w:eastAsia="sans-serif" w:hAnsi="sans-serif" w:cs="sans-serif"/>
          <w:i/>
          <w:iCs/>
          <w:color w:val="000000"/>
          <w:sz w:val="20"/>
          <w:szCs w:val="20"/>
        </w:rPr>
        <w:t>ly different from what we expect. We hereby qualify our forward-looking statements by these cautionary statements. Except as required by law, we assume no obligation to update these forward-looking statements publicly, or to update the reasons actual resul</w:t>
      </w:r>
      <w:r>
        <w:rPr>
          <w:rFonts w:ascii="sans-serif" w:eastAsia="sans-serif" w:hAnsi="sans-serif" w:cs="sans-serif"/>
          <w:i/>
          <w:iCs/>
          <w:color w:val="000000"/>
          <w:sz w:val="20"/>
          <w:szCs w:val="20"/>
        </w:rPr>
        <w:t>ts could differ materially from those anticipated in these forward-looking statements, even if new information becomes available in the future.</w:t>
      </w:r>
    </w:p>
    <w:p w14:paraId="0D8E04B7" w14:textId="77777777" w:rsidR="004C2197" w:rsidRDefault="00863B83">
      <w:pPr>
        <w:spacing w:after="180"/>
        <w:jc w:val="both"/>
      </w:pPr>
      <w:r>
        <w:rPr>
          <w:rFonts w:ascii="sans-serif" w:eastAsia="sans-serif" w:hAnsi="sans-serif" w:cs="sans-serif"/>
          <w:i/>
          <w:iCs/>
          <w:color w:val="000000"/>
          <w:sz w:val="20"/>
          <w:szCs w:val="20"/>
        </w:rPr>
        <w:t>All refere</w:t>
      </w:r>
      <w:r>
        <w:rPr>
          <w:rFonts w:ascii="sans-serif" w:eastAsia="sans-serif" w:hAnsi="sans-serif" w:cs="sans-serif"/>
          <w:color w:val="000000"/>
          <w:sz w:val="20"/>
          <w:szCs w:val="20"/>
        </w:rPr>
        <w:t>nces to “NVIDIA,” “we,” “us,” “our” or the “Company” mean NVIDIA Corporation and its subsidiaries.</w:t>
      </w:r>
    </w:p>
    <w:p w14:paraId="0D8E04B8" w14:textId="77777777" w:rsidR="004C2197" w:rsidRDefault="00863B83">
      <w:pPr>
        <w:spacing w:after="160"/>
        <w:jc w:val="both"/>
      </w:pPr>
      <w:r>
        <w:rPr>
          <w:rFonts w:ascii="sans-serif" w:eastAsia="sans-serif" w:hAnsi="sans-serif" w:cs="sans-serif"/>
          <w:color w:val="000000"/>
          <w:sz w:val="20"/>
          <w:szCs w:val="20"/>
        </w:rPr>
        <w:t>NVI</w:t>
      </w:r>
      <w:r>
        <w:rPr>
          <w:rFonts w:ascii="sans-serif" w:eastAsia="sans-serif" w:hAnsi="sans-serif" w:cs="sans-serif"/>
          <w:color w:val="000000"/>
          <w:sz w:val="20"/>
          <w:szCs w:val="20"/>
        </w:rPr>
        <w:t>DIA, the NVIDIA logo, GeForce, DRIVE AGX Orin, GeForce NOW, GeForce RTX SUPER, NVIDIA A100, NVIDIA CUDA, NVIDIA DGX A100, NVIDIA DRIVE, NVIDIA GRID, NVIDIA Jarvis, NVIDIA Merlin, NVIDIA RTX, Mellanox, Quadro, Quadro RTX, Quadro View and Tegra are trademark</w:t>
      </w:r>
      <w:r>
        <w:rPr>
          <w:rFonts w:ascii="sans-serif" w:eastAsia="sans-serif" w:hAnsi="sans-serif" w:cs="sans-serif"/>
          <w:color w:val="000000"/>
          <w:sz w:val="20"/>
          <w:szCs w:val="20"/>
        </w:rPr>
        <w:t>s and/or registered trademarks of NVIDIA Corporation in the United States and/or other countries. Other company and product names may be trademarks of the respective companies with which they are associated. Features, pricing, availability, and specificati</w:t>
      </w:r>
      <w:r>
        <w:rPr>
          <w:rFonts w:ascii="sans-serif" w:eastAsia="sans-serif" w:hAnsi="sans-serif" w:cs="sans-serif"/>
          <w:color w:val="000000"/>
          <w:sz w:val="20"/>
          <w:szCs w:val="20"/>
        </w:rPr>
        <w:t>ons are subject to change without notice.</w:t>
      </w:r>
    </w:p>
    <w:p w14:paraId="0D8E04B9" w14:textId="77777777" w:rsidR="004C2197" w:rsidRDefault="00863B83">
      <w:pPr>
        <w:spacing w:after="160"/>
        <w:jc w:val="both"/>
      </w:pPr>
      <w:r>
        <w:rPr>
          <w:rFonts w:ascii="sans-serif" w:eastAsia="sans-serif" w:hAnsi="sans-serif" w:cs="sans-serif"/>
          <w:color w:val="000000"/>
          <w:sz w:val="20"/>
          <w:szCs w:val="20"/>
        </w:rPr>
        <w:t xml:space="preserve">The following discussion and analysis of our financial condition and results of operations should be read in conjunction with “Item 6. Selected Financial Data” of our Annual Report on Form 10-K for the fiscal year </w:t>
      </w:r>
      <w:r>
        <w:rPr>
          <w:rFonts w:ascii="sans-serif" w:eastAsia="sans-serif" w:hAnsi="sans-serif" w:cs="sans-serif"/>
          <w:color w:val="000000"/>
          <w:sz w:val="20"/>
          <w:szCs w:val="20"/>
        </w:rPr>
        <w:t>ended January 26, 2020 and “Item 1A. Risk Factors” of this Quarterly Report on Form 10-Q and our Condensed Consolidated Financial Statements and related Notes thereto, as well as other cautionary statements and risks described elsewhere in this Quarterly R</w:t>
      </w:r>
      <w:r>
        <w:rPr>
          <w:rFonts w:ascii="sans-serif" w:eastAsia="sans-serif" w:hAnsi="sans-serif" w:cs="sans-serif"/>
          <w:color w:val="000000"/>
          <w:sz w:val="20"/>
          <w:szCs w:val="20"/>
        </w:rPr>
        <w:t>eport on Form 10-Q, before deciding to purchase or sell shares of our common stock.</w:t>
      </w:r>
    </w:p>
    <w:p w14:paraId="0D8E04BA" w14:textId="77777777" w:rsidR="004C2197" w:rsidRDefault="00863B83">
      <w:pPr>
        <w:spacing w:before="60" w:after="60"/>
        <w:jc w:val="both"/>
      </w:pPr>
      <w:r>
        <w:rPr>
          <w:rFonts w:ascii="sans-serif" w:eastAsia="sans-serif" w:hAnsi="sans-serif" w:cs="sans-serif"/>
          <w:b/>
          <w:bCs/>
          <w:color w:val="76B900"/>
          <w:sz w:val="20"/>
          <w:szCs w:val="20"/>
        </w:rPr>
        <w:t>Overview</w:t>
      </w:r>
    </w:p>
    <w:p w14:paraId="0D8E04BB" w14:textId="77777777" w:rsidR="004C2197" w:rsidRDefault="00863B83">
      <w:pPr>
        <w:spacing w:before="120" w:after="120"/>
        <w:jc w:val="both"/>
      </w:pPr>
      <w:r>
        <w:rPr>
          <w:rFonts w:ascii="sans-serif" w:eastAsia="sans-serif" w:hAnsi="sans-serif" w:cs="sans-serif"/>
          <w:b/>
          <w:bCs/>
          <w:color w:val="000000"/>
          <w:sz w:val="20"/>
          <w:szCs w:val="20"/>
        </w:rPr>
        <w:t>Our Company and Our Businesses</w:t>
      </w:r>
    </w:p>
    <w:p w14:paraId="0D8E04BC" w14:textId="77777777" w:rsidR="004C2197" w:rsidRDefault="00863B83">
      <w:pPr>
        <w:spacing w:after="180"/>
        <w:jc w:val="both"/>
      </w:pPr>
      <w:r>
        <w:rPr>
          <w:rFonts w:ascii="sans-serif" w:eastAsia="sans-serif" w:hAnsi="sans-serif" w:cs="sans-serif"/>
          <w:color w:val="000000"/>
          <w:sz w:val="20"/>
          <w:szCs w:val="20"/>
        </w:rPr>
        <w:t>NVIDIA pioneered accelerated computing to help solve the most challenging computational problems. Starting with a focus on PC graphi</w:t>
      </w:r>
      <w:r>
        <w:rPr>
          <w:rFonts w:ascii="sans-serif" w:eastAsia="sans-serif" w:hAnsi="sans-serif" w:cs="sans-serif"/>
          <w:color w:val="000000"/>
          <w:sz w:val="20"/>
          <w:szCs w:val="20"/>
        </w:rPr>
        <w:t>cs, we extended our focus in recent years to the revolutionary field of AI. Fueled by the sustained demand for exceptional 3D graphics and the scale of the gaming market, NVIDIA leveraged its GPU architecture to create platforms for virtual reality, HPC, a</w:t>
      </w:r>
      <w:r>
        <w:rPr>
          <w:rFonts w:ascii="sans-serif" w:eastAsia="sans-serif" w:hAnsi="sans-serif" w:cs="sans-serif"/>
          <w:color w:val="000000"/>
          <w:sz w:val="20"/>
          <w:szCs w:val="20"/>
        </w:rPr>
        <w:t xml:space="preserve">nd AI. </w:t>
      </w:r>
    </w:p>
    <w:p w14:paraId="0D8E04BD" w14:textId="77777777" w:rsidR="004C2197" w:rsidRDefault="00863B83">
      <w:pPr>
        <w:spacing w:after="180"/>
        <w:jc w:val="both"/>
      </w:pPr>
      <w:r>
        <w:rPr>
          <w:rFonts w:ascii="sans-serif" w:eastAsia="sans-serif" w:hAnsi="sans-serif" w:cs="sans-serif"/>
          <w:color w:val="000000"/>
          <w:sz w:val="20"/>
          <w:szCs w:val="20"/>
        </w:rPr>
        <w:t xml:space="preserve">Through fiscal year 2020, our reportable segments were GPU and Tegra Processor. Starting with the first quarter of fiscal year 2021, our reportable segments have changed to "Graphics" and "Compute &amp; Networking". </w:t>
      </w:r>
    </w:p>
    <w:p w14:paraId="0D8E04BE" w14:textId="77777777" w:rsidR="004C2197" w:rsidRDefault="00863B83">
      <w:pPr>
        <w:spacing w:after="180"/>
        <w:jc w:val="both"/>
      </w:pPr>
      <w:r>
        <w:rPr>
          <w:rFonts w:ascii="sans-serif" w:eastAsia="sans-serif" w:hAnsi="sans-serif" w:cs="sans-serif"/>
          <w:color w:val="000000"/>
          <w:sz w:val="20"/>
          <w:szCs w:val="20"/>
        </w:rPr>
        <w:t>Our Graphics segment includes GeFor</w:t>
      </w:r>
      <w:r>
        <w:rPr>
          <w:rFonts w:ascii="sans-serif" w:eastAsia="sans-serif" w:hAnsi="sans-serif" w:cs="sans-serif"/>
          <w:color w:val="000000"/>
          <w:sz w:val="20"/>
          <w:szCs w:val="20"/>
        </w:rPr>
        <w:t>ce GPUs for gaming and PCs, the GeForce NOW game streaming service and related infrastructure, and solutions for gaming platforms; Quadro GPUs for enterprise design; GRID software for cloud-based visual and virtual computing; and automotive platforms for i</w:t>
      </w:r>
      <w:r>
        <w:rPr>
          <w:rFonts w:ascii="sans-serif" w:eastAsia="sans-serif" w:hAnsi="sans-serif" w:cs="sans-serif"/>
          <w:color w:val="000000"/>
          <w:sz w:val="20"/>
          <w:szCs w:val="20"/>
        </w:rPr>
        <w:t xml:space="preserve">nfotainment systems. </w:t>
      </w:r>
    </w:p>
    <w:p w14:paraId="0D8E04BF" w14:textId="77777777" w:rsidR="004C2197" w:rsidRDefault="00863B83">
      <w:pPr>
        <w:spacing w:after="180"/>
        <w:jc w:val="both"/>
      </w:pPr>
      <w:r>
        <w:rPr>
          <w:rFonts w:ascii="sans-serif" w:eastAsia="sans-serif" w:hAnsi="sans-serif" w:cs="sans-serif"/>
          <w:color w:val="000000"/>
          <w:sz w:val="20"/>
          <w:szCs w:val="20"/>
        </w:rPr>
        <w:t>Our Compute &amp; Networking segment includes Data Center platforms and systems for AI, HPC, and accelerated computing; Mellanox networking and interconnect solutions; DRIVE for autonomous vehicles; and Jetson for robotics and other embed</w:t>
      </w:r>
      <w:r>
        <w:rPr>
          <w:rFonts w:ascii="sans-serif" w:eastAsia="sans-serif" w:hAnsi="sans-serif" w:cs="sans-serif"/>
          <w:color w:val="000000"/>
          <w:sz w:val="20"/>
          <w:szCs w:val="20"/>
        </w:rPr>
        <w:t>ded platforms.</w:t>
      </w:r>
    </w:p>
    <w:p w14:paraId="0D8E04C0" w14:textId="77777777" w:rsidR="004C2197" w:rsidRDefault="00863B83">
      <w:pPr>
        <w:spacing w:after="180"/>
        <w:jc w:val="both"/>
      </w:pPr>
      <w:r>
        <w:rPr>
          <w:rFonts w:ascii="sans-serif" w:eastAsia="sans-serif" w:hAnsi="sans-serif" w:cs="sans-serif"/>
          <w:color w:val="000000"/>
          <w:sz w:val="20"/>
          <w:szCs w:val="20"/>
        </w:rPr>
        <w:t>All prior period comparisons presented reflect our new reportable segments. Our market platforms – Gaming, Professional Visualization, Data Center, Automotive, OEM and Other – remain unchanged.</w:t>
      </w:r>
    </w:p>
    <w:p w14:paraId="0D8E04C1" w14:textId="77777777" w:rsidR="004C2197" w:rsidRDefault="00863B83">
      <w:pPr>
        <w:spacing w:after="180"/>
        <w:jc w:val="both"/>
      </w:pPr>
      <w:r>
        <w:rPr>
          <w:rFonts w:ascii="sans-serif" w:eastAsia="sans-serif" w:hAnsi="sans-serif" w:cs="sans-serif"/>
          <w:color w:val="000000"/>
          <w:sz w:val="20"/>
          <w:szCs w:val="20"/>
        </w:rPr>
        <w:t>Headquartered in Santa Clara, California, NVIDI</w:t>
      </w:r>
      <w:r>
        <w:rPr>
          <w:rFonts w:ascii="sans-serif" w:eastAsia="sans-serif" w:hAnsi="sans-serif" w:cs="sans-serif"/>
          <w:color w:val="000000"/>
          <w:sz w:val="20"/>
          <w:szCs w:val="20"/>
        </w:rPr>
        <w:t>A was incorporated in California in April 1993 and reincorporated in Delaware in April 1998.</w:t>
      </w:r>
    </w:p>
    <w:p w14:paraId="0D8E04C2" w14:textId="77777777" w:rsidR="004C2197" w:rsidRDefault="00863B83">
      <w:pPr>
        <w:spacing w:after="180"/>
        <w:jc w:val="center"/>
      </w:pPr>
      <w:r>
        <w:rPr>
          <w:rFonts w:ascii="sans-serif" w:eastAsia="sans-serif" w:hAnsi="sans-serif" w:cs="sans-serif"/>
          <w:color w:val="000000"/>
          <w:sz w:val="20"/>
          <w:szCs w:val="20"/>
        </w:rPr>
        <w:t>27</w:t>
      </w:r>
    </w:p>
    <w:p w14:paraId="0D8E04C3" w14:textId="77777777" w:rsidR="004C2197" w:rsidRDefault="00863B83">
      <w:r>
        <w:pict w14:anchorId="0D8E0CBF">
          <v:rect id="_x0000_i1051" style="width:415.3pt;height:1.5pt" o:hralign="center" o:hrstd="t" o:hr="t" fillcolor="#a0a0a0" stroked="f"/>
        </w:pict>
      </w:r>
    </w:p>
    <w:p w14:paraId="0D8E04C4" w14:textId="77777777" w:rsidR="004C2197" w:rsidRDefault="004C2197">
      <w:pPr>
        <w:spacing w:after="180"/>
        <w:jc w:val="both"/>
      </w:pPr>
    </w:p>
    <w:p w14:paraId="0D8E04C5" w14:textId="77777777" w:rsidR="004C2197" w:rsidRDefault="004C2197">
      <w:pPr>
        <w:spacing w:after="180"/>
        <w:jc w:val="both"/>
      </w:pPr>
    </w:p>
    <w:p w14:paraId="0D8E04C6" w14:textId="77777777" w:rsidR="004C2197" w:rsidRDefault="004C2197">
      <w:pPr>
        <w:spacing w:after="180"/>
        <w:jc w:val="both"/>
      </w:pPr>
    </w:p>
    <w:p w14:paraId="0D8E04C7" w14:textId="77777777" w:rsidR="004C2197" w:rsidRDefault="00863B83">
      <w:pPr>
        <w:spacing w:before="240" w:after="120"/>
        <w:jc w:val="both"/>
      </w:pPr>
      <w:r>
        <w:rPr>
          <w:rFonts w:ascii="sans-serif" w:eastAsia="sans-serif" w:hAnsi="sans-serif" w:cs="sans-serif"/>
          <w:b/>
          <w:bCs/>
          <w:color w:val="76B900"/>
          <w:sz w:val="22"/>
          <w:szCs w:val="22"/>
        </w:rPr>
        <w:t>Recent Developments, Future Objectives and Challenges</w:t>
      </w:r>
    </w:p>
    <w:p w14:paraId="0D8E04C8" w14:textId="77777777" w:rsidR="004C2197" w:rsidRDefault="00863B83">
      <w:pPr>
        <w:spacing w:before="120" w:after="120"/>
        <w:jc w:val="both"/>
      </w:pPr>
      <w:r>
        <w:rPr>
          <w:rFonts w:ascii="sans-serif" w:eastAsia="sans-serif" w:hAnsi="sans-serif" w:cs="sans-serif"/>
          <w:b/>
          <w:bCs/>
          <w:color w:val="000000"/>
          <w:sz w:val="20"/>
          <w:szCs w:val="20"/>
        </w:rPr>
        <w:t>COVID-19</w:t>
      </w:r>
    </w:p>
    <w:p w14:paraId="0D8E04C9" w14:textId="77777777" w:rsidR="004C2197" w:rsidRDefault="00863B83">
      <w:pPr>
        <w:spacing w:after="180"/>
        <w:jc w:val="both"/>
      </w:pPr>
      <w:r>
        <w:rPr>
          <w:rFonts w:ascii="sans-serif" w:eastAsia="sans-serif" w:hAnsi="sans-serif" w:cs="sans-serif"/>
          <w:color w:val="000000"/>
          <w:sz w:val="20"/>
          <w:szCs w:val="20"/>
        </w:rPr>
        <w:t>The coronavirus identified in late calendar year 2019 (COVID-19) continues to be a worldwide pandemic. Government authorities around the world have implemented measures to try to contain the disease, such as travel bans and restrictions, quarantines, shelt</w:t>
      </w:r>
      <w:r>
        <w:rPr>
          <w:rFonts w:ascii="sans-serif" w:eastAsia="sans-serif" w:hAnsi="sans-serif" w:cs="sans-serif"/>
          <w:color w:val="000000"/>
          <w:sz w:val="20"/>
          <w:szCs w:val="20"/>
        </w:rPr>
        <w:t xml:space="preserve">er-in-place orders and shutdowns. Since March 2020, most of our employees have been working remotely and we have temporarily prohibited most business travel. </w:t>
      </w:r>
    </w:p>
    <w:p w14:paraId="0D8E04CA" w14:textId="77777777" w:rsidR="004C2197" w:rsidRDefault="00863B83">
      <w:pPr>
        <w:spacing w:after="180"/>
        <w:jc w:val="both"/>
      </w:pPr>
      <w:r>
        <w:rPr>
          <w:rFonts w:ascii="sans-serif" w:eastAsia="sans-serif" w:hAnsi="sans-serif" w:cs="sans-serif"/>
          <w:color w:val="000000"/>
          <w:sz w:val="20"/>
          <w:szCs w:val="20"/>
        </w:rPr>
        <w:t>Our employees and partners are performing above and beyond to keep our supply chain functioning n</w:t>
      </w:r>
      <w:r>
        <w:rPr>
          <w:rFonts w:ascii="sans-serif" w:eastAsia="sans-serif" w:hAnsi="sans-serif" w:cs="sans-serif"/>
          <w:color w:val="000000"/>
          <w:sz w:val="20"/>
          <w:szCs w:val="20"/>
        </w:rPr>
        <w:t>ormally. Many industries we serve are adversely impacted, including higher education research, energy, manufacturing, automotive, architecture, engineering, and media. Each industry is recovering, albeit at different rates. Professional Visualization reven</w:t>
      </w:r>
      <w:r>
        <w:rPr>
          <w:rFonts w:ascii="sans-serif" w:eastAsia="sans-serif" w:hAnsi="sans-serif" w:cs="sans-serif"/>
          <w:color w:val="000000"/>
          <w:sz w:val="20"/>
          <w:szCs w:val="20"/>
        </w:rPr>
        <w:t>ue was negatively affected as corporate customers delayed spending on workstations. Automotive production is well below pre-COVID-19 levels.</w:t>
      </w:r>
    </w:p>
    <w:p w14:paraId="0D8E04CB" w14:textId="77777777" w:rsidR="004C2197" w:rsidRDefault="00863B83">
      <w:pPr>
        <w:spacing w:after="180"/>
        <w:jc w:val="both"/>
      </w:pPr>
      <w:r>
        <w:rPr>
          <w:rFonts w:ascii="sans-serif" w:eastAsia="sans-serif" w:hAnsi="sans-serif" w:cs="sans-serif"/>
          <w:color w:val="000000"/>
          <w:sz w:val="20"/>
          <w:szCs w:val="20"/>
        </w:rPr>
        <w:t>The full extent and duration of COVID-19 is uncertain. As the COVID-19 pandemic continues, the timing and overall d</w:t>
      </w:r>
      <w:r>
        <w:rPr>
          <w:rFonts w:ascii="sans-serif" w:eastAsia="sans-serif" w:hAnsi="sans-serif" w:cs="sans-serif"/>
          <w:color w:val="000000"/>
          <w:sz w:val="20"/>
          <w:szCs w:val="20"/>
        </w:rPr>
        <w:t>emand from customers and the availability of supply chain, logistical services and component supply may have a material net negative impact on our business and financial results. Refer to Part II, Item 1A of this Quarterly Report on Form 10-Q for additiona</w:t>
      </w:r>
      <w:r>
        <w:rPr>
          <w:rFonts w:ascii="sans-serif" w:eastAsia="sans-serif" w:hAnsi="sans-serif" w:cs="sans-serif"/>
          <w:color w:val="000000"/>
          <w:sz w:val="20"/>
          <w:szCs w:val="20"/>
        </w:rPr>
        <w:t>l information under the heading “Risk Factors”.</w:t>
      </w:r>
    </w:p>
    <w:p w14:paraId="0D8E04CC" w14:textId="77777777" w:rsidR="004C2197" w:rsidRDefault="00863B83">
      <w:pPr>
        <w:spacing w:after="180"/>
        <w:jc w:val="both"/>
      </w:pPr>
      <w:r>
        <w:rPr>
          <w:rFonts w:ascii="sans-serif" w:eastAsia="sans-serif" w:hAnsi="sans-serif" w:cs="sans-serif"/>
          <w:color w:val="000000"/>
          <w:sz w:val="20"/>
          <w:szCs w:val="20"/>
        </w:rPr>
        <w:t>The Company believes its existing balances of cash, cash equivalents and marketable securities, along with commercial paper and other short-term liquidity arrangements, will be sufficient to satisfy its worki</w:t>
      </w:r>
      <w:r>
        <w:rPr>
          <w:rFonts w:ascii="sans-serif" w:eastAsia="sans-serif" w:hAnsi="sans-serif" w:cs="sans-serif"/>
          <w:color w:val="000000"/>
          <w:sz w:val="20"/>
          <w:szCs w:val="20"/>
        </w:rPr>
        <w:t>ng capital needs, capital asset purchases, dividends, debt repayments and other liquidity requirements associated with its existing operations.</w:t>
      </w:r>
    </w:p>
    <w:p w14:paraId="0D8E04CD" w14:textId="77777777" w:rsidR="004C2197" w:rsidRDefault="00863B83">
      <w:pPr>
        <w:spacing w:before="120" w:after="120"/>
        <w:jc w:val="both"/>
      </w:pPr>
      <w:r>
        <w:rPr>
          <w:rFonts w:ascii="sans-serif" w:eastAsia="sans-serif" w:hAnsi="sans-serif" w:cs="sans-serif"/>
          <w:b/>
          <w:bCs/>
          <w:color w:val="000000"/>
          <w:sz w:val="20"/>
          <w:szCs w:val="20"/>
        </w:rPr>
        <w:t>Second Quarter of Fiscal Year 2021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1407"/>
        <w:gridCol w:w="38"/>
        <w:gridCol w:w="137"/>
        <w:gridCol w:w="516"/>
        <w:gridCol w:w="178"/>
        <w:gridCol w:w="36"/>
        <w:gridCol w:w="36"/>
        <w:gridCol w:w="36"/>
        <w:gridCol w:w="137"/>
        <w:gridCol w:w="516"/>
        <w:gridCol w:w="178"/>
        <w:gridCol w:w="36"/>
        <w:gridCol w:w="36"/>
        <w:gridCol w:w="36"/>
        <w:gridCol w:w="137"/>
        <w:gridCol w:w="516"/>
        <w:gridCol w:w="178"/>
        <w:gridCol w:w="36"/>
        <w:gridCol w:w="36"/>
        <w:gridCol w:w="36"/>
        <w:gridCol w:w="123"/>
        <w:gridCol w:w="1713"/>
        <w:gridCol w:w="178"/>
        <w:gridCol w:w="36"/>
        <w:gridCol w:w="36"/>
        <w:gridCol w:w="36"/>
        <w:gridCol w:w="86"/>
        <w:gridCol w:w="1192"/>
        <w:gridCol w:w="178"/>
        <w:gridCol w:w="36"/>
        <w:gridCol w:w="36"/>
        <w:gridCol w:w="36"/>
        <w:gridCol w:w="36"/>
        <w:gridCol w:w="36"/>
        <w:gridCol w:w="36"/>
        <w:gridCol w:w="36"/>
        <w:gridCol w:w="36"/>
        <w:gridCol w:w="36"/>
        <w:gridCol w:w="36"/>
        <w:gridCol w:w="36"/>
        <w:gridCol w:w="36"/>
      </w:tblGrid>
      <w:tr w:rsidR="004C2197" w14:paraId="0D8E04EC" w14:textId="77777777">
        <w:trPr>
          <w:gridAfter w:val="12"/>
        </w:trPr>
        <w:tc>
          <w:tcPr>
            <w:tcW w:w="50" w:type="pct"/>
            <w:shd w:val="clear" w:color="auto" w:fill="auto"/>
          </w:tcPr>
          <w:p w14:paraId="0D8E04CE" w14:textId="77777777" w:rsidR="004C2197" w:rsidRDefault="004C2197">
            <w:pPr>
              <w:rPr>
                <w:rFonts w:ascii="宋体"/>
              </w:rPr>
            </w:pPr>
          </w:p>
        </w:tc>
        <w:tc>
          <w:tcPr>
            <w:tcW w:w="1609" w:type="pct"/>
            <w:shd w:val="clear" w:color="auto" w:fill="auto"/>
          </w:tcPr>
          <w:p w14:paraId="0D8E04CF" w14:textId="77777777" w:rsidR="004C2197" w:rsidRDefault="004C2197">
            <w:pPr>
              <w:rPr>
                <w:rFonts w:ascii="宋体"/>
              </w:rPr>
            </w:pPr>
          </w:p>
        </w:tc>
        <w:tc>
          <w:tcPr>
            <w:tcW w:w="5" w:type="pct"/>
            <w:shd w:val="clear" w:color="auto" w:fill="auto"/>
          </w:tcPr>
          <w:p w14:paraId="0D8E04D0" w14:textId="77777777" w:rsidR="004C2197" w:rsidRDefault="004C2197">
            <w:pPr>
              <w:rPr>
                <w:rFonts w:ascii="宋体"/>
              </w:rPr>
            </w:pPr>
          </w:p>
        </w:tc>
        <w:tc>
          <w:tcPr>
            <w:tcW w:w="50" w:type="pct"/>
            <w:shd w:val="clear" w:color="auto" w:fill="auto"/>
          </w:tcPr>
          <w:p w14:paraId="0D8E04D1" w14:textId="77777777" w:rsidR="004C2197" w:rsidRDefault="004C2197">
            <w:pPr>
              <w:rPr>
                <w:rFonts w:ascii="宋体"/>
              </w:rPr>
            </w:pPr>
          </w:p>
        </w:tc>
        <w:tc>
          <w:tcPr>
            <w:tcW w:w="502" w:type="pct"/>
            <w:shd w:val="clear" w:color="auto" w:fill="auto"/>
          </w:tcPr>
          <w:p w14:paraId="0D8E04D2" w14:textId="77777777" w:rsidR="004C2197" w:rsidRDefault="004C2197">
            <w:pPr>
              <w:rPr>
                <w:rFonts w:ascii="宋体"/>
              </w:rPr>
            </w:pPr>
          </w:p>
        </w:tc>
        <w:tc>
          <w:tcPr>
            <w:tcW w:w="5" w:type="pct"/>
            <w:shd w:val="clear" w:color="auto" w:fill="auto"/>
          </w:tcPr>
          <w:p w14:paraId="0D8E04D3" w14:textId="77777777" w:rsidR="004C2197" w:rsidRDefault="004C2197">
            <w:pPr>
              <w:rPr>
                <w:rFonts w:ascii="宋体"/>
              </w:rPr>
            </w:pPr>
          </w:p>
        </w:tc>
        <w:tc>
          <w:tcPr>
            <w:tcW w:w="5" w:type="pct"/>
            <w:shd w:val="clear" w:color="auto" w:fill="auto"/>
          </w:tcPr>
          <w:p w14:paraId="0D8E04D4" w14:textId="77777777" w:rsidR="004C2197" w:rsidRDefault="004C2197">
            <w:pPr>
              <w:rPr>
                <w:rFonts w:ascii="宋体"/>
              </w:rPr>
            </w:pPr>
          </w:p>
        </w:tc>
        <w:tc>
          <w:tcPr>
            <w:tcW w:w="26" w:type="pct"/>
            <w:shd w:val="clear" w:color="auto" w:fill="auto"/>
          </w:tcPr>
          <w:p w14:paraId="0D8E04D5" w14:textId="77777777" w:rsidR="004C2197" w:rsidRDefault="004C2197">
            <w:pPr>
              <w:rPr>
                <w:rFonts w:ascii="宋体"/>
              </w:rPr>
            </w:pPr>
          </w:p>
        </w:tc>
        <w:tc>
          <w:tcPr>
            <w:tcW w:w="5" w:type="pct"/>
            <w:shd w:val="clear" w:color="auto" w:fill="auto"/>
          </w:tcPr>
          <w:p w14:paraId="0D8E04D6" w14:textId="77777777" w:rsidR="004C2197" w:rsidRDefault="004C2197">
            <w:pPr>
              <w:rPr>
                <w:rFonts w:ascii="宋体"/>
              </w:rPr>
            </w:pPr>
          </w:p>
        </w:tc>
        <w:tc>
          <w:tcPr>
            <w:tcW w:w="50" w:type="pct"/>
            <w:shd w:val="clear" w:color="auto" w:fill="auto"/>
          </w:tcPr>
          <w:p w14:paraId="0D8E04D7" w14:textId="77777777" w:rsidR="004C2197" w:rsidRDefault="004C2197">
            <w:pPr>
              <w:rPr>
                <w:rFonts w:ascii="宋体"/>
              </w:rPr>
            </w:pPr>
          </w:p>
        </w:tc>
        <w:tc>
          <w:tcPr>
            <w:tcW w:w="509" w:type="pct"/>
            <w:shd w:val="clear" w:color="auto" w:fill="auto"/>
          </w:tcPr>
          <w:p w14:paraId="0D8E04D8" w14:textId="77777777" w:rsidR="004C2197" w:rsidRDefault="004C2197">
            <w:pPr>
              <w:rPr>
                <w:rFonts w:ascii="宋体"/>
              </w:rPr>
            </w:pPr>
          </w:p>
        </w:tc>
        <w:tc>
          <w:tcPr>
            <w:tcW w:w="5" w:type="pct"/>
            <w:shd w:val="clear" w:color="auto" w:fill="auto"/>
          </w:tcPr>
          <w:p w14:paraId="0D8E04D9" w14:textId="77777777" w:rsidR="004C2197" w:rsidRDefault="004C2197">
            <w:pPr>
              <w:rPr>
                <w:rFonts w:ascii="宋体"/>
              </w:rPr>
            </w:pPr>
          </w:p>
        </w:tc>
        <w:tc>
          <w:tcPr>
            <w:tcW w:w="5" w:type="pct"/>
            <w:shd w:val="clear" w:color="auto" w:fill="auto"/>
          </w:tcPr>
          <w:p w14:paraId="0D8E04DA" w14:textId="77777777" w:rsidR="004C2197" w:rsidRDefault="004C2197">
            <w:pPr>
              <w:rPr>
                <w:rFonts w:ascii="宋体"/>
              </w:rPr>
            </w:pPr>
          </w:p>
        </w:tc>
        <w:tc>
          <w:tcPr>
            <w:tcW w:w="26" w:type="pct"/>
            <w:shd w:val="clear" w:color="auto" w:fill="auto"/>
          </w:tcPr>
          <w:p w14:paraId="0D8E04DB" w14:textId="77777777" w:rsidR="004C2197" w:rsidRDefault="004C2197">
            <w:pPr>
              <w:rPr>
                <w:rFonts w:ascii="宋体"/>
              </w:rPr>
            </w:pPr>
          </w:p>
        </w:tc>
        <w:tc>
          <w:tcPr>
            <w:tcW w:w="5" w:type="pct"/>
            <w:shd w:val="clear" w:color="auto" w:fill="auto"/>
          </w:tcPr>
          <w:p w14:paraId="0D8E04DC" w14:textId="77777777" w:rsidR="004C2197" w:rsidRDefault="004C2197">
            <w:pPr>
              <w:rPr>
                <w:rFonts w:ascii="宋体"/>
              </w:rPr>
            </w:pPr>
          </w:p>
        </w:tc>
        <w:tc>
          <w:tcPr>
            <w:tcW w:w="50" w:type="pct"/>
            <w:shd w:val="clear" w:color="auto" w:fill="auto"/>
          </w:tcPr>
          <w:p w14:paraId="0D8E04DD" w14:textId="77777777" w:rsidR="004C2197" w:rsidRDefault="004C2197">
            <w:pPr>
              <w:rPr>
                <w:rFonts w:ascii="宋体"/>
              </w:rPr>
            </w:pPr>
          </w:p>
        </w:tc>
        <w:tc>
          <w:tcPr>
            <w:tcW w:w="502" w:type="pct"/>
            <w:shd w:val="clear" w:color="auto" w:fill="auto"/>
          </w:tcPr>
          <w:p w14:paraId="0D8E04DE" w14:textId="77777777" w:rsidR="004C2197" w:rsidRDefault="004C2197">
            <w:pPr>
              <w:rPr>
                <w:rFonts w:ascii="宋体"/>
              </w:rPr>
            </w:pPr>
          </w:p>
        </w:tc>
        <w:tc>
          <w:tcPr>
            <w:tcW w:w="5" w:type="pct"/>
            <w:shd w:val="clear" w:color="auto" w:fill="auto"/>
          </w:tcPr>
          <w:p w14:paraId="0D8E04DF" w14:textId="77777777" w:rsidR="004C2197" w:rsidRDefault="004C2197">
            <w:pPr>
              <w:rPr>
                <w:rFonts w:ascii="宋体"/>
              </w:rPr>
            </w:pPr>
          </w:p>
        </w:tc>
        <w:tc>
          <w:tcPr>
            <w:tcW w:w="5" w:type="pct"/>
            <w:shd w:val="clear" w:color="auto" w:fill="auto"/>
          </w:tcPr>
          <w:p w14:paraId="0D8E04E0" w14:textId="77777777" w:rsidR="004C2197" w:rsidRDefault="004C2197">
            <w:pPr>
              <w:rPr>
                <w:rFonts w:ascii="宋体"/>
              </w:rPr>
            </w:pPr>
          </w:p>
        </w:tc>
        <w:tc>
          <w:tcPr>
            <w:tcW w:w="26" w:type="pct"/>
            <w:shd w:val="clear" w:color="auto" w:fill="auto"/>
          </w:tcPr>
          <w:p w14:paraId="0D8E04E1" w14:textId="77777777" w:rsidR="004C2197" w:rsidRDefault="004C2197">
            <w:pPr>
              <w:rPr>
                <w:rFonts w:ascii="宋体"/>
              </w:rPr>
            </w:pPr>
          </w:p>
        </w:tc>
        <w:tc>
          <w:tcPr>
            <w:tcW w:w="5" w:type="pct"/>
            <w:shd w:val="clear" w:color="auto" w:fill="auto"/>
          </w:tcPr>
          <w:p w14:paraId="0D8E04E2" w14:textId="77777777" w:rsidR="004C2197" w:rsidRDefault="004C2197">
            <w:pPr>
              <w:rPr>
                <w:rFonts w:ascii="宋体"/>
              </w:rPr>
            </w:pPr>
          </w:p>
        </w:tc>
        <w:tc>
          <w:tcPr>
            <w:tcW w:w="50" w:type="pct"/>
            <w:shd w:val="clear" w:color="auto" w:fill="auto"/>
          </w:tcPr>
          <w:p w14:paraId="0D8E04E3" w14:textId="77777777" w:rsidR="004C2197" w:rsidRDefault="004C2197">
            <w:pPr>
              <w:rPr>
                <w:rFonts w:ascii="宋体"/>
              </w:rPr>
            </w:pPr>
          </w:p>
        </w:tc>
        <w:tc>
          <w:tcPr>
            <w:tcW w:w="700" w:type="pct"/>
            <w:shd w:val="clear" w:color="auto" w:fill="auto"/>
          </w:tcPr>
          <w:p w14:paraId="0D8E04E4" w14:textId="77777777" w:rsidR="004C2197" w:rsidRDefault="004C2197">
            <w:pPr>
              <w:rPr>
                <w:rFonts w:ascii="宋体"/>
              </w:rPr>
            </w:pPr>
          </w:p>
        </w:tc>
        <w:tc>
          <w:tcPr>
            <w:tcW w:w="5" w:type="pct"/>
            <w:shd w:val="clear" w:color="auto" w:fill="auto"/>
          </w:tcPr>
          <w:p w14:paraId="0D8E04E5" w14:textId="77777777" w:rsidR="004C2197" w:rsidRDefault="004C2197">
            <w:pPr>
              <w:rPr>
                <w:rFonts w:ascii="宋体"/>
              </w:rPr>
            </w:pPr>
          </w:p>
        </w:tc>
        <w:tc>
          <w:tcPr>
            <w:tcW w:w="5" w:type="pct"/>
            <w:shd w:val="clear" w:color="auto" w:fill="auto"/>
          </w:tcPr>
          <w:p w14:paraId="0D8E04E6" w14:textId="77777777" w:rsidR="004C2197" w:rsidRDefault="004C2197">
            <w:pPr>
              <w:rPr>
                <w:rFonts w:ascii="宋体"/>
              </w:rPr>
            </w:pPr>
          </w:p>
        </w:tc>
        <w:tc>
          <w:tcPr>
            <w:tcW w:w="26" w:type="pct"/>
            <w:shd w:val="clear" w:color="auto" w:fill="auto"/>
          </w:tcPr>
          <w:p w14:paraId="0D8E04E7" w14:textId="77777777" w:rsidR="004C2197" w:rsidRDefault="004C2197">
            <w:pPr>
              <w:rPr>
                <w:rFonts w:ascii="宋体"/>
              </w:rPr>
            </w:pPr>
          </w:p>
        </w:tc>
        <w:tc>
          <w:tcPr>
            <w:tcW w:w="5" w:type="pct"/>
            <w:shd w:val="clear" w:color="auto" w:fill="auto"/>
          </w:tcPr>
          <w:p w14:paraId="0D8E04E8" w14:textId="77777777" w:rsidR="004C2197" w:rsidRDefault="004C2197">
            <w:pPr>
              <w:rPr>
                <w:rFonts w:ascii="宋体"/>
              </w:rPr>
            </w:pPr>
          </w:p>
        </w:tc>
        <w:tc>
          <w:tcPr>
            <w:tcW w:w="50" w:type="pct"/>
            <w:shd w:val="clear" w:color="auto" w:fill="auto"/>
          </w:tcPr>
          <w:p w14:paraId="0D8E04E9" w14:textId="77777777" w:rsidR="004C2197" w:rsidRDefault="004C2197">
            <w:pPr>
              <w:rPr>
                <w:rFonts w:ascii="宋体"/>
              </w:rPr>
            </w:pPr>
          </w:p>
        </w:tc>
        <w:tc>
          <w:tcPr>
            <w:tcW w:w="700" w:type="pct"/>
            <w:shd w:val="clear" w:color="auto" w:fill="auto"/>
          </w:tcPr>
          <w:p w14:paraId="0D8E04EA" w14:textId="77777777" w:rsidR="004C2197" w:rsidRDefault="004C2197">
            <w:pPr>
              <w:rPr>
                <w:rFonts w:ascii="宋体"/>
              </w:rPr>
            </w:pPr>
          </w:p>
        </w:tc>
        <w:tc>
          <w:tcPr>
            <w:tcW w:w="5" w:type="pct"/>
            <w:shd w:val="clear" w:color="auto" w:fill="auto"/>
          </w:tcPr>
          <w:p w14:paraId="0D8E04EB" w14:textId="77777777" w:rsidR="004C2197" w:rsidRDefault="004C2197">
            <w:pPr>
              <w:rPr>
                <w:rFonts w:ascii="宋体"/>
              </w:rPr>
            </w:pPr>
          </w:p>
        </w:tc>
      </w:tr>
      <w:tr w:rsidR="004C2197" w14:paraId="0D8E04F7" w14:textId="77777777">
        <w:tc>
          <w:tcPr>
            <w:tcW w:w="0" w:type="auto"/>
            <w:gridSpan w:val="3"/>
            <w:shd w:val="clear" w:color="auto" w:fill="auto"/>
            <w:tcMar>
              <w:left w:w="20" w:type="dxa"/>
              <w:right w:w="20" w:type="dxa"/>
            </w:tcMar>
            <w:vAlign w:val="bottom"/>
          </w:tcPr>
          <w:p w14:paraId="0D8E04ED" w14:textId="77777777" w:rsidR="004C2197" w:rsidRDefault="004C2197">
            <w:pPr>
              <w:rPr>
                <w:rFonts w:ascii="宋体"/>
              </w:rPr>
            </w:pPr>
          </w:p>
        </w:tc>
        <w:tc>
          <w:tcPr>
            <w:tcW w:w="0" w:type="auto"/>
            <w:gridSpan w:val="15"/>
            <w:shd w:val="clear" w:color="auto" w:fill="auto"/>
            <w:tcMar>
              <w:top w:w="40" w:type="dxa"/>
              <w:left w:w="20" w:type="dxa"/>
              <w:bottom w:w="40" w:type="dxa"/>
              <w:right w:w="20" w:type="dxa"/>
            </w:tcMar>
            <w:vAlign w:val="bottom"/>
          </w:tcPr>
          <w:p w14:paraId="0D8E04EE"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4EF" w14:textId="77777777" w:rsidR="004C2197" w:rsidRDefault="004C2197">
            <w:pPr>
              <w:rPr>
                <w:rFonts w:ascii="宋体"/>
                <w:vanish/>
              </w:rPr>
            </w:pPr>
          </w:p>
        </w:tc>
        <w:tc>
          <w:tcPr>
            <w:tcW w:w="0" w:type="auto"/>
            <w:gridSpan w:val="3"/>
            <w:shd w:val="clear" w:color="auto" w:fill="auto"/>
          </w:tcPr>
          <w:p w14:paraId="0D8E04F0" w14:textId="77777777" w:rsidR="004C2197" w:rsidRDefault="004C2197">
            <w:pPr>
              <w:rPr>
                <w:rFonts w:ascii="宋体"/>
                <w:vanish/>
              </w:rPr>
            </w:pPr>
          </w:p>
        </w:tc>
        <w:tc>
          <w:tcPr>
            <w:tcW w:w="0" w:type="auto"/>
            <w:gridSpan w:val="3"/>
            <w:shd w:val="clear" w:color="auto" w:fill="auto"/>
          </w:tcPr>
          <w:p w14:paraId="0D8E04F1" w14:textId="77777777" w:rsidR="004C2197" w:rsidRDefault="004C2197">
            <w:pPr>
              <w:rPr>
                <w:rFonts w:ascii="宋体"/>
                <w:vanish/>
              </w:rPr>
            </w:pPr>
          </w:p>
        </w:tc>
        <w:tc>
          <w:tcPr>
            <w:tcW w:w="0" w:type="auto"/>
            <w:gridSpan w:val="3"/>
            <w:shd w:val="clear" w:color="auto" w:fill="auto"/>
          </w:tcPr>
          <w:p w14:paraId="0D8E04F2"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4F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4F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4F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4F6" w14:textId="77777777" w:rsidR="004C2197" w:rsidRDefault="004C2197">
            <w:pPr>
              <w:rPr>
                <w:rFonts w:ascii="宋体"/>
              </w:rPr>
            </w:pPr>
          </w:p>
        </w:tc>
      </w:tr>
      <w:tr w:rsidR="004C2197" w14:paraId="0D8E050E" w14:textId="77777777">
        <w:tc>
          <w:tcPr>
            <w:tcW w:w="0" w:type="auto"/>
            <w:gridSpan w:val="3"/>
            <w:shd w:val="clear" w:color="auto" w:fill="auto"/>
            <w:tcMar>
              <w:top w:w="40" w:type="dxa"/>
              <w:left w:w="20" w:type="dxa"/>
              <w:bottom w:w="40" w:type="dxa"/>
              <w:right w:w="20" w:type="dxa"/>
            </w:tcMar>
            <w:vAlign w:val="bottom"/>
          </w:tcPr>
          <w:p w14:paraId="0D8E04F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4F9"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tcBorders>
              <w:top w:val="single" w:sz="8" w:space="0" w:color="000000"/>
            </w:tcBorders>
            <w:shd w:val="clear" w:color="auto" w:fill="auto"/>
            <w:tcMar>
              <w:left w:w="20" w:type="dxa"/>
              <w:right w:w="20" w:type="dxa"/>
            </w:tcMar>
            <w:vAlign w:val="bottom"/>
          </w:tcPr>
          <w:p w14:paraId="0D8E04F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4FB" w14:textId="77777777" w:rsidR="004C2197" w:rsidRDefault="00863B83">
            <w:pPr>
              <w:jc w:val="center"/>
              <w:textAlignment w:val="bottom"/>
            </w:pPr>
            <w:r>
              <w:rPr>
                <w:rFonts w:ascii="sans-serif" w:eastAsia="sans-serif" w:hAnsi="sans-serif" w:cs="sans-serif"/>
                <w:b/>
                <w:bCs/>
                <w:color w:val="000000"/>
                <w:sz w:val="20"/>
                <w:szCs w:val="20"/>
              </w:rPr>
              <w:t>April 26, 2020</w:t>
            </w:r>
          </w:p>
        </w:tc>
        <w:tc>
          <w:tcPr>
            <w:tcW w:w="0" w:type="auto"/>
            <w:gridSpan w:val="3"/>
            <w:tcBorders>
              <w:top w:val="single" w:sz="8" w:space="0" w:color="000000"/>
            </w:tcBorders>
            <w:shd w:val="clear" w:color="auto" w:fill="auto"/>
            <w:tcMar>
              <w:left w:w="20" w:type="dxa"/>
              <w:right w:w="20" w:type="dxa"/>
            </w:tcMar>
            <w:vAlign w:val="bottom"/>
          </w:tcPr>
          <w:p w14:paraId="0D8E04F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4FD" w14:textId="77777777" w:rsidR="004C2197" w:rsidRDefault="00863B83">
            <w:pPr>
              <w:jc w:val="center"/>
              <w:textAlignment w:val="bottom"/>
            </w:pPr>
            <w:r>
              <w:rPr>
                <w:rFonts w:ascii="sans-serif" w:eastAsia="sans-serif" w:hAnsi="sans-serif" w:cs="sans-serif"/>
                <w:b/>
                <w:bCs/>
                <w:color w:val="000000"/>
                <w:sz w:val="20"/>
                <w:szCs w:val="20"/>
              </w:rPr>
              <w:t>July 28, 2019</w:t>
            </w:r>
          </w:p>
        </w:tc>
        <w:tc>
          <w:tcPr>
            <w:tcW w:w="0" w:type="auto"/>
            <w:gridSpan w:val="3"/>
            <w:shd w:val="clear" w:color="auto" w:fill="auto"/>
            <w:tcMar>
              <w:left w:w="20" w:type="dxa"/>
              <w:right w:w="20" w:type="dxa"/>
            </w:tcMar>
            <w:vAlign w:val="bottom"/>
          </w:tcPr>
          <w:p w14:paraId="0D8E04F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4FF" w14:textId="77777777" w:rsidR="004C2197" w:rsidRDefault="00863B83">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left w:w="20" w:type="dxa"/>
              <w:right w:w="20" w:type="dxa"/>
            </w:tcMar>
            <w:vAlign w:val="bottom"/>
          </w:tcPr>
          <w:p w14:paraId="0D8E050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501" w14:textId="77777777" w:rsidR="004C2197" w:rsidRDefault="00863B83">
            <w:pPr>
              <w:jc w:val="center"/>
              <w:textAlignment w:val="bottom"/>
            </w:pPr>
            <w:r>
              <w:rPr>
                <w:rFonts w:ascii="sans-serif" w:eastAsia="sans-serif" w:hAnsi="sans-serif" w:cs="sans-serif"/>
                <w:b/>
                <w:bCs/>
                <w:color w:val="000000"/>
                <w:sz w:val="20"/>
                <w:szCs w:val="20"/>
              </w:rPr>
              <w:t>Year-over-Year Change</w:t>
            </w:r>
          </w:p>
        </w:tc>
        <w:tc>
          <w:tcPr>
            <w:tcW w:w="0" w:type="auto"/>
            <w:shd w:val="clear" w:color="auto" w:fill="auto"/>
          </w:tcPr>
          <w:p w14:paraId="0D8E0502" w14:textId="77777777" w:rsidR="004C2197" w:rsidRDefault="004C2197">
            <w:pPr>
              <w:rPr>
                <w:rFonts w:ascii="宋体"/>
              </w:rPr>
            </w:pPr>
          </w:p>
        </w:tc>
        <w:tc>
          <w:tcPr>
            <w:tcW w:w="0" w:type="auto"/>
            <w:shd w:val="clear" w:color="auto" w:fill="auto"/>
          </w:tcPr>
          <w:p w14:paraId="0D8E0503" w14:textId="77777777" w:rsidR="004C2197" w:rsidRDefault="004C2197">
            <w:pPr>
              <w:rPr>
                <w:rFonts w:ascii="宋体"/>
              </w:rPr>
            </w:pPr>
          </w:p>
        </w:tc>
        <w:tc>
          <w:tcPr>
            <w:tcW w:w="0" w:type="auto"/>
            <w:shd w:val="clear" w:color="auto" w:fill="auto"/>
          </w:tcPr>
          <w:p w14:paraId="0D8E0504" w14:textId="77777777" w:rsidR="004C2197" w:rsidRDefault="004C2197">
            <w:pPr>
              <w:rPr>
                <w:rFonts w:ascii="宋体"/>
              </w:rPr>
            </w:pPr>
          </w:p>
        </w:tc>
        <w:tc>
          <w:tcPr>
            <w:tcW w:w="0" w:type="auto"/>
            <w:shd w:val="clear" w:color="auto" w:fill="auto"/>
          </w:tcPr>
          <w:p w14:paraId="0D8E0505" w14:textId="77777777" w:rsidR="004C2197" w:rsidRDefault="004C2197">
            <w:pPr>
              <w:rPr>
                <w:rFonts w:ascii="宋体"/>
              </w:rPr>
            </w:pPr>
          </w:p>
        </w:tc>
        <w:tc>
          <w:tcPr>
            <w:tcW w:w="0" w:type="auto"/>
            <w:shd w:val="clear" w:color="auto" w:fill="auto"/>
          </w:tcPr>
          <w:p w14:paraId="0D8E0506" w14:textId="77777777" w:rsidR="004C2197" w:rsidRDefault="004C2197">
            <w:pPr>
              <w:rPr>
                <w:rFonts w:ascii="宋体"/>
              </w:rPr>
            </w:pPr>
          </w:p>
        </w:tc>
        <w:tc>
          <w:tcPr>
            <w:tcW w:w="0" w:type="auto"/>
            <w:shd w:val="clear" w:color="auto" w:fill="auto"/>
          </w:tcPr>
          <w:p w14:paraId="0D8E0507" w14:textId="77777777" w:rsidR="004C2197" w:rsidRDefault="004C2197">
            <w:pPr>
              <w:rPr>
                <w:rFonts w:ascii="宋体"/>
              </w:rPr>
            </w:pPr>
          </w:p>
        </w:tc>
        <w:tc>
          <w:tcPr>
            <w:tcW w:w="0" w:type="auto"/>
            <w:shd w:val="clear" w:color="auto" w:fill="auto"/>
          </w:tcPr>
          <w:p w14:paraId="0D8E0508" w14:textId="77777777" w:rsidR="004C2197" w:rsidRDefault="004C2197">
            <w:pPr>
              <w:rPr>
                <w:rFonts w:ascii="宋体"/>
              </w:rPr>
            </w:pPr>
          </w:p>
        </w:tc>
        <w:tc>
          <w:tcPr>
            <w:tcW w:w="0" w:type="auto"/>
            <w:shd w:val="clear" w:color="auto" w:fill="auto"/>
          </w:tcPr>
          <w:p w14:paraId="0D8E0509" w14:textId="77777777" w:rsidR="004C2197" w:rsidRDefault="004C2197">
            <w:pPr>
              <w:rPr>
                <w:rFonts w:ascii="宋体"/>
              </w:rPr>
            </w:pPr>
          </w:p>
        </w:tc>
        <w:tc>
          <w:tcPr>
            <w:tcW w:w="0" w:type="auto"/>
            <w:shd w:val="clear" w:color="auto" w:fill="auto"/>
          </w:tcPr>
          <w:p w14:paraId="0D8E050A" w14:textId="77777777" w:rsidR="004C2197" w:rsidRDefault="004C2197">
            <w:pPr>
              <w:rPr>
                <w:rFonts w:ascii="宋体"/>
              </w:rPr>
            </w:pPr>
          </w:p>
        </w:tc>
        <w:tc>
          <w:tcPr>
            <w:tcW w:w="0" w:type="auto"/>
            <w:shd w:val="clear" w:color="auto" w:fill="auto"/>
          </w:tcPr>
          <w:p w14:paraId="0D8E050B" w14:textId="77777777" w:rsidR="004C2197" w:rsidRDefault="004C2197">
            <w:pPr>
              <w:rPr>
                <w:rFonts w:ascii="宋体"/>
              </w:rPr>
            </w:pPr>
          </w:p>
        </w:tc>
        <w:tc>
          <w:tcPr>
            <w:tcW w:w="0" w:type="auto"/>
            <w:shd w:val="clear" w:color="auto" w:fill="auto"/>
          </w:tcPr>
          <w:p w14:paraId="0D8E050C" w14:textId="77777777" w:rsidR="004C2197" w:rsidRDefault="004C2197">
            <w:pPr>
              <w:rPr>
                <w:rFonts w:ascii="宋体"/>
              </w:rPr>
            </w:pPr>
          </w:p>
        </w:tc>
        <w:tc>
          <w:tcPr>
            <w:tcW w:w="0" w:type="auto"/>
            <w:shd w:val="clear" w:color="auto" w:fill="auto"/>
          </w:tcPr>
          <w:p w14:paraId="0D8E050D" w14:textId="77777777" w:rsidR="004C2197" w:rsidRDefault="004C2197">
            <w:pPr>
              <w:rPr>
                <w:rFonts w:ascii="宋体"/>
              </w:rPr>
            </w:pPr>
          </w:p>
        </w:tc>
      </w:tr>
      <w:tr w:rsidR="004C2197" w14:paraId="0D8E0525" w14:textId="77777777">
        <w:trPr>
          <w:trHeight w:val="60"/>
        </w:trPr>
        <w:tc>
          <w:tcPr>
            <w:tcW w:w="0" w:type="auto"/>
            <w:gridSpan w:val="3"/>
            <w:shd w:val="clear" w:color="auto" w:fill="auto"/>
            <w:tcMar>
              <w:left w:w="20" w:type="dxa"/>
              <w:right w:w="20" w:type="dxa"/>
            </w:tcMar>
            <w:vAlign w:val="bottom"/>
          </w:tcPr>
          <w:p w14:paraId="0D8E050F"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51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1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51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1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51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1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51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1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518" w14:textId="77777777" w:rsidR="004C2197" w:rsidRDefault="004C2197">
            <w:pPr>
              <w:rPr>
                <w:rFonts w:ascii="宋体"/>
              </w:rPr>
            </w:pPr>
          </w:p>
        </w:tc>
        <w:tc>
          <w:tcPr>
            <w:tcW w:w="0" w:type="auto"/>
            <w:shd w:val="clear" w:color="auto" w:fill="auto"/>
          </w:tcPr>
          <w:p w14:paraId="0D8E0519" w14:textId="77777777" w:rsidR="004C2197" w:rsidRDefault="004C2197">
            <w:pPr>
              <w:rPr>
                <w:rFonts w:ascii="宋体"/>
              </w:rPr>
            </w:pPr>
          </w:p>
        </w:tc>
        <w:tc>
          <w:tcPr>
            <w:tcW w:w="0" w:type="auto"/>
            <w:shd w:val="clear" w:color="auto" w:fill="auto"/>
          </w:tcPr>
          <w:p w14:paraId="0D8E051A" w14:textId="77777777" w:rsidR="004C2197" w:rsidRDefault="004C2197">
            <w:pPr>
              <w:rPr>
                <w:rFonts w:ascii="宋体"/>
              </w:rPr>
            </w:pPr>
          </w:p>
        </w:tc>
        <w:tc>
          <w:tcPr>
            <w:tcW w:w="0" w:type="auto"/>
            <w:shd w:val="clear" w:color="auto" w:fill="auto"/>
          </w:tcPr>
          <w:p w14:paraId="0D8E051B" w14:textId="77777777" w:rsidR="004C2197" w:rsidRDefault="004C2197">
            <w:pPr>
              <w:rPr>
                <w:rFonts w:ascii="宋体"/>
              </w:rPr>
            </w:pPr>
          </w:p>
        </w:tc>
        <w:tc>
          <w:tcPr>
            <w:tcW w:w="0" w:type="auto"/>
            <w:shd w:val="clear" w:color="auto" w:fill="auto"/>
          </w:tcPr>
          <w:p w14:paraId="0D8E051C" w14:textId="77777777" w:rsidR="004C2197" w:rsidRDefault="004C2197">
            <w:pPr>
              <w:rPr>
                <w:rFonts w:ascii="宋体"/>
              </w:rPr>
            </w:pPr>
          </w:p>
        </w:tc>
        <w:tc>
          <w:tcPr>
            <w:tcW w:w="0" w:type="auto"/>
            <w:shd w:val="clear" w:color="auto" w:fill="auto"/>
          </w:tcPr>
          <w:p w14:paraId="0D8E051D" w14:textId="77777777" w:rsidR="004C2197" w:rsidRDefault="004C2197">
            <w:pPr>
              <w:rPr>
                <w:rFonts w:ascii="宋体"/>
              </w:rPr>
            </w:pPr>
          </w:p>
        </w:tc>
        <w:tc>
          <w:tcPr>
            <w:tcW w:w="0" w:type="auto"/>
            <w:shd w:val="clear" w:color="auto" w:fill="auto"/>
          </w:tcPr>
          <w:p w14:paraId="0D8E051E" w14:textId="77777777" w:rsidR="004C2197" w:rsidRDefault="004C2197">
            <w:pPr>
              <w:rPr>
                <w:rFonts w:ascii="宋体"/>
              </w:rPr>
            </w:pPr>
          </w:p>
        </w:tc>
        <w:tc>
          <w:tcPr>
            <w:tcW w:w="0" w:type="auto"/>
            <w:shd w:val="clear" w:color="auto" w:fill="auto"/>
          </w:tcPr>
          <w:p w14:paraId="0D8E051F" w14:textId="77777777" w:rsidR="004C2197" w:rsidRDefault="004C2197">
            <w:pPr>
              <w:rPr>
                <w:rFonts w:ascii="宋体"/>
              </w:rPr>
            </w:pPr>
          </w:p>
        </w:tc>
        <w:tc>
          <w:tcPr>
            <w:tcW w:w="0" w:type="auto"/>
            <w:shd w:val="clear" w:color="auto" w:fill="auto"/>
          </w:tcPr>
          <w:p w14:paraId="0D8E0520" w14:textId="77777777" w:rsidR="004C2197" w:rsidRDefault="004C2197">
            <w:pPr>
              <w:rPr>
                <w:rFonts w:ascii="宋体"/>
              </w:rPr>
            </w:pPr>
          </w:p>
        </w:tc>
        <w:tc>
          <w:tcPr>
            <w:tcW w:w="0" w:type="auto"/>
            <w:shd w:val="clear" w:color="auto" w:fill="auto"/>
          </w:tcPr>
          <w:p w14:paraId="0D8E0521" w14:textId="77777777" w:rsidR="004C2197" w:rsidRDefault="004C2197">
            <w:pPr>
              <w:rPr>
                <w:rFonts w:ascii="宋体"/>
              </w:rPr>
            </w:pPr>
          </w:p>
        </w:tc>
        <w:tc>
          <w:tcPr>
            <w:tcW w:w="0" w:type="auto"/>
            <w:shd w:val="clear" w:color="auto" w:fill="auto"/>
          </w:tcPr>
          <w:p w14:paraId="0D8E0522" w14:textId="77777777" w:rsidR="004C2197" w:rsidRDefault="004C2197">
            <w:pPr>
              <w:rPr>
                <w:rFonts w:ascii="宋体"/>
              </w:rPr>
            </w:pPr>
          </w:p>
        </w:tc>
        <w:tc>
          <w:tcPr>
            <w:tcW w:w="0" w:type="auto"/>
            <w:shd w:val="clear" w:color="auto" w:fill="auto"/>
          </w:tcPr>
          <w:p w14:paraId="0D8E0523" w14:textId="77777777" w:rsidR="004C2197" w:rsidRDefault="004C2197">
            <w:pPr>
              <w:rPr>
                <w:rFonts w:ascii="宋体"/>
              </w:rPr>
            </w:pPr>
          </w:p>
        </w:tc>
        <w:tc>
          <w:tcPr>
            <w:tcW w:w="0" w:type="auto"/>
            <w:shd w:val="clear" w:color="auto" w:fill="auto"/>
          </w:tcPr>
          <w:p w14:paraId="0D8E0524" w14:textId="77777777" w:rsidR="004C2197" w:rsidRDefault="004C2197">
            <w:pPr>
              <w:rPr>
                <w:rFonts w:ascii="宋体"/>
              </w:rPr>
            </w:pPr>
          </w:p>
        </w:tc>
      </w:tr>
      <w:tr w:rsidR="004C2197" w14:paraId="0D8E0530" w14:textId="77777777">
        <w:tc>
          <w:tcPr>
            <w:tcW w:w="0" w:type="auto"/>
            <w:gridSpan w:val="3"/>
            <w:shd w:val="clear" w:color="auto" w:fill="auto"/>
            <w:tcMar>
              <w:left w:w="20" w:type="dxa"/>
              <w:right w:w="20" w:type="dxa"/>
            </w:tcMar>
            <w:vAlign w:val="bottom"/>
          </w:tcPr>
          <w:p w14:paraId="0D8E0526" w14:textId="77777777" w:rsidR="004C2197" w:rsidRDefault="004C2197">
            <w:pPr>
              <w:rPr>
                <w:rFonts w:ascii="宋体"/>
              </w:rPr>
            </w:pPr>
          </w:p>
        </w:tc>
        <w:tc>
          <w:tcPr>
            <w:tcW w:w="0" w:type="auto"/>
            <w:gridSpan w:val="15"/>
            <w:shd w:val="clear" w:color="auto" w:fill="auto"/>
            <w:tcMar>
              <w:top w:w="40" w:type="dxa"/>
              <w:left w:w="20" w:type="dxa"/>
              <w:bottom w:w="40" w:type="dxa"/>
              <w:right w:w="20" w:type="dxa"/>
            </w:tcMar>
            <w:vAlign w:val="bottom"/>
          </w:tcPr>
          <w:p w14:paraId="0D8E0527" w14:textId="77777777" w:rsidR="004C2197" w:rsidRDefault="00863B83">
            <w:pPr>
              <w:jc w:val="center"/>
              <w:textAlignment w:val="bottom"/>
            </w:pPr>
            <w:r>
              <w:rPr>
                <w:rFonts w:ascii="sans-serif" w:eastAsia="sans-serif" w:hAnsi="sans-serif" w:cs="sans-serif"/>
                <w:i/>
                <w:iCs/>
                <w:color w:val="000000"/>
                <w:sz w:val="20"/>
                <w:szCs w:val="20"/>
              </w:rPr>
              <w:t>($ in millions, except per share data)</w:t>
            </w:r>
          </w:p>
        </w:tc>
        <w:tc>
          <w:tcPr>
            <w:tcW w:w="0" w:type="auto"/>
            <w:gridSpan w:val="3"/>
            <w:shd w:val="clear" w:color="auto" w:fill="auto"/>
          </w:tcPr>
          <w:p w14:paraId="0D8E0528" w14:textId="77777777" w:rsidR="004C2197" w:rsidRDefault="004C2197">
            <w:pPr>
              <w:rPr>
                <w:rFonts w:ascii="宋体"/>
                <w:vanish/>
              </w:rPr>
            </w:pPr>
          </w:p>
        </w:tc>
        <w:tc>
          <w:tcPr>
            <w:tcW w:w="0" w:type="auto"/>
            <w:gridSpan w:val="3"/>
            <w:shd w:val="clear" w:color="auto" w:fill="auto"/>
          </w:tcPr>
          <w:p w14:paraId="0D8E0529" w14:textId="77777777" w:rsidR="004C2197" w:rsidRDefault="004C2197">
            <w:pPr>
              <w:rPr>
                <w:rFonts w:ascii="宋体"/>
                <w:vanish/>
              </w:rPr>
            </w:pPr>
          </w:p>
        </w:tc>
        <w:tc>
          <w:tcPr>
            <w:tcW w:w="0" w:type="auto"/>
            <w:gridSpan w:val="3"/>
            <w:shd w:val="clear" w:color="auto" w:fill="auto"/>
          </w:tcPr>
          <w:p w14:paraId="0D8E052A" w14:textId="77777777" w:rsidR="004C2197" w:rsidRDefault="004C2197">
            <w:pPr>
              <w:rPr>
                <w:rFonts w:ascii="宋体"/>
                <w:vanish/>
              </w:rPr>
            </w:pPr>
          </w:p>
        </w:tc>
        <w:tc>
          <w:tcPr>
            <w:tcW w:w="0" w:type="auto"/>
            <w:gridSpan w:val="3"/>
            <w:shd w:val="clear" w:color="auto" w:fill="auto"/>
          </w:tcPr>
          <w:p w14:paraId="0D8E052B"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52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2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2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52F" w14:textId="77777777" w:rsidR="004C2197" w:rsidRDefault="004C2197">
            <w:pPr>
              <w:rPr>
                <w:rFonts w:ascii="宋体"/>
              </w:rPr>
            </w:pPr>
          </w:p>
        </w:tc>
      </w:tr>
      <w:tr w:rsidR="004C2197" w14:paraId="0D8E054F" w14:textId="77777777">
        <w:tc>
          <w:tcPr>
            <w:tcW w:w="0" w:type="auto"/>
            <w:gridSpan w:val="3"/>
            <w:shd w:val="clear" w:color="auto" w:fill="E2EFD9"/>
            <w:tcMar>
              <w:top w:w="40" w:type="dxa"/>
              <w:left w:w="20" w:type="dxa"/>
              <w:bottom w:w="40" w:type="dxa"/>
              <w:right w:w="20" w:type="dxa"/>
            </w:tcMar>
            <w:vAlign w:val="bottom"/>
          </w:tcPr>
          <w:p w14:paraId="0D8E0531" w14:textId="77777777" w:rsidR="004C2197" w:rsidRDefault="00863B83">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tcMar>
            <w:vAlign w:val="bottom"/>
          </w:tcPr>
          <w:p w14:paraId="0D8E053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33"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shd w:val="clear" w:color="auto" w:fill="E2EFD9"/>
            <w:tcMar>
              <w:top w:w="40" w:type="dxa"/>
              <w:bottom w:w="40" w:type="dxa"/>
              <w:right w:w="20" w:type="dxa"/>
            </w:tcMar>
            <w:vAlign w:val="bottom"/>
          </w:tcPr>
          <w:p w14:paraId="0D8E053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35"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36"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37" w14:textId="77777777" w:rsidR="004C2197" w:rsidRDefault="00863B83">
            <w:pPr>
              <w:jc w:val="right"/>
              <w:textAlignment w:val="bottom"/>
            </w:pPr>
            <w:r>
              <w:rPr>
                <w:rFonts w:ascii="sans-serif" w:eastAsia="sans-serif" w:hAnsi="sans-serif" w:cs="sans-serif"/>
                <w:color w:val="000000"/>
                <w:sz w:val="20"/>
                <w:szCs w:val="20"/>
              </w:rPr>
              <w:t>3,080 </w:t>
            </w:r>
          </w:p>
        </w:tc>
        <w:tc>
          <w:tcPr>
            <w:tcW w:w="0" w:type="auto"/>
            <w:shd w:val="clear" w:color="auto" w:fill="E2EFD9"/>
            <w:tcMar>
              <w:top w:w="40" w:type="dxa"/>
              <w:bottom w:w="40" w:type="dxa"/>
              <w:right w:w="20" w:type="dxa"/>
            </w:tcMar>
            <w:vAlign w:val="bottom"/>
          </w:tcPr>
          <w:p w14:paraId="0D8E053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39"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3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3B"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shd w:val="clear" w:color="auto" w:fill="E2EFD9"/>
            <w:tcMar>
              <w:top w:w="40" w:type="dxa"/>
              <w:bottom w:w="40" w:type="dxa"/>
              <w:right w:w="20" w:type="dxa"/>
            </w:tcMar>
            <w:vAlign w:val="bottom"/>
          </w:tcPr>
          <w:p w14:paraId="0D8E053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3D"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3E" w14:textId="77777777" w:rsidR="004C2197" w:rsidRDefault="00863B83">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bottom w:w="40" w:type="dxa"/>
              <w:right w:w="20" w:type="dxa"/>
            </w:tcMar>
            <w:vAlign w:val="bottom"/>
          </w:tcPr>
          <w:p w14:paraId="0D8E053F"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54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41" w14:textId="77777777" w:rsidR="004C2197" w:rsidRDefault="00863B83">
            <w:pPr>
              <w:jc w:val="right"/>
              <w:textAlignment w:val="bottom"/>
            </w:pPr>
            <w:r>
              <w:rPr>
                <w:rFonts w:ascii="sans-serif" w:eastAsia="sans-serif" w:hAnsi="sans-serif" w:cs="sans-serif"/>
                <w:color w:val="000000"/>
                <w:sz w:val="20"/>
                <w:szCs w:val="20"/>
              </w:rPr>
              <w:t>50 </w:t>
            </w:r>
          </w:p>
        </w:tc>
        <w:tc>
          <w:tcPr>
            <w:tcW w:w="0" w:type="auto"/>
            <w:shd w:val="clear" w:color="auto" w:fill="E2EFD9"/>
            <w:tcMar>
              <w:top w:w="40" w:type="dxa"/>
              <w:bottom w:w="40" w:type="dxa"/>
              <w:right w:w="20" w:type="dxa"/>
            </w:tcMar>
            <w:vAlign w:val="bottom"/>
          </w:tcPr>
          <w:p w14:paraId="0D8E0542"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543" w14:textId="77777777" w:rsidR="004C2197" w:rsidRDefault="004C2197">
            <w:pPr>
              <w:rPr>
                <w:rFonts w:ascii="宋体"/>
              </w:rPr>
            </w:pPr>
          </w:p>
        </w:tc>
        <w:tc>
          <w:tcPr>
            <w:tcW w:w="0" w:type="auto"/>
            <w:shd w:val="clear" w:color="auto" w:fill="auto"/>
          </w:tcPr>
          <w:p w14:paraId="0D8E0544" w14:textId="77777777" w:rsidR="004C2197" w:rsidRDefault="004C2197">
            <w:pPr>
              <w:rPr>
                <w:rFonts w:ascii="宋体"/>
              </w:rPr>
            </w:pPr>
          </w:p>
        </w:tc>
        <w:tc>
          <w:tcPr>
            <w:tcW w:w="0" w:type="auto"/>
            <w:shd w:val="clear" w:color="auto" w:fill="auto"/>
          </w:tcPr>
          <w:p w14:paraId="0D8E0545" w14:textId="77777777" w:rsidR="004C2197" w:rsidRDefault="004C2197">
            <w:pPr>
              <w:rPr>
                <w:rFonts w:ascii="宋体"/>
              </w:rPr>
            </w:pPr>
          </w:p>
        </w:tc>
        <w:tc>
          <w:tcPr>
            <w:tcW w:w="0" w:type="auto"/>
            <w:shd w:val="clear" w:color="auto" w:fill="auto"/>
          </w:tcPr>
          <w:p w14:paraId="0D8E0546" w14:textId="77777777" w:rsidR="004C2197" w:rsidRDefault="004C2197">
            <w:pPr>
              <w:rPr>
                <w:rFonts w:ascii="宋体"/>
              </w:rPr>
            </w:pPr>
          </w:p>
        </w:tc>
        <w:tc>
          <w:tcPr>
            <w:tcW w:w="0" w:type="auto"/>
            <w:shd w:val="clear" w:color="auto" w:fill="auto"/>
          </w:tcPr>
          <w:p w14:paraId="0D8E0547" w14:textId="77777777" w:rsidR="004C2197" w:rsidRDefault="004C2197">
            <w:pPr>
              <w:rPr>
                <w:rFonts w:ascii="宋体"/>
              </w:rPr>
            </w:pPr>
          </w:p>
        </w:tc>
        <w:tc>
          <w:tcPr>
            <w:tcW w:w="0" w:type="auto"/>
            <w:shd w:val="clear" w:color="auto" w:fill="auto"/>
          </w:tcPr>
          <w:p w14:paraId="0D8E0548" w14:textId="77777777" w:rsidR="004C2197" w:rsidRDefault="004C2197">
            <w:pPr>
              <w:rPr>
                <w:rFonts w:ascii="宋体"/>
              </w:rPr>
            </w:pPr>
          </w:p>
        </w:tc>
        <w:tc>
          <w:tcPr>
            <w:tcW w:w="0" w:type="auto"/>
            <w:shd w:val="clear" w:color="auto" w:fill="auto"/>
          </w:tcPr>
          <w:p w14:paraId="0D8E0549" w14:textId="77777777" w:rsidR="004C2197" w:rsidRDefault="004C2197">
            <w:pPr>
              <w:rPr>
                <w:rFonts w:ascii="宋体"/>
              </w:rPr>
            </w:pPr>
          </w:p>
        </w:tc>
        <w:tc>
          <w:tcPr>
            <w:tcW w:w="0" w:type="auto"/>
            <w:shd w:val="clear" w:color="auto" w:fill="auto"/>
          </w:tcPr>
          <w:p w14:paraId="0D8E054A" w14:textId="77777777" w:rsidR="004C2197" w:rsidRDefault="004C2197">
            <w:pPr>
              <w:rPr>
                <w:rFonts w:ascii="宋体"/>
              </w:rPr>
            </w:pPr>
          </w:p>
        </w:tc>
        <w:tc>
          <w:tcPr>
            <w:tcW w:w="0" w:type="auto"/>
            <w:shd w:val="clear" w:color="auto" w:fill="auto"/>
          </w:tcPr>
          <w:p w14:paraId="0D8E054B" w14:textId="77777777" w:rsidR="004C2197" w:rsidRDefault="004C2197">
            <w:pPr>
              <w:rPr>
                <w:rFonts w:ascii="宋体"/>
              </w:rPr>
            </w:pPr>
          </w:p>
        </w:tc>
        <w:tc>
          <w:tcPr>
            <w:tcW w:w="0" w:type="auto"/>
            <w:shd w:val="clear" w:color="auto" w:fill="auto"/>
          </w:tcPr>
          <w:p w14:paraId="0D8E054C" w14:textId="77777777" w:rsidR="004C2197" w:rsidRDefault="004C2197">
            <w:pPr>
              <w:rPr>
                <w:rFonts w:ascii="宋体"/>
              </w:rPr>
            </w:pPr>
          </w:p>
        </w:tc>
        <w:tc>
          <w:tcPr>
            <w:tcW w:w="0" w:type="auto"/>
            <w:shd w:val="clear" w:color="auto" w:fill="auto"/>
          </w:tcPr>
          <w:p w14:paraId="0D8E054D" w14:textId="77777777" w:rsidR="004C2197" w:rsidRDefault="004C2197">
            <w:pPr>
              <w:rPr>
                <w:rFonts w:ascii="宋体"/>
              </w:rPr>
            </w:pPr>
          </w:p>
        </w:tc>
        <w:tc>
          <w:tcPr>
            <w:tcW w:w="0" w:type="auto"/>
            <w:shd w:val="clear" w:color="auto" w:fill="auto"/>
          </w:tcPr>
          <w:p w14:paraId="0D8E054E" w14:textId="77777777" w:rsidR="004C2197" w:rsidRDefault="004C2197">
            <w:pPr>
              <w:rPr>
                <w:rFonts w:ascii="宋体"/>
              </w:rPr>
            </w:pPr>
          </w:p>
        </w:tc>
      </w:tr>
      <w:tr w:rsidR="004C2197" w14:paraId="0D8E0569" w14:textId="77777777">
        <w:tc>
          <w:tcPr>
            <w:tcW w:w="0" w:type="auto"/>
            <w:gridSpan w:val="3"/>
            <w:shd w:val="clear" w:color="auto" w:fill="FFFFFF"/>
            <w:tcMar>
              <w:top w:w="40" w:type="dxa"/>
              <w:left w:w="20" w:type="dxa"/>
              <w:bottom w:w="40" w:type="dxa"/>
              <w:right w:w="20" w:type="dxa"/>
            </w:tcMar>
            <w:vAlign w:val="bottom"/>
          </w:tcPr>
          <w:p w14:paraId="0D8E0550" w14:textId="77777777" w:rsidR="004C2197" w:rsidRDefault="00863B83">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0D8E0551" w14:textId="77777777" w:rsidR="004C2197" w:rsidRDefault="00863B83">
            <w:pPr>
              <w:jc w:val="right"/>
              <w:textAlignment w:val="bottom"/>
            </w:pPr>
            <w:r>
              <w:rPr>
                <w:rFonts w:ascii="sans-serif" w:eastAsia="sans-serif" w:hAnsi="sans-serif" w:cs="sans-serif"/>
                <w:color w:val="000000"/>
                <w:sz w:val="20"/>
                <w:szCs w:val="20"/>
              </w:rPr>
              <w:t>58.8 </w:t>
            </w:r>
          </w:p>
        </w:tc>
        <w:tc>
          <w:tcPr>
            <w:tcW w:w="0" w:type="auto"/>
            <w:shd w:val="clear" w:color="auto" w:fill="FFFFFF"/>
            <w:tcMar>
              <w:top w:w="40" w:type="dxa"/>
              <w:bottom w:w="40" w:type="dxa"/>
              <w:right w:w="20" w:type="dxa"/>
            </w:tcMar>
            <w:vAlign w:val="bottom"/>
          </w:tcPr>
          <w:p w14:paraId="0D8E0552"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55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center"/>
          </w:tcPr>
          <w:p w14:paraId="0D8E0554" w14:textId="77777777" w:rsidR="004C2197" w:rsidRDefault="00863B83">
            <w:pPr>
              <w:jc w:val="right"/>
              <w:textAlignment w:val="center"/>
            </w:pPr>
            <w:r>
              <w:rPr>
                <w:rFonts w:ascii="sans-serif" w:eastAsia="sans-serif" w:hAnsi="sans-serif" w:cs="sans-serif"/>
                <w:color w:val="000000"/>
                <w:sz w:val="20"/>
                <w:szCs w:val="20"/>
              </w:rPr>
              <w:t>65.1 </w:t>
            </w:r>
          </w:p>
        </w:tc>
        <w:tc>
          <w:tcPr>
            <w:tcW w:w="0" w:type="auto"/>
            <w:shd w:val="clear" w:color="auto" w:fill="FFFFFF"/>
            <w:tcMar>
              <w:top w:w="40" w:type="dxa"/>
              <w:bottom w:w="40" w:type="dxa"/>
              <w:right w:w="20" w:type="dxa"/>
            </w:tcMar>
            <w:vAlign w:val="center"/>
          </w:tcPr>
          <w:p w14:paraId="0D8E0555" w14:textId="77777777" w:rsidR="004C2197" w:rsidRDefault="00863B83">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55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center"/>
          </w:tcPr>
          <w:p w14:paraId="0D8E0557" w14:textId="77777777" w:rsidR="004C2197" w:rsidRDefault="00863B83">
            <w:pPr>
              <w:jc w:val="right"/>
              <w:textAlignment w:val="center"/>
            </w:pPr>
            <w:r>
              <w:rPr>
                <w:rFonts w:ascii="sans-serif" w:eastAsia="sans-serif" w:hAnsi="sans-serif" w:cs="sans-serif"/>
                <w:color w:val="000000"/>
                <w:sz w:val="20"/>
                <w:szCs w:val="20"/>
              </w:rPr>
              <w:t>59.8 </w:t>
            </w:r>
          </w:p>
        </w:tc>
        <w:tc>
          <w:tcPr>
            <w:tcW w:w="0" w:type="auto"/>
            <w:shd w:val="clear" w:color="auto" w:fill="FFFFFF"/>
            <w:tcMar>
              <w:top w:w="40" w:type="dxa"/>
              <w:bottom w:w="40" w:type="dxa"/>
              <w:right w:w="20" w:type="dxa"/>
            </w:tcMar>
            <w:vAlign w:val="center"/>
          </w:tcPr>
          <w:p w14:paraId="0D8E0558" w14:textId="77777777" w:rsidR="004C2197" w:rsidRDefault="00863B83">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559"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E055A" w14:textId="77777777" w:rsidR="004C2197" w:rsidRDefault="00863B83">
            <w:pPr>
              <w:jc w:val="right"/>
              <w:textAlignment w:val="bottom"/>
            </w:pPr>
            <w:r>
              <w:rPr>
                <w:rFonts w:ascii="sans-serif" w:eastAsia="sans-serif" w:hAnsi="sans-serif" w:cs="sans-serif"/>
                <w:color w:val="000000"/>
                <w:sz w:val="20"/>
                <w:szCs w:val="20"/>
              </w:rPr>
              <w:t>(630) bps</w:t>
            </w:r>
          </w:p>
        </w:tc>
        <w:tc>
          <w:tcPr>
            <w:tcW w:w="0" w:type="auto"/>
            <w:gridSpan w:val="3"/>
            <w:shd w:val="clear" w:color="auto" w:fill="FFFFFF"/>
            <w:tcMar>
              <w:left w:w="20" w:type="dxa"/>
              <w:right w:w="20" w:type="dxa"/>
            </w:tcMar>
            <w:vAlign w:val="bottom"/>
          </w:tcPr>
          <w:p w14:paraId="0D8E055B"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E055C" w14:textId="77777777" w:rsidR="004C2197" w:rsidRDefault="00863B83">
            <w:pPr>
              <w:jc w:val="right"/>
              <w:textAlignment w:val="bottom"/>
            </w:pPr>
            <w:r>
              <w:rPr>
                <w:rFonts w:ascii="sans-serif" w:eastAsia="sans-serif" w:hAnsi="sans-serif" w:cs="sans-serif"/>
                <w:color w:val="000000"/>
                <w:sz w:val="20"/>
                <w:szCs w:val="20"/>
              </w:rPr>
              <w:t>(100) bps</w:t>
            </w:r>
          </w:p>
        </w:tc>
        <w:tc>
          <w:tcPr>
            <w:tcW w:w="0" w:type="auto"/>
            <w:shd w:val="clear" w:color="auto" w:fill="auto"/>
          </w:tcPr>
          <w:p w14:paraId="0D8E055D" w14:textId="77777777" w:rsidR="004C2197" w:rsidRDefault="004C2197">
            <w:pPr>
              <w:rPr>
                <w:rFonts w:ascii="宋体"/>
              </w:rPr>
            </w:pPr>
          </w:p>
        </w:tc>
        <w:tc>
          <w:tcPr>
            <w:tcW w:w="0" w:type="auto"/>
            <w:shd w:val="clear" w:color="auto" w:fill="auto"/>
          </w:tcPr>
          <w:p w14:paraId="0D8E055E" w14:textId="77777777" w:rsidR="004C2197" w:rsidRDefault="004C2197">
            <w:pPr>
              <w:rPr>
                <w:rFonts w:ascii="宋体"/>
              </w:rPr>
            </w:pPr>
          </w:p>
        </w:tc>
        <w:tc>
          <w:tcPr>
            <w:tcW w:w="0" w:type="auto"/>
            <w:shd w:val="clear" w:color="auto" w:fill="auto"/>
          </w:tcPr>
          <w:p w14:paraId="0D8E055F" w14:textId="77777777" w:rsidR="004C2197" w:rsidRDefault="004C2197">
            <w:pPr>
              <w:rPr>
                <w:rFonts w:ascii="宋体"/>
              </w:rPr>
            </w:pPr>
          </w:p>
        </w:tc>
        <w:tc>
          <w:tcPr>
            <w:tcW w:w="0" w:type="auto"/>
            <w:shd w:val="clear" w:color="auto" w:fill="auto"/>
          </w:tcPr>
          <w:p w14:paraId="0D8E0560" w14:textId="77777777" w:rsidR="004C2197" w:rsidRDefault="004C2197">
            <w:pPr>
              <w:rPr>
                <w:rFonts w:ascii="宋体"/>
              </w:rPr>
            </w:pPr>
          </w:p>
        </w:tc>
        <w:tc>
          <w:tcPr>
            <w:tcW w:w="0" w:type="auto"/>
            <w:shd w:val="clear" w:color="auto" w:fill="auto"/>
          </w:tcPr>
          <w:p w14:paraId="0D8E0561" w14:textId="77777777" w:rsidR="004C2197" w:rsidRDefault="004C2197">
            <w:pPr>
              <w:rPr>
                <w:rFonts w:ascii="宋体"/>
              </w:rPr>
            </w:pPr>
          </w:p>
        </w:tc>
        <w:tc>
          <w:tcPr>
            <w:tcW w:w="0" w:type="auto"/>
            <w:shd w:val="clear" w:color="auto" w:fill="auto"/>
          </w:tcPr>
          <w:p w14:paraId="0D8E0562" w14:textId="77777777" w:rsidR="004C2197" w:rsidRDefault="004C2197">
            <w:pPr>
              <w:rPr>
                <w:rFonts w:ascii="宋体"/>
              </w:rPr>
            </w:pPr>
          </w:p>
        </w:tc>
        <w:tc>
          <w:tcPr>
            <w:tcW w:w="0" w:type="auto"/>
            <w:shd w:val="clear" w:color="auto" w:fill="auto"/>
          </w:tcPr>
          <w:p w14:paraId="0D8E0563" w14:textId="77777777" w:rsidR="004C2197" w:rsidRDefault="004C2197">
            <w:pPr>
              <w:rPr>
                <w:rFonts w:ascii="宋体"/>
              </w:rPr>
            </w:pPr>
          </w:p>
        </w:tc>
        <w:tc>
          <w:tcPr>
            <w:tcW w:w="0" w:type="auto"/>
            <w:shd w:val="clear" w:color="auto" w:fill="auto"/>
          </w:tcPr>
          <w:p w14:paraId="0D8E0564" w14:textId="77777777" w:rsidR="004C2197" w:rsidRDefault="004C2197">
            <w:pPr>
              <w:rPr>
                <w:rFonts w:ascii="宋体"/>
              </w:rPr>
            </w:pPr>
          </w:p>
        </w:tc>
        <w:tc>
          <w:tcPr>
            <w:tcW w:w="0" w:type="auto"/>
            <w:shd w:val="clear" w:color="auto" w:fill="auto"/>
          </w:tcPr>
          <w:p w14:paraId="0D8E0565" w14:textId="77777777" w:rsidR="004C2197" w:rsidRDefault="004C2197">
            <w:pPr>
              <w:rPr>
                <w:rFonts w:ascii="宋体"/>
              </w:rPr>
            </w:pPr>
          </w:p>
        </w:tc>
        <w:tc>
          <w:tcPr>
            <w:tcW w:w="0" w:type="auto"/>
            <w:shd w:val="clear" w:color="auto" w:fill="auto"/>
          </w:tcPr>
          <w:p w14:paraId="0D8E0566" w14:textId="77777777" w:rsidR="004C2197" w:rsidRDefault="004C2197">
            <w:pPr>
              <w:rPr>
                <w:rFonts w:ascii="宋体"/>
              </w:rPr>
            </w:pPr>
          </w:p>
        </w:tc>
        <w:tc>
          <w:tcPr>
            <w:tcW w:w="0" w:type="auto"/>
            <w:shd w:val="clear" w:color="auto" w:fill="auto"/>
          </w:tcPr>
          <w:p w14:paraId="0D8E0567" w14:textId="77777777" w:rsidR="004C2197" w:rsidRDefault="004C2197">
            <w:pPr>
              <w:rPr>
                <w:rFonts w:ascii="宋体"/>
              </w:rPr>
            </w:pPr>
          </w:p>
        </w:tc>
        <w:tc>
          <w:tcPr>
            <w:tcW w:w="0" w:type="auto"/>
            <w:shd w:val="clear" w:color="auto" w:fill="auto"/>
          </w:tcPr>
          <w:p w14:paraId="0D8E0568" w14:textId="77777777" w:rsidR="004C2197" w:rsidRDefault="004C2197">
            <w:pPr>
              <w:rPr>
                <w:rFonts w:ascii="宋体"/>
              </w:rPr>
            </w:pPr>
          </w:p>
        </w:tc>
      </w:tr>
      <w:tr w:rsidR="004C2197" w14:paraId="0D8E0588" w14:textId="77777777">
        <w:tc>
          <w:tcPr>
            <w:tcW w:w="0" w:type="auto"/>
            <w:gridSpan w:val="3"/>
            <w:shd w:val="clear" w:color="auto" w:fill="E2EFD9"/>
            <w:tcMar>
              <w:top w:w="40" w:type="dxa"/>
              <w:left w:w="20" w:type="dxa"/>
              <w:bottom w:w="40" w:type="dxa"/>
              <w:right w:w="20" w:type="dxa"/>
            </w:tcMar>
            <w:vAlign w:val="bottom"/>
          </w:tcPr>
          <w:p w14:paraId="0D8E056A" w14:textId="77777777" w:rsidR="004C2197" w:rsidRDefault="00863B83">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tcMar>
            <w:vAlign w:val="bottom"/>
          </w:tcPr>
          <w:p w14:paraId="0D8E056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6C" w14:textId="77777777" w:rsidR="004C2197" w:rsidRDefault="00863B83">
            <w:pPr>
              <w:jc w:val="right"/>
              <w:textAlignment w:val="bottom"/>
            </w:pPr>
            <w:r>
              <w:rPr>
                <w:rFonts w:ascii="sans-serif" w:eastAsia="sans-serif" w:hAnsi="sans-serif" w:cs="sans-serif"/>
                <w:color w:val="000000"/>
                <w:sz w:val="20"/>
                <w:szCs w:val="20"/>
              </w:rPr>
              <w:t>1,624 </w:t>
            </w:r>
          </w:p>
        </w:tc>
        <w:tc>
          <w:tcPr>
            <w:tcW w:w="0" w:type="auto"/>
            <w:shd w:val="clear" w:color="auto" w:fill="E2EFD9"/>
            <w:tcMar>
              <w:top w:w="40" w:type="dxa"/>
              <w:bottom w:w="40" w:type="dxa"/>
              <w:right w:w="20" w:type="dxa"/>
            </w:tcMar>
            <w:vAlign w:val="bottom"/>
          </w:tcPr>
          <w:p w14:paraId="0D8E056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6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6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70" w14:textId="77777777" w:rsidR="004C2197" w:rsidRDefault="00863B83">
            <w:pPr>
              <w:jc w:val="right"/>
              <w:textAlignment w:val="bottom"/>
            </w:pPr>
            <w:r>
              <w:rPr>
                <w:rFonts w:ascii="sans-serif" w:eastAsia="sans-serif" w:hAnsi="sans-serif" w:cs="sans-serif"/>
                <w:color w:val="000000"/>
                <w:sz w:val="20"/>
                <w:szCs w:val="20"/>
              </w:rPr>
              <w:t>1,028 </w:t>
            </w:r>
          </w:p>
        </w:tc>
        <w:tc>
          <w:tcPr>
            <w:tcW w:w="0" w:type="auto"/>
            <w:shd w:val="clear" w:color="auto" w:fill="E2EFD9"/>
            <w:tcMar>
              <w:top w:w="40" w:type="dxa"/>
              <w:bottom w:w="40" w:type="dxa"/>
              <w:right w:w="20" w:type="dxa"/>
            </w:tcMar>
            <w:vAlign w:val="bottom"/>
          </w:tcPr>
          <w:p w14:paraId="0D8E057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7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7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74" w14:textId="77777777" w:rsidR="004C2197" w:rsidRDefault="00863B83">
            <w:pPr>
              <w:jc w:val="right"/>
              <w:textAlignment w:val="bottom"/>
            </w:pPr>
            <w:r>
              <w:rPr>
                <w:rFonts w:ascii="sans-serif" w:eastAsia="sans-serif" w:hAnsi="sans-serif" w:cs="sans-serif"/>
                <w:color w:val="000000"/>
                <w:sz w:val="20"/>
                <w:szCs w:val="20"/>
              </w:rPr>
              <w:t>970 </w:t>
            </w:r>
          </w:p>
        </w:tc>
        <w:tc>
          <w:tcPr>
            <w:tcW w:w="0" w:type="auto"/>
            <w:shd w:val="clear" w:color="auto" w:fill="E2EFD9"/>
            <w:tcMar>
              <w:top w:w="40" w:type="dxa"/>
              <w:bottom w:w="40" w:type="dxa"/>
              <w:right w:w="20" w:type="dxa"/>
            </w:tcMar>
            <w:vAlign w:val="bottom"/>
          </w:tcPr>
          <w:p w14:paraId="0D8E057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7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77" w14:textId="77777777" w:rsidR="004C2197" w:rsidRDefault="00863B83">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bottom w:w="40" w:type="dxa"/>
              <w:right w:w="20" w:type="dxa"/>
            </w:tcMar>
            <w:vAlign w:val="bottom"/>
          </w:tcPr>
          <w:p w14:paraId="0D8E0578"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57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7A" w14:textId="77777777" w:rsidR="004C2197" w:rsidRDefault="00863B83">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bottom w:w="40" w:type="dxa"/>
              <w:right w:w="20" w:type="dxa"/>
            </w:tcMar>
            <w:vAlign w:val="bottom"/>
          </w:tcPr>
          <w:p w14:paraId="0D8E057B"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57C" w14:textId="77777777" w:rsidR="004C2197" w:rsidRDefault="004C2197">
            <w:pPr>
              <w:rPr>
                <w:rFonts w:ascii="宋体"/>
              </w:rPr>
            </w:pPr>
          </w:p>
        </w:tc>
        <w:tc>
          <w:tcPr>
            <w:tcW w:w="0" w:type="auto"/>
            <w:shd w:val="clear" w:color="auto" w:fill="auto"/>
          </w:tcPr>
          <w:p w14:paraId="0D8E057D" w14:textId="77777777" w:rsidR="004C2197" w:rsidRDefault="004C2197">
            <w:pPr>
              <w:rPr>
                <w:rFonts w:ascii="宋体"/>
              </w:rPr>
            </w:pPr>
          </w:p>
        </w:tc>
        <w:tc>
          <w:tcPr>
            <w:tcW w:w="0" w:type="auto"/>
            <w:shd w:val="clear" w:color="auto" w:fill="auto"/>
          </w:tcPr>
          <w:p w14:paraId="0D8E057E" w14:textId="77777777" w:rsidR="004C2197" w:rsidRDefault="004C2197">
            <w:pPr>
              <w:rPr>
                <w:rFonts w:ascii="宋体"/>
              </w:rPr>
            </w:pPr>
          </w:p>
        </w:tc>
        <w:tc>
          <w:tcPr>
            <w:tcW w:w="0" w:type="auto"/>
            <w:shd w:val="clear" w:color="auto" w:fill="auto"/>
          </w:tcPr>
          <w:p w14:paraId="0D8E057F" w14:textId="77777777" w:rsidR="004C2197" w:rsidRDefault="004C2197">
            <w:pPr>
              <w:rPr>
                <w:rFonts w:ascii="宋体"/>
              </w:rPr>
            </w:pPr>
          </w:p>
        </w:tc>
        <w:tc>
          <w:tcPr>
            <w:tcW w:w="0" w:type="auto"/>
            <w:shd w:val="clear" w:color="auto" w:fill="auto"/>
          </w:tcPr>
          <w:p w14:paraId="0D8E0580" w14:textId="77777777" w:rsidR="004C2197" w:rsidRDefault="004C2197">
            <w:pPr>
              <w:rPr>
                <w:rFonts w:ascii="宋体"/>
              </w:rPr>
            </w:pPr>
          </w:p>
        </w:tc>
        <w:tc>
          <w:tcPr>
            <w:tcW w:w="0" w:type="auto"/>
            <w:shd w:val="clear" w:color="auto" w:fill="auto"/>
          </w:tcPr>
          <w:p w14:paraId="0D8E0581" w14:textId="77777777" w:rsidR="004C2197" w:rsidRDefault="004C2197">
            <w:pPr>
              <w:rPr>
                <w:rFonts w:ascii="宋体"/>
              </w:rPr>
            </w:pPr>
          </w:p>
        </w:tc>
        <w:tc>
          <w:tcPr>
            <w:tcW w:w="0" w:type="auto"/>
            <w:shd w:val="clear" w:color="auto" w:fill="auto"/>
          </w:tcPr>
          <w:p w14:paraId="0D8E0582" w14:textId="77777777" w:rsidR="004C2197" w:rsidRDefault="004C2197">
            <w:pPr>
              <w:rPr>
                <w:rFonts w:ascii="宋体"/>
              </w:rPr>
            </w:pPr>
          </w:p>
        </w:tc>
        <w:tc>
          <w:tcPr>
            <w:tcW w:w="0" w:type="auto"/>
            <w:shd w:val="clear" w:color="auto" w:fill="auto"/>
          </w:tcPr>
          <w:p w14:paraId="0D8E0583" w14:textId="77777777" w:rsidR="004C2197" w:rsidRDefault="004C2197">
            <w:pPr>
              <w:rPr>
                <w:rFonts w:ascii="宋体"/>
              </w:rPr>
            </w:pPr>
          </w:p>
        </w:tc>
        <w:tc>
          <w:tcPr>
            <w:tcW w:w="0" w:type="auto"/>
            <w:shd w:val="clear" w:color="auto" w:fill="auto"/>
          </w:tcPr>
          <w:p w14:paraId="0D8E0584" w14:textId="77777777" w:rsidR="004C2197" w:rsidRDefault="004C2197">
            <w:pPr>
              <w:rPr>
                <w:rFonts w:ascii="宋体"/>
              </w:rPr>
            </w:pPr>
          </w:p>
        </w:tc>
        <w:tc>
          <w:tcPr>
            <w:tcW w:w="0" w:type="auto"/>
            <w:shd w:val="clear" w:color="auto" w:fill="auto"/>
          </w:tcPr>
          <w:p w14:paraId="0D8E0585" w14:textId="77777777" w:rsidR="004C2197" w:rsidRDefault="004C2197">
            <w:pPr>
              <w:rPr>
                <w:rFonts w:ascii="宋体"/>
              </w:rPr>
            </w:pPr>
          </w:p>
        </w:tc>
        <w:tc>
          <w:tcPr>
            <w:tcW w:w="0" w:type="auto"/>
            <w:shd w:val="clear" w:color="auto" w:fill="auto"/>
          </w:tcPr>
          <w:p w14:paraId="0D8E0586" w14:textId="77777777" w:rsidR="004C2197" w:rsidRDefault="004C2197">
            <w:pPr>
              <w:rPr>
                <w:rFonts w:ascii="宋体"/>
              </w:rPr>
            </w:pPr>
          </w:p>
        </w:tc>
        <w:tc>
          <w:tcPr>
            <w:tcW w:w="0" w:type="auto"/>
            <w:shd w:val="clear" w:color="auto" w:fill="auto"/>
          </w:tcPr>
          <w:p w14:paraId="0D8E0587" w14:textId="77777777" w:rsidR="004C2197" w:rsidRDefault="004C2197">
            <w:pPr>
              <w:rPr>
                <w:rFonts w:ascii="宋体"/>
              </w:rPr>
            </w:pPr>
          </w:p>
        </w:tc>
      </w:tr>
      <w:tr w:rsidR="004C2197" w14:paraId="0D8E05A7" w14:textId="77777777">
        <w:tc>
          <w:tcPr>
            <w:tcW w:w="0" w:type="auto"/>
            <w:gridSpan w:val="3"/>
            <w:shd w:val="clear" w:color="auto" w:fill="FFFFFF"/>
            <w:tcMar>
              <w:top w:w="40" w:type="dxa"/>
              <w:left w:w="20" w:type="dxa"/>
              <w:bottom w:w="40" w:type="dxa"/>
              <w:right w:w="20" w:type="dxa"/>
            </w:tcMar>
            <w:vAlign w:val="bottom"/>
          </w:tcPr>
          <w:p w14:paraId="0D8E0589" w14:textId="77777777" w:rsidR="004C2197" w:rsidRDefault="00863B83">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tcMar>
            <w:vAlign w:val="bottom"/>
          </w:tcPr>
          <w:p w14:paraId="0D8E058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8B" w14:textId="77777777" w:rsidR="004C2197" w:rsidRDefault="00863B83">
            <w:pPr>
              <w:jc w:val="right"/>
              <w:textAlignment w:val="bottom"/>
            </w:pPr>
            <w:r>
              <w:rPr>
                <w:rFonts w:ascii="sans-serif" w:eastAsia="sans-serif" w:hAnsi="sans-serif" w:cs="sans-serif"/>
                <w:color w:val="000000"/>
                <w:sz w:val="20"/>
                <w:szCs w:val="20"/>
              </w:rPr>
              <w:t>651 </w:t>
            </w:r>
          </w:p>
        </w:tc>
        <w:tc>
          <w:tcPr>
            <w:tcW w:w="0" w:type="auto"/>
            <w:shd w:val="clear" w:color="auto" w:fill="FFFFFF"/>
            <w:tcMar>
              <w:top w:w="40" w:type="dxa"/>
              <w:bottom w:w="40" w:type="dxa"/>
              <w:right w:w="20" w:type="dxa"/>
            </w:tcMar>
            <w:vAlign w:val="bottom"/>
          </w:tcPr>
          <w:p w14:paraId="0D8E058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8D"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58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8F" w14:textId="77777777" w:rsidR="004C2197" w:rsidRDefault="00863B83">
            <w:pPr>
              <w:jc w:val="right"/>
              <w:textAlignment w:val="bottom"/>
            </w:pPr>
            <w:r>
              <w:rPr>
                <w:rFonts w:ascii="sans-serif" w:eastAsia="sans-serif" w:hAnsi="sans-serif" w:cs="sans-serif"/>
                <w:color w:val="000000"/>
                <w:sz w:val="20"/>
                <w:szCs w:val="20"/>
              </w:rPr>
              <w:t>976 </w:t>
            </w:r>
          </w:p>
        </w:tc>
        <w:tc>
          <w:tcPr>
            <w:tcW w:w="0" w:type="auto"/>
            <w:shd w:val="clear" w:color="auto" w:fill="FFFFFF"/>
            <w:tcMar>
              <w:top w:w="40" w:type="dxa"/>
              <w:bottom w:w="40" w:type="dxa"/>
              <w:right w:w="20" w:type="dxa"/>
            </w:tcMar>
            <w:vAlign w:val="bottom"/>
          </w:tcPr>
          <w:p w14:paraId="0D8E0590"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91"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59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93" w14:textId="77777777" w:rsidR="004C2197" w:rsidRDefault="00863B83">
            <w:pPr>
              <w:jc w:val="right"/>
              <w:textAlignment w:val="bottom"/>
            </w:pPr>
            <w:r>
              <w:rPr>
                <w:rFonts w:ascii="sans-serif" w:eastAsia="sans-serif" w:hAnsi="sans-serif" w:cs="sans-serif"/>
                <w:color w:val="000000"/>
                <w:sz w:val="20"/>
                <w:szCs w:val="20"/>
              </w:rPr>
              <w:t>571 </w:t>
            </w:r>
          </w:p>
        </w:tc>
        <w:tc>
          <w:tcPr>
            <w:tcW w:w="0" w:type="auto"/>
            <w:shd w:val="clear" w:color="auto" w:fill="FFFFFF"/>
            <w:tcMar>
              <w:top w:w="40" w:type="dxa"/>
              <w:bottom w:w="40" w:type="dxa"/>
              <w:right w:w="20" w:type="dxa"/>
            </w:tcMar>
            <w:vAlign w:val="bottom"/>
          </w:tcPr>
          <w:p w14:paraId="0D8E059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9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596" w14:textId="77777777" w:rsidR="004C2197" w:rsidRDefault="00863B83">
            <w:pPr>
              <w:jc w:val="right"/>
              <w:textAlignment w:val="bottom"/>
            </w:pPr>
            <w:r>
              <w:rPr>
                <w:rFonts w:ascii="sans-serif" w:eastAsia="sans-serif" w:hAnsi="sans-serif" w:cs="sans-serif"/>
                <w:color w:val="000000"/>
                <w:sz w:val="20"/>
                <w:szCs w:val="20"/>
              </w:rPr>
              <w:t>(33)</w:t>
            </w:r>
          </w:p>
        </w:tc>
        <w:tc>
          <w:tcPr>
            <w:tcW w:w="0" w:type="auto"/>
            <w:shd w:val="clear" w:color="auto" w:fill="FFFFFF"/>
            <w:tcMar>
              <w:top w:w="40" w:type="dxa"/>
              <w:bottom w:w="40" w:type="dxa"/>
              <w:right w:w="20" w:type="dxa"/>
            </w:tcMar>
            <w:vAlign w:val="bottom"/>
          </w:tcPr>
          <w:p w14:paraId="0D8E0597"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59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599" w14:textId="77777777" w:rsidR="004C2197" w:rsidRDefault="00863B83">
            <w:pPr>
              <w:jc w:val="right"/>
              <w:textAlignment w:val="bottom"/>
            </w:pPr>
            <w:r>
              <w:rPr>
                <w:rFonts w:ascii="sans-serif" w:eastAsia="sans-serif" w:hAnsi="sans-serif" w:cs="sans-serif"/>
                <w:color w:val="000000"/>
                <w:sz w:val="20"/>
                <w:szCs w:val="20"/>
              </w:rPr>
              <w:t>14 </w:t>
            </w:r>
          </w:p>
        </w:tc>
        <w:tc>
          <w:tcPr>
            <w:tcW w:w="0" w:type="auto"/>
            <w:shd w:val="clear" w:color="auto" w:fill="FFFFFF"/>
            <w:tcMar>
              <w:top w:w="40" w:type="dxa"/>
              <w:bottom w:w="40" w:type="dxa"/>
              <w:right w:w="20" w:type="dxa"/>
            </w:tcMar>
            <w:vAlign w:val="bottom"/>
          </w:tcPr>
          <w:p w14:paraId="0D8E059A"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59B" w14:textId="77777777" w:rsidR="004C2197" w:rsidRDefault="004C2197">
            <w:pPr>
              <w:rPr>
                <w:rFonts w:ascii="宋体"/>
              </w:rPr>
            </w:pPr>
          </w:p>
        </w:tc>
        <w:tc>
          <w:tcPr>
            <w:tcW w:w="0" w:type="auto"/>
            <w:shd w:val="clear" w:color="auto" w:fill="auto"/>
          </w:tcPr>
          <w:p w14:paraId="0D8E059C" w14:textId="77777777" w:rsidR="004C2197" w:rsidRDefault="004C2197">
            <w:pPr>
              <w:rPr>
                <w:rFonts w:ascii="宋体"/>
              </w:rPr>
            </w:pPr>
          </w:p>
        </w:tc>
        <w:tc>
          <w:tcPr>
            <w:tcW w:w="0" w:type="auto"/>
            <w:shd w:val="clear" w:color="auto" w:fill="auto"/>
          </w:tcPr>
          <w:p w14:paraId="0D8E059D" w14:textId="77777777" w:rsidR="004C2197" w:rsidRDefault="004C2197">
            <w:pPr>
              <w:rPr>
                <w:rFonts w:ascii="宋体"/>
              </w:rPr>
            </w:pPr>
          </w:p>
        </w:tc>
        <w:tc>
          <w:tcPr>
            <w:tcW w:w="0" w:type="auto"/>
            <w:shd w:val="clear" w:color="auto" w:fill="auto"/>
          </w:tcPr>
          <w:p w14:paraId="0D8E059E" w14:textId="77777777" w:rsidR="004C2197" w:rsidRDefault="004C2197">
            <w:pPr>
              <w:rPr>
                <w:rFonts w:ascii="宋体"/>
              </w:rPr>
            </w:pPr>
          </w:p>
        </w:tc>
        <w:tc>
          <w:tcPr>
            <w:tcW w:w="0" w:type="auto"/>
            <w:shd w:val="clear" w:color="auto" w:fill="auto"/>
          </w:tcPr>
          <w:p w14:paraId="0D8E059F" w14:textId="77777777" w:rsidR="004C2197" w:rsidRDefault="004C2197">
            <w:pPr>
              <w:rPr>
                <w:rFonts w:ascii="宋体"/>
              </w:rPr>
            </w:pPr>
          </w:p>
        </w:tc>
        <w:tc>
          <w:tcPr>
            <w:tcW w:w="0" w:type="auto"/>
            <w:shd w:val="clear" w:color="auto" w:fill="auto"/>
          </w:tcPr>
          <w:p w14:paraId="0D8E05A0" w14:textId="77777777" w:rsidR="004C2197" w:rsidRDefault="004C2197">
            <w:pPr>
              <w:rPr>
                <w:rFonts w:ascii="宋体"/>
              </w:rPr>
            </w:pPr>
          </w:p>
        </w:tc>
        <w:tc>
          <w:tcPr>
            <w:tcW w:w="0" w:type="auto"/>
            <w:shd w:val="clear" w:color="auto" w:fill="auto"/>
          </w:tcPr>
          <w:p w14:paraId="0D8E05A1" w14:textId="77777777" w:rsidR="004C2197" w:rsidRDefault="004C2197">
            <w:pPr>
              <w:rPr>
                <w:rFonts w:ascii="宋体"/>
              </w:rPr>
            </w:pPr>
          </w:p>
        </w:tc>
        <w:tc>
          <w:tcPr>
            <w:tcW w:w="0" w:type="auto"/>
            <w:shd w:val="clear" w:color="auto" w:fill="auto"/>
          </w:tcPr>
          <w:p w14:paraId="0D8E05A2" w14:textId="77777777" w:rsidR="004C2197" w:rsidRDefault="004C2197">
            <w:pPr>
              <w:rPr>
                <w:rFonts w:ascii="宋体"/>
              </w:rPr>
            </w:pPr>
          </w:p>
        </w:tc>
        <w:tc>
          <w:tcPr>
            <w:tcW w:w="0" w:type="auto"/>
            <w:shd w:val="clear" w:color="auto" w:fill="auto"/>
          </w:tcPr>
          <w:p w14:paraId="0D8E05A3" w14:textId="77777777" w:rsidR="004C2197" w:rsidRDefault="004C2197">
            <w:pPr>
              <w:rPr>
                <w:rFonts w:ascii="宋体"/>
              </w:rPr>
            </w:pPr>
          </w:p>
        </w:tc>
        <w:tc>
          <w:tcPr>
            <w:tcW w:w="0" w:type="auto"/>
            <w:shd w:val="clear" w:color="auto" w:fill="auto"/>
          </w:tcPr>
          <w:p w14:paraId="0D8E05A4" w14:textId="77777777" w:rsidR="004C2197" w:rsidRDefault="004C2197">
            <w:pPr>
              <w:rPr>
                <w:rFonts w:ascii="宋体"/>
              </w:rPr>
            </w:pPr>
          </w:p>
        </w:tc>
        <w:tc>
          <w:tcPr>
            <w:tcW w:w="0" w:type="auto"/>
            <w:shd w:val="clear" w:color="auto" w:fill="auto"/>
          </w:tcPr>
          <w:p w14:paraId="0D8E05A5" w14:textId="77777777" w:rsidR="004C2197" w:rsidRDefault="004C2197">
            <w:pPr>
              <w:rPr>
                <w:rFonts w:ascii="宋体"/>
              </w:rPr>
            </w:pPr>
          </w:p>
        </w:tc>
        <w:tc>
          <w:tcPr>
            <w:tcW w:w="0" w:type="auto"/>
            <w:shd w:val="clear" w:color="auto" w:fill="auto"/>
          </w:tcPr>
          <w:p w14:paraId="0D8E05A6" w14:textId="77777777" w:rsidR="004C2197" w:rsidRDefault="004C2197">
            <w:pPr>
              <w:rPr>
                <w:rFonts w:ascii="宋体"/>
              </w:rPr>
            </w:pPr>
          </w:p>
        </w:tc>
      </w:tr>
      <w:tr w:rsidR="004C2197" w14:paraId="0D8E05C6" w14:textId="77777777">
        <w:tc>
          <w:tcPr>
            <w:tcW w:w="0" w:type="auto"/>
            <w:gridSpan w:val="3"/>
            <w:shd w:val="clear" w:color="auto" w:fill="E2EFD9"/>
            <w:tcMar>
              <w:top w:w="40" w:type="dxa"/>
              <w:left w:w="20" w:type="dxa"/>
              <w:bottom w:w="40" w:type="dxa"/>
              <w:right w:w="20" w:type="dxa"/>
            </w:tcMar>
            <w:vAlign w:val="bottom"/>
          </w:tcPr>
          <w:p w14:paraId="0D8E05A8" w14:textId="77777777" w:rsidR="004C2197" w:rsidRDefault="00863B83">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tcMar>
            <w:vAlign w:val="bottom"/>
          </w:tcPr>
          <w:p w14:paraId="0D8E05A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AA" w14:textId="77777777" w:rsidR="004C2197" w:rsidRDefault="00863B83">
            <w:pPr>
              <w:jc w:val="right"/>
              <w:textAlignment w:val="bottom"/>
            </w:pPr>
            <w:r>
              <w:rPr>
                <w:rFonts w:ascii="sans-serif" w:eastAsia="sans-serif" w:hAnsi="sans-serif" w:cs="sans-serif"/>
                <w:color w:val="000000"/>
                <w:sz w:val="20"/>
                <w:szCs w:val="20"/>
              </w:rPr>
              <w:t>622 </w:t>
            </w:r>
          </w:p>
        </w:tc>
        <w:tc>
          <w:tcPr>
            <w:tcW w:w="0" w:type="auto"/>
            <w:shd w:val="clear" w:color="auto" w:fill="E2EFD9"/>
            <w:tcMar>
              <w:top w:w="40" w:type="dxa"/>
              <w:bottom w:w="40" w:type="dxa"/>
              <w:right w:w="20" w:type="dxa"/>
            </w:tcMar>
            <w:vAlign w:val="bottom"/>
          </w:tcPr>
          <w:p w14:paraId="0D8E05A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AC"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A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AE" w14:textId="77777777" w:rsidR="004C2197" w:rsidRDefault="00863B83">
            <w:pPr>
              <w:jc w:val="right"/>
              <w:textAlignment w:val="bottom"/>
            </w:pPr>
            <w:r>
              <w:rPr>
                <w:rFonts w:ascii="sans-serif" w:eastAsia="sans-serif" w:hAnsi="sans-serif" w:cs="sans-serif"/>
                <w:color w:val="000000"/>
                <w:sz w:val="20"/>
                <w:szCs w:val="20"/>
              </w:rPr>
              <w:t>917 </w:t>
            </w:r>
          </w:p>
        </w:tc>
        <w:tc>
          <w:tcPr>
            <w:tcW w:w="0" w:type="auto"/>
            <w:shd w:val="clear" w:color="auto" w:fill="E2EFD9"/>
            <w:tcMar>
              <w:top w:w="40" w:type="dxa"/>
              <w:bottom w:w="40" w:type="dxa"/>
              <w:right w:w="20" w:type="dxa"/>
            </w:tcMar>
            <w:vAlign w:val="bottom"/>
          </w:tcPr>
          <w:p w14:paraId="0D8E05A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B0"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5B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5B2" w14:textId="77777777" w:rsidR="004C2197" w:rsidRDefault="00863B83">
            <w:pPr>
              <w:jc w:val="right"/>
              <w:textAlignment w:val="bottom"/>
            </w:pPr>
            <w:r>
              <w:rPr>
                <w:rFonts w:ascii="sans-serif" w:eastAsia="sans-serif" w:hAnsi="sans-serif" w:cs="sans-serif"/>
                <w:color w:val="000000"/>
                <w:sz w:val="20"/>
                <w:szCs w:val="20"/>
              </w:rPr>
              <w:t>552 </w:t>
            </w:r>
          </w:p>
        </w:tc>
        <w:tc>
          <w:tcPr>
            <w:tcW w:w="0" w:type="auto"/>
            <w:shd w:val="clear" w:color="auto" w:fill="E2EFD9"/>
            <w:tcMar>
              <w:top w:w="40" w:type="dxa"/>
              <w:bottom w:w="40" w:type="dxa"/>
              <w:right w:w="20" w:type="dxa"/>
            </w:tcMar>
            <w:vAlign w:val="bottom"/>
          </w:tcPr>
          <w:p w14:paraId="0D8E05B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5B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B5" w14:textId="77777777" w:rsidR="004C2197" w:rsidRDefault="00863B83">
            <w:pPr>
              <w:jc w:val="right"/>
              <w:textAlignment w:val="bottom"/>
            </w:pPr>
            <w:r>
              <w:rPr>
                <w:rFonts w:ascii="sans-serif" w:eastAsia="sans-serif" w:hAnsi="sans-serif" w:cs="sans-serif"/>
                <w:color w:val="000000"/>
                <w:sz w:val="20"/>
                <w:szCs w:val="20"/>
              </w:rPr>
              <w:t>(32)</w:t>
            </w:r>
          </w:p>
        </w:tc>
        <w:tc>
          <w:tcPr>
            <w:tcW w:w="0" w:type="auto"/>
            <w:shd w:val="clear" w:color="auto" w:fill="E2EFD9"/>
            <w:tcMar>
              <w:top w:w="40" w:type="dxa"/>
              <w:bottom w:w="40" w:type="dxa"/>
              <w:right w:w="20" w:type="dxa"/>
            </w:tcMar>
            <w:vAlign w:val="bottom"/>
          </w:tcPr>
          <w:p w14:paraId="0D8E05B6"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5B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5B8" w14:textId="77777777" w:rsidR="004C2197" w:rsidRDefault="00863B83">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bottom w:w="40" w:type="dxa"/>
              <w:right w:w="20" w:type="dxa"/>
            </w:tcMar>
            <w:vAlign w:val="bottom"/>
          </w:tcPr>
          <w:p w14:paraId="0D8E05B9"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5BA" w14:textId="77777777" w:rsidR="004C2197" w:rsidRDefault="004C2197">
            <w:pPr>
              <w:rPr>
                <w:rFonts w:ascii="宋体"/>
              </w:rPr>
            </w:pPr>
          </w:p>
        </w:tc>
        <w:tc>
          <w:tcPr>
            <w:tcW w:w="0" w:type="auto"/>
            <w:shd w:val="clear" w:color="auto" w:fill="auto"/>
          </w:tcPr>
          <w:p w14:paraId="0D8E05BB" w14:textId="77777777" w:rsidR="004C2197" w:rsidRDefault="004C2197">
            <w:pPr>
              <w:rPr>
                <w:rFonts w:ascii="宋体"/>
              </w:rPr>
            </w:pPr>
          </w:p>
        </w:tc>
        <w:tc>
          <w:tcPr>
            <w:tcW w:w="0" w:type="auto"/>
            <w:shd w:val="clear" w:color="auto" w:fill="auto"/>
          </w:tcPr>
          <w:p w14:paraId="0D8E05BC" w14:textId="77777777" w:rsidR="004C2197" w:rsidRDefault="004C2197">
            <w:pPr>
              <w:rPr>
                <w:rFonts w:ascii="宋体"/>
              </w:rPr>
            </w:pPr>
          </w:p>
        </w:tc>
        <w:tc>
          <w:tcPr>
            <w:tcW w:w="0" w:type="auto"/>
            <w:shd w:val="clear" w:color="auto" w:fill="auto"/>
          </w:tcPr>
          <w:p w14:paraId="0D8E05BD" w14:textId="77777777" w:rsidR="004C2197" w:rsidRDefault="004C2197">
            <w:pPr>
              <w:rPr>
                <w:rFonts w:ascii="宋体"/>
              </w:rPr>
            </w:pPr>
          </w:p>
        </w:tc>
        <w:tc>
          <w:tcPr>
            <w:tcW w:w="0" w:type="auto"/>
            <w:shd w:val="clear" w:color="auto" w:fill="auto"/>
          </w:tcPr>
          <w:p w14:paraId="0D8E05BE" w14:textId="77777777" w:rsidR="004C2197" w:rsidRDefault="004C2197">
            <w:pPr>
              <w:rPr>
                <w:rFonts w:ascii="宋体"/>
              </w:rPr>
            </w:pPr>
          </w:p>
        </w:tc>
        <w:tc>
          <w:tcPr>
            <w:tcW w:w="0" w:type="auto"/>
            <w:shd w:val="clear" w:color="auto" w:fill="auto"/>
          </w:tcPr>
          <w:p w14:paraId="0D8E05BF" w14:textId="77777777" w:rsidR="004C2197" w:rsidRDefault="004C2197">
            <w:pPr>
              <w:rPr>
                <w:rFonts w:ascii="宋体"/>
              </w:rPr>
            </w:pPr>
          </w:p>
        </w:tc>
        <w:tc>
          <w:tcPr>
            <w:tcW w:w="0" w:type="auto"/>
            <w:shd w:val="clear" w:color="auto" w:fill="auto"/>
          </w:tcPr>
          <w:p w14:paraId="0D8E05C0" w14:textId="77777777" w:rsidR="004C2197" w:rsidRDefault="004C2197">
            <w:pPr>
              <w:rPr>
                <w:rFonts w:ascii="宋体"/>
              </w:rPr>
            </w:pPr>
          </w:p>
        </w:tc>
        <w:tc>
          <w:tcPr>
            <w:tcW w:w="0" w:type="auto"/>
            <w:shd w:val="clear" w:color="auto" w:fill="auto"/>
          </w:tcPr>
          <w:p w14:paraId="0D8E05C1" w14:textId="77777777" w:rsidR="004C2197" w:rsidRDefault="004C2197">
            <w:pPr>
              <w:rPr>
                <w:rFonts w:ascii="宋体"/>
              </w:rPr>
            </w:pPr>
          </w:p>
        </w:tc>
        <w:tc>
          <w:tcPr>
            <w:tcW w:w="0" w:type="auto"/>
            <w:shd w:val="clear" w:color="auto" w:fill="auto"/>
          </w:tcPr>
          <w:p w14:paraId="0D8E05C2" w14:textId="77777777" w:rsidR="004C2197" w:rsidRDefault="004C2197">
            <w:pPr>
              <w:rPr>
                <w:rFonts w:ascii="宋体"/>
              </w:rPr>
            </w:pPr>
          </w:p>
        </w:tc>
        <w:tc>
          <w:tcPr>
            <w:tcW w:w="0" w:type="auto"/>
            <w:shd w:val="clear" w:color="auto" w:fill="auto"/>
          </w:tcPr>
          <w:p w14:paraId="0D8E05C3" w14:textId="77777777" w:rsidR="004C2197" w:rsidRDefault="004C2197">
            <w:pPr>
              <w:rPr>
                <w:rFonts w:ascii="宋体"/>
              </w:rPr>
            </w:pPr>
          </w:p>
        </w:tc>
        <w:tc>
          <w:tcPr>
            <w:tcW w:w="0" w:type="auto"/>
            <w:shd w:val="clear" w:color="auto" w:fill="auto"/>
          </w:tcPr>
          <w:p w14:paraId="0D8E05C4" w14:textId="77777777" w:rsidR="004C2197" w:rsidRDefault="004C2197">
            <w:pPr>
              <w:rPr>
                <w:rFonts w:ascii="宋体"/>
              </w:rPr>
            </w:pPr>
          </w:p>
        </w:tc>
        <w:tc>
          <w:tcPr>
            <w:tcW w:w="0" w:type="auto"/>
            <w:shd w:val="clear" w:color="auto" w:fill="auto"/>
          </w:tcPr>
          <w:p w14:paraId="0D8E05C5" w14:textId="77777777" w:rsidR="004C2197" w:rsidRDefault="004C2197">
            <w:pPr>
              <w:rPr>
                <w:rFonts w:ascii="宋体"/>
              </w:rPr>
            </w:pPr>
          </w:p>
        </w:tc>
      </w:tr>
      <w:tr w:rsidR="004C2197" w14:paraId="0D8E05E5" w14:textId="77777777">
        <w:tc>
          <w:tcPr>
            <w:tcW w:w="0" w:type="auto"/>
            <w:gridSpan w:val="3"/>
            <w:shd w:val="clear" w:color="auto" w:fill="FFFFFF"/>
            <w:tcMar>
              <w:top w:w="40" w:type="dxa"/>
              <w:left w:w="20" w:type="dxa"/>
              <w:bottom w:w="40" w:type="dxa"/>
              <w:right w:w="20" w:type="dxa"/>
            </w:tcMar>
            <w:vAlign w:val="bottom"/>
          </w:tcPr>
          <w:p w14:paraId="0D8E05C7" w14:textId="77777777" w:rsidR="004C2197" w:rsidRDefault="00863B83">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tcMar>
            <w:vAlign w:val="bottom"/>
          </w:tcPr>
          <w:p w14:paraId="0D8E05C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C9" w14:textId="77777777" w:rsidR="004C2197" w:rsidRDefault="00863B83">
            <w:pPr>
              <w:jc w:val="right"/>
              <w:textAlignment w:val="bottom"/>
            </w:pPr>
            <w:r>
              <w:rPr>
                <w:rFonts w:ascii="sans-serif" w:eastAsia="sans-serif" w:hAnsi="sans-serif" w:cs="sans-serif"/>
                <w:color w:val="000000"/>
                <w:sz w:val="20"/>
                <w:szCs w:val="20"/>
              </w:rPr>
              <w:t>0.99 </w:t>
            </w:r>
          </w:p>
        </w:tc>
        <w:tc>
          <w:tcPr>
            <w:tcW w:w="0" w:type="auto"/>
            <w:shd w:val="clear" w:color="auto" w:fill="FFFFFF"/>
            <w:tcMar>
              <w:top w:w="40" w:type="dxa"/>
              <w:bottom w:w="40" w:type="dxa"/>
              <w:right w:w="20" w:type="dxa"/>
            </w:tcMar>
            <w:vAlign w:val="bottom"/>
          </w:tcPr>
          <w:p w14:paraId="0D8E05CA"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CB"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5C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CD" w14:textId="77777777" w:rsidR="004C2197" w:rsidRDefault="00863B83">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bottom w:w="40" w:type="dxa"/>
              <w:right w:w="20" w:type="dxa"/>
            </w:tcMar>
            <w:vAlign w:val="bottom"/>
          </w:tcPr>
          <w:p w14:paraId="0D8E05C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CF"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5D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5D1" w14:textId="77777777" w:rsidR="004C2197" w:rsidRDefault="00863B83">
            <w:pPr>
              <w:jc w:val="right"/>
              <w:textAlignment w:val="bottom"/>
            </w:pPr>
            <w:r>
              <w:rPr>
                <w:rFonts w:ascii="sans-serif" w:eastAsia="sans-serif" w:hAnsi="sans-serif" w:cs="sans-serif"/>
                <w:color w:val="000000"/>
                <w:sz w:val="20"/>
                <w:szCs w:val="20"/>
              </w:rPr>
              <w:t>0.90 </w:t>
            </w:r>
          </w:p>
        </w:tc>
        <w:tc>
          <w:tcPr>
            <w:tcW w:w="0" w:type="auto"/>
            <w:shd w:val="clear" w:color="auto" w:fill="FFFFFF"/>
            <w:tcMar>
              <w:top w:w="40" w:type="dxa"/>
              <w:bottom w:w="40" w:type="dxa"/>
              <w:right w:w="20" w:type="dxa"/>
            </w:tcMar>
            <w:vAlign w:val="bottom"/>
          </w:tcPr>
          <w:p w14:paraId="0D8E05D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5D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5D4" w14:textId="77777777" w:rsidR="004C2197" w:rsidRDefault="00863B83">
            <w:pPr>
              <w:jc w:val="right"/>
              <w:textAlignment w:val="bottom"/>
            </w:pPr>
            <w:r>
              <w:rPr>
                <w:rFonts w:ascii="sans-serif" w:eastAsia="sans-serif" w:hAnsi="sans-serif" w:cs="sans-serif"/>
                <w:color w:val="000000"/>
                <w:sz w:val="20"/>
                <w:szCs w:val="20"/>
              </w:rPr>
              <w:t>(33)</w:t>
            </w:r>
          </w:p>
        </w:tc>
        <w:tc>
          <w:tcPr>
            <w:tcW w:w="0" w:type="auto"/>
            <w:shd w:val="clear" w:color="auto" w:fill="FFFFFF"/>
            <w:tcMar>
              <w:top w:w="40" w:type="dxa"/>
              <w:bottom w:w="40" w:type="dxa"/>
              <w:right w:w="20" w:type="dxa"/>
            </w:tcMar>
            <w:vAlign w:val="bottom"/>
          </w:tcPr>
          <w:p w14:paraId="0D8E05D5"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5D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5D7" w14:textId="77777777" w:rsidR="004C2197" w:rsidRDefault="00863B83">
            <w:pPr>
              <w:jc w:val="right"/>
              <w:textAlignment w:val="bottom"/>
            </w:pPr>
            <w:r>
              <w:rPr>
                <w:rFonts w:ascii="sans-serif" w:eastAsia="sans-serif" w:hAnsi="sans-serif" w:cs="sans-serif"/>
                <w:color w:val="000000"/>
                <w:sz w:val="20"/>
                <w:szCs w:val="20"/>
              </w:rPr>
              <w:t>10 </w:t>
            </w:r>
          </w:p>
        </w:tc>
        <w:tc>
          <w:tcPr>
            <w:tcW w:w="0" w:type="auto"/>
            <w:shd w:val="clear" w:color="auto" w:fill="FFFFFF"/>
            <w:tcMar>
              <w:top w:w="40" w:type="dxa"/>
              <w:bottom w:w="40" w:type="dxa"/>
              <w:right w:w="20" w:type="dxa"/>
            </w:tcMar>
            <w:vAlign w:val="bottom"/>
          </w:tcPr>
          <w:p w14:paraId="0D8E05D8"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5D9" w14:textId="77777777" w:rsidR="004C2197" w:rsidRDefault="004C2197">
            <w:pPr>
              <w:rPr>
                <w:rFonts w:ascii="宋体"/>
              </w:rPr>
            </w:pPr>
          </w:p>
        </w:tc>
        <w:tc>
          <w:tcPr>
            <w:tcW w:w="0" w:type="auto"/>
            <w:shd w:val="clear" w:color="auto" w:fill="auto"/>
          </w:tcPr>
          <w:p w14:paraId="0D8E05DA" w14:textId="77777777" w:rsidR="004C2197" w:rsidRDefault="004C2197">
            <w:pPr>
              <w:rPr>
                <w:rFonts w:ascii="宋体"/>
              </w:rPr>
            </w:pPr>
          </w:p>
        </w:tc>
        <w:tc>
          <w:tcPr>
            <w:tcW w:w="0" w:type="auto"/>
            <w:shd w:val="clear" w:color="auto" w:fill="auto"/>
          </w:tcPr>
          <w:p w14:paraId="0D8E05DB" w14:textId="77777777" w:rsidR="004C2197" w:rsidRDefault="004C2197">
            <w:pPr>
              <w:rPr>
                <w:rFonts w:ascii="宋体"/>
              </w:rPr>
            </w:pPr>
          </w:p>
        </w:tc>
        <w:tc>
          <w:tcPr>
            <w:tcW w:w="0" w:type="auto"/>
            <w:shd w:val="clear" w:color="auto" w:fill="auto"/>
          </w:tcPr>
          <w:p w14:paraId="0D8E05DC" w14:textId="77777777" w:rsidR="004C2197" w:rsidRDefault="004C2197">
            <w:pPr>
              <w:rPr>
                <w:rFonts w:ascii="宋体"/>
              </w:rPr>
            </w:pPr>
          </w:p>
        </w:tc>
        <w:tc>
          <w:tcPr>
            <w:tcW w:w="0" w:type="auto"/>
            <w:shd w:val="clear" w:color="auto" w:fill="auto"/>
          </w:tcPr>
          <w:p w14:paraId="0D8E05DD" w14:textId="77777777" w:rsidR="004C2197" w:rsidRDefault="004C2197">
            <w:pPr>
              <w:rPr>
                <w:rFonts w:ascii="宋体"/>
              </w:rPr>
            </w:pPr>
          </w:p>
        </w:tc>
        <w:tc>
          <w:tcPr>
            <w:tcW w:w="0" w:type="auto"/>
            <w:shd w:val="clear" w:color="auto" w:fill="auto"/>
          </w:tcPr>
          <w:p w14:paraId="0D8E05DE" w14:textId="77777777" w:rsidR="004C2197" w:rsidRDefault="004C2197">
            <w:pPr>
              <w:rPr>
                <w:rFonts w:ascii="宋体"/>
              </w:rPr>
            </w:pPr>
          </w:p>
        </w:tc>
        <w:tc>
          <w:tcPr>
            <w:tcW w:w="0" w:type="auto"/>
            <w:shd w:val="clear" w:color="auto" w:fill="auto"/>
          </w:tcPr>
          <w:p w14:paraId="0D8E05DF" w14:textId="77777777" w:rsidR="004C2197" w:rsidRDefault="004C2197">
            <w:pPr>
              <w:rPr>
                <w:rFonts w:ascii="宋体"/>
              </w:rPr>
            </w:pPr>
          </w:p>
        </w:tc>
        <w:tc>
          <w:tcPr>
            <w:tcW w:w="0" w:type="auto"/>
            <w:shd w:val="clear" w:color="auto" w:fill="auto"/>
          </w:tcPr>
          <w:p w14:paraId="0D8E05E0" w14:textId="77777777" w:rsidR="004C2197" w:rsidRDefault="004C2197">
            <w:pPr>
              <w:rPr>
                <w:rFonts w:ascii="宋体"/>
              </w:rPr>
            </w:pPr>
          </w:p>
        </w:tc>
        <w:tc>
          <w:tcPr>
            <w:tcW w:w="0" w:type="auto"/>
            <w:shd w:val="clear" w:color="auto" w:fill="auto"/>
          </w:tcPr>
          <w:p w14:paraId="0D8E05E1" w14:textId="77777777" w:rsidR="004C2197" w:rsidRDefault="004C2197">
            <w:pPr>
              <w:rPr>
                <w:rFonts w:ascii="宋体"/>
              </w:rPr>
            </w:pPr>
          </w:p>
        </w:tc>
        <w:tc>
          <w:tcPr>
            <w:tcW w:w="0" w:type="auto"/>
            <w:shd w:val="clear" w:color="auto" w:fill="auto"/>
          </w:tcPr>
          <w:p w14:paraId="0D8E05E2" w14:textId="77777777" w:rsidR="004C2197" w:rsidRDefault="004C2197">
            <w:pPr>
              <w:rPr>
                <w:rFonts w:ascii="宋体"/>
              </w:rPr>
            </w:pPr>
          </w:p>
        </w:tc>
        <w:tc>
          <w:tcPr>
            <w:tcW w:w="0" w:type="auto"/>
            <w:shd w:val="clear" w:color="auto" w:fill="auto"/>
          </w:tcPr>
          <w:p w14:paraId="0D8E05E3" w14:textId="77777777" w:rsidR="004C2197" w:rsidRDefault="004C2197">
            <w:pPr>
              <w:rPr>
                <w:rFonts w:ascii="宋体"/>
              </w:rPr>
            </w:pPr>
          </w:p>
        </w:tc>
        <w:tc>
          <w:tcPr>
            <w:tcW w:w="0" w:type="auto"/>
            <w:shd w:val="clear" w:color="auto" w:fill="auto"/>
          </w:tcPr>
          <w:p w14:paraId="0D8E05E4" w14:textId="77777777" w:rsidR="004C2197" w:rsidRDefault="004C2197">
            <w:pPr>
              <w:rPr>
                <w:rFonts w:ascii="宋体"/>
              </w:rPr>
            </w:pPr>
          </w:p>
        </w:tc>
      </w:tr>
    </w:tbl>
    <w:p w14:paraId="0D8E05E6" w14:textId="77777777" w:rsidR="004C2197" w:rsidRDefault="00863B83">
      <w:pPr>
        <w:spacing w:after="180"/>
        <w:jc w:val="both"/>
      </w:pPr>
      <w:r>
        <w:rPr>
          <w:rFonts w:ascii="sans-serif" w:eastAsia="sans-serif" w:hAnsi="sans-serif" w:cs="sans-serif"/>
          <w:color w:val="000000"/>
          <w:sz w:val="20"/>
          <w:szCs w:val="20"/>
        </w:rPr>
        <w:t>Revenue for the second quarter of fiscal year 2021 was $3.87 billion, up 50% from a year earlier and up 26% seque</w:t>
      </w:r>
      <w:r>
        <w:rPr>
          <w:rFonts w:ascii="sans-serif" w:eastAsia="sans-serif" w:hAnsi="sans-serif" w:cs="sans-serif"/>
          <w:color w:val="000000"/>
          <w:sz w:val="20"/>
          <w:szCs w:val="20"/>
        </w:rPr>
        <w:t>ntially. Results for the second quarter include the acquisition of Mellanox on April 27, 2020, the first day of the quarter. Mellanox contributed approximately 14% of total company revenue.</w:t>
      </w:r>
    </w:p>
    <w:p w14:paraId="0D8E05E7" w14:textId="77777777" w:rsidR="004C2197" w:rsidRDefault="00863B83">
      <w:pPr>
        <w:spacing w:after="180"/>
        <w:jc w:val="both"/>
      </w:pPr>
      <w:r>
        <w:rPr>
          <w:rFonts w:ascii="sans-serif" w:eastAsia="sans-serif" w:hAnsi="sans-serif" w:cs="sans-serif"/>
          <w:color w:val="000000"/>
          <w:sz w:val="20"/>
          <w:szCs w:val="20"/>
        </w:rPr>
        <w:t>Graphics segment revenue for the second quarter was $2.09 billion,</w:t>
      </w:r>
      <w:r>
        <w:rPr>
          <w:rFonts w:ascii="sans-serif" w:eastAsia="sans-serif" w:hAnsi="sans-serif" w:cs="sans-serif"/>
          <w:color w:val="000000"/>
          <w:sz w:val="20"/>
          <w:szCs w:val="20"/>
        </w:rPr>
        <w:t xml:space="preserve"> up 16% from a year earlier and up 9% sequentially.</w:t>
      </w:r>
    </w:p>
    <w:p w14:paraId="0D8E05E8" w14:textId="77777777" w:rsidR="004C2197" w:rsidRDefault="00863B83">
      <w:pPr>
        <w:spacing w:after="180"/>
        <w:jc w:val="both"/>
      </w:pPr>
      <w:r>
        <w:rPr>
          <w:rFonts w:ascii="sans-serif" w:eastAsia="sans-serif" w:hAnsi="sans-serif" w:cs="sans-serif"/>
          <w:color w:val="000000"/>
          <w:sz w:val="20"/>
          <w:szCs w:val="20"/>
        </w:rPr>
        <w:t>Compute &amp; Networking segment revenue, which includes Mellanox, was $1.78 billion, up 130% from a year ago and up 52% sequentially.</w:t>
      </w:r>
    </w:p>
    <w:p w14:paraId="0D8E05E9" w14:textId="77777777" w:rsidR="004C2197" w:rsidRDefault="00863B83">
      <w:pPr>
        <w:spacing w:after="180"/>
        <w:jc w:val="both"/>
      </w:pPr>
      <w:r>
        <w:rPr>
          <w:rFonts w:ascii="sans-serif" w:eastAsia="sans-serif" w:hAnsi="sans-serif" w:cs="sans-serif"/>
          <w:color w:val="000000"/>
          <w:sz w:val="20"/>
          <w:szCs w:val="20"/>
        </w:rPr>
        <w:t xml:space="preserve">From a market-platform perspective, Gaming revenue was $1.65 billion, up </w:t>
      </w:r>
      <w:r>
        <w:rPr>
          <w:rFonts w:ascii="sans-serif" w:eastAsia="sans-serif" w:hAnsi="sans-serif" w:cs="sans-serif"/>
          <w:color w:val="000000"/>
          <w:sz w:val="20"/>
          <w:szCs w:val="20"/>
        </w:rPr>
        <w:t>26% from a year ago and up 24% sequentially. The year-on-year increase reflects higher sales of gaming GPUs. The sequential increase reflects higher sales from gaming GPUs and game console SOCs.</w:t>
      </w:r>
    </w:p>
    <w:p w14:paraId="0D8E05EA" w14:textId="77777777" w:rsidR="004C2197" w:rsidRDefault="00863B83">
      <w:pPr>
        <w:spacing w:after="180"/>
        <w:jc w:val="both"/>
      </w:pPr>
      <w:r>
        <w:rPr>
          <w:rFonts w:ascii="sans-serif" w:eastAsia="sans-serif" w:hAnsi="sans-serif" w:cs="sans-serif"/>
          <w:color w:val="000000"/>
          <w:sz w:val="20"/>
          <w:szCs w:val="20"/>
        </w:rPr>
        <w:t>Professional Visualization revenue was $203 million, down 30%</w:t>
      </w:r>
      <w:r>
        <w:rPr>
          <w:rFonts w:ascii="sans-serif" w:eastAsia="sans-serif" w:hAnsi="sans-serif" w:cs="sans-serif"/>
          <w:color w:val="000000"/>
          <w:sz w:val="20"/>
          <w:szCs w:val="20"/>
        </w:rPr>
        <w:t xml:space="preserve"> from a year earlier and down 34% sequentially.</w:t>
      </w:r>
    </w:p>
    <w:p w14:paraId="0D8E05EB" w14:textId="77777777" w:rsidR="004C2197" w:rsidRDefault="00863B83">
      <w:pPr>
        <w:spacing w:after="180"/>
        <w:jc w:val="both"/>
      </w:pPr>
      <w:r>
        <w:rPr>
          <w:rFonts w:ascii="sans-serif" w:eastAsia="sans-serif" w:hAnsi="sans-serif" w:cs="sans-serif"/>
          <w:color w:val="000000"/>
          <w:sz w:val="20"/>
          <w:szCs w:val="20"/>
        </w:rPr>
        <w:t>Data Center revenue, which includes Mellanox, was $1.75 billion, up 167% from a year ago and up 54% sequentially. Mellanox contributed approximately 14% of total company revenue and just over 30% of Data Cent</w:t>
      </w:r>
      <w:r>
        <w:rPr>
          <w:rFonts w:ascii="sans-serif" w:eastAsia="sans-serif" w:hAnsi="sans-serif" w:cs="sans-serif"/>
          <w:color w:val="000000"/>
          <w:sz w:val="20"/>
          <w:szCs w:val="20"/>
        </w:rPr>
        <w:t>er revenue for the second quarter. In addition to Mellanox, the year-on-year and sequential increases were driven by the ramp of Ampere GPU architecture products.</w:t>
      </w:r>
    </w:p>
    <w:p w14:paraId="0D8E05EC" w14:textId="77777777" w:rsidR="004C2197" w:rsidRDefault="00863B83">
      <w:pPr>
        <w:spacing w:after="180"/>
        <w:jc w:val="both"/>
      </w:pPr>
      <w:r>
        <w:rPr>
          <w:rFonts w:ascii="sans-serif" w:eastAsia="sans-serif" w:hAnsi="sans-serif" w:cs="sans-serif"/>
          <w:color w:val="000000"/>
          <w:sz w:val="20"/>
          <w:szCs w:val="20"/>
        </w:rPr>
        <w:t>Automotive revenue was $111 million, down 47% from a year earlier and down 28% sequentially.</w:t>
      </w:r>
    </w:p>
    <w:p w14:paraId="0D8E05ED" w14:textId="77777777" w:rsidR="004C2197" w:rsidRDefault="00863B83">
      <w:pPr>
        <w:spacing w:after="180"/>
        <w:jc w:val="both"/>
      </w:pPr>
      <w:r>
        <w:rPr>
          <w:rFonts w:ascii="sans-serif" w:eastAsia="sans-serif" w:hAnsi="sans-serif" w:cs="sans-serif"/>
          <w:color w:val="000000"/>
          <w:sz w:val="20"/>
          <w:szCs w:val="20"/>
        </w:rPr>
        <w:t>OEM and Other revenue was $146 million, up 32% from a year ago and up 6% sequentially, primarily due to higher demand for entry-level laptop GPUs.</w:t>
      </w:r>
    </w:p>
    <w:p w14:paraId="0D8E05EE" w14:textId="77777777" w:rsidR="004C2197" w:rsidRDefault="00863B83">
      <w:pPr>
        <w:spacing w:after="180"/>
        <w:jc w:val="center"/>
      </w:pPr>
      <w:r>
        <w:rPr>
          <w:rFonts w:ascii="sans-serif" w:eastAsia="sans-serif" w:hAnsi="sans-serif" w:cs="sans-serif"/>
          <w:color w:val="000000"/>
          <w:sz w:val="20"/>
          <w:szCs w:val="20"/>
        </w:rPr>
        <w:t>28</w:t>
      </w:r>
    </w:p>
    <w:p w14:paraId="0D8E05EF" w14:textId="77777777" w:rsidR="004C2197" w:rsidRDefault="00863B83">
      <w:r>
        <w:pict w14:anchorId="0D8E0CC0">
          <v:rect id="_x0000_i1052" style="width:415.3pt;height:1.5pt" o:hralign="center" o:hrstd="t" o:hr="t" fillcolor="#a0a0a0" stroked="f"/>
        </w:pict>
      </w:r>
    </w:p>
    <w:p w14:paraId="0D8E05F0" w14:textId="77777777" w:rsidR="004C2197" w:rsidRDefault="004C2197">
      <w:pPr>
        <w:spacing w:after="180"/>
        <w:jc w:val="both"/>
      </w:pPr>
    </w:p>
    <w:p w14:paraId="0D8E05F1" w14:textId="77777777" w:rsidR="004C2197" w:rsidRDefault="004C2197">
      <w:pPr>
        <w:spacing w:after="180"/>
        <w:jc w:val="both"/>
      </w:pPr>
    </w:p>
    <w:p w14:paraId="0D8E05F2" w14:textId="77777777" w:rsidR="004C2197" w:rsidRDefault="004C2197">
      <w:pPr>
        <w:spacing w:after="180"/>
        <w:jc w:val="both"/>
      </w:pPr>
    </w:p>
    <w:p w14:paraId="0D8E05F3" w14:textId="77777777" w:rsidR="004C2197" w:rsidRDefault="00863B83">
      <w:pPr>
        <w:spacing w:after="180"/>
        <w:jc w:val="both"/>
      </w:pPr>
      <w:r>
        <w:rPr>
          <w:rFonts w:ascii="sans-serif" w:eastAsia="sans-serif" w:hAnsi="sans-serif" w:cs="sans-serif"/>
          <w:color w:val="000000"/>
          <w:sz w:val="20"/>
          <w:szCs w:val="20"/>
        </w:rPr>
        <w:t xml:space="preserve">Gross margin for the second quarter of fiscal year 2021 was 58.8%, down 100 basis points from a year </w:t>
      </w:r>
      <w:r>
        <w:rPr>
          <w:rFonts w:ascii="sans-serif" w:eastAsia="sans-serif" w:hAnsi="sans-serif" w:cs="sans-serif"/>
          <w:color w:val="000000"/>
          <w:sz w:val="20"/>
          <w:szCs w:val="20"/>
        </w:rPr>
        <w:t>earlier and down 630 basis points sequentially, reflecting charges related to the Mellanox acquisition. These include a non-recurring inventory step-up expense of $161 million and intangible asset amortization of $84 million that is expected to be recurrin</w:t>
      </w:r>
      <w:r>
        <w:rPr>
          <w:rFonts w:ascii="sans-serif" w:eastAsia="sans-serif" w:hAnsi="sans-serif" w:cs="sans-serif"/>
          <w:color w:val="000000"/>
          <w:sz w:val="20"/>
          <w:szCs w:val="20"/>
        </w:rPr>
        <w:t xml:space="preserve">g. </w:t>
      </w:r>
    </w:p>
    <w:p w14:paraId="0D8E05F4" w14:textId="77777777" w:rsidR="004C2197" w:rsidRDefault="00863B83">
      <w:pPr>
        <w:spacing w:after="180"/>
        <w:jc w:val="both"/>
      </w:pPr>
      <w:r>
        <w:rPr>
          <w:rFonts w:ascii="sans-serif" w:eastAsia="sans-serif" w:hAnsi="sans-serif" w:cs="sans-serif"/>
          <w:color w:val="000000"/>
          <w:sz w:val="20"/>
          <w:szCs w:val="20"/>
        </w:rPr>
        <w:t xml:space="preserve">Operating expenses for the second quarter of fiscal year 2021 were $1.62 billion, up 67% from a year earlier and up 58% sequentially, primarily driven by our Mellanox acquisition, as well as hiring additional employees. </w:t>
      </w:r>
    </w:p>
    <w:p w14:paraId="0D8E05F5" w14:textId="77777777" w:rsidR="004C2197" w:rsidRDefault="00863B83">
      <w:pPr>
        <w:spacing w:after="180"/>
        <w:jc w:val="both"/>
      </w:pPr>
      <w:r>
        <w:rPr>
          <w:rFonts w:ascii="sans-serif" w:eastAsia="sans-serif" w:hAnsi="sans-serif" w:cs="sans-serif"/>
          <w:color w:val="000000"/>
          <w:sz w:val="20"/>
          <w:szCs w:val="20"/>
        </w:rPr>
        <w:t xml:space="preserve">Income from operations for the </w:t>
      </w:r>
      <w:r>
        <w:rPr>
          <w:rFonts w:ascii="sans-serif" w:eastAsia="sans-serif" w:hAnsi="sans-serif" w:cs="sans-serif"/>
          <w:color w:val="000000"/>
          <w:sz w:val="20"/>
          <w:szCs w:val="20"/>
        </w:rPr>
        <w:t>second quarter of fiscal year 2021 was $651 million, up 14% from a year earlier and down 33% sequentially. Net income for the second quarter of fiscal year 2021 was $622 million. Net income per diluted share for the second quarter of fiscal year 2021 was $</w:t>
      </w:r>
      <w:r>
        <w:rPr>
          <w:rFonts w:ascii="sans-serif" w:eastAsia="sans-serif" w:hAnsi="sans-serif" w:cs="sans-serif"/>
          <w:color w:val="000000"/>
          <w:sz w:val="20"/>
          <w:szCs w:val="20"/>
        </w:rPr>
        <w:t>0.99, up 10% from a year earlier and down 33% sequentially.</w:t>
      </w:r>
    </w:p>
    <w:p w14:paraId="0D8E05F6" w14:textId="77777777" w:rsidR="004C2197" w:rsidRDefault="00863B83">
      <w:pPr>
        <w:spacing w:after="180"/>
        <w:jc w:val="both"/>
      </w:pPr>
      <w:r>
        <w:rPr>
          <w:rFonts w:ascii="sans-serif" w:eastAsia="sans-serif" w:hAnsi="sans-serif" w:cs="sans-serif"/>
          <w:color w:val="000000"/>
          <w:sz w:val="20"/>
          <w:szCs w:val="20"/>
        </w:rPr>
        <w:t xml:space="preserve">Cash, cash equivalents and marketable securities at the end of the second quarter were $10.98 billion, up from $8.47 billion a year earlier and down from $16.35 billion in the prior </w:t>
      </w:r>
      <w:r>
        <w:rPr>
          <w:rFonts w:ascii="sans-serif" w:eastAsia="sans-serif" w:hAnsi="sans-serif" w:cs="sans-serif"/>
          <w:color w:val="000000"/>
          <w:sz w:val="20"/>
          <w:szCs w:val="20"/>
        </w:rPr>
        <w:t>quarter. The year-on-year increase primarily reflects the issuance of the $5 billion of notes in March 2020, offset by acquisitions. The sequential decrease reflects the Mellanox acquisition during the second quarter.</w:t>
      </w:r>
    </w:p>
    <w:p w14:paraId="0D8E05F7" w14:textId="77777777" w:rsidR="004C2197" w:rsidRDefault="00863B83">
      <w:pPr>
        <w:spacing w:after="180"/>
        <w:jc w:val="both"/>
      </w:pPr>
      <w:r>
        <w:rPr>
          <w:rFonts w:ascii="sans-serif" w:eastAsia="sans-serif" w:hAnsi="sans-serif" w:cs="sans-serif"/>
          <w:color w:val="000000"/>
          <w:sz w:val="20"/>
          <w:szCs w:val="20"/>
        </w:rPr>
        <w:t xml:space="preserve">We paid $99 million in quarterly cash </w:t>
      </w:r>
      <w:r>
        <w:rPr>
          <w:rFonts w:ascii="sans-serif" w:eastAsia="sans-serif" w:hAnsi="sans-serif" w:cs="sans-serif"/>
          <w:color w:val="000000"/>
          <w:sz w:val="20"/>
          <w:szCs w:val="20"/>
        </w:rPr>
        <w:t>dividends in the second quarter.</w:t>
      </w:r>
    </w:p>
    <w:p w14:paraId="0D8E05F8" w14:textId="77777777" w:rsidR="004C2197" w:rsidRDefault="00863B83">
      <w:pPr>
        <w:spacing w:before="120" w:after="120"/>
        <w:jc w:val="both"/>
      </w:pPr>
      <w:r>
        <w:rPr>
          <w:rFonts w:ascii="sans-serif" w:eastAsia="sans-serif" w:hAnsi="sans-serif" w:cs="sans-serif"/>
          <w:b/>
          <w:bCs/>
          <w:color w:val="000000"/>
          <w:sz w:val="20"/>
          <w:szCs w:val="20"/>
        </w:rPr>
        <w:t>Market Platform Highlights</w:t>
      </w:r>
    </w:p>
    <w:p w14:paraId="0D8E05F9" w14:textId="77777777" w:rsidR="004C2197" w:rsidRDefault="00863B83">
      <w:pPr>
        <w:spacing w:before="120" w:after="120"/>
        <w:jc w:val="both"/>
      </w:pPr>
      <w:r>
        <w:rPr>
          <w:rFonts w:ascii="sans-serif" w:eastAsia="sans-serif" w:hAnsi="sans-serif" w:cs="sans-serif"/>
          <w:color w:val="000000"/>
          <w:sz w:val="20"/>
          <w:szCs w:val="20"/>
        </w:rPr>
        <w:t>During the second quarter of fiscal year 2021, in our Gaming platform, we ramped 100+ new GeForce laptops across a range of price points; announced a range of games now supporting NVIDIA RTX ray t</w:t>
      </w:r>
      <w:r>
        <w:rPr>
          <w:rFonts w:ascii="sans-serif" w:eastAsia="sans-serif" w:hAnsi="sans-serif" w:cs="sans-serif"/>
          <w:color w:val="000000"/>
          <w:sz w:val="20"/>
          <w:szCs w:val="20"/>
        </w:rPr>
        <w:t>racing and DLSS AI super resolution; expanded GeForce NOW to Chromebooks; and announced that Square Enix is adding its catalog to GeForce NOW.</w:t>
      </w:r>
    </w:p>
    <w:p w14:paraId="0D8E05FA" w14:textId="77777777" w:rsidR="004C2197" w:rsidRDefault="00863B83">
      <w:pPr>
        <w:spacing w:before="120" w:after="120"/>
        <w:jc w:val="both"/>
      </w:pPr>
      <w:r>
        <w:rPr>
          <w:rFonts w:ascii="sans-serif" w:eastAsia="sans-serif" w:hAnsi="sans-serif" w:cs="sans-serif"/>
          <w:color w:val="000000"/>
          <w:sz w:val="20"/>
          <w:szCs w:val="20"/>
        </w:rPr>
        <w:t>In our Professional Visualization platform, we launched with Acer, Dell, Lenovo and Microsoft new mobile workstat</w:t>
      </w:r>
      <w:r>
        <w:rPr>
          <w:rFonts w:ascii="sans-serif" w:eastAsia="sans-serif" w:hAnsi="sans-serif" w:cs="sans-serif"/>
          <w:color w:val="000000"/>
          <w:sz w:val="20"/>
          <w:szCs w:val="20"/>
        </w:rPr>
        <w:t xml:space="preserve">ions for professional creators, based on NVIDIA Quadro graphics; powered new AI features in the latest releases of Substance Alchemist and Blender; announced that NVIDIA RTX has been implemented in the latest application releases from Foundry, Chaos Group </w:t>
      </w:r>
      <w:r>
        <w:rPr>
          <w:rFonts w:ascii="sans-serif" w:eastAsia="sans-serif" w:hAnsi="sans-serif" w:cs="sans-serif"/>
          <w:color w:val="000000"/>
          <w:sz w:val="20"/>
          <w:szCs w:val="20"/>
        </w:rPr>
        <w:t>and Redshift by Maxon; and released NVIDIA Quadro View.</w:t>
      </w:r>
    </w:p>
    <w:p w14:paraId="0D8E05FB" w14:textId="77777777" w:rsidR="004C2197" w:rsidRDefault="00863B83">
      <w:pPr>
        <w:spacing w:before="120" w:after="120"/>
        <w:jc w:val="both"/>
      </w:pPr>
      <w:r>
        <w:rPr>
          <w:rFonts w:ascii="sans-serif" w:eastAsia="sans-serif" w:hAnsi="sans-serif" w:cs="sans-serif"/>
          <w:color w:val="000000"/>
          <w:sz w:val="20"/>
          <w:szCs w:val="20"/>
        </w:rPr>
        <w:t>In our Data Center platform, we announced more than 50 NVIDIA A100-powered systems; powered eight of the 10, and two-thirds of the total systems, on the latest TOP500 list of the world’s fastest super</w:t>
      </w:r>
      <w:r>
        <w:rPr>
          <w:rFonts w:ascii="sans-serif" w:eastAsia="sans-serif" w:hAnsi="sans-serif" w:cs="sans-serif"/>
          <w:color w:val="000000"/>
          <w:sz w:val="20"/>
          <w:szCs w:val="20"/>
        </w:rPr>
        <w:t>computers; set 16 AI performance records on the latest MLPerf benchmarks; made the NVIDIA A100 Tensor Core GPU available on Google Cloud; provided CUDA GPU-acceleration for Apache Spark; and unveiled the NVIDIA Mellanox UFM Cyber-AI Platform.</w:t>
      </w:r>
    </w:p>
    <w:p w14:paraId="0D8E05FC" w14:textId="77777777" w:rsidR="004C2197" w:rsidRDefault="00863B83">
      <w:pPr>
        <w:spacing w:before="120" w:after="120"/>
        <w:jc w:val="both"/>
      </w:pPr>
      <w:r>
        <w:rPr>
          <w:rFonts w:ascii="sans-serif" w:eastAsia="sans-serif" w:hAnsi="sans-serif" w:cs="sans-serif"/>
          <w:color w:val="000000"/>
          <w:sz w:val="20"/>
          <w:szCs w:val="20"/>
        </w:rPr>
        <w:t xml:space="preserve">In our </w:t>
      </w:r>
      <w:r>
        <w:rPr>
          <w:rFonts w:ascii="sans-serif" w:eastAsia="sans-serif" w:hAnsi="sans-serif" w:cs="sans-serif"/>
          <w:color w:val="000000"/>
          <w:sz w:val="20"/>
          <w:szCs w:val="20"/>
        </w:rPr>
        <w:t xml:space="preserve">Automotive platform, we announced with Mercedes-Benz that the carmaker is integrating into every vehicle in its lineup, beginning in 2024, a new software-defined vehicle architecture built on the NVIDIA DRIVE AV autonomous driving software and AGX Orin AV </w:t>
      </w:r>
      <w:r>
        <w:rPr>
          <w:rFonts w:ascii="sans-serif" w:eastAsia="sans-serif" w:hAnsi="sans-serif" w:cs="sans-serif"/>
          <w:color w:val="000000"/>
          <w:sz w:val="20"/>
          <w:szCs w:val="20"/>
        </w:rPr>
        <w:t>computer.</w:t>
      </w:r>
    </w:p>
    <w:p w14:paraId="0D8E05FD" w14:textId="77777777" w:rsidR="004C2197" w:rsidRDefault="00863B83">
      <w:pPr>
        <w:spacing w:before="120" w:after="120"/>
        <w:jc w:val="both"/>
      </w:pPr>
      <w:r>
        <w:rPr>
          <w:rFonts w:ascii="sans-serif" w:eastAsia="sans-serif" w:hAnsi="sans-serif" w:cs="sans-serif"/>
          <w:color w:val="000000"/>
          <w:sz w:val="20"/>
          <w:szCs w:val="20"/>
        </w:rPr>
        <w:t>During the first quarter of fiscal year 2021, in our Gaming platform, we launched Minecraft with RTX as an open beta on Windows 10; announced the release of laptop models powered by NVIDIA GeForce GPUs; expanded the RTX Studio lineup powered by n</w:t>
      </w:r>
      <w:r>
        <w:rPr>
          <w:rFonts w:ascii="sans-serif" w:eastAsia="sans-serif" w:hAnsi="sans-serif" w:cs="sans-serif"/>
          <w:color w:val="000000"/>
          <w:sz w:val="20"/>
          <w:szCs w:val="20"/>
        </w:rPr>
        <w:t>ew GeForce RTX SUPER GPUs; released DLSS 2.0; and expanded NVIDIA GeForce NOW.</w:t>
      </w:r>
    </w:p>
    <w:p w14:paraId="0D8E05FE" w14:textId="77777777" w:rsidR="004C2197" w:rsidRDefault="00863B83">
      <w:pPr>
        <w:spacing w:after="180"/>
        <w:jc w:val="both"/>
      </w:pPr>
      <w:r>
        <w:rPr>
          <w:rFonts w:ascii="sans-serif" w:eastAsia="sans-serif" w:hAnsi="sans-serif" w:cs="sans-serif"/>
          <w:color w:val="000000"/>
          <w:sz w:val="20"/>
          <w:szCs w:val="20"/>
        </w:rPr>
        <w:t xml:space="preserve">In our Professional Visualization platform, we powered Autodesk’s latest 3D visualization software with NVIDIA Quadro RTX; accelerated Altair's engineering software with NVIDIA </w:t>
      </w:r>
      <w:r>
        <w:rPr>
          <w:rFonts w:ascii="sans-serif" w:eastAsia="sans-serif" w:hAnsi="sans-serif" w:cs="sans-serif"/>
          <w:color w:val="000000"/>
          <w:sz w:val="20"/>
          <w:szCs w:val="20"/>
        </w:rPr>
        <w:t>CUDA; and brought Quadro professional graphics to HP's mobile workstation lineup.</w:t>
      </w:r>
    </w:p>
    <w:p w14:paraId="0D8E05FF" w14:textId="77777777" w:rsidR="004C2197" w:rsidRDefault="00863B83">
      <w:pPr>
        <w:spacing w:before="120" w:after="120"/>
        <w:jc w:val="both"/>
      </w:pPr>
      <w:r>
        <w:rPr>
          <w:rFonts w:ascii="sans-serif" w:eastAsia="sans-serif" w:hAnsi="sans-serif" w:cs="sans-serif"/>
          <w:color w:val="000000"/>
          <w:sz w:val="20"/>
          <w:szCs w:val="20"/>
        </w:rPr>
        <w:t>In our Data Center platform, we introduced NVIDIA A100 data center GPU, the first based on the NVIDIA Ampere architecture; launched the NVIDIA DGX A100; introduced two produc</w:t>
      </w:r>
      <w:r>
        <w:rPr>
          <w:rFonts w:ascii="sans-serif" w:eastAsia="sans-serif" w:hAnsi="sans-serif" w:cs="sans-serif"/>
          <w:color w:val="000000"/>
          <w:sz w:val="20"/>
          <w:szCs w:val="20"/>
        </w:rPr>
        <w:t>ts for the EGX Edge AI platform; released NVIDIA Jarvis; collaborated with the open-source community to bring end-to-end GPU acceleration to Apache Spark 3.0; and announced NVIDIA Merlin.</w:t>
      </w:r>
    </w:p>
    <w:p w14:paraId="0D8E0600" w14:textId="77777777" w:rsidR="004C2197" w:rsidRDefault="00863B83">
      <w:pPr>
        <w:spacing w:before="120" w:after="120"/>
        <w:jc w:val="both"/>
      </w:pPr>
      <w:r>
        <w:rPr>
          <w:rFonts w:ascii="sans-serif" w:eastAsia="sans-serif" w:hAnsi="sans-serif" w:cs="sans-serif"/>
          <w:b/>
          <w:bCs/>
          <w:color w:val="000000"/>
          <w:sz w:val="20"/>
          <w:szCs w:val="20"/>
        </w:rPr>
        <w:t>Financial Information by Business Segment and Geographic Data</w:t>
      </w:r>
    </w:p>
    <w:p w14:paraId="0D8E0601" w14:textId="77777777" w:rsidR="004C2197" w:rsidRDefault="00863B83">
      <w:pPr>
        <w:spacing w:after="180"/>
        <w:jc w:val="both"/>
      </w:pPr>
      <w:r>
        <w:rPr>
          <w:rFonts w:ascii="sans-serif" w:eastAsia="sans-serif" w:hAnsi="sans-serif" w:cs="sans-serif"/>
          <w:color w:val="000000"/>
          <w:sz w:val="20"/>
          <w:szCs w:val="20"/>
        </w:rPr>
        <w:t xml:space="preserve">Refer </w:t>
      </w:r>
      <w:r>
        <w:rPr>
          <w:rFonts w:ascii="sans-serif" w:eastAsia="sans-serif" w:hAnsi="sans-serif" w:cs="sans-serif"/>
          <w:color w:val="000000"/>
          <w:sz w:val="20"/>
          <w:szCs w:val="20"/>
        </w:rPr>
        <w:t>to Note 15 of the Notes to Condensed Consolidated Financial Statements for disclosure regarding segment information.</w:t>
      </w:r>
    </w:p>
    <w:p w14:paraId="0D8E0602" w14:textId="77777777" w:rsidR="004C2197" w:rsidRDefault="004C2197">
      <w:pPr>
        <w:spacing w:after="180"/>
        <w:jc w:val="both"/>
      </w:pPr>
    </w:p>
    <w:p w14:paraId="0D8E0603" w14:textId="77777777" w:rsidR="004C2197" w:rsidRDefault="00863B83">
      <w:pPr>
        <w:spacing w:before="240" w:after="120"/>
        <w:jc w:val="both"/>
      </w:pPr>
      <w:r>
        <w:rPr>
          <w:rFonts w:ascii="sans-serif" w:eastAsia="sans-serif" w:hAnsi="sans-serif" w:cs="sans-serif"/>
          <w:b/>
          <w:bCs/>
          <w:color w:val="76B900"/>
          <w:sz w:val="22"/>
          <w:szCs w:val="22"/>
        </w:rPr>
        <w:t>Critical Accounting Policies and Estimates</w:t>
      </w:r>
    </w:p>
    <w:p w14:paraId="0D8E0604" w14:textId="77777777" w:rsidR="004C2197" w:rsidRDefault="00863B83">
      <w:pPr>
        <w:spacing w:after="180"/>
        <w:jc w:val="both"/>
      </w:pPr>
      <w:r>
        <w:rPr>
          <w:rFonts w:ascii="sans-serif" w:eastAsia="sans-serif" w:hAnsi="sans-serif" w:cs="sans-serif"/>
          <w:color w:val="000000"/>
          <w:sz w:val="20"/>
          <w:szCs w:val="20"/>
        </w:rPr>
        <w:t>Management’s discussion and analysis of financial condition and results of operations are based</w:t>
      </w:r>
      <w:r>
        <w:rPr>
          <w:rFonts w:ascii="sans-serif" w:eastAsia="sans-serif" w:hAnsi="sans-serif" w:cs="sans-serif"/>
          <w:color w:val="000000"/>
          <w:sz w:val="20"/>
          <w:szCs w:val="20"/>
        </w:rPr>
        <w:t xml:space="preserve"> upon our consolidated financial statements, which have been prepared in accordance with accounting principles generally accepted in the United States, or U.S. GAAP. The preparation of these financial statements requires us to make estimates and judgments </w:t>
      </w:r>
    </w:p>
    <w:p w14:paraId="0D8E0605" w14:textId="77777777" w:rsidR="004C2197" w:rsidRDefault="00863B83">
      <w:pPr>
        <w:spacing w:after="180"/>
        <w:jc w:val="center"/>
      </w:pPr>
      <w:r>
        <w:rPr>
          <w:rFonts w:ascii="sans-serif" w:eastAsia="sans-serif" w:hAnsi="sans-serif" w:cs="sans-serif"/>
          <w:color w:val="000000"/>
          <w:sz w:val="20"/>
          <w:szCs w:val="20"/>
        </w:rPr>
        <w:t>29</w:t>
      </w:r>
    </w:p>
    <w:p w14:paraId="0D8E0606" w14:textId="77777777" w:rsidR="004C2197" w:rsidRDefault="00863B83">
      <w:r>
        <w:pict w14:anchorId="0D8E0CC1">
          <v:rect id="_x0000_i1053" style="width:415.3pt;height:1.5pt" o:hralign="center" o:hrstd="t" o:hr="t" fillcolor="#a0a0a0" stroked="f"/>
        </w:pict>
      </w:r>
    </w:p>
    <w:p w14:paraId="0D8E0607" w14:textId="77777777" w:rsidR="004C2197" w:rsidRDefault="004C2197">
      <w:pPr>
        <w:spacing w:after="180"/>
        <w:jc w:val="both"/>
      </w:pPr>
    </w:p>
    <w:p w14:paraId="0D8E0608" w14:textId="77777777" w:rsidR="004C2197" w:rsidRDefault="00863B83">
      <w:pPr>
        <w:spacing w:after="180"/>
        <w:jc w:val="both"/>
      </w:pPr>
      <w:r>
        <w:rPr>
          <w:rFonts w:ascii="sans-serif" w:eastAsia="sans-serif" w:hAnsi="sans-serif" w:cs="sans-serif"/>
          <w:color w:val="000000"/>
          <w:sz w:val="20"/>
          <w:szCs w:val="20"/>
        </w:rPr>
        <w:t>that affect the reported amounts of assets, liabilities, revenue, cost of revenue, expenses and related disclosure of contingencies. We base our estimates on historical experience and on various other assumptions that are believed to be reasonable u</w:t>
      </w:r>
      <w:r>
        <w:rPr>
          <w:rFonts w:ascii="sans-serif" w:eastAsia="sans-serif" w:hAnsi="sans-serif" w:cs="sans-serif"/>
          <w:color w:val="000000"/>
          <w:sz w:val="20"/>
          <w:szCs w:val="20"/>
        </w:rPr>
        <w:t>nder the circumstances, the results of which form the basis for making judgments about the carrying values of assets and liabilities. Our management has discussed the development and selection of these critical accounting policies and estimates with the Au</w:t>
      </w:r>
      <w:r>
        <w:rPr>
          <w:rFonts w:ascii="sans-serif" w:eastAsia="sans-serif" w:hAnsi="sans-serif" w:cs="sans-serif"/>
          <w:color w:val="000000"/>
          <w:sz w:val="20"/>
          <w:szCs w:val="20"/>
        </w:rPr>
        <w:t>dit Committee of our Board of Directors. The Audit Committee has reviewed our disclosures relating to our critical accounting policies and estimates in this Quarterly Report on Form 10-Q. Due to the Mellanox acquisition, we added the following critical acc</w:t>
      </w:r>
      <w:r>
        <w:rPr>
          <w:rFonts w:ascii="sans-serif" w:eastAsia="sans-serif" w:hAnsi="sans-serif" w:cs="sans-serif"/>
          <w:color w:val="000000"/>
          <w:sz w:val="20"/>
          <w:szCs w:val="20"/>
        </w:rPr>
        <w:t>ounting policy:</w:t>
      </w:r>
    </w:p>
    <w:p w14:paraId="0D8E0609" w14:textId="77777777" w:rsidR="004C2197" w:rsidRDefault="00863B83">
      <w:pPr>
        <w:spacing w:before="120" w:after="120"/>
        <w:jc w:val="both"/>
      </w:pPr>
      <w:r>
        <w:rPr>
          <w:rFonts w:ascii="sans-serif" w:eastAsia="sans-serif" w:hAnsi="sans-serif" w:cs="sans-serif"/>
          <w:b/>
          <w:bCs/>
          <w:color w:val="000000"/>
          <w:sz w:val="20"/>
          <w:szCs w:val="20"/>
        </w:rPr>
        <w:t>Business Combinations</w:t>
      </w:r>
    </w:p>
    <w:p w14:paraId="0D8E060A" w14:textId="77777777" w:rsidR="004C2197" w:rsidRDefault="00863B83">
      <w:pPr>
        <w:spacing w:after="180"/>
        <w:jc w:val="both"/>
      </w:pPr>
      <w:r>
        <w:rPr>
          <w:rFonts w:ascii="sans-serif" w:eastAsia="sans-serif" w:hAnsi="sans-serif" w:cs="sans-serif"/>
          <w:color w:val="000000"/>
          <w:sz w:val="20"/>
          <w:szCs w:val="20"/>
        </w:rPr>
        <w:t>The application of acquisition accounting to a business acquisition requires that we identify the individual assets acquired and liabilities assumed and estimate the fair value of each. The fair value of assets acquire</w:t>
      </w:r>
      <w:r>
        <w:rPr>
          <w:rFonts w:ascii="sans-serif" w:eastAsia="sans-serif" w:hAnsi="sans-serif" w:cs="sans-serif"/>
          <w:color w:val="000000"/>
          <w:sz w:val="20"/>
          <w:szCs w:val="20"/>
        </w:rPr>
        <w:t>d and liabilities assumed in a business acquisition are recognized at the acquisition date, with the purchase price exceeding the fair values being recognized as goodwill. Determining fair value of identifiable assets, particularly intangibles, liabilities</w:t>
      </w:r>
      <w:r>
        <w:rPr>
          <w:rFonts w:ascii="sans-serif" w:eastAsia="sans-serif" w:hAnsi="sans-serif" w:cs="sans-serif"/>
          <w:color w:val="000000"/>
          <w:sz w:val="20"/>
          <w:szCs w:val="20"/>
        </w:rPr>
        <w:t xml:space="preserve"> acquired and contingent obligations assumed requires management to make estimates. In certain circumstances, the allocations of the purchase price are based upon preliminary estimates and assumptions and subject to revision when we receive final informati</w:t>
      </w:r>
      <w:r>
        <w:rPr>
          <w:rFonts w:ascii="sans-serif" w:eastAsia="sans-serif" w:hAnsi="sans-serif" w:cs="sans-serif"/>
          <w:color w:val="000000"/>
          <w:sz w:val="20"/>
          <w:szCs w:val="20"/>
        </w:rPr>
        <w:t>on, including appraisals and other analysis. Accordingly, the measurement period for such purchase price allocations will end when the information, or the facts and circumstances, becomes available, but will not exceed twelve months. We will recognize meas</w:t>
      </w:r>
      <w:r>
        <w:rPr>
          <w:rFonts w:ascii="sans-serif" w:eastAsia="sans-serif" w:hAnsi="sans-serif" w:cs="sans-serif"/>
          <w:color w:val="000000"/>
          <w:sz w:val="20"/>
          <w:szCs w:val="20"/>
        </w:rPr>
        <w:t>urement-period adjustments during the period of resolution, including the effect on earnings of any amounts that would have been recorded in previous periods if the accounting had been completed at the acquisition date.</w:t>
      </w:r>
    </w:p>
    <w:p w14:paraId="0D8E060B" w14:textId="77777777" w:rsidR="004C2197" w:rsidRDefault="00863B83">
      <w:pPr>
        <w:spacing w:after="180"/>
        <w:jc w:val="both"/>
      </w:pPr>
      <w:r>
        <w:rPr>
          <w:rFonts w:ascii="sans-serif" w:eastAsia="sans-serif" w:hAnsi="sans-serif" w:cs="sans-serif"/>
          <w:color w:val="000000"/>
          <w:sz w:val="20"/>
          <w:szCs w:val="20"/>
        </w:rPr>
        <w:t>Goodwill and intangible assets often</w:t>
      </w:r>
      <w:r>
        <w:rPr>
          <w:rFonts w:ascii="sans-serif" w:eastAsia="sans-serif" w:hAnsi="sans-serif" w:cs="sans-serif"/>
          <w:color w:val="000000"/>
          <w:sz w:val="20"/>
          <w:szCs w:val="20"/>
        </w:rPr>
        <w:t xml:space="preserve"> represent a significant portion of the assets acquired in a business combination. We recognize the fair value of an acquired intangible apart from goodwill whenever the intangible arises from contractual or other legal rights, or when it can be separated </w:t>
      </w:r>
      <w:r>
        <w:rPr>
          <w:rFonts w:ascii="sans-serif" w:eastAsia="sans-serif" w:hAnsi="sans-serif" w:cs="sans-serif"/>
          <w:color w:val="000000"/>
          <w:sz w:val="20"/>
          <w:szCs w:val="20"/>
        </w:rPr>
        <w:t>or divided from the acquired entity and sold, transferred, licensed, rented or exchanged, either individually or in combination with a related contract, asset or liability. Intangible assets consist primarily of technology, customer relationships, order ba</w:t>
      </w:r>
      <w:r>
        <w:rPr>
          <w:rFonts w:ascii="sans-serif" w:eastAsia="sans-serif" w:hAnsi="sans-serif" w:cs="sans-serif"/>
          <w:color w:val="000000"/>
          <w:sz w:val="20"/>
          <w:szCs w:val="20"/>
        </w:rPr>
        <w:t>cklog and trade name acquired in a business combination and IPR&amp;D. We generally assess the estimated fair values of acquired intangibles using a combination of valuation techniques. To estimate fair value, we are required to make certain estimates and assu</w:t>
      </w:r>
      <w:r>
        <w:rPr>
          <w:rFonts w:ascii="sans-serif" w:eastAsia="sans-serif" w:hAnsi="sans-serif" w:cs="sans-serif"/>
          <w:color w:val="000000"/>
          <w:sz w:val="20"/>
          <w:szCs w:val="20"/>
        </w:rPr>
        <w:t>mptions, including future economic and market conditions, revenue growth, technology migration curve, and risk-adjusted discount rates. Our estimates require significant judgment and are based on historical data, various internal estimates, and external so</w:t>
      </w:r>
      <w:r>
        <w:rPr>
          <w:rFonts w:ascii="sans-serif" w:eastAsia="sans-serif" w:hAnsi="sans-serif" w:cs="sans-serif"/>
          <w:color w:val="000000"/>
          <w:sz w:val="20"/>
          <w:szCs w:val="20"/>
        </w:rPr>
        <w:t>urces. Our assessment of IPR&amp;D also includes consideration of the risk of the projects not achieving technological feasibility.</w:t>
      </w:r>
    </w:p>
    <w:p w14:paraId="0D8E060C" w14:textId="77777777" w:rsidR="004C2197" w:rsidRDefault="00863B83">
      <w:pPr>
        <w:spacing w:after="180"/>
        <w:jc w:val="both"/>
      </w:pPr>
      <w:r>
        <w:rPr>
          <w:rFonts w:ascii="sans-serif" w:eastAsia="sans-serif" w:hAnsi="sans-serif" w:cs="sans-serif"/>
          <w:color w:val="000000"/>
          <w:sz w:val="20"/>
          <w:szCs w:val="20"/>
        </w:rPr>
        <w:t>There have been no other material changes in our critical accounting policies and estimates since our Annual Report on Form 10-K</w:t>
      </w:r>
      <w:r>
        <w:rPr>
          <w:rFonts w:ascii="sans-serif" w:eastAsia="sans-serif" w:hAnsi="sans-serif" w:cs="sans-serif"/>
          <w:color w:val="000000"/>
          <w:sz w:val="20"/>
          <w:szCs w:val="20"/>
        </w:rPr>
        <w:t xml:space="preserve"> for the fiscal year ended January 26, 2020. Refer to Note 1 “Basis of Presentation” to the condensed consolidated financial statements for additional details. In addition, please refer to Management’s Discussion and Analysis of Financial Condition and Res</w:t>
      </w:r>
      <w:r>
        <w:rPr>
          <w:rFonts w:ascii="sans-serif" w:eastAsia="sans-serif" w:hAnsi="sans-serif" w:cs="sans-serif"/>
          <w:color w:val="000000"/>
          <w:sz w:val="20"/>
          <w:szCs w:val="20"/>
        </w:rPr>
        <w:t>ults of Operations contained in Part II, Item 7 of our Annual Report on Form 10-K for our fiscal year ended January 26, 2020 for a more complete discussion of our critical accounting policies and estimates.</w:t>
      </w:r>
    </w:p>
    <w:p w14:paraId="0D8E060D" w14:textId="77777777" w:rsidR="004C2197" w:rsidRDefault="004C2197">
      <w:pPr>
        <w:spacing w:after="180"/>
        <w:jc w:val="both"/>
      </w:pPr>
    </w:p>
    <w:p w14:paraId="0D8E060E" w14:textId="77777777" w:rsidR="004C2197" w:rsidRDefault="004C2197">
      <w:pPr>
        <w:spacing w:before="240" w:after="120"/>
        <w:jc w:val="both"/>
      </w:pPr>
    </w:p>
    <w:p w14:paraId="0D8E060F" w14:textId="77777777" w:rsidR="004C2197" w:rsidRDefault="00863B83">
      <w:pPr>
        <w:spacing w:after="180"/>
        <w:jc w:val="center"/>
      </w:pPr>
      <w:r>
        <w:rPr>
          <w:rFonts w:ascii="sans-serif" w:eastAsia="sans-serif" w:hAnsi="sans-serif" w:cs="sans-serif"/>
          <w:color w:val="000000"/>
          <w:sz w:val="20"/>
          <w:szCs w:val="20"/>
        </w:rPr>
        <w:t>30</w:t>
      </w:r>
    </w:p>
    <w:p w14:paraId="0D8E0610" w14:textId="77777777" w:rsidR="004C2197" w:rsidRDefault="00863B83">
      <w:r>
        <w:pict w14:anchorId="0D8E0CC2">
          <v:rect id="_x0000_i1054" style="width:415.3pt;height:1.5pt" o:hralign="center" o:hrstd="t" o:hr="t" fillcolor="#a0a0a0" stroked="f"/>
        </w:pict>
      </w:r>
    </w:p>
    <w:p w14:paraId="0D8E0611" w14:textId="77777777" w:rsidR="004C2197" w:rsidRDefault="004C2197">
      <w:pPr>
        <w:spacing w:after="180"/>
        <w:jc w:val="both"/>
      </w:pPr>
    </w:p>
    <w:p w14:paraId="0D8E0612" w14:textId="77777777" w:rsidR="004C2197" w:rsidRDefault="004C2197">
      <w:pPr>
        <w:spacing w:after="180"/>
        <w:jc w:val="both"/>
      </w:pPr>
    </w:p>
    <w:p w14:paraId="0D8E0613" w14:textId="77777777" w:rsidR="004C2197" w:rsidRDefault="004C2197">
      <w:pPr>
        <w:spacing w:after="180"/>
        <w:jc w:val="both"/>
      </w:pPr>
    </w:p>
    <w:p w14:paraId="0D8E0614" w14:textId="77777777" w:rsidR="004C2197" w:rsidRDefault="00863B83">
      <w:pPr>
        <w:spacing w:before="240" w:after="120"/>
        <w:jc w:val="both"/>
      </w:pPr>
      <w:r>
        <w:rPr>
          <w:rFonts w:ascii="sans-serif" w:eastAsia="sans-serif" w:hAnsi="sans-serif" w:cs="sans-serif"/>
          <w:b/>
          <w:bCs/>
          <w:color w:val="76B900"/>
          <w:sz w:val="22"/>
          <w:szCs w:val="22"/>
        </w:rPr>
        <w:t>Results of Operations</w:t>
      </w:r>
    </w:p>
    <w:p w14:paraId="0D8E0615" w14:textId="77777777" w:rsidR="004C2197" w:rsidRDefault="00863B83">
      <w:pPr>
        <w:spacing w:after="180"/>
        <w:jc w:val="both"/>
      </w:pPr>
      <w:r>
        <w:rPr>
          <w:rFonts w:ascii="sans-serif" w:eastAsia="sans-serif" w:hAnsi="sans-serif" w:cs="sans-serif"/>
          <w:color w:val="000000"/>
          <w:sz w:val="20"/>
          <w:szCs w:val="20"/>
        </w:rPr>
        <w:t xml:space="preserve">The </w:t>
      </w:r>
      <w:r>
        <w:rPr>
          <w:rFonts w:ascii="sans-serif" w:eastAsia="sans-serif" w:hAnsi="sans-serif" w:cs="sans-serif"/>
          <w:color w:val="000000"/>
          <w:sz w:val="20"/>
          <w:szCs w:val="20"/>
        </w:rPr>
        <w:t>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170"/>
        <w:gridCol w:w="39"/>
        <w:gridCol w:w="40"/>
        <w:gridCol w:w="816"/>
        <w:gridCol w:w="179"/>
        <w:gridCol w:w="37"/>
        <w:gridCol w:w="36"/>
        <w:gridCol w:w="36"/>
        <w:gridCol w:w="40"/>
        <w:gridCol w:w="752"/>
        <w:gridCol w:w="178"/>
        <w:gridCol w:w="36"/>
        <w:gridCol w:w="36"/>
        <w:gridCol w:w="36"/>
        <w:gridCol w:w="40"/>
        <w:gridCol w:w="752"/>
        <w:gridCol w:w="178"/>
        <w:gridCol w:w="36"/>
        <w:gridCol w:w="36"/>
        <w:gridCol w:w="36"/>
        <w:gridCol w:w="40"/>
        <w:gridCol w:w="752"/>
        <w:gridCol w:w="179"/>
        <w:gridCol w:w="100"/>
        <w:gridCol w:w="100"/>
        <w:gridCol w:w="100"/>
        <w:gridCol w:w="100"/>
        <w:gridCol w:w="100"/>
        <w:gridCol w:w="100"/>
        <w:gridCol w:w="36"/>
        <w:gridCol w:w="36"/>
        <w:gridCol w:w="36"/>
        <w:gridCol w:w="36"/>
        <w:gridCol w:w="36"/>
        <w:gridCol w:w="36"/>
      </w:tblGrid>
      <w:tr w:rsidR="004C2197" w14:paraId="0D8E062E" w14:textId="77777777">
        <w:trPr>
          <w:gridAfter w:val="12"/>
        </w:trPr>
        <w:tc>
          <w:tcPr>
            <w:tcW w:w="50" w:type="pct"/>
            <w:shd w:val="clear" w:color="auto" w:fill="auto"/>
          </w:tcPr>
          <w:p w14:paraId="0D8E0616" w14:textId="77777777" w:rsidR="004C2197" w:rsidRDefault="004C2197">
            <w:pPr>
              <w:rPr>
                <w:rFonts w:ascii="宋体"/>
              </w:rPr>
            </w:pPr>
          </w:p>
        </w:tc>
        <w:tc>
          <w:tcPr>
            <w:tcW w:w="2174" w:type="pct"/>
            <w:shd w:val="clear" w:color="auto" w:fill="auto"/>
          </w:tcPr>
          <w:p w14:paraId="0D8E0617" w14:textId="77777777" w:rsidR="004C2197" w:rsidRDefault="004C2197">
            <w:pPr>
              <w:rPr>
                <w:rFonts w:ascii="宋体"/>
              </w:rPr>
            </w:pPr>
          </w:p>
        </w:tc>
        <w:tc>
          <w:tcPr>
            <w:tcW w:w="5" w:type="pct"/>
            <w:shd w:val="clear" w:color="auto" w:fill="auto"/>
          </w:tcPr>
          <w:p w14:paraId="0D8E0618" w14:textId="77777777" w:rsidR="004C2197" w:rsidRDefault="004C2197">
            <w:pPr>
              <w:rPr>
                <w:rFonts w:ascii="宋体"/>
              </w:rPr>
            </w:pPr>
          </w:p>
        </w:tc>
        <w:tc>
          <w:tcPr>
            <w:tcW w:w="50" w:type="pct"/>
            <w:shd w:val="clear" w:color="auto" w:fill="auto"/>
          </w:tcPr>
          <w:p w14:paraId="0D8E0619" w14:textId="77777777" w:rsidR="004C2197" w:rsidRDefault="004C2197">
            <w:pPr>
              <w:rPr>
                <w:rFonts w:ascii="宋体"/>
              </w:rPr>
            </w:pPr>
          </w:p>
        </w:tc>
        <w:tc>
          <w:tcPr>
            <w:tcW w:w="610" w:type="pct"/>
            <w:shd w:val="clear" w:color="auto" w:fill="auto"/>
          </w:tcPr>
          <w:p w14:paraId="0D8E061A" w14:textId="77777777" w:rsidR="004C2197" w:rsidRDefault="004C2197">
            <w:pPr>
              <w:rPr>
                <w:rFonts w:ascii="宋体"/>
              </w:rPr>
            </w:pPr>
          </w:p>
        </w:tc>
        <w:tc>
          <w:tcPr>
            <w:tcW w:w="5" w:type="pct"/>
            <w:shd w:val="clear" w:color="auto" w:fill="auto"/>
          </w:tcPr>
          <w:p w14:paraId="0D8E061B" w14:textId="77777777" w:rsidR="004C2197" w:rsidRDefault="004C2197">
            <w:pPr>
              <w:rPr>
                <w:rFonts w:ascii="宋体"/>
              </w:rPr>
            </w:pPr>
          </w:p>
        </w:tc>
        <w:tc>
          <w:tcPr>
            <w:tcW w:w="5" w:type="pct"/>
            <w:shd w:val="clear" w:color="auto" w:fill="auto"/>
          </w:tcPr>
          <w:p w14:paraId="0D8E061C" w14:textId="77777777" w:rsidR="004C2197" w:rsidRDefault="004C2197">
            <w:pPr>
              <w:rPr>
                <w:rFonts w:ascii="宋体"/>
              </w:rPr>
            </w:pPr>
          </w:p>
        </w:tc>
        <w:tc>
          <w:tcPr>
            <w:tcW w:w="26" w:type="pct"/>
            <w:shd w:val="clear" w:color="auto" w:fill="auto"/>
          </w:tcPr>
          <w:p w14:paraId="0D8E061D" w14:textId="77777777" w:rsidR="004C2197" w:rsidRDefault="004C2197">
            <w:pPr>
              <w:rPr>
                <w:rFonts w:ascii="宋体"/>
              </w:rPr>
            </w:pPr>
          </w:p>
        </w:tc>
        <w:tc>
          <w:tcPr>
            <w:tcW w:w="5" w:type="pct"/>
            <w:shd w:val="clear" w:color="auto" w:fill="auto"/>
          </w:tcPr>
          <w:p w14:paraId="0D8E061E" w14:textId="77777777" w:rsidR="004C2197" w:rsidRDefault="004C2197">
            <w:pPr>
              <w:rPr>
                <w:rFonts w:ascii="宋体"/>
              </w:rPr>
            </w:pPr>
          </w:p>
        </w:tc>
        <w:tc>
          <w:tcPr>
            <w:tcW w:w="50" w:type="pct"/>
            <w:shd w:val="clear" w:color="auto" w:fill="auto"/>
          </w:tcPr>
          <w:p w14:paraId="0D8E061F" w14:textId="77777777" w:rsidR="004C2197" w:rsidRDefault="004C2197">
            <w:pPr>
              <w:rPr>
                <w:rFonts w:ascii="宋体"/>
              </w:rPr>
            </w:pPr>
          </w:p>
        </w:tc>
        <w:tc>
          <w:tcPr>
            <w:tcW w:w="610" w:type="pct"/>
            <w:shd w:val="clear" w:color="auto" w:fill="auto"/>
          </w:tcPr>
          <w:p w14:paraId="0D8E0620" w14:textId="77777777" w:rsidR="004C2197" w:rsidRDefault="004C2197">
            <w:pPr>
              <w:rPr>
                <w:rFonts w:ascii="宋体"/>
              </w:rPr>
            </w:pPr>
          </w:p>
        </w:tc>
        <w:tc>
          <w:tcPr>
            <w:tcW w:w="5" w:type="pct"/>
            <w:shd w:val="clear" w:color="auto" w:fill="auto"/>
          </w:tcPr>
          <w:p w14:paraId="0D8E0621" w14:textId="77777777" w:rsidR="004C2197" w:rsidRDefault="004C2197">
            <w:pPr>
              <w:rPr>
                <w:rFonts w:ascii="宋体"/>
              </w:rPr>
            </w:pPr>
          </w:p>
        </w:tc>
        <w:tc>
          <w:tcPr>
            <w:tcW w:w="5" w:type="pct"/>
            <w:shd w:val="clear" w:color="auto" w:fill="auto"/>
          </w:tcPr>
          <w:p w14:paraId="0D8E0622" w14:textId="77777777" w:rsidR="004C2197" w:rsidRDefault="004C2197">
            <w:pPr>
              <w:rPr>
                <w:rFonts w:ascii="宋体"/>
              </w:rPr>
            </w:pPr>
          </w:p>
        </w:tc>
        <w:tc>
          <w:tcPr>
            <w:tcW w:w="26" w:type="pct"/>
            <w:shd w:val="clear" w:color="auto" w:fill="auto"/>
          </w:tcPr>
          <w:p w14:paraId="0D8E0623" w14:textId="77777777" w:rsidR="004C2197" w:rsidRDefault="004C2197">
            <w:pPr>
              <w:rPr>
                <w:rFonts w:ascii="宋体"/>
              </w:rPr>
            </w:pPr>
          </w:p>
        </w:tc>
        <w:tc>
          <w:tcPr>
            <w:tcW w:w="5" w:type="pct"/>
            <w:shd w:val="clear" w:color="auto" w:fill="auto"/>
          </w:tcPr>
          <w:p w14:paraId="0D8E0624" w14:textId="77777777" w:rsidR="004C2197" w:rsidRDefault="004C2197">
            <w:pPr>
              <w:rPr>
                <w:rFonts w:ascii="宋体"/>
              </w:rPr>
            </w:pPr>
          </w:p>
        </w:tc>
        <w:tc>
          <w:tcPr>
            <w:tcW w:w="50" w:type="pct"/>
            <w:shd w:val="clear" w:color="auto" w:fill="auto"/>
          </w:tcPr>
          <w:p w14:paraId="0D8E0625" w14:textId="77777777" w:rsidR="004C2197" w:rsidRDefault="004C2197">
            <w:pPr>
              <w:rPr>
                <w:rFonts w:ascii="宋体"/>
              </w:rPr>
            </w:pPr>
          </w:p>
        </w:tc>
        <w:tc>
          <w:tcPr>
            <w:tcW w:w="610" w:type="pct"/>
            <w:shd w:val="clear" w:color="auto" w:fill="auto"/>
          </w:tcPr>
          <w:p w14:paraId="0D8E0626" w14:textId="77777777" w:rsidR="004C2197" w:rsidRDefault="004C2197">
            <w:pPr>
              <w:rPr>
                <w:rFonts w:ascii="宋体"/>
              </w:rPr>
            </w:pPr>
          </w:p>
        </w:tc>
        <w:tc>
          <w:tcPr>
            <w:tcW w:w="5" w:type="pct"/>
            <w:shd w:val="clear" w:color="auto" w:fill="auto"/>
          </w:tcPr>
          <w:p w14:paraId="0D8E0627" w14:textId="77777777" w:rsidR="004C2197" w:rsidRDefault="004C2197">
            <w:pPr>
              <w:rPr>
                <w:rFonts w:ascii="宋体"/>
              </w:rPr>
            </w:pPr>
          </w:p>
        </w:tc>
        <w:tc>
          <w:tcPr>
            <w:tcW w:w="5" w:type="pct"/>
            <w:shd w:val="clear" w:color="auto" w:fill="auto"/>
          </w:tcPr>
          <w:p w14:paraId="0D8E0628" w14:textId="77777777" w:rsidR="004C2197" w:rsidRDefault="004C2197">
            <w:pPr>
              <w:rPr>
                <w:rFonts w:ascii="宋体"/>
              </w:rPr>
            </w:pPr>
          </w:p>
        </w:tc>
        <w:tc>
          <w:tcPr>
            <w:tcW w:w="26" w:type="pct"/>
            <w:shd w:val="clear" w:color="auto" w:fill="auto"/>
          </w:tcPr>
          <w:p w14:paraId="0D8E0629" w14:textId="77777777" w:rsidR="004C2197" w:rsidRDefault="004C2197">
            <w:pPr>
              <w:rPr>
                <w:rFonts w:ascii="宋体"/>
              </w:rPr>
            </w:pPr>
          </w:p>
        </w:tc>
        <w:tc>
          <w:tcPr>
            <w:tcW w:w="5" w:type="pct"/>
            <w:shd w:val="clear" w:color="auto" w:fill="auto"/>
          </w:tcPr>
          <w:p w14:paraId="0D8E062A" w14:textId="77777777" w:rsidR="004C2197" w:rsidRDefault="004C2197">
            <w:pPr>
              <w:rPr>
                <w:rFonts w:ascii="宋体"/>
              </w:rPr>
            </w:pPr>
          </w:p>
        </w:tc>
        <w:tc>
          <w:tcPr>
            <w:tcW w:w="50" w:type="pct"/>
            <w:shd w:val="clear" w:color="auto" w:fill="auto"/>
          </w:tcPr>
          <w:p w14:paraId="0D8E062B" w14:textId="77777777" w:rsidR="004C2197" w:rsidRDefault="004C2197">
            <w:pPr>
              <w:rPr>
                <w:rFonts w:ascii="宋体"/>
              </w:rPr>
            </w:pPr>
          </w:p>
        </w:tc>
        <w:tc>
          <w:tcPr>
            <w:tcW w:w="610" w:type="pct"/>
            <w:shd w:val="clear" w:color="auto" w:fill="auto"/>
          </w:tcPr>
          <w:p w14:paraId="0D8E062C" w14:textId="77777777" w:rsidR="004C2197" w:rsidRDefault="004C2197">
            <w:pPr>
              <w:rPr>
                <w:rFonts w:ascii="宋体"/>
              </w:rPr>
            </w:pPr>
          </w:p>
        </w:tc>
        <w:tc>
          <w:tcPr>
            <w:tcW w:w="5" w:type="pct"/>
            <w:shd w:val="clear" w:color="auto" w:fill="auto"/>
          </w:tcPr>
          <w:p w14:paraId="0D8E062D" w14:textId="77777777" w:rsidR="004C2197" w:rsidRDefault="004C2197">
            <w:pPr>
              <w:rPr>
                <w:rFonts w:ascii="宋体"/>
              </w:rPr>
            </w:pPr>
          </w:p>
        </w:tc>
      </w:tr>
      <w:tr w:rsidR="004C2197" w14:paraId="0D8E0637" w14:textId="77777777">
        <w:tc>
          <w:tcPr>
            <w:tcW w:w="0" w:type="auto"/>
            <w:gridSpan w:val="3"/>
            <w:shd w:val="clear" w:color="auto" w:fill="auto"/>
            <w:tcMar>
              <w:top w:w="40" w:type="dxa"/>
              <w:left w:w="20" w:type="dxa"/>
              <w:bottom w:w="40" w:type="dxa"/>
              <w:right w:w="20" w:type="dxa"/>
            </w:tcMar>
            <w:vAlign w:val="bottom"/>
          </w:tcPr>
          <w:p w14:paraId="0D8E062F" w14:textId="77777777" w:rsidR="004C2197" w:rsidRDefault="00863B83">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630"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631" w14:textId="77777777" w:rsidR="004C2197" w:rsidRDefault="004C2197">
            <w:pPr>
              <w:rPr>
                <w:rFonts w:ascii="宋体"/>
                <w:vanish/>
              </w:rPr>
            </w:pPr>
          </w:p>
        </w:tc>
        <w:tc>
          <w:tcPr>
            <w:tcW w:w="0" w:type="auto"/>
            <w:gridSpan w:val="3"/>
            <w:shd w:val="clear" w:color="auto" w:fill="auto"/>
          </w:tcPr>
          <w:p w14:paraId="0D8E0632"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633" w14:textId="77777777" w:rsidR="004C2197" w:rsidRDefault="004C2197">
            <w:pPr>
              <w:rPr>
                <w:rFonts w:ascii="宋体"/>
              </w:rPr>
            </w:pPr>
          </w:p>
        </w:tc>
        <w:tc>
          <w:tcPr>
            <w:tcW w:w="0" w:type="auto"/>
            <w:gridSpan w:val="9"/>
            <w:shd w:val="clear" w:color="auto" w:fill="auto"/>
            <w:tcMar>
              <w:top w:w="40" w:type="dxa"/>
              <w:left w:w="20" w:type="dxa"/>
              <w:bottom w:w="40" w:type="dxa"/>
              <w:right w:w="20" w:type="dxa"/>
            </w:tcMar>
            <w:vAlign w:val="bottom"/>
          </w:tcPr>
          <w:p w14:paraId="0D8E0634" w14:textId="77777777" w:rsidR="004C2197" w:rsidRDefault="00863B83">
            <w:pPr>
              <w:jc w:val="center"/>
              <w:textAlignment w:val="bottom"/>
            </w:pPr>
            <w:r>
              <w:rPr>
                <w:rFonts w:ascii="sans-serif" w:eastAsia="sans-serif" w:hAnsi="sans-serif" w:cs="sans-serif"/>
                <w:b/>
                <w:bCs/>
                <w:color w:val="000000"/>
                <w:sz w:val="20"/>
                <w:szCs w:val="20"/>
              </w:rPr>
              <w:t xml:space="preserve">Six </w:t>
            </w:r>
            <w:r>
              <w:rPr>
                <w:rFonts w:ascii="sans-serif" w:eastAsia="sans-serif" w:hAnsi="sans-serif" w:cs="sans-serif"/>
                <w:b/>
                <w:bCs/>
                <w:color w:val="000000"/>
                <w:sz w:val="20"/>
                <w:szCs w:val="20"/>
              </w:rPr>
              <w:t>Months Ended</w:t>
            </w:r>
          </w:p>
        </w:tc>
        <w:tc>
          <w:tcPr>
            <w:tcW w:w="0" w:type="auto"/>
            <w:gridSpan w:val="3"/>
            <w:shd w:val="clear" w:color="auto" w:fill="auto"/>
          </w:tcPr>
          <w:p w14:paraId="0D8E0635" w14:textId="77777777" w:rsidR="004C2197" w:rsidRDefault="004C2197">
            <w:pPr>
              <w:rPr>
                <w:rFonts w:ascii="宋体"/>
                <w:vanish/>
              </w:rPr>
            </w:pPr>
          </w:p>
        </w:tc>
        <w:tc>
          <w:tcPr>
            <w:tcW w:w="0" w:type="auto"/>
            <w:gridSpan w:val="3"/>
            <w:shd w:val="clear" w:color="auto" w:fill="auto"/>
          </w:tcPr>
          <w:p w14:paraId="0D8E0636" w14:textId="77777777" w:rsidR="004C2197" w:rsidRDefault="004C2197">
            <w:pPr>
              <w:rPr>
                <w:rFonts w:ascii="宋体"/>
                <w:vanish/>
              </w:rPr>
            </w:pPr>
          </w:p>
        </w:tc>
      </w:tr>
      <w:tr w:rsidR="004C2197" w14:paraId="0D8E064C" w14:textId="77777777">
        <w:tc>
          <w:tcPr>
            <w:tcW w:w="0" w:type="auto"/>
            <w:gridSpan w:val="3"/>
            <w:shd w:val="clear" w:color="auto" w:fill="auto"/>
            <w:tcMar>
              <w:top w:w="40" w:type="dxa"/>
              <w:left w:w="20" w:type="dxa"/>
              <w:bottom w:w="40" w:type="dxa"/>
              <w:right w:w="20" w:type="dxa"/>
            </w:tcMar>
            <w:vAlign w:val="bottom"/>
          </w:tcPr>
          <w:p w14:paraId="0D8E0638" w14:textId="77777777" w:rsidR="004C2197" w:rsidRDefault="00863B83">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639"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63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63B"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shd w:val="clear" w:color="auto" w:fill="auto"/>
            <w:tcMar>
              <w:left w:w="20" w:type="dxa"/>
              <w:right w:w="20" w:type="dxa"/>
            </w:tcMar>
            <w:vAlign w:val="bottom"/>
          </w:tcPr>
          <w:p w14:paraId="0D8E063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63D" w14:textId="77777777" w:rsidR="004C2197" w:rsidRDefault="00863B83">
            <w:pPr>
              <w:jc w:val="center"/>
              <w:textAlignment w:val="bottom"/>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63E"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63F" w14:textId="77777777" w:rsidR="004C2197" w:rsidRDefault="00863B83">
            <w:pPr>
              <w:jc w:val="center"/>
              <w:textAlignment w:val="bottom"/>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shd w:val="clear" w:color="auto" w:fill="auto"/>
          </w:tcPr>
          <w:p w14:paraId="0D8E0640" w14:textId="77777777" w:rsidR="004C2197" w:rsidRDefault="004C2197">
            <w:pPr>
              <w:rPr>
                <w:rFonts w:ascii="宋体"/>
              </w:rPr>
            </w:pPr>
          </w:p>
        </w:tc>
        <w:tc>
          <w:tcPr>
            <w:tcW w:w="0" w:type="auto"/>
            <w:shd w:val="clear" w:color="auto" w:fill="auto"/>
          </w:tcPr>
          <w:p w14:paraId="0D8E0641" w14:textId="77777777" w:rsidR="004C2197" w:rsidRDefault="004C2197">
            <w:pPr>
              <w:rPr>
                <w:rFonts w:ascii="宋体"/>
              </w:rPr>
            </w:pPr>
          </w:p>
        </w:tc>
        <w:tc>
          <w:tcPr>
            <w:tcW w:w="0" w:type="auto"/>
            <w:shd w:val="clear" w:color="auto" w:fill="auto"/>
          </w:tcPr>
          <w:p w14:paraId="0D8E0642" w14:textId="77777777" w:rsidR="004C2197" w:rsidRDefault="004C2197">
            <w:pPr>
              <w:rPr>
                <w:rFonts w:ascii="宋体"/>
              </w:rPr>
            </w:pPr>
          </w:p>
        </w:tc>
        <w:tc>
          <w:tcPr>
            <w:tcW w:w="0" w:type="auto"/>
            <w:shd w:val="clear" w:color="auto" w:fill="auto"/>
          </w:tcPr>
          <w:p w14:paraId="0D8E0643" w14:textId="77777777" w:rsidR="004C2197" w:rsidRDefault="004C2197">
            <w:pPr>
              <w:rPr>
                <w:rFonts w:ascii="宋体"/>
              </w:rPr>
            </w:pPr>
          </w:p>
        </w:tc>
        <w:tc>
          <w:tcPr>
            <w:tcW w:w="0" w:type="auto"/>
            <w:shd w:val="clear" w:color="auto" w:fill="auto"/>
          </w:tcPr>
          <w:p w14:paraId="0D8E0644" w14:textId="77777777" w:rsidR="004C2197" w:rsidRDefault="004C2197">
            <w:pPr>
              <w:rPr>
                <w:rFonts w:ascii="宋体"/>
              </w:rPr>
            </w:pPr>
          </w:p>
        </w:tc>
        <w:tc>
          <w:tcPr>
            <w:tcW w:w="0" w:type="auto"/>
            <w:shd w:val="clear" w:color="auto" w:fill="auto"/>
          </w:tcPr>
          <w:p w14:paraId="0D8E0645" w14:textId="77777777" w:rsidR="004C2197" w:rsidRDefault="004C2197">
            <w:pPr>
              <w:rPr>
                <w:rFonts w:ascii="宋体"/>
              </w:rPr>
            </w:pPr>
          </w:p>
        </w:tc>
        <w:tc>
          <w:tcPr>
            <w:tcW w:w="0" w:type="auto"/>
            <w:shd w:val="clear" w:color="auto" w:fill="auto"/>
          </w:tcPr>
          <w:p w14:paraId="0D8E0646" w14:textId="77777777" w:rsidR="004C2197" w:rsidRDefault="004C2197">
            <w:pPr>
              <w:rPr>
                <w:rFonts w:ascii="宋体"/>
              </w:rPr>
            </w:pPr>
          </w:p>
        </w:tc>
        <w:tc>
          <w:tcPr>
            <w:tcW w:w="0" w:type="auto"/>
            <w:shd w:val="clear" w:color="auto" w:fill="auto"/>
          </w:tcPr>
          <w:p w14:paraId="0D8E0647" w14:textId="77777777" w:rsidR="004C2197" w:rsidRDefault="004C2197">
            <w:pPr>
              <w:rPr>
                <w:rFonts w:ascii="宋体"/>
              </w:rPr>
            </w:pPr>
          </w:p>
        </w:tc>
        <w:tc>
          <w:tcPr>
            <w:tcW w:w="0" w:type="auto"/>
            <w:shd w:val="clear" w:color="auto" w:fill="auto"/>
          </w:tcPr>
          <w:p w14:paraId="0D8E0648" w14:textId="77777777" w:rsidR="004C2197" w:rsidRDefault="004C2197">
            <w:pPr>
              <w:rPr>
                <w:rFonts w:ascii="宋体"/>
              </w:rPr>
            </w:pPr>
          </w:p>
        </w:tc>
        <w:tc>
          <w:tcPr>
            <w:tcW w:w="0" w:type="auto"/>
            <w:shd w:val="clear" w:color="auto" w:fill="auto"/>
          </w:tcPr>
          <w:p w14:paraId="0D8E0649" w14:textId="77777777" w:rsidR="004C2197" w:rsidRDefault="004C2197">
            <w:pPr>
              <w:rPr>
                <w:rFonts w:ascii="宋体"/>
              </w:rPr>
            </w:pPr>
          </w:p>
        </w:tc>
        <w:tc>
          <w:tcPr>
            <w:tcW w:w="0" w:type="auto"/>
            <w:shd w:val="clear" w:color="auto" w:fill="auto"/>
          </w:tcPr>
          <w:p w14:paraId="0D8E064A" w14:textId="77777777" w:rsidR="004C2197" w:rsidRDefault="004C2197">
            <w:pPr>
              <w:rPr>
                <w:rFonts w:ascii="宋体"/>
              </w:rPr>
            </w:pPr>
          </w:p>
        </w:tc>
        <w:tc>
          <w:tcPr>
            <w:tcW w:w="0" w:type="auto"/>
            <w:shd w:val="clear" w:color="auto" w:fill="auto"/>
          </w:tcPr>
          <w:p w14:paraId="0D8E064B" w14:textId="77777777" w:rsidR="004C2197" w:rsidRDefault="004C2197">
            <w:pPr>
              <w:rPr>
                <w:rFonts w:ascii="宋体"/>
              </w:rPr>
            </w:pPr>
          </w:p>
        </w:tc>
      </w:tr>
      <w:tr w:rsidR="004C2197" w14:paraId="0D8E0665" w14:textId="77777777">
        <w:tc>
          <w:tcPr>
            <w:tcW w:w="0" w:type="auto"/>
            <w:gridSpan w:val="3"/>
            <w:shd w:val="clear" w:color="auto" w:fill="E2EFD9"/>
            <w:tcMar>
              <w:top w:w="40" w:type="dxa"/>
              <w:left w:w="20" w:type="dxa"/>
              <w:bottom w:w="40" w:type="dxa"/>
              <w:right w:w="20" w:type="dxa"/>
            </w:tcMar>
            <w:vAlign w:val="bottom"/>
          </w:tcPr>
          <w:p w14:paraId="0D8E064D" w14:textId="77777777" w:rsidR="004C2197" w:rsidRDefault="00863B83">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4E"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0D8E064F"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650"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51"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0D8E0652"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653"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54"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0D8E0655"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656"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57" w14:textId="77777777" w:rsidR="004C2197" w:rsidRDefault="00863B83">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bottom w:w="40" w:type="dxa"/>
              <w:right w:w="20" w:type="dxa"/>
            </w:tcMar>
            <w:vAlign w:val="bottom"/>
          </w:tcPr>
          <w:p w14:paraId="0D8E0658"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659" w14:textId="77777777" w:rsidR="004C2197" w:rsidRDefault="004C2197">
            <w:pPr>
              <w:rPr>
                <w:rFonts w:ascii="宋体"/>
              </w:rPr>
            </w:pPr>
          </w:p>
        </w:tc>
        <w:tc>
          <w:tcPr>
            <w:tcW w:w="0" w:type="auto"/>
            <w:shd w:val="clear" w:color="auto" w:fill="auto"/>
          </w:tcPr>
          <w:p w14:paraId="0D8E065A" w14:textId="77777777" w:rsidR="004C2197" w:rsidRDefault="004C2197">
            <w:pPr>
              <w:rPr>
                <w:rFonts w:ascii="宋体"/>
              </w:rPr>
            </w:pPr>
          </w:p>
        </w:tc>
        <w:tc>
          <w:tcPr>
            <w:tcW w:w="0" w:type="auto"/>
            <w:shd w:val="clear" w:color="auto" w:fill="auto"/>
          </w:tcPr>
          <w:p w14:paraId="0D8E065B" w14:textId="77777777" w:rsidR="004C2197" w:rsidRDefault="004C2197">
            <w:pPr>
              <w:rPr>
                <w:rFonts w:ascii="宋体"/>
              </w:rPr>
            </w:pPr>
          </w:p>
        </w:tc>
        <w:tc>
          <w:tcPr>
            <w:tcW w:w="0" w:type="auto"/>
            <w:shd w:val="clear" w:color="auto" w:fill="auto"/>
          </w:tcPr>
          <w:p w14:paraId="0D8E065C" w14:textId="77777777" w:rsidR="004C2197" w:rsidRDefault="004C2197">
            <w:pPr>
              <w:rPr>
                <w:rFonts w:ascii="宋体"/>
              </w:rPr>
            </w:pPr>
          </w:p>
        </w:tc>
        <w:tc>
          <w:tcPr>
            <w:tcW w:w="0" w:type="auto"/>
            <w:shd w:val="clear" w:color="auto" w:fill="auto"/>
          </w:tcPr>
          <w:p w14:paraId="0D8E065D" w14:textId="77777777" w:rsidR="004C2197" w:rsidRDefault="004C2197">
            <w:pPr>
              <w:rPr>
                <w:rFonts w:ascii="宋体"/>
              </w:rPr>
            </w:pPr>
          </w:p>
        </w:tc>
        <w:tc>
          <w:tcPr>
            <w:tcW w:w="0" w:type="auto"/>
            <w:shd w:val="clear" w:color="auto" w:fill="auto"/>
          </w:tcPr>
          <w:p w14:paraId="0D8E065E" w14:textId="77777777" w:rsidR="004C2197" w:rsidRDefault="004C2197">
            <w:pPr>
              <w:rPr>
                <w:rFonts w:ascii="宋体"/>
              </w:rPr>
            </w:pPr>
          </w:p>
        </w:tc>
        <w:tc>
          <w:tcPr>
            <w:tcW w:w="0" w:type="auto"/>
            <w:shd w:val="clear" w:color="auto" w:fill="auto"/>
          </w:tcPr>
          <w:p w14:paraId="0D8E065F" w14:textId="77777777" w:rsidR="004C2197" w:rsidRDefault="004C2197">
            <w:pPr>
              <w:rPr>
                <w:rFonts w:ascii="宋体"/>
              </w:rPr>
            </w:pPr>
          </w:p>
        </w:tc>
        <w:tc>
          <w:tcPr>
            <w:tcW w:w="0" w:type="auto"/>
            <w:shd w:val="clear" w:color="auto" w:fill="auto"/>
          </w:tcPr>
          <w:p w14:paraId="0D8E0660" w14:textId="77777777" w:rsidR="004C2197" w:rsidRDefault="004C2197">
            <w:pPr>
              <w:rPr>
                <w:rFonts w:ascii="宋体"/>
              </w:rPr>
            </w:pPr>
          </w:p>
        </w:tc>
        <w:tc>
          <w:tcPr>
            <w:tcW w:w="0" w:type="auto"/>
            <w:shd w:val="clear" w:color="auto" w:fill="auto"/>
          </w:tcPr>
          <w:p w14:paraId="0D8E0661" w14:textId="77777777" w:rsidR="004C2197" w:rsidRDefault="004C2197">
            <w:pPr>
              <w:rPr>
                <w:rFonts w:ascii="宋体"/>
              </w:rPr>
            </w:pPr>
          </w:p>
        </w:tc>
        <w:tc>
          <w:tcPr>
            <w:tcW w:w="0" w:type="auto"/>
            <w:shd w:val="clear" w:color="auto" w:fill="auto"/>
          </w:tcPr>
          <w:p w14:paraId="0D8E0662" w14:textId="77777777" w:rsidR="004C2197" w:rsidRDefault="004C2197">
            <w:pPr>
              <w:rPr>
                <w:rFonts w:ascii="宋体"/>
              </w:rPr>
            </w:pPr>
          </w:p>
        </w:tc>
        <w:tc>
          <w:tcPr>
            <w:tcW w:w="0" w:type="auto"/>
            <w:shd w:val="clear" w:color="auto" w:fill="auto"/>
          </w:tcPr>
          <w:p w14:paraId="0D8E0663" w14:textId="77777777" w:rsidR="004C2197" w:rsidRDefault="004C2197">
            <w:pPr>
              <w:rPr>
                <w:rFonts w:ascii="宋体"/>
              </w:rPr>
            </w:pPr>
          </w:p>
        </w:tc>
        <w:tc>
          <w:tcPr>
            <w:tcW w:w="0" w:type="auto"/>
            <w:shd w:val="clear" w:color="auto" w:fill="auto"/>
          </w:tcPr>
          <w:p w14:paraId="0D8E0664" w14:textId="77777777" w:rsidR="004C2197" w:rsidRDefault="004C2197">
            <w:pPr>
              <w:rPr>
                <w:rFonts w:ascii="宋体"/>
              </w:rPr>
            </w:pPr>
          </w:p>
        </w:tc>
      </w:tr>
      <w:tr w:rsidR="004C2197" w14:paraId="0D8E067E" w14:textId="77777777">
        <w:tc>
          <w:tcPr>
            <w:tcW w:w="0" w:type="auto"/>
            <w:gridSpan w:val="3"/>
            <w:shd w:val="clear" w:color="auto" w:fill="FFFFFF"/>
            <w:tcMar>
              <w:top w:w="40" w:type="dxa"/>
              <w:left w:w="20" w:type="dxa"/>
              <w:bottom w:w="40" w:type="dxa"/>
              <w:right w:w="20" w:type="dxa"/>
            </w:tcMar>
            <w:vAlign w:val="bottom"/>
          </w:tcPr>
          <w:p w14:paraId="0D8E0666" w14:textId="77777777" w:rsidR="004C2197" w:rsidRDefault="00863B83">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0D8E0667" w14:textId="77777777" w:rsidR="004C2197" w:rsidRDefault="00863B83">
            <w:pPr>
              <w:jc w:val="right"/>
              <w:textAlignment w:val="bottom"/>
            </w:pPr>
            <w:r>
              <w:rPr>
                <w:rFonts w:ascii="sans-serif" w:eastAsia="sans-serif" w:hAnsi="sans-serif" w:cs="sans-serif"/>
                <w:color w:val="000000"/>
                <w:sz w:val="20"/>
                <w:szCs w:val="20"/>
              </w:rPr>
              <w:t>41.2 </w:t>
            </w:r>
          </w:p>
        </w:tc>
        <w:tc>
          <w:tcPr>
            <w:tcW w:w="0" w:type="auto"/>
            <w:shd w:val="clear" w:color="auto" w:fill="FFFFFF"/>
            <w:tcMar>
              <w:top w:w="40" w:type="dxa"/>
              <w:bottom w:w="40" w:type="dxa"/>
              <w:right w:w="20" w:type="dxa"/>
            </w:tcMar>
            <w:vAlign w:val="bottom"/>
          </w:tcPr>
          <w:p w14:paraId="0D8E066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6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6A" w14:textId="77777777" w:rsidR="004C2197" w:rsidRDefault="00863B83">
            <w:pPr>
              <w:jc w:val="right"/>
              <w:textAlignment w:val="bottom"/>
            </w:pPr>
            <w:r>
              <w:rPr>
                <w:rFonts w:ascii="sans-serif" w:eastAsia="sans-serif" w:hAnsi="sans-serif" w:cs="sans-serif"/>
                <w:color w:val="000000"/>
                <w:sz w:val="20"/>
                <w:szCs w:val="20"/>
              </w:rPr>
              <w:t>40.2 </w:t>
            </w:r>
          </w:p>
        </w:tc>
        <w:tc>
          <w:tcPr>
            <w:tcW w:w="0" w:type="auto"/>
            <w:shd w:val="clear" w:color="auto" w:fill="FFFFFF"/>
            <w:tcMar>
              <w:top w:w="40" w:type="dxa"/>
              <w:bottom w:w="40" w:type="dxa"/>
              <w:right w:w="20" w:type="dxa"/>
            </w:tcMar>
            <w:vAlign w:val="bottom"/>
          </w:tcPr>
          <w:p w14:paraId="0D8E066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6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6D" w14:textId="77777777" w:rsidR="004C2197" w:rsidRDefault="00863B83">
            <w:pPr>
              <w:jc w:val="right"/>
              <w:textAlignment w:val="bottom"/>
            </w:pPr>
            <w:r>
              <w:rPr>
                <w:rFonts w:ascii="sans-serif" w:eastAsia="sans-serif" w:hAnsi="sans-serif" w:cs="sans-serif"/>
                <w:color w:val="000000"/>
                <w:sz w:val="20"/>
                <w:szCs w:val="20"/>
              </w:rPr>
              <w:t>38.4 </w:t>
            </w:r>
          </w:p>
        </w:tc>
        <w:tc>
          <w:tcPr>
            <w:tcW w:w="0" w:type="auto"/>
            <w:shd w:val="clear" w:color="auto" w:fill="FFFFFF"/>
            <w:tcMar>
              <w:top w:w="40" w:type="dxa"/>
              <w:bottom w:w="40" w:type="dxa"/>
              <w:right w:w="20" w:type="dxa"/>
            </w:tcMar>
            <w:vAlign w:val="bottom"/>
          </w:tcPr>
          <w:p w14:paraId="0D8E066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6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70" w14:textId="77777777" w:rsidR="004C2197" w:rsidRDefault="00863B83">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bottom w:w="40" w:type="dxa"/>
              <w:right w:w="20" w:type="dxa"/>
            </w:tcMar>
            <w:vAlign w:val="bottom"/>
          </w:tcPr>
          <w:p w14:paraId="0D8E0671" w14:textId="77777777" w:rsidR="004C2197" w:rsidRDefault="004C2197">
            <w:pPr>
              <w:jc w:val="right"/>
              <w:rPr>
                <w:rFonts w:ascii="宋体"/>
              </w:rPr>
            </w:pPr>
          </w:p>
        </w:tc>
        <w:tc>
          <w:tcPr>
            <w:tcW w:w="0" w:type="auto"/>
            <w:shd w:val="clear" w:color="auto" w:fill="auto"/>
          </w:tcPr>
          <w:p w14:paraId="0D8E0672" w14:textId="77777777" w:rsidR="004C2197" w:rsidRDefault="004C2197">
            <w:pPr>
              <w:rPr>
                <w:rFonts w:ascii="宋体"/>
              </w:rPr>
            </w:pPr>
          </w:p>
        </w:tc>
        <w:tc>
          <w:tcPr>
            <w:tcW w:w="0" w:type="auto"/>
            <w:shd w:val="clear" w:color="auto" w:fill="auto"/>
          </w:tcPr>
          <w:p w14:paraId="0D8E0673" w14:textId="77777777" w:rsidR="004C2197" w:rsidRDefault="004C2197">
            <w:pPr>
              <w:rPr>
                <w:rFonts w:ascii="宋体"/>
              </w:rPr>
            </w:pPr>
          </w:p>
        </w:tc>
        <w:tc>
          <w:tcPr>
            <w:tcW w:w="0" w:type="auto"/>
            <w:shd w:val="clear" w:color="auto" w:fill="auto"/>
          </w:tcPr>
          <w:p w14:paraId="0D8E0674" w14:textId="77777777" w:rsidR="004C2197" w:rsidRDefault="004C2197">
            <w:pPr>
              <w:rPr>
                <w:rFonts w:ascii="宋体"/>
              </w:rPr>
            </w:pPr>
          </w:p>
        </w:tc>
        <w:tc>
          <w:tcPr>
            <w:tcW w:w="0" w:type="auto"/>
            <w:shd w:val="clear" w:color="auto" w:fill="auto"/>
          </w:tcPr>
          <w:p w14:paraId="0D8E0675" w14:textId="77777777" w:rsidR="004C2197" w:rsidRDefault="004C2197">
            <w:pPr>
              <w:rPr>
                <w:rFonts w:ascii="宋体"/>
              </w:rPr>
            </w:pPr>
          </w:p>
        </w:tc>
        <w:tc>
          <w:tcPr>
            <w:tcW w:w="0" w:type="auto"/>
            <w:shd w:val="clear" w:color="auto" w:fill="auto"/>
          </w:tcPr>
          <w:p w14:paraId="0D8E0676" w14:textId="77777777" w:rsidR="004C2197" w:rsidRDefault="004C2197">
            <w:pPr>
              <w:rPr>
                <w:rFonts w:ascii="宋体"/>
              </w:rPr>
            </w:pPr>
          </w:p>
        </w:tc>
        <w:tc>
          <w:tcPr>
            <w:tcW w:w="0" w:type="auto"/>
            <w:shd w:val="clear" w:color="auto" w:fill="auto"/>
          </w:tcPr>
          <w:p w14:paraId="0D8E0677" w14:textId="77777777" w:rsidR="004C2197" w:rsidRDefault="004C2197">
            <w:pPr>
              <w:rPr>
                <w:rFonts w:ascii="宋体"/>
              </w:rPr>
            </w:pPr>
          </w:p>
        </w:tc>
        <w:tc>
          <w:tcPr>
            <w:tcW w:w="0" w:type="auto"/>
            <w:shd w:val="clear" w:color="auto" w:fill="auto"/>
          </w:tcPr>
          <w:p w14:paraId="0D8E0678" w14:textId="77777777" w:rsidR="004C2197" w:rsidRDefault="004C2197">
            <w:pPr>
              <w:rPr>
                <w:rFonts w:ascii="宋体"/>
              </w:rPr>
            </w:pPr>
          </w:p>
        </w:tc>
        <w:tc>
          <w:tcPr>
            <w:tcW w:w="0" w:type="auto"/>
            <w:shd w:val="clear" w:color="auto" w:fill="auto"/>
          </w:tcPr>
          <w:p w14:paraId="0D8E0679" w14:textId="77777777" w:rsidR="004C2197" w:rsidRDefault="004C2197">
            <w:pPr>
              <w:rPr>
                <w:rFonts w:ascii="宋体"/>
              </w:rPr>
            </w:pPr>
          </w:p>
        </w:tc>
        <w:tc>
          <w:tcPr>
            <w:tcW w:w="0" w:type="auto"/>
            <w:shd w:val="clear" w:color="auto" w:fill="auto"/>
          </w:tcPr>
          <w:p w14:paraId="0D8E067A" w14:textId="77777777" w:rsidR="004C2197" w:rsidRDefault="004C2197">
            <w:pPr>
              <w:rPr>
                <w:rFonts w:ascii="宋体"/>
              </w:rPr>
            </w:pPr>
          </w:p>
        </w:tc>
        <w:tc>
          <w:tcPr>
            <w:tcW w:w="0" w:type="auto"/>
            <w:shd w:val="clear" w:color="auto" w:fill="auto"/>
          </w:tcPr>
          <w:p w14:paraId="0D8E067B" w14:textId="77777777" w:rsidR="004C2197" w:rsidRDefault="004C2197">
            <w:pPr>
              <w:rPr>
                <w:rFonts w:ascii="宋体"/>
              </w:rPr>
            </w:pPr>
          </w:p>
        </w:tc>
        <w:tc>
          <w:tcPr>
            <w:tcW w:w="0" w:type="auto"/>
            <w:shd w:val="clear" w:color="auto" w:fill="auto"/>
          </w:tcPr>
          <w:p w14:paraId="0D8E067C" w14:textId="77777777" w:rsidR="004C2197" w:rsidRDefault="004C2197">
            <w:pPr>
              <w:rPr>
                <w:rFonts w:ascii="宋体"/>
              </w:rPr>
            </w:pPr>
          </w:p>
        </w:tc>
        <w:tc>
          <w:tcPr>
            <w:tcW w:w="0" w:type="auto"/>
            <w:shd w:val="clear" w:color="auto" w:fill="auto"/>
          </w:tcPr>
          <w:p w14:paraId="0D8E067D" w14:textId="77777777" w:rsidR="004C2197" w:rsidRDefault="004C2197">
            <w:pPr>
              <w:rPr>
                <w:rFonts w:ascii="宋体"/>
              </w:rPr>
            </w:pPr>
          </w:p>
        </w:tc>
      </w:tr>
      <w:tr w:rsidR="004C2197" w14:paraId="0D8E0697" w14:textId="77777777">
        <w:tc>
          <w:tcPr>
            <w:tcW w:w="0" w:type="auto"/>
            <w:gridSpan w:val="3"/>
            <w:shd w:val="clear" w:color="auto" w:fill="E2EFD9"/>
            <w:tcMar>
              <w:top w:w="40" w:type="dxa"/>
              <w:left w:w="20" w:type="dxa"/>
              <w:bottom w:w="40" w:type="dxa"/>
              <w:right w:w="20" w:type="dxa"/>
            </w:tcMar>
            <w:vAlign w:val="bottom"/>
          </w:tcPr>
          <w:p w14:paraId="0D8E067F" w14:textId="77777777" w:rsidR="004C2197" w:rsidRDefault="00863B83">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80" w14:textId="77777777" w:rsidR="004C2197" w:rsidRDefault="00863B83">
            <w:pPr>
              <w:jc w:val="right"/>
              <w:textAlignment w:val="bottom"/>
            </w:pPr>
            <w:r>
              <w:rPr>
                <w:rFonts w:ascii="sans-serif" w:eastAsia="sans-serif" w:hAnsi="sans-serif" w:cs="sans-serif"/>
                <w:color w:val="000000"/>
                <w:sz w:val="20"/>
                <w:szCs w:val="20"/>
              </w:rPr>
              <w:t>58.8 </w:t>
            </w:r>
          </w:p>
        </w:tc>
        <w:tc>
          <w:tcPr>
            <w:tcW w:w="0" w:type="auto"/>
            <w:tcBorders>
              <w:top w:val="single" w:sz="8" w:space="0" w:color="000000"/>
            </w:tcBorders>
            <w:shd w:val="clear" w:color="auto" w:fill="E2EFD9"/>
            <w:tcMar>
              <w:top w:w="40" w:type="dxa"/>
              <w:bottom w:w="40" w:type="dxa"/>
              <w:right w:w="20" w:type="dxa"/>
            </w:tcMar>
            <w:vAlign w:val="bottom"/>
          </w:tcPr>
          <w:p w14:paraId="0D8E068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82"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83" w14:textId="77777777" w:rsidR="004C2197" w:rsidRDefault="00863B83">
            <w:pPr>
              <w:jc w:val="right"/>
              <w:textAlignment w:val="bottom"/>
            </w:pPr>
            <w:r>
              <w:rPr>
                <w:rFonts w:ascii="sans-serif" w:eastAsia="sans-serif" w:hAnsi="sans-serif" w:cs="sans-serif"/>
                <w:color w:val="000000"/>
                <w:sz w:val="20"/>
                <w:szCs w:val="20"/>
              </w:rPr>
              <w:t>59.8 </w:t>
            </w:r>
          </w:p>
        </w:tc>
        <w:tc>
          <w:tcPr>
            <w:tcW w:w="0" w:type="auto"/>
            <w:tcBorders>
              <w:top w:val="single" w:sz="8" w:space="0" w:color="000000"/>
            </w:tcBorders>
            <w:shd w:val="clear" w:color="auto" w:fill="E2EFD9"/>
            <w:tcMar>
              <w:top w:w="40" w:type="dxa"/>
              <w:bottom w:w="40" w:type="dxa"/>
              <w:right w:w="20" w:type="dxa"/>
            </w:tcMar>
            <w:vAlign w:val="bottom"/>
          </w:tcPr>
          <w:p w14:paraId="0D8E068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85"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86" w14:textId="77777777" w:rsidR="004C2197" w:rsidRDefault="00863B83">
            <w:pPr>
              <w:jc w:val="right"/>
              <w:textAlignment w:val="bottom"/>
            </w:pPr>
            <w:r>
              <w:rPr>
                <w:rFonts w:ascii="sans-serif" w:eastAsia="sans-serif" w:hAnsi="sans-serif" w:cs="sans-serif"/>
                <w:color w:val="000000"/>
                <w:sz w:val="20"/>
                <w:szCs w:val="20"/>
              </w:rPr>
              <w:t>61.6 </w:t>
            </w:r>
          </w:p>
        </w:tc>
        <w:tc>
          <w:tcPr>
            <w:tcW w:w="0" w:type="auto"/>
            <w:tcBorders>
              <w:top w:val="single" w:sz="8" w:space="0" w:color="000000"/>
            </w:tcBorders>
            <w:shd w:val="clear" w:color="auto" w:fill="E2EFD9"/>
            <w:tcMar>
              <w:top w:w="40" w:type="dxa"/>
              <w:bottom w:w="40" w:type="dxa"/>
              <w:right w:w="20" w:type="dxa"/>
            </w:tcMar>
            <w:vAlign w:val="bottom"/>
          </w:tcPr>
          <w:p w14:paraId="0D8E068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88"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89" w14:textId="77777777" w:rsidR="004C2197" w:rsidRDefault="00863B83">
            <w:pPr>
              <w:jc w:val="right"/>
              <w:textAlignment w:val="bottom"/>
            </w:pPr>
            <w:r>
              <w:rPr>
                <w:rFonts w:ascii="sans-serif" w:eastAsia="sans-serif" w:hAnsi="sans-serif" w:cs="sans-serif"/>
                <w:color w:val="000000"/>
                <w:sz w:val="20"/>
                <w:szCs w:val="20"/>
              </w:rPr>
              <w:t>59.1 </w:t>
            </w:r>
          </w:p>
        </w:tc>
        <w:tc>
          <w:tcPr>
            <w:tcW w:w="0" w:type="auto"/>
            <w:tcBorders>
              <w:top w:val="single" w:sz="8" w:space="0" w:color="000000"/>
            </w:tcBorders>
            <w:shd w:val="clear" w:color="auto" w:fill="E2EFD9"/>
            <w:tcMar>
              <w:top w:w="40" w:type="dxa"/>
              <w:bottom w:w="40" w:type="dxa"/>
              <w:right w:w="20" w:type="dxa"/>
            </w:tcMar>
            <w:vAlign w:val="bottom"/>
          </w:tcPr>
          <w:p w14:paraId="0D8E068A" w14:textId="77777777" w:rsidR="004C2197" w:rsidRDefault="004C2197">
            <w:pPr>
              <w:jc w:val="right"/>
              <w:rPr>
                <w:rFonts w:ascii="宋体"/>
              </w:rPr>
            </w:pPr>
          </w:p>
        </w:tc>
        <w:tc>
          <w:tcPr>
            <w:tcW w:w="0" w:type="auto"/>
            <w:shd w:val="clear" w:color="auto" w:fill="auto"/>
          </w:tcPr>
          <w:p w14:paraId="0D8E068B" w14:textId="77777777" w:rsidR="004C2197" w:rsidRDefault="004C2197">
            <w:pPr>
              <w:rPr>
                <w:rFonts w:ascii="宋体"/>
              </w:rPr>
            </w:pPr>
          </w:p>
        </w:tc>
        <w:tc>
          <w:tcPr>
            <w:tcW w:w="0" w:type="auto"/>
            <w:shd w:val="clear" w:color="auto" w:fill="auto"/>
          </w:tcPr>
          <w:p w14:paraId="0D8E068C" w14:textId="77777777" w:rsidR="004C2197" w:rsidRDefault="004C2197">
            <w:pPr>
              <w:rPr>
                <w:rFonts w:ascii="宋体"/>
              </w:rPr>
            </w:pPr>
          </w:p>
        </w:tc>
        <w:tc>
          <w:tcPr>
            <w:tcW w:w="0" w:type="auto"/>
            <w:shd w:val="clear" w:color="auto" w:fill="auto"/>
          </w:tcPr>
          <w:p w14:paraId="0D8E068D" w14:textId="77777777" w:rsidR="004C2197" w:rsidRDefault="004C2197">
            <w:pPr>
              <w:rPr>
                <w:rFonts w:ascii="宋体"/>
              </w:rPr>
            </w:pPr>
          </w:p>
        </w:tc>
        <w:tc>
          <w:tcPr>
            <w:tcW w:w="0" w:type="auto"/>
            <w:shd w:val="clear" w:color="auto" w:fill="auto"/>
          </w:tcPr>
          <w:p w14:paraId="0D8E068E" w14:textId="77777777" w:rsidR="004C2197" w:rsidRDefault="004C2197">
            <w:pPr>
              <w:rPr>
                <w:rFonts w:ascii="宋体"/>
              </w:rPr>
            </w:pPr>
          </w:p>
        </w:tc>
        <w:tc>
          <w:tcPr>
            <w:tcW w:w="0" w:type="auto"/>
            <w:shd w:val="clear" w:color="auto" w:fill="auto"/>
          </w:tcPr>
          <w:p w14:paraId="0D8E068F" w14:textId="77777777" w:rsidR="004C2197" w:rsidRDefault="004C2197">
            <w:pPr>
              <w:rPr>
                <w:rFonts w:ascii="宋体"/>
              </w:rPr>
            </w:pPr>
          </w:p>
        </w:tc>
        <w:tc>
          <w:tcPr>
            <w:tcW w:w="0" w:type="auto"/>
            <w:shd w:val="clear" w:color="auto" w:fill="auto"/>
          </w:tcPr>
          <w:p w14:paraId="0D8E0690" w14:textId="77777777" w:rsidR="004C2197" w:rsidRDefault="004C2197">
            <w:pPr>
              <w:rPr>
                <w:rFonts w:ascii="宋体"/>
              </w:rPr>
            </w:pPr>
          </w:p>
        </w:tc>
        <w:tc>
          <w:tcPr>
            <w:tcW w:w="0" w:type="auto"/>
            <w:shd w:val="clear" w:color="auto" w:fill="auto"/>
          </w:tcPr>
          <w:p w14:paraId="0D8E0691" w14:textId="77777777" w:rsidR="004C2197" w:rsidRDefault="004C2197">
            <w:pPr>
              <w:rPr>
                <w:rFonts w:ascii="宋体"/>
              </w:rPr>
            </w:pPr>
          </w:p>
        </w:tc>
        <w:tc>
          <w:tcPr>
            <w:tcW w:w="0" w:type="auto"/>
            <w:shd w:val="clear" w:color="auto" w:fill="auto"/>
          </w:tcPr>
          <w:p w14:paraId="0D8E0692" w14:textId="77777777" w:rsidR="004C2197" w:rsidRDefault="004C2197">
            <w:pPr>
              <w:rPr>
                <w:rFonts w:ascii="宋体"/>
              </w:rPr>
            </w:pPr>
          </w:p>
        </w:tc>
        <w:tc>
          <w:tcPr>
            <w:tcW w:w="0" w:type="auto"/>
            <w:shd w:val="clear" w:color="auto" w:fill="auto"/>
          </w:tcPr>
          <w:p w14:paraId="0D8E0693" w14:textId="77777777" w:rsidR="004C2197" w:rsidRDefault="004C2197">
            <w:pPr>
              <w:rPr>
                <w:rFonts w:ascii="宋体"/>
              </w:rPr>
            </w:pPr>
          </w:p>
        </w:tc>
        <w:tc>
          <w:tcPr>
            <w:tcW w:w="0" w:type="auto"/>
            <w:shd w:val="clear" w:color="auto" w:fill="auto"/>
          </w:tcPr>
          <w:p w14:paraId="0D8E0694" w14:textId="77777777" w:rsidR="004C2197" w:rsidRDefault="004C2197">
            <w:pPr>
              <w:rPr>
                <w:rFonts w:ascii="宋体"/>
              </w:rPr>
            </w:pPr>
          </w:p>
        </w:tc>
        <w:tc>
          <w:tcPr>
            <w:tcW w:w="0" w:type="auto"/>
            <w:shd w:val="clear" w:color="auto" w:fill="auto"/>
          </w:tcPr>
          <w:p w14:paraId="0D8E0695" w14:textId="77777777" w:rsidR="004C2197" w:rsidRDefault="004C2197">
            <w:pPr>
              <w:rPr>
                <w:rFonts w:ascii="宋体"/>
              </w:rPr>
            </w:pPr>
          </w:p>
        </w:tc>
        <w:tc>
          <w:tcPr>
            <w:tcW w:w="0" w:type="auto"/>
            <w:shd w:val="clear" w:color="auto" w:fill="auto"/>
          </w:tcPr>
          <w:p w14:paraId="0D8E0696" w14:textId="77777777" w:rsidR="004C2197" w:rsidRDefault="004C2197">
            <w:pPr>
              <w:rPr>
                <w:rFonts w:ascii="宋体"/>
              </w:rPr>
            </w:pPr>
          </w:p>
        </w:tc>
      </w:tr>
      <w:tr w:rsidR="004C2197" w14:paraId="0D8E06AC" w14:textId="77777777">
        <w:tc>
          <w:tcPr>
            <w:tcW w:w="0" w:type="auto"/>
            <w:gridSpan w:val="3"/>
            <w:shd w:val="clear" w:color="auto" w:fill="FFFFFF"/>
            <w:tcMar>
              <w:top w:w="40" w:type="dxa"/>
              <w:left w:w="20" w:type="dxa"/>
              <w:bottom w:w="40" w:type="dxa"/>
              <w:right w:w="20" w:type="dxa"/>
            </w:tcMar>
            <w:vAlign w:val="bottom"/>
          </w:tcPr>
          <w:p w14:paraId="0D8E0698" w14:textId="77777777" w:rsidR="004C2197" w:rsidRDefault="00863B83">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0D8E0699" w14:textId="77777777" w:rsidR="004C2197" w:rsidRDefault="00863B83">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left w:w="20" w:type="dxa"/>
              <w:right w:w="20" w:type="dxa"/>
            </w:tcMar>
            <w:vAlign w:val="bottom"/>
          </w:tcPr>
          <w:p w14:paraId="0D8E069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69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69C"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E069D" w14:textId="77777777" w:rsidR="004C2197" w:rsidRDefault="00863B83">
            <w:pPr>
              <w:textAlignment w:val="bottom"/>
            </w:pPr>
            <w:r>
              <w:rPr>
                <w:rFonts w:ascii="sans-serif" w:eastAsia="sans-serif" w:hAnsi="sans-serif" w:cs="sans-serif"/>
                <w:color w:val="EE2724"/>
                <w:sz w:val="20"/>
                <w:szCs w:val="20"/>
              </w:rPr>
              <w:t> </w:t>
            </w:r>
          </w:p>
        </w:tc>
        <w:tc>
          <w:tcPr>
            <w:tcW w:w="0" w:type="auto"/>
            <w:gridSpan w:val="3"/>
            <w:shd w:val="clear" w:color="auto" w:fill="FFFFFF"/>
            <w:tcMar>
              <w:left w:w="20" w:type="dxa"/>
              <w:right w:w="20" w:type="dxa"/>
            </w:tcMar>
            <w:vAlign w:val="bottom"/>
          </w:tcPr>
          <w:p w14:paraId="0D8E069E" w14:textId="77777777" w:rsidR="004C2197" w:rsidRDefault="004C2197">
            <w:pPr>
              <w:rPr>
                <w:rFonts w:ascii="宋体"/>
              </w:rPr>
            </w:pPr>
          </w:p>
        </w:tc>
        <w:tc>
          <w:tcPr>
            <w:tcW w:w="0" w:type="auto"/>
            <w:gridSpan w:val="3"/>
            <w:shd w:val="clear" w:color="auto" w:fill="FFFFFF"/>
            <w:tcMar>
              <w:top w:w="40" w:type="dxa"/>
              <w:left w:w="20" w:type="dxa"/>
              <w:bottom w:w="40" w:type="dxa"/>
              <w:right w:w="20" w:type="dxa"/>
            </w:tcMar>
            <w:vAlign w:val="bottom"/>
          </w:tcPr>
          <w:p w14:paraId="0D8E069F" w14:textId="77777777" w:rsidR="004C2197" w:rsidRDefault="00863B83">
            <w:pPr>
              <w:textAlignment w:val="bottom"/>
            </w:pPr>
            <w:r>
              <w:rPr>
                <w:rFonts w:ascii="sans-serif" w:eastAsia="sans-serif" w:hAnsi="sans-serif" w:cs="sans-serif"/>
                <w:color w:val="EE2724"/>
                <w:sz w:val="20"/>
                <w:szCs w:val="20"/>
              </w:rPr>
              <w:t> </w:t>
            </w:r>
          </w:p>
        </w:tc>
        <w:tc>
          <w:tcPr>
            <w:tcW w:w="0" w:type="auto"/>
            <w:shd w:val="clear" w:color="auto" w:fill="auto"/>
          </w:tcPr>
          <w:p w14:paraId="0D8E06A0" w14:textId="77777777" w:rsidR="004C2197" w:rsidRDefault="004C2197">
            <w:pPr>
              <w:rPr>
                <w:rFonts w:ascii="宋体"/>
              </w:rPr>
            </w:pPr>
          </w:p>
        </w:tc>
        <w:tc>
          <w:tcPr>
            <w:tcW w:w="0" w:type="auto"/>
            <w:shd w:val="clear" w:color="auto" w:fill="auto"/>
          </w:tcPr>
          <w:p w14:paraId="0D8E06A1" w14:textId="77777777" w:rsidR="004C2197" w:rsidRDefault="004C2197">
            <w:pPr>
              <w:rPr>
                <w:rFonts w:ascii="宋体"/>
              </w:rPr>
            </w:pPr>
          </w:p>
        </w:tc>
        <w:tc>
          <w:tcPr>
            <w:tcW w:w="0" w:type="auto"/>
            <w:shd w:val="clear" w:color="auto" w:fill="auto"/>
          </w:tcPr>
          <w:p w14:paraId="0D8E06A2" w14:textId="77777777" w:rsidR="004C2197" w:rsidRDefault="004C2197">
            <w:pPr>
              <w:rPr>
                <w:rFonts w:ascii="宋体"/>
              </w:rPr>
            </w:pPr>
          </w:p>
        </w:tc>
        <w:tc>
          <w:tcPr>
            <w:tcW w:w="0" w:type="auto"/>
            <w:shd w:val="clear" w:color="auto" w:fill="auto"/>
          </w:tcPr>
          <w:p w14:paraId="0D8E06A3" w14:textId="77777777" w:rsidR="004C2197" w:rsidRDefault="004C2197">
            <w:pPr>
              <w:rPr>
                <w:rFonts w:ascii="宋体"/>
              </w:rPr>
            </w:pPr>
          </w:p>
        </w:tc>
        <w:tc>
          <w:tcPr>
            <w:tcW w:w="0" w:type="auto"/>
            <w:shd w:val="clear" w:color="auto" w:fill="auto"/>
          </w:tcPr>
          <w:p w14:paraId="0D8E06A4" w14:textId="77777777" w:rsidR="004C2197" w:rsidRDefault="004C2197">
            <w:pPr>
              <w:rPr>
                <w:rFonts w:ascii="宋体"/>
              </w:rPr>
            </w:pPr>
          </w:p>
        </w:tc>
        <w:tc>
          <w:tcPr>
            <w:tcW w:w="0" w:type="auto"/>
            <w:shd w:val="clear" w:color="auto" w:fill="auto"/>
          </w:tcPr>
          <w:p w14:paraId="0D8E06A5" w14:textId="77777777" w:rsidR="004C2197" w:rsidRDefault="004C2197">
            <w:pPr>
              <w:rPr>
                <w:rFonts w:ascii="宋体"/>
              </w:rPr>
            </w:pPr>
          </w:p>
        </w:tc>
        <w:tc>
          <w:tcPr>
            <w:tcW w:w="0" w:type="auto"/>
            <w:shd w:val="clear" w:color="auto" w:fill="auto"/>
          </w:tcPr>
          <w:p w14:paraId="0D8E06A6" w14:textId="77777777" w:rsidR="004C2197" w:rsidRDefault="004C2197">
            <w:pPr>
              <w:rPr>
                <w:rFonts w:ascii="宋体"/>
              </w:rPr>
            </w:pPr>
          </w:p>
        </w:tc>
        <w:tc>
          <w:tcPr>
            <w:tcW w:w="0" w:type="auto"/>
            <w:shd w:val="clear" w:color="auto" w:fill="auto"/>
          </w:tcPr>
          <w:p w14:paraId="0D8E06A7" w14:textId="77777777" w:rsidR="004C2197" w:rsidRDefault="004C2197">
            <w:pPr>
              <w:rPr>
                <w:rFonts w:ascii="宋体"/>
              </w:rPr>
            </w:pPr>
          </w:p>
        </w:tc>
        <w:tc>
          <w:tcPr>
            <w:tcW w:w="0" w:type="auto"/>
            <w:shd w:val="clear" w:color="auto" w:fill="auto"/>
          </w:tcPr>
          <w:p w14:paraId="0D8E06A8" w14:textId="77777777" w:rsidR="004C2197" w:rsidRDefault="004C2197">
            <w:pPr>
              <w:rPr>
                <w:rFonts w:ascii="宋体"/>
              </w:rPr>
            </w:pPr>
          </w:p>
        </w:tc>
        <w:tc>
          <w:tcPr>
            <w:tcW w:w="0" w:type="auto"/>
            <w:shd w:val="clear" w:color="auto" w:fill="auto"/>
          </w:tcPr>
          <w:p w14:paraId="0D8E06A9" w14:textId="77777777" w:rsidR="004C2197" w:rsidRDefault="004C2197">
            <w:pPr>
              <w:rPr>
                <w:rFonts w:ascii="宋体"/>
              </w:rPr>
            </w:pPr>
          </w:p>
        </w:tc>
        <w:tc>
          <w:tcPr>
            <w:tcW w:w="0" w:type="auto"/>
            <w:shd w:val="clear" w:color="auto" w:fill="auto"/>
          </w:tcPr>
          <w:p w14:paraId="0D8E06AA" w14:textId="77777777" w:rsidR="004C2197" w:rsidRDefault="004C2197">
            <w:pPr>
              <w:rPr>
                <w:rFonts w:ascii="宋体"/>
              </w:rPr>
            </w:pPr>
          </w:p>
        </w:tc>
        <w:tc>
          <w:tcPr>
            <w:tcW w:w="0" w:type="auto"/>
            <w:shd w:val="clear" w:color="auto" w:fill="auto"/>
          </w:tcPr>
          <w:p w14:paraId="0D8E06AB" w14:textId="77777777" w:rsidR="004C2197" w:rsidRDefault="004C2197">
            <w:pPr>
              <w:rPr>
                <w:rFonts w:ascii="宋体"/>
              </w:rPr>
            </w:pPr>
          </w:p>
        </w:tc>
      </w:tr>
      <w:tr w:rsidR="004C2197" w14:paraId="0D8E06C5" w14:textId="77777777">
        <w:tc>
          <w:tcPr>
            <w:tcW w:w="0" w:type="auto"/>
            <w:gridSpan w:val="3"/>
            <w:shd w:val="clear" w:color="auto" w:fill="E2EFD9"/>
            <w:tcMar>
              <w:top w:w="40" w:type="dxa"/>
              <w:left w:w="20" w:type="dxa"/>
              <w:bottom w:w="40" w:type="dxa"/>
              <w:right w:w="20" w:type="dxa"/>
            </w:tcMar>
            <w:vAlign w:val="bottom"/>
          </w:tcPr>
          <w:p w14:paraId="0D8E06AD" w14:textId="77777777" w:rsidR="004C2197" w:rsidRDefault="00863B83">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0D8E06AE" w14:textId="77777777" w:rsidR="004C2197" w:rsidRDefault="00863B83">
            <w:pPr>
              <w:jc w:val="right"/>
              <w:textAlignment w:val="bottom"/>
            </w:pPr>
            <w:r>
              <w:rPr>
                <w:rFonts w:ascii="sans-serif" w:eastAsia="sans-serif" w:hAnsi="sans-serif" w:cs="sans-serif"/>
                <w:color w:val="000000"/>
                <w:sz w:val="20"/>
                <w:szCs w:val="20"/>
              </w:rPr>
              <w:t>25.8 </w:t>
            </w:r>
          </w:p>
        </w:tc>
        <w:tc>
          <w:tcPr>
            <w:tcW w:w="0" w:type="auto"/>
            <w:shd w:val="clear" w:color="auto" w:fill="E2EFD9"/>
            <w:tcMar>
              <w:top w:w="40" w:type="dxa"/>
              <w:bottom w:w="40" w:type="dxa"/>
              <w:right w:w="20" w:type="dxa"/>
            </w:tcMar>
            <w:vAlign w:val="bottom"/>
          </w:tcPr>
          <w:p w14:paraId="0D8E06A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B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6B1" w14:textId="77777777" w:rsidR="004C2197" w:rsidRDefault="00863B83">
            <w:pPr>
              <w:jc w:val="right"/>
              <w:textAlignment w:val="bottom"/>
            </w:pPr>
            <w:r>
              <w:rPr>
                <w:rFonts w:ascii="sans-serif" w:eastAsia="sans-serif" w:hAnsi="sans-serif" w:cs="sans-serif"/>
                <w:color w:val="000000"/>
                <w:sz w:val="20"/>
                <w:szCs w:val="20"/>
              </w:rPr>
              <w:t>27.3 </w:t>
            </w:r>
          </w:p>
        </w:tc>
        <w:tc>
          <w:tcPr>
            <w:tcW w:w="0" w:type="auto"/>
            <w:shd w:val="clear" w:color="auto" w:fill="E2EFD9"/>
            <w:tcMar>
              <w:top w:w="40" w:type="dxa"/>
              <w:bottom w:w="40" w:type="dxa"/>
              <w:right w:w="20" w:type="dxa"/>
            </w:tcMar>
            <w:vAlign w:val="bottom"/>
          </w:tcPr>
          <w:p w14:paraId="0D8E06B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B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6B4" w14:textId="77777777" w:rsidR="004C2197" w:rsidRDefault="00863B83">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bottom w:w="40" w:type="dxa"/>
              <w:right w:w="20" w:type="dxa"/>
            </w:tcMar>
            <w:vAlign w:val="bottom"/>
          </w:tcPr>
          <w:p w14:paraId="0D8E06B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B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6B7" w14:textId="77777777" w:rsidR="004C2197" w:rsidRDefault="00863B83">
            <w:pPr>
              <w:jc w:val="right"/>
              <w:textAlignment w:val="bottom"/>
            </w:pPr>
            <w:r>
              <w:rPr>
                <w:rFonts w:ascii="sans-serif" w:eastAsia="sans-serif" w:hAnsi="sans-serif" w:cs="sans-serif"/>
                <w:color w:val="000000"/>
                <w:sz w:val="20"/>
                <w:szCs w:val="20"/>
              </w:rPr>
              <w:t>28.7 </w:t>
            </w:r>
          </w:p>
        </w:tc>
        <w:tc>
          <w:tcPr>
            <w:tcW w:w="0" w:type="auto"/>
            <w:shd w:val="clear" w:color="auto" w:fill="E2EFD9"/>
            <w:tcMar>
              <w:top w:w="40" w:type="dxa"/>
              <w:bottom w:w="40" w:type="dxa"/>
              <w:right w:w="20" w:type="dxa"/>
            </w:tcMar>
            <w:vAlign w:val="bottom"/>
          </w:tcPr>
          <w:p w14:paraId="0D8E06B8" w14:textId="77777777" w:rsidR="004C2197" w:rsidRDefault="004C2197">
            <w:pPr>
              <w:jc w:val="right"/>
              <w:rPr>
                <w:rFonts w:ascii="宋体"/>
              </w:rPr>
            </w:pPr>
          </w:p>
        </w:tc>
        <w:tc>
          <w:tcPr>
            <w:tcW w:w="0" w:type="auto"/>
            <w:shd w:val="clear" w:color="auto" w:fill="auto"/>
          </w:tcPr>
          <w:p w14:paraId="0D8E06B9" w14:textId="77777777" w:rsidR="004C2197" w:rsidRDefault="004C2197">
            <w:pPr>
              <w:rPr>
                <w:rFonts w:ascii="宋体"/>
              </w:rPr>
            </w:pPr>
          </w:p>
        </w:tc>
        <w:tc>
          <w:tcPr>
            <w:tcW w:w="0" w:type="auto"/>
            <w:shd w:val="clear" w:color="auto" w:fill="auto"/>
          </w:tcPr>
          <w:p w14:paraId="0D8E06BA" w14:textId="77777777" w:rsidR="004C2197" w:rsidRDefault="004C2197">
            <w:pPr>
              <w:rPr>
                <w:rFonts w:ascii="宋体"/>
              </w:rPr>
            </w:pPr>
          </w:p>
        </w:tc>
        <w:tc>
          <w:tcPr>
            <w:tcW w:w="0" w:type="auto"/>
            <w:shd w:val="clear" w:color="auto" w:fill="auto"/>
          </w:tcPr>
          <w:p w14:paraId="0D8E06BB" w14:textId="77777777" w:rsidR="004C2197" w:rsidRDefault="004C2197">
            <w:pPr>
              <w:rPr>
                <w:rFonts w:ascii="宋体"/>
              </w:rPr>
            </w:pPr>
          </w:p>
        </w:tc>
        <w:tc>
          <w:tcPr>
            <w:tcW w:w="0" w:type="auto"/>
            <w:shd w:val="clear" w:color="auto" w:fill="auto"/>
          </w:tcPr>
          <w:p w14:paraId="0D8E06BC" w14:textId="77777777" w:rsidR="004C2197" w:rsidRDefault="004C2197">
            <w:pPr>
              <w:rPr>
                <w:rFonts w:ascii="宋体"/>
              </w:rPr>
            </w:pPr>
          </w:p>
        </w:tc>
        <w:tc>
          <w:tcPr>
            <w:tcW w:w="0" w:type="auto"/>
            <w:shd w:val="clear" w:color="auto" w:fill="auto"/>
          </w:tcPr>
          <w:p w14:paraId="0D8E06BD" w14:textId="77777777" w:rsidR="004C2197" w:rsidRDefault="004C2197">
            <w:pPr>
              <w:rPr>
                <w:rFonts w:ascii="宋体"/>
              </w:rPr>
            </w:pPr>
          </w:p>
        </w:tc>
        <w:tc>
          <w:tcPr>
            <w:tcW w:w="0" w:type="auto"/>
            <w:shd w:val="clear" w:color="auto" w:fill="auto"/>
          </w:tcPr>
          <w:p w14:paraId="0D8E06BE" w14:textId="77777777" w:rsidR="004C2197" w:rsidRDefault="004C2197">
            <w:pPr>
              <w:rPr>
                <w:rFonts w:ascii="宋体"/>
              </w:rPr>
            </w:pPr>
          </w:p>
        </w:tc>
        <w:tc>
          <w:tcPr>
            <w:tcW w:w="0" w:type="auto"/>
            <w:shd w:val="clear" w:color="auto" w:fill="auto"/>
          </w:tcPr>
          <w:p w14:paraId="0D8E06BF" w14:textId="77777777" w:rsidR="004C2197" w:rsidRDefault="004C2197">
            <w:pPr>
              <w:rPr>
                <w:rFonts w:ascii="宋体"/>
              </w:rPr>
            </w:pPr>
          </w:p>
        </w:tc>
        <w:tc>
          <w:tcPr>
            <w:tcW w:w="0" w:type="auto"/>
            <w:shd w:val="clear" w:color="auto" w:fill="auto"/>
          </w:tcPr>
          <w:p w14:paraId="0D8E06C0" w14:textId="77777777" w:rsidR="004C2197" w:rsidRDefault="004C2197">
            <w:pPr>
              <w:rPr>
                <w:rFonts w:ascii="宋体"/>
              </w:rPr>
            </w:pPr>
          </w:p>
        </w:tc>
        <w:tc>
          <w:tcPr>
            <w:tcW w:w="0" w:type="auto"/>
            <w:shd w:val="clear" w:color="auto" w:fill="auto"/>
          </w:tcPr>
          <w:p w14:paraId="0D8E06C1" w14:textId="77777777" w:rsidR="004C2197" w:rsidRDefault="004C2197">
            <w:pPr>
              <w:rPr>
                <w:rFonts w:ascii="宋体"/>
              </w:rPr>
            </w:pPr>
          </w:p>
        </w:tc>
        <w:tc>
          <w:tcPr>
            <w:tcW w:w="0" w:type="auto"/>
            <w:shd w:val="clear" w:color="auto" w:fill="auto"/>
          </w:tcPr>
          <w:p w14:paraId="0D8E06C2" w14:textId="77777777" w:rsidR="004C2197" w:rsidRDefault="004C2197">
            <w:pPr>
              <w:rPr>
                <w:rFonts w:ascii="宋体"/>
              </w:rPr>
            </w:pPr>
          </w:p>
        </w:tc>
        <w:tc>
          <w:tcPr>
            <w:tcW w:w="0" w:type="auto"/>
            <w:shd w:val="clear" w:color="auto" w:fill="auto"/>
          </w:tcPr>
          <w:p w14:paraId="0D8E06C3" w14:textId="77777777" w:rsidR="004C2197" w:rsidRDefault="004C2197">
            <w:pPr>
              <w:rPr>
                <w:rFonts w:ascii="宋体"/>
              </w:rPr>
            </w:pPr>
          </w:p>
        </w:tc>
        <w:tc>
          <w:tcPr>
            <w:tcW w:w="0" w:type="auto"/>
            <w:shd w:val="clear" w:color="auto" w:fill="auto"/>
          </w:tcPr>
          <w:p w14:paraId="0D8E06C4" w14:textId="77777777" w:rsidR="004C2197" w:rsidRDefault="004C2197">
            <w:pPr>
              <w:rPr>
                <w:rFonts w:ascii="宋体"/>
              </w:rPr>
            </w:pPr>
          </w:p>
        </w:tc>
      </w:tr>
      <w:tr w:rsidR="004C2197" w14:paraId="0D8E06DE" w14:textId="77777777">
        <w:tc>
          <w:tcPr>
            <w:tcW w:w="0" w:type="auto"/>
            <w:gridSpan w:val="3"/>
            <w:shd w:val="clear" w:color="auto" w:fill="FFFFFF"/>
            <w:tcMar>
              <w:top w:w="40" w:type="dxa"/>
              <w:left w:w="20" w:type="dxa"/>
              <w:bottom w:w="40" w:type="dxa"/>
              <w:right w:w="20" w:type="dxa"/>
            </w:tcMar>
            <w:vAlign w:val="bottom"/>
          </w:tcPr>
          <w:p w14:paraId="0D8E06C6" w14:textId="77777777" w:rsidR="004C2197" w:rsidRDefault="00863B83">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0D8E06C7" w14:textId="77777777" w:rsidR="004C2197" w:rsidRDefault="00863B83">
            <w:pPr>
              <w:jc w:val="right"/>
              <w:textAlignment w:val="bottom"/>
            </w:pPr>
            <w:r>
              <w:rPr>
                <w:rFonts w:ascii="sans-serif" w:eastAsia="sans-serif" w:hAnsi="sans-serif" w:cs="sans-serif"/>
                <w:color w:val="000000"/>
                <w:sz w:val="20"/>
                <w:szCs w:val="20"/>
              </w:rPr>
              <w:t>16.2 </w:t>
            </w:r>
          </w:p>
        </w:tc>
        <w:tc>
          <w:tcPr>
            <w:tcW w:w="0" w:type="auto"/>
            <w:shd w:val="clear" w:color="auto" w:fill="FFFFFF"/>
            <w:tcMar>
              <w:top w:w="40" w:type="dxa"/>
              <w:bottom w:w="40" w:type="dxa"/>
              <w:right w:w="20" w:type="dxa"/>
            </w:tcMar>
            <w:vAlign w:val="bottom"/>
          </w:tcPr>
          <w:p w14:paraId="0D8E06C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C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CA" w14:textId="77777777" w:rsidR="004C2197" w:rsidRDefault="00863B83">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bottom w:w="40" w:type="dxa"/>
              <w:right w:w="20" w:type="dxa"/>
            </w:tcMar>
            <w:vAlign w:val="bottom"/>
          </w:tcPr>
          <w:p w14:paraId="0D8E06C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C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CD" w14:textId="77777777" w:rsidR="004C2197" w:rsidRDefault="00863B83">
            <w:pPr>
              <w:jc w:val="right"/>
              <w:textAlignment w:val="bottom"/>
            </w:pPr>
            <w:r>
              <w:rPr>
                <w:rFonts w:ascii="sans-serif" w:eastAsia="sans-serif" w:hAnsi="sans-serif" w:cs="sans-serif"/>
                <w:color w:val="000000"/>
                <w:sz w:val="20"/>
                <w:szCs w:val="20"/>
              </w:rPr>
              <w:t>13.3 </w:t>
            </w:r>
          </w:p>
        </w:tc>
        <w:tc>
          <w:tcPr>
            <w:tcW w:w="0" w:type="auto"/>
            <w:shd w:val="clear" w:color="auto" w:fill="FFFFFF"/>
            <w:tcMar>
              <w:top w:w="40" w:type="dxa"/>
              <w:bottom w:w="40" w:type="dxa"/>
              <w:right w:w="20" w:type="dxa"/>
            </w:tcMar>
            <w:vAlign w:val="bottom"/>
          </w:tcPr>
          <w:p w14:paraId="0D8E06C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6C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6D0" w14:textId="77777777" w:rsidR="004C2197" w:rsidRDefault="00863B83">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bottom w:w="40" w:type="dxa"/>
              <w:right w:w="20" w:type="dxa"/>
            </w:tcMar>
            <w:vAlign w:val="bottom"/>
          </w:tcPr>
          <w:p w14:paraId="0D8E06D1" w14:textId="77777777" w:rsidR="004C2197" w:rsidRDefault="004C2197">
            <w:pPr>
              <w:jc w:val="right"/>
              <w:rPr>
                <w:rFonts w:ascii="宋体"/>
              </w:rPr>
            </w:pPr>
          </w:p>
        </w:tc>
        <w:tc>
          <w:tcPr>
            <w:tcW w:w="0" w:type="auto"/>
            <w:shd w:val="clear" w:color="auto" w:fill="auto"/>
          </w:tcPr>
          <w:p w14:paraId="0D8E06D2" w14:textId="77777777" w:rsidR="004C2197" w:rsidRDefault="004C2197">
            <w:pPr>
              <w:rPr>
                <w:rFonts w:ascii="宋体"/>
              </w:rPr>
            </w:pPr>
          </w:p>
        </w:tc>
        <w:tc>
          <w:tcPr>
            <w:tcW w:w="0" w:type="auto"/>
            <w:shd w:val="clear" w:color="auto" w:fill="auto"/>
          </w:tcPr>
          <w:p w14:paraId="0D8E06D3" w14:textId="77777777" w:rsidR="004C2197" w:rsidRDefault="004C2197">
            <w:pPr>
              <w:rPr>
                <w:rFonts w:ascii="宋体"/>
              </w:rPr>
            </w:pPr>
          </w:p>
        </w:tc>
        <w:tc>
          <w:tcPr>
            <w:tcW w:w="0" w:type="auto"/>
            <w:shd w:val="clear" w:color="auto" w:fill="auto"/>
          </w:tcPr>
          <w:p w14:paraId="0D8E06D4" w14:textId="77777777" w:rsidR="004C2197" w:rsidRDefault="004C2197">
            <w:pPr>
              <w:rPr>
                <w:rFonts w:ascii="宋体"/>
              </w:rPr>
            </w:pPr>
          </w:p>
        </w:tc>
        <w:tc>
          <w:tcPr>
            <w:tcW w:w="0" w:type="auto"/>
            <w:shd w:val="clear" w:color="auto" w:fill="auto"/>
          </w:tcPr>
          <w:p w14:paraId="0D8E06D5" w14:textId="77777777" w:rsidR="004C2197" w:rsidRDefault="004C2197">
            <w:pPr>
              <w:rPr>
                <w:rFonts w:ascii="宋体"/>
              </w:rPr>
            </w:pPr>
          </w:p>
        </w:tc>
        <w:tc>
          <w:tcPr>
            <w:tcW w:w="0" w:type="auto"/>
            <w:shd w:val="clear" w:color="auto" w:fill="auto"/>
          </w:tcPr>
          <w:p w14:paraId="0D8E06D6" w14:textId="77777777" w:rsidR="004C2197" w:rsidRDefault="004C2197">
            <w:pPr>
              <w:rPr>
                <w:rFonts w:ascii="宋体"/>
              </w:rPr>
            </w:pPr>
          </w:p>
        </w:tc>
        <w:tc>
          <w:tcPr>
            <w:tcW w:w="0" w:type="auto"/>
            <w:shd w:val="clear" w:color="auto" w:fill="auto"/>
          </w:tcPr>
          <w:p w14:paraId="0D8E06D7" w14:textId="77777777" w:rsidR="004C2197" w:rsidRDefault="004C2197">
            <w:pPr>
              <w:rPr>
                <w:rFonts w:ascii="宋体"/>
              </w:rPr>
            </w:pPr>
          </w:p>
        </w:tc>
        <w:tc>
          <w:tcPr>
            <w:tcW w:w="0" w:type="auto"/>
            <w:shd w:val="clear" w:color="auto" w:fill="auto"/>
          </w:tcPr>
          <w:p w14:paraId="0D8E06D8" w14:textId="77777777" w:rsidR="004C2197" w:rsidRDefault="004C2197">
            <w:pPr>
              <w:rPr>
                <w:rFonts w:ascii="宋体"/>
              </w:rPr>
            </w:pPr>
          </w:p>
        </w:tc>
        <w:tc>
          <w:tcPr>
            <w:tcW w:w="0" w:type="auto"/>
            <w:shd w:val="clear" w:color="auto" w:fill="auto"/>
          </w:tcPr>
          <w:p w14:paraId="0D8E06D9" w14:textId="77777777" w:rsidR="004C2197" w:rsidRDefault="004C2197">
            <w:pPr>
              <w:rPr>
                <w:rFonts w:ascii="宋体"/>
              </w:rPr>
            </w:pPr>
          </w:p>
        </w:tc>
        <w:tc>
          <w:tcPr>
            <w:tcW w:w="0" w:type="auto"/>
            <w:shd w:val="clear" w:color="auto" w:fill="auto"/>
          </w:tcPr>
          <w:p w14:paraId="0D8E06DA" w14:textId="77777777" w:rsidR="004C2197" w:rsidRDefault="004C2197">
            <w:pPr>
              <w:rPr>
                <w:rFonts w:ascii="宋体"/>
              </w:rPr>
            </w:pPr>
          </w:p>
        </w:tc>
        <w:tc>
          <w:tcPr>
            <w:tcW w:w="0" w:type="auto"/>
            <w:shd w:val="clear" w:color="auto" w:fill="auto"/>
          </w:tcPr>
          <w:p w14:paraId="0D8E06DB" w14:textId="77777777" w:rsidR="004C2197" w:rsidRDefault="004C2197">
            <w:pPr>
              <w:rPr>
                <w:rFonts w:ascii="宋体"/>
              </w:rPr>
            </w:pPr>
          </w:p>
        </w:tc>
        <w:tc>
          <w:tcPr>
            <w:tcW w:w="0" w:type="auto"/>
            <w:shd w:val="clear" w:color="auto" w:fill="auto"/>
          </w:tcPr>
          <w:p w14:paraId="0D8E06DC" w14:textId="77777777" w:rsidR="004C2197" w:rsidRDefault="004C2197">
            <w:pPr>
              <w:rPr>
                <w:rFonts w:ascii="宋体"/>
              </w:rPr>
            </w:pPr>
          </w:p>
        </w:tc>
        <w:tc>
          <w:tcPr>
            <w:tcW w:w="0" w:type="auto"/>
            <w:shd w:val="clear" w:color="auto" w:fill="auto"/>
          </w:tcPr>
          <w:p w14:paraId="0D8E06DD" w14:textId="77777777" w:rsidR="004C2197" w:rsidRDefault="004C2197">
            <w:pPr>
              <w:rPr>
                <w:rFonts w:ascii="宋体"/>
              </w:rPr>
            </w:pPr>
          </w:p>
        </w:tc>
      </w:tr>
      <w:tr w:rsidR="004C2197" w14:paraId="0D8E06F3" w14:textId="77777777">
        <w:trPr>
          <w:hidden/>
        </w:trPr>
        <w:tc>
          <w:tcPr>
            <w:tcW w:w="0" w:type="auto"/>
            <w:gridSpan w:val="3"/>
            <w:shd w:val="clear" w:color="auto" w:fill="auto"/>
          </w:tcPr>
          <w:p w14:paraId="0D8E06DF" w14:textId="77777777" w:rsidR="004C2197" w:rsidRDefault="004C2197">
            <w:pPr>
              <w:rPr>
                <w:rFonts w:ascii="宋体"/>
                <w:vanish/>
              </w:rPr>
            </w:pPr>
          </w:p>
        </w:tc>
        <w:tc>
          <w:tcPr>
            <w:tcW w:w="0" w:type="auto"/>
            <w:gridSpan w:val="3"/>
            <w:shd w:val="clear" w:color="auto" w:fill="auto"/>
          </w:tcPr>
          <w:p w14:paraId="0D8E06E0" w14:textId="77777777" w:rsidR="004C2197" w:rsidRDefault="004C2197">
            <w:pPr>
              <w:rPr>
                <w:rFonts w:ascii="宋体"/>
                <w:vanish/>
              </w:rPr>
            </w:pPr>
          </w:p>
        </w:tc>
        <w:tc>
          <w:tcPr>
            <w:tcW w:w="0" w:type="auto"/>
            <w:gridSpan w:val="3"/>
            <w:shd w:val="clear" w:color="auto" w:fill="auto"/>
          </w:tcPr>
          <w:p w14:paraId="0D8E06E1" w14:textId="77777777" w:rsidR="004C2197" w:rsidRDefault="004C2197">
            <w:pPr>
              <w:rPr>
                <w:rFonts w:ascii="宋体"/>
                <w:vanish/>
              </w:rPr>
            </w:pPr>
          </w:p>
        </w:tc>
        <w:tc>
          <w:tcPr>
            <w:tcW w:w="0" w:type="auto"/>
            <w:gridSpan w:val="3"/>
            <w:shd w:val="clear" w:color="auto" w:fill="auto"/>
          </w:tcPr>
          <w:p w14:paraId="0D8E06E2" w14:textId="77777777" w:rsidR="004C2197" w:rsidRDefault="004C2197">
            <w:pPr>
              <w:rPr>
                <w:rFonts w:ascii="宋体"/>
                <w:vanish/>
              </w:rPr>
            </w:pPr>
          </w:p>
        </w:tc>
        <w:tc>
          <w:tcPr>
            <w:tcW w:w="0" w:type="auto"/>
            <w:gridSpan w:val="3"/>
            <w:shd w:val="clear" w:color="auto" w:fill="auto"/>
          </w:tcPr>
          <w:p w14:paraId="0D8E06E3" w14:textId="77777777" w:rsidR="004C2197" w:rsidRDefault="004C2197">
            <w:pPr>
              <w:rPr>
                <w:rFonts w:ascii="宋体"/>
                <w:vanish/>
              </w:rPr>
            </w:pPr>
          </w:p>
        </w:tc>
        <w:tc>
          <w:tcPr>
            <w:tcW w:w="0" w:type="auto"/>
            <w:gridSpan w:val="3"/>
            <w:shd w:val="clear" w:color="auto" w:fill="auto"/>
          </w:tcPr>
          <w:p w14:paraId="0D8E06E4" w14:textId="77777777" w:rsidR="004C2197" w:rsidRDefault="004C2197">
            <w:pPr>
              <w:rPr>
                <w:rFonts w:ascii="宋体"/>
                <w:vanish/>
              </w:rPr>
            </w:pPr>
          </w:p>
        </w:tc>
        <w:tc>
          <w:tcPr>
            <w:tcW w:w="0" w:type="auto"/>
            <w:gridSpan w:val="3"/>
            <w:shd w:val="clear" w:color="auto" w:fill="auto"/>
          </w:tcPr>
          <w:p w14:paraId="0D8E06E5" w14:textId="77777777" w:rsidR="004C2197" w:rsidRDefault="004C2197">
            <w:pPr>
              <w:rPr>
                <w:rFonts w:ascii="宋体"/>
                <w:vanish/>
              </w:rPr>
            </w:pPr>
          </w:p>
        </w:tc>
        <w:tc>
          <w:tcPr>
            <w:tcW w:w="0" w:type="auto"/>
            <w:gridSpan w:val="3"/>
            <w:shd w:val="clear" w:color="auto" w:fill="auto"/>
          </w:tcPr>
          <w:p w14:paraId="0D8E06E6" w14:textId="77777777" w:rsidR="004C2197" w:rsidRDefault="004C2197">
            <w:pPr>
              <w:rPr>
                <w:rFonts w:ascii="宋体"/>
                <w:vanish/>
              </w:rPr>
            </w:pPr>
          </w:p>
        </w:tc>
        <w:tc>
          <w:tcPr>
            <w:tcW w:w="0" w:type="auto"/>
            <w:shd w:val="clear" w:color="auto" w:fill="auto"/>
          </w:tcPr>
          <w:p w14:paraId="0D8E06E7" w14:textId="77777777" w:rsidR="004C2197" w:rsidRDefault="004C2197">
            <w:pPr>
              <w:rPr>
                <w:rFonts w:ascii="宋体"/>
              </w:rPr>
            </w:pPr>
          </w:p>
        </w:tc>
        <w:tc>
          <w:tcPr>
            <w:tcW w:w="0" w:type="auto"/>
            <w:shd w:val="clear" w:color="auto" w:fill="auto"/>
          </w:tcPr>
          <w:p w14:paraId="0D8E06E8" w14:textId="77777777" w:rsidR="004C2197" w:rsidRDefault="004C2197">
            <w:pPr>
              <w:rPr>
                <w:rFonts w:ascii="宋体"/>
              </w:rPr>
            </w:pPr>
          </w:p>
        </w:tc>
        <w:tc>
          <w:tcPr>
            <w:tcW w:w="0" w:type="auto"/>
            <w:shd w:val="clear" w:color="auto" w:fill="auto"/>
          </w:tcPr>
          <w:p w14:paraId="0D8E06E9" w14:textId="77777777" w:rsidR="004C2197" w:rsidRDefault="004C2197">
            <w:pPr>
              <w:rPr>
                <w:rFonts w:ascii="宋体"/>
              </w:rPr>
            </w:pPr>
          </w:p>
        </w:tc>
        <w:tc>
          <w:tcPr>
            <w:tcW w:w="0" w:type="auto"/>
            <w:shd w:val="clear" w:color="auto" w:fill="auto"/>
          </w:tcPr>
          <w:p w14:paraId="0D8E06EA" w14:textId="77777777" w:rsidR="004C2197" w:rsidRDefault="004C2197">
            <w:pPr>
              <w:rPr>
                <w:rFonts w:ascii="宋体"/>
              </w:rPr>
            </w:pPr>
          </w:p>
        </w:tc>
        <w:tc>
          <w:tcPr>
            <w:tcW w:w="0" w:type="auto"/>
            <w:shd w:val="clear" w:color="auto" w:fill="auto"/>
          </w:tcPr>
          <w:p w14:paraId="0D8E06EB" w14:textId="77777777" w:rsidR="004C2197" w:rsidRDefault="004C2197">
            <w:pPr>
              <w:rPr>
                <w:rFonts w:ascii="宋体"/>
              </w:rPr>
            </w:pPr>
          </w:p>
        </w:tc>
        <w:tc>
          <w:tcPr>
            <w:tcW w:w="0" w:type="auto"/>
            <w:shd w:val="clear" w:color="auto" w:fill="auto"/>
          </w:tcPr>
          <w:p w14:paraId="0D8E06EC" w14:textId="77777777" w:rsidR="004C2197" w:rsidRDefault="004C2197">
            <w:pPr>
              <w:rPr>
                <w:rFonts w:ascii="宋体"/>
              </w:rPr>
            </w:pPr>
          </w:p>
        </w:tc>
        <w:tc>
          <w:tcPr>
            <w:tcW w:w="0" w:type="auto"/>
            <w:shd w:val="clear" w:color="auto" w:fill="auto"/>
          </w:tcPr>
          <w:p w14:paraId="0D8E06ED" w14:textId="77777777" w:rsidR="004C2197" w:rsidRDefault="004C2197">
            <w:pPr>
              <w:rPr>
                <w:rFonts w:ascii="宋体"/>
              </w:rPr>
            </w:pPr>
          </w:p>
        </w:tc>
        <w:tc>
          <w:tcPr>
            <w:tcW w:w="0" w:type="auto"/>
            <w:shd w:val="clear" w:color="auto" w:fill="auto"/>
          </w:tcPr>
          <w:p w14:paraId="0D8E06EE" w14:textId="77777777" w:rsidR="004C2197" w:rsidRDefault="004C2197">
            <w:pPr>
              <w:rPr>
                <w:rFonts w:ascii="宋体"/>
              </w:rPr>
            </w:pPr>
          </w:p>
        </w:tc>
        <w:tc>
          <w:tcPr>
            <w:tcW w:w="0" w:type="auto"/>
            <w:shd w:val="clear" w:color="auto" w:fill="auto"/>
          </w:tcPr>
          <w:p w14:paraId="0D8E06EF" w14:textId="77777777" w:rsidR="004C2197" w:rsidRDefault="004C2197">
            <w:pPr>
              <w:rPr>
                <w:rFonts w:ascii="宋体"/>
              </w:rPr>
            </w:pPr>
          </w:p>
        </w:tc>
        <w:tc>
          <w:tcPr>
            <w:tcW w:w="0" w:type="auto"/>
            <w:shd w:val="clear" w:color="auto" w:fill="auto"/>
          </w:tcPr>
          <w:p w14:paraId="0D8E06F0" w14:textId="77777777" w:rsidR="004C2197" w:rsidRDefault="004C2197">
            <w:pPr>
              <w:rPr>
                <w:rFonts w:ascii="宋体"/>
              </w:rPr>
            </w:pPr>
          </w:p>
        </w:tc>
        <w:tc>
          <w:tcPr>
            <w:tcW w:w="0" w:type="auto"/>
            <w:shd w:val="clear" w:color="auto" w:fill="auto"/>
          </w:tcPr>
          <w:p w14:paraId="0D8E06F1" w14:textId="77777777" w:rsidR="004C2197" w:rsidRDefault="004C2197">
            <w:pPr>
              <w:rPr>
                <w:rFonts w:ascii="宋体"/>
              </w:rPr>
            </w:pPr>
          </w:p>
        </w:tc>
        <w:tc>
          <w:tcPr>
            <w:tcW w:w="0" w:type="auto"/>
            <w:shd w:val="clear" w:color="auto" w:fill="auto"/>
          </w:tcPr>
          <w:p w14:paraId="0D8E06F2" w14:textId="77777777" w:rsidR="004C2197" w:rsidRDefault="004C2197">
            <w:pPr>
              <w:rPr>
                <w:rFonts w:ascii="宋体"/>
              </w:rPr>
            </w:pPr>
          </w:p>
        </w:tc>
      </w:tr>
      <w:tr w:rsidR="004C2197" w14:paraId="0D8E070C" w14:textId="77777777">
        <w:tc>
          <w:tcPr>
            <w:tcW w:w="0" w:type="auto"/>
            <w:gridSpan w:val="3"/>
            <w:shd w:val="clear" w:color="auto" w:fill="E2EFD9"/>
            <w:tcMar>
              <w:top w:w="40" w:type="dxa"/>
              <w:left w:w="20" w:type="dxa"/>
              <w:bottom w:w="40" w:type="dxa"/>
              <w:right w:w="20" w:type="dxa"/>
            </w:tcMar>
            <w:vAlign w:val="bottom"/>
          </w:tcPr>
          <w:p w14:paraId="0D8E06F4" w14:textId="77777777" w:rsidR="004C2197" w:rsidRDefault="00863B83">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F5" w14:textId="77777777" w:rsidR="004C2197" w:rsidRDefault="00863B83">
            <w:pPr>
              <w:jc w:val="right"/>
              <w:textAlignment w:val="bottom"/>
            </w:pPr>
            <w:r>
              <w:rPr>
                <w:rFonts w:ascii="sans-serif" w:eastAsia="sans-serif" w:hAnsi="sans-serif" w:cs="sans-serif"/>
                <w:color w:val="000000"/>
                <w:sz w:val="20"/>
                <w:szCs w:val="20"/>
              </w:rPr>
              <w:t>42.0 </w:t>
            </w:r>
          </w:p>
        </w:tc>
        <w:tc>
          <w:tcPr>
            <w:tcW w:w="0" w:type="auto"/>
            <w:tcBorders>
              <w:top w:val="single" w:sz="8" w:space="0" w:color="000000"/>
            </w:tcBorders>
            <w:shd w:val="clear" w:color="auto" w:fill="E2EFD9"/>
            <w:tcMar>
              <w:top w:w="40" w:type="dxa"/>
              <w:bottom w:w="40" w:type="dxa"/>
              <w:right w:w="20" w:type="dxa"/>
            </w:tcMar>
            <w:vAlign w:val="bottom"/>
          </w:tcPr>
          <w:p w14:paraId="0D8E06F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F7"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F8" w14:textId="77777777" w:rsidR="004C2197" w:rsidRDefault="00863B83">
            <w:pPr>
              <w:jc w:val="right"/>
              <w:textAlignment w:val="bottom"/>
            </w:pPr>
            <w:r>
              <w:rPr>
                <w:rFonts w:ascii="sans-serif" w:eastAsia="sans-serif" w:hAnsi="sans-serif" w:cs="sans-serif"/>
                <w:color w:val="000000"/>
                <w:sz w:val="20"/>
                <w:szCs w:val="20"/>
              </w:rPr>
              <w:t>37.6 </w:t>
            </w:r>
          </w:p>
        </w:tc>
        <w:tc>
          <w:tcPr>
            <w:tcW w:w="0" w:type="auto"/>
            <w:tcBorders>
              <w:top w:val="single" w:sz="8" w:space="0" w:color="000000"/>
            </w:tcBorders>
            <w:shd w:val="clear" w:color="auto" w:fill="E2EFD9"/>
            <w:tcMar>
              <w:top w:w="40" w:type="dxa"/>
              <w:bottom w:w="40" w:type="dxa"/>
              <w:right w:w="20" w:type="dxa"/>
            </w:tcMar>
            <w:vAlign w:val="bottom"/>
          </w:tcPr>
          <w:p w14:paraId="0D8E06F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FA"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FB" w14:textId="77777777" w:rsidR="004C2197" w:rsidRDefault="00863B83">
            <w:pPr>
              <w:jc w:val="right"/>
              <w:textAlignment w:val="bottom"/>
            </w:pPr>
            <w:r>
              <w:rPr>
                <w:rFonts w:ascii="sans-serif" w:eastAsia="sans-serif" w:hAnsi="sans-serif" w:cs="sans-serif"/>
                <w:color w:val="000000"/>
                <w:sz w:val="20"/>
                <w:szCs w:val="20"/>
              </w:rPr>
              <w:t>38.2 </w:t>
            </w:r>
          </w:p>
        </w:tc>
        <w:tc>
          <w:tcPr>
            <w:tcW w:w="0" w:type="auto"/>
            <w:tcBorders>
              <w:top w:val="single" w:sz="8" w:space="0" w:color="000000"/>
            </w:tcBorders>
            <w:shd w:val="clear" w:color="auto" w:fill="E2EFD9"/>
            <w:tcMar>
              <w:top w:w="40" w:type="dxa"/>
              <w:bottom w:w="40" w:type="dxa"/>
              <w:right w:w="20" w:type="dxa"/>
            </w:tcMar>
            <w:vAlign w:val="bottom"/>
          </w:tcPr>
          <w:p w14:paraId="0D8E06F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6FD"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6FE" w14:textId="77777777" w:rsidR="004C2197" w:rsidRDefault="00863B83">
            <w:pPr>
              <w:jc w:val="right"/>
              <w:textAlignment w:val="bottom"/>
            </w:pPr>
            <w:r>
              <w:rPr>
                <w:rFonts w:ascii="sans-serif" w:eastAsia="sans-serif" w:hAnsi="sans-serif" w:cs="sans-serif"/>
                <w:color w:val="000000"/>
                <w:sz w:val="20"/>
                <w:szCs w:val="20"/>
              </w:rPr>
              <w:t>39.7 </w:t>
            </w:r>
          </w:p>
        </w:tc>
        <w:tc>
          <w:tcPr>
            <w:tcW w:w="0" w:type="auto"/>
            <w:tcBorders>
              <w:top w:val="single" w:sz="8" w:space="0" w:color="000000"/>
            </w:tcBorders>
            <w:shd w:val="clear" w:color="auto" w:fill="E2EFD9"/>
            <w:tcMar>
              <w:top w:w="40" w:type="dxa"/>
              <w:bottom w:w="40" w:type="dxa"/>
              <w:right w:w="20" w:type="dxa"/>
            </w:tcMar>
            <w:vAlign w:val="bottom"/>
          </w:tcPr>
          <w:p w14:paraId="0D8E06FF" w14:textId="77777777" w:rsidR="004C2197" w:rsidRDefault="004C2197">
            <w:pPr>
              <w:jc w:val="right"/>
              <w:rPr>
                <w:rFonts w:ascii="宋体"/>
              </w:rPr>
            </w:pPr>
          </w:p>
        </w:tc>
        <w:tc>
          <w:tcPr>
            <w:tcW w:w="0" w:type="auto"/>
            <w:shd w:val="clear" w:color="auto" w:fill="auto"/>
          </w:tcPr>
          <w:p w14:paraId="0D8E0700" w14:textId="77777777" w:rsidR="004C2197" w:rsidRDefault="004C2197">
            <w:pPr>
              <w:rPr>
                <w:rFonts w:ascii="宋体"/>
              </w:rPr>
            </w:pPr>
          </w:p>
        </w:tc>
        <w:tc>
          <w:tcPr>
            <w:tcW w:w="0" w:type="auto"/>
            <w:shd w:val="clear" w:color="auto" w:fill="auto"/>
          </w:tcPr>
          <w:p w14:paraId="0D8E0701" w14:textId="77777777" w:rsidR="004C2197" w:rsidRDefault="004C2197">
            <w:pPr>
              <w:rPr>
                <w:rFonts w:ascii="宋体"/>
              </w:rPr>
            </w:pPr>
          </w:p>
        </w:tc>
        <w:tc>
          <w:tcPr>
            <w:tcW w:w="0" w:type="auto"/>
            <w:shd w:val="clear" w:color="auto" w:fill="auto"/>
          </w:tcPr>
          <w:p w14:paraId="0D8E0702" w14:textId="77777777" w:rsidR="004C2197" w:rsidRDefault="004C2197">
            <w:pPr>
              <w:rPr>
                <w:rFonts w:ascii="宋体"/>
              </w:rPr>
            </w:pPr>
          </w:p>
        </w:tc>
        <w:tc>
          <w:tcPr>
            <w:tcW w:w="0" w:type="auto"/>
            <w:shd w:val="clear" w:color="auto" w:fill="auto"/>
          </w:tcPr>
          <w:p w14:paraId="0D8E0703" w14:textId="77777777" w:rsidR="004C2197" w:rsidRDefault="004C2197">
            <w:pPr>
              <w:rPr>
                <w:rFonts w:ascii="宋体"/>
              </w:rPr>
            </w:pPr>
          </w:p>
        </w:tc>
        <w:tc>
          <w:tcPr>
            <w:tcW w:w="0" w:type="auto"/>
            <w:shd w:val="clear" w:color="auto" w:fill="auto"/>
          </w:tcPr>
          <w:p w14:paraId="0D8E0704" w14:textId="77777777" w:rsidR="004C2197" w:rsidRDefault="004C2197">
            <w:pPr>
              <w:rPr>
                <w:rFonts w:ascii="宋体"/>
              </w:rPr>
            </w:pPr>
          </w:p>
        </w:tc>
        <w:tc>
          <w:tcPr>
            <w:tcW w:w="0" w:type="auto"/>
            <w:shd w:val="clear" w:color="auto" w:fill="auto"/>
          </w:tcPr>
          <w:p w14:paraId="0D8E0705" w14:textId="77777777" w:rsidR="004C2197" w:rsidRDefault="004C2197">
            <w:pPr>
              <w:rPr>
                <w:rFonts w:ascii="宋体"/>
              </w:rPr>
            </w:pPr>
          </w:p>
        </w:tc>
        <w:tc>
          <w:tcPr>
            <w:tcW w:w="0" w:type="auto"/>
            <w:shd w:val="clear" w:color="auto" w:fill="auto"/>
          </w:tcPr>
          <w:p w14:paraId="0D8E0706" w14:textId="77777777" w:rsidR="004C2197" w:rsidRDefault="004C2197">
            <w:pPr>
              <w:rPr>
                <w:rFonts w:ascii="宋体"/>
              </w:rPr>
            </w:pPr>
          </w:p>
        </w:tc>
        <w:tc>
          <w:tcPr>
            <w:tcW w:w="0" w:type="auto"/>
            <w:shd w:val="clear" w:color="auto" w:fill="auto"/>
          </w:tcPr>
          <w:p w14:paraId="0D8E0707" w14:textId="77777777" w:rsidR="004C2197" w:rsidRDefault="004C2197">
            <w:pPr>
              <w:rPr>
                <w:rFonts w:ascii="宋体"/>
              </w:rPr>
            </w:pPr>
          </w:p>
        </w:tc>
        <w:tc>
          <w:tcPr>
            <w:tcW w:w="0" w:type="auto"/>
            <w:shd w:val="clear" w:color="auto" w:fill="auto"/>
          </w:tcPr>
          <w:p w14:paraId="0D8E0708" w14:textId="77777777" w:rsidR="004C2197" w:rsidRDefault="004C2197">
            <w:pPr>
              <w:rPr>
                <w:rFonts w:ascii="宋体"/>
              </w:rPr>
            </w:pPr>
          </w:p>
        </w:tc>
        <w:tc>
          <w:tcPr>
            <w:tcW w:w="0" w:type="auto"/>
            <w:shd w:val="clear" w:color="auto" w:fill="auto"/>
          </w:tcPr>
          <w:p w14:paraId="0D8E0709" w14:textId="77777777" w:rsidR="004C2197" w:rsidRDefault="004C2197">
            <w:pPr>
              <w:rPr>
                <w:rFonts w:ascii="宋体"/>
              </w:rPr>
            </w:pPr>
          </w:p>
        </w:tc>
        <w:tc>
          <w:tcPr>
            <w:tcW w:w="0" w:type="auto"/>
            <w:shd w:val="clear" w:color="auto" w:fill="auto"/>
          </w:tcPr>
          <w:p w14:paraId="0D8E070A" w14:textId="77777777" w:rsidR="004C2197" w:rsidRDefault="004C2197">
            <w:pPr>
              <w:rPr>
                <w:rFonts w:ascii="宋体"/>
              </w:rPr>
            </w:pPr>
          </w:p>
        </w:tc>
        <w:tc>
          <w:tcPr>
            <w:tcW w:w="0" w:type="auto"/>
            <w:shd w:val="clear" w:color="auto" w:fill="auto"/>
          </w:tcPr>
          <w:p w14:paraId="0D8E070B" w14:textId="77777777" w:rsidR="004C2197" w:rsidRDefault="004C2197">
            <w:pPr>
              <w:rPr>
                <w:rFonts w:ascii="宋体"/>
              </w:rPr>
            </w:pPr>
          </w:p>
        </w:tc>
      </w:tr>
      <w:tr w:rsidR="004C2197" w14:paraId="0D8E0725" w14:textId="77777777">
        <w:tc>
          <w:tcPr>
            <w:tcW w:w="0" w:type="auto"/>
            <w:gridSpan w:val="3"/>
            <w:shd w:val="clear" w:color="auto" w:fill="FFFFFF"/>
            <w:tcMar>
              <w:top w:w="40" w:type="dxa"/>
              <w:left w:w="20" w:type="dxa"/>
              <w:bottom w:w="40" w:type="dxa"/>
              <w:right w:w="20" w:type="dxa"/>
            </w:tcMar>
            <w:vAlign w:val="bottom"/>
          </w:tcPr>
          <w:p w14:paraId="0D8E070D" w14:textId="77777777" w:rsidR="004C2197" w:rsidRDefault="00863B83">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0E" w14:textId="77777777" w:rsidR="004C2197" w:rsidRDefault="00863B83">
            <w:pPr>
              <w:jc w:val="right"/>
              <w:textAlignment w:val="bottom"/>
            </w:pPr>
            <w:r>
              <w:rPr>
                <w:rFonts w:ascii="sans-serif" w:eastAsia="sans-serif" w:hAnsi="sans-serif" w:cs="sans-serif"/>
                <w:color w:val="000000"/>
                <w:sz w:val="20"/>
                <w:szCs w:val="20"/>
              </w:rPr>
              <w:t>16.8 </w:t>
            </w:r>
          </w:p>
        </w:tc>
        <w:tc>
          <w:tcPr>
            <w:tcW w:w="0" w:type="auto"/>
            <w:tcBorders>
              <w:top w:val="single" w:sz="8" w:space="0" w:color="000000"/>
            </w:tcBorders>
            <w:shd w:val="clear" w:color="auto" w:fill="FFFFFF"/>
            <w:tcMar>
              <w:top w:w="40" w:type="dxa"/>
              <w:bottom w:w="40" w:type="dxa"/>
              <w:right w:w="20" w:type="dxa"/>
            </w:tcMar>
            <w:vAlign w:val="bottom"/>
          </w:tcPr>
          <w:p w14:paraId="0D8E070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10"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11" w14:textId="77777777" w:rsidR="004C2197" w:rsidRDefault="00863B83">
            <w:pPr>
              <w:jc w:val="right"/>
              <w:textAlignment w:val="bottom"/>
            </w:pPr>
            <w:r>
              <w:rPr>
                <w:rFonts w:ascii="sans-serif" w:eastAsia="sans-serif" w:hAnsi="sans-serif" w:cs="sans-serif"/>
                <w:color w:val="000000"/>
                <w:sz w:val="20"/>
                <w:szCs w:val="20"/>
              </w:rPr>
              <w:t>22.2 </w:t>
            </w:r>
          </w:p>
        </w:tc>
        <w:tc>
          <w:tcPr>
            <w:tcW w:w="0" w:type="auto"/>
            <w:tcBorders>
              <w:top w:val="single" w:sz="8" w:space="0" w:color="000000"/>
            </w:tcBorders>
            <w:shd w:val="clear" w:color="auto" w:fill="FFFFFF"/>
            <w:tcMar>
              <w:top w:w="40" w:type="dxa"/>
              <w:bottom w:w="40" w:type="dxa"/>
              <w:right w:w="20" w:type="dxa"/>
            </w:tcMar>
            <w:vAlign w:val="bottom"/>
          </w:tcPr>
          <w:p w14:paraId="0D8E071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13"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14" w14:textId="77777777" w:rsidR="004C2197" w:rsidRDefault="00863B83">
            <w:pPr>
              <w:jc w:val="right"/>
              <w:textAlignment w:val="bottom"/>
            </w:pPr>
            <w:r>
              <w:rPr>
                <w:rFonts w:ascii="sans-serif" w:eastAsia="sans-serif" w:hAnsi="sans-serif" w:cs="sans-serif"/>
                <w:color w:val="000000"/>
                <w:sz w:val="20"/>
                <w:szCs w:val="20"/>
              </w:rPr>
              <w:t>23.4 </w:t>
            </w:r>
          </w:p>
        </w:tc>
        <w:tc>
          <w:tcPr>
            <w:tcW w:w="0" w:type="auto"/>
            <w:tcBorders>
              <w:top w:val="single" w:sz="8" w:space="0" w:color="000000"/>
            </w:tcBorders>
            <w:shd w:val="clear" w:color="auto" w:fill="FFFFFF"/>
            <w:tcMar>
              <w:top w:w="40" w:type="dxa"/>
              <w:bottom w:w="40" w:type="dxa"/>
              <w:right w:w="20" w:type="dxa"/>
            </w:tcMar>
            <w:vAlign w:val="bottom"/>
          </w:tcPr>
          <w:p w14:paraId="0D8E071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16"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17" w14:textId="77777777" w:rsidR="004C2197" w:rsidRDefault="00863B83">
            <w:pPr>
              <w:jc w:val="right"/>
              <w:textAlignment w:val="bottom"/>
            </w:pPr>
            <w:r>
              <w:rPr>
                <w:rFonts w:ascii="sans-serif" w:eastAsia="sans-serif" w:hAnsi="sans-serif" w:cs="sans-serif"/>
                <w:color w:val="000000"/>
                <w:sz w:val="20"/>
                <w:szCs w:val="20"/>
              </w:rPr>
              <w:t>19.4 </w:t>
            </w:r>
          </w:p>
        </w:tc>
        <w:tc>
          <w:tcPr>
            <w:tcW w:w="0" w:type="auto"/>
            <w:tcBorders>
              <w:top w:val="single" w:sz="8" w:space="0" w:color="000000"/>
            </w:tcBorders>
            <w:shd w:val="clear" w:color="auto" w:fill="FFFFFF"/>
            <w:tcMar>
              <w:top w:w="40" w:type="dxa"/>
              <w:bottom w:w="40" w:type="dxa"/>
              <w:right w:w="20" w:type="dxa"/>
            </w:tcMar>
            <w:vAlign w:val="bottom"/>
          </w:tcPr>
          <w:p w14:paraId="0D8E0718" w14:textId="77777777" w:rsidR="004C2197" w:rsidRDefault="004C2197">
            <w:pPr>
              <w:jc w:val="right"/>
              <w:rPr>
                <w:rFonts w:ascii="宋体"/>
              </w:rPr>
            </w:pPr>
          </w:p>
        </w:tc>
        <w:tc>
          <w:tcPr>
            <w:tcW w:w="0" w:type="auto"/>
            <w:shd w:val="clear" w:color="auto" w:fill="auto"/>
          </w:tcPr>
          <w:p w14:paraId="0D8E0719" w14:textId="77777777" w:rsidR="004C2197" w:rsidRDefault="004C2197">
            <w:pPr>
              <w:rPr>
                <w:rFonts w:ascii="宋体"/>
              </w:rPr>
            </w:pPr>
          </w:p>
        </w:tc>
        <w:tc>
          <w:tcPr>
            <w:tcW w:w="0" w:type="auto"/>
            <w:shd w:val="clear" w:color="auto" w:fill="auto"/>
          </w:tcPr>
          <w:p w14:paraId="0D8E071A" w14:textId="77777777" w:rsidR="004C2197" w:rsidRDefault="004C2197">
            <w:pPr>
              <w:rPr>
                <w:rFonts w:ascii="宋体"/>
              </w:rPr>
            </w:pPr>
          </w:p>
        </w:tc>
        <w:tc>
          <w:tcPr>
            <w:tcW w:w="0" w:type="auto"/>
            <w:shd w:val="clear" w:color="auto" w:fill="auto"/>
          </w:tcPr>
          <w:p w14:paraId="0D8E071B" w14:textId="77777777" w:rsidR="004C2197" w:rsidRDefault="004C2197">
            <w:pPr>
              <w:rPr>
                <w:rFonts w:ascii="宋体"/>
              </w:rPr>
            </w:pPr>
          </w:p>
        </w:tc>
        <w:tc>
          <w:tcPr>
            <w:tcW w:w="0" w:type="auto"/>
            <w:shd w:val="clear" w:color="auto" w:fill="auto"/>
          </w:tcPr>
          <w:p w14:paraId="0D8E071C" w14:textId="77777777" w:rsidR="004C2197" w:rsidRDefault="004C2197">
            <w:pPr>
              <w:rPr>
                <w:rFonts w:ascii="宋体"/>
              </w:rPr>
            </w:pPr>
          </w:p>
        </w:tc>
        <w:tc>
          <w:tcPr>
            <w:tcW w:w="0" w:type="auto"/>
            <w:shd w:val="clear" w:color="auto" w:fill="auto"/>
          </w:tcPr>
          <w:p w14:paraId="0D8E071D" w14:textId="77777777" w:rsidR="004C2197" w:rsidRDefault="004C2197">
            <w:pPr>
              <w:rPr>
                <w:rFonts w:ascii="宋体"/>
              </w:rPr>
            </w:pPr>
          </w:p>
        </w:tc>
        <w:tc>
          <w:tcPr>
            <w:tcW w:w="0" w:type="auto"/>
            <w:shd w:val="clear" w:color="auto" w:fill="auto"/>
          </w:tcPr>
          <w:p w14:paraId="0D8E071E" w14:textId="77777777" w:rsidR="004C2197" w:rsidRDefault="004C2197">
            <w:pPr>
              <w:rPr>
                <w:rFonts w:ascii="宋体"/>
              </w:rPr>
            </w:pPr>
          </w:p>
        </w:tc>
        <w:tc>
          <w:tcPr>
            <w:tcW w:w="0" w:type="auto"/>
            <w:shd w:val="clear" w:color="auto" w:fill="auto"/>
          </w:tcPr>
          <w:p w14:paraId="0D8E071F" w14:textId="77777777" w:rsidR="004C2197" w:rsidRDefault="004C2197">
            <w:pPr>
              <w:rPr>
                <w:rFonts w:ascii="宋体"/>
              </w:rPr>
            </w:pPr>
          </w:p>
        </w:tc>
        <w:tc>
          <w:tcPr>
            <w:tcW w:w="0" w:type="auto"/>
            <w:shd w:val="clear" w:color="auto" w:fill="auto"/>
          </w:tcPr>
          <w:p w14:paraId="0D8E0720" w14:textId="77777777" w:rsidR="004C2197" w:rsidRDefault="004C2197">
            <w:pPr>
              <w:rPr>
                <w:rFonts w:ascii="宋体"/>
              </w:rPr>
            </w:pPr>
          </w:p>
        </w:tc>
        <w:tc>
          <w:tcPr>
            <w:tcW w:w="0" w:type="auto"/>
            <w:shd w:val="clear" w:color="auto" w:fill="auto"/>
          </w:tcPr>
          <w:p w14:paraId="0D8E0721" w14:textId="77777777" w:rsidR="004C2197" w:rsidRDefault="004C2197">
            <w:pPr>
              <w:rPr>
                <w:rFonts w:ascii="宋体"/>
              </w:rPr>
            </w:pPr>
          </w:p>
        </w:tc>
        <w:tc>
          <w:tcPr>
            <w:tcW w:w="0" w:type="auto"/>
            <w:shd w:val="clear" w:color="auto" w:fill="auto"/>
          </w:tcPr>
          <w:p w14:paraId="0D8E0722" w14:textId="77777777" w:rsidR="004C2197" w:rsidRDefault="004C2197">
            <w:pPr>
              <w:rPr>
                <w:rFonts w:ascii="宋体"/>
              </w:rPr>
            </w:pPr>
          </w:p>
        </w:tc>
        <w:tc>
          <w:tcPr>
            <w:tcW w:w="0" w:type="auto"/>
            <w:shd w:val="clear" w:color="auto" w:fill="auto"/>
          </w:tcPr>
          <w:p w14:paraId="0D8E0723" w14:textId="77777777" w:rsidR="004C2197" w:rsidRDefault="004C2197">
            <w:pPr>
              <w:rPr>
                <w:rFonts w:ascii="宋体"/>
              </w:rPr>
            </w:pPr>
          </w:p>
        </w:tc>
        <w:tc>
          <w:tcPr>
            <w:tcW w:w="0" w:type="auto"/>
            <w:shd w:val="clear" w:color="auto" w:fill="auto"/>
          </w:tcPr>
          <w:p w14:paraId="0D8E0724" w14:textId="77777777" w:rsidR="004C2197" w:rsidRDefault="004C2197">
            <w:pPr>
              <w:rPr>
                <w:rFonts w:ascii="宋体"/>
              </w:rPr>
            </w:pPr>
          </w:p>
        </w:tc>
      </w:tr>
      <w:tr w:rsidR="004C2197" w14:paraId="0D8E073E" w14:textId="77777777">
        <w:tc>
          <w:tcPr>
            <w:tcW w:w="0" w:type="auto"/>
            <w:gridSpan w:val="3"/>
            <w:shd w:val="clear" w:color="auto" w:fill="E2EFD9"/>
            <w:tcMar>
              <w:top w:w="40" w:type="dxa"/>
              <w:left w:w="20" w:type="dxa"/>
              <w:bottom w:w="40" w:type="dxa"/>
              <w:right w:w="20" w:type="dxa"/>
            </w:tcMar>
            <w:vAlign w:val="bottom"/>
          </w:tcPr>
          <w:p w14:paraId="0D8E0726" w14:textId="77777777" w:rsidR="004C2197" w:rsidRDefault="00863B83">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0D8E0727" w14:textId="77777777" w:rsidR="004C2197" w:rsidRDefault="00863B83">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bottom w:w="40" w:type="dxa"/>
              <w:right w:w="20" w:type="dxa"/>
            </w:tcMar>
            <w:vAlign w:val="bottom"/>
          </w:tcPr>
          <w:p w14:paraId="0D8E0728"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2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2A" w14:textId="77777777" w:rsidR="004C2197" w:rsidRDefault="00863B83">
            <w:pPr>
              <w:jc w:val="right"/>
              <w:textAlignment w:val="bottom"/>
            </w:pPr>
            <w:r>
              <w:rPr>
                <w:rFonts w:ascii="sans-serif" w:eastAsia="sans-serif" w:hAnsi="sans-serif" w:cs="sans-serif"/>
                <w:color w:val="000000"/>
                <w:sz w:val="20"/>
                <w:szCs w:val="20"/>
              </w:rPr>
              <w:t>1.8 </w:t>
            </w:r>
          </w:p>
        </w:tc>
        <w:tc>
          <w:tcPr>
            <w:tcW w:w="0" w:type="auto"/>
            <w:shd w:val="clear" w:color="auto" w:fill="E2EFD9"/>
            <w:tcMar>
              <w:top w:w="40" w:type="dxa"/>
              <w:bottom w:w="40" w:type="dxa"/>
              <w:right w:w="20" w:type="dxa"/>
            </w:tcMar>
            <w:vAlign w:val="bottom"/>
          </w:tcPr>
          <w:p w14:paraId="0D8E072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2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2D" w14:textId="77777777" w:rsidR="004C2197" w:rsidRDefault="00863B83">
            <w:pPr>
              <w:jc w:val="right"/>
              <w:textAlignment w:val="bottom"/>
            </w:pPr>
            <w:r>
              <w:rPr>
                <w:rFonts w:ascii="sans-serif" w:eastAsia="sans-serif" w:hAnsi="sans-serif" w:cs="sans-serif"/>
                <w:color w:val="000000"/>
                <w:sz w:val="20"/>
                <w:szCs w:val="20"/>
              </w:rPr>
              <w:t>0.6 </w:t>
            </w:r>
          </w:p>
        </w:tc>
        <w:tc>
          <w:tcPr>
            <w:tcW w:w="0" w:type="auto"/>
            <w:shd w:val="clear" w:color="auto" w:fill="E2EFD9"/>
            <w:tcMar>
              <w:top w:w="40" w:type="dxa"/>
              <w:bottom w:w="40" w:type="dxa"/>
              <w:right w:w="20" w:type="dxa"/>
            </w:tcMar>
            <w:vAlign w:val="bottom"/>
          </w:tcPr>
          <w:p w14:paraId="0D8E072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2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30" w14:textId="77777777" w:rsidR="004C2197" w:rsidRDefault="00863B83">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bottom w:w="40" w:type="dxa"/>
              <w:right w:w="20" w:type="dxa"/>
            </w:tcMar>
            <w:vAlign w:val="bottom"/>
          </w:tcPr>
          <w:p w14:paraId="0D8E0731" w14:textId="77777777" w:rsidR="004C2197" w:rsidRDefault="004C2197">
            <w:pPr>
              <w:jc w:val="right"/>
              <w:rPr>
                <w:rFonts w:ascii="宋体"/>
              </w:rPr>
            </w:pPr>
          </w:p>
        </w:tc>
        <w:tc>
          <w:tcPr>
            <w:tcW w:w="0" w:type="auto"/>
            <w:shd w:val="clear" w:color="auto" w:fill="auto"/>
          </w:tcPr>
          <w:p w14:paraId="0D8E0732" w14:textId="77777777" w:rsidR="004C2197" w:rsidRDefault="004C2197">
            <w:pPr>
              <w:rPr>
                <w:rFonts w:ascii="宋体"/>
              </w:rPr>
            </w:pPr>
          </w:p>
        </w:tc>
        <w:tc>
          <w:tcPr>
            <w:tcW w:w="0" w:type="auto"/>
            <w:shd w:val="clear" w:color="auto" w:fill="auto"/>
          </w:tcPr>
          <w:p w14:paraId="0D8E0733" w14:textId="77777777" w:rsidR="004C2197" w:rsidRDefault="004C2197">
            <w:pPr>
              <w:rPr>
                <w:rFonts w:ascii="宋体"/>
              </w:rPr>
            </w:pPr>
          </w:p>
        </w:tc>
        <w:tc>
          <w:tcPr>
            <w:tcW w:w="0" w:type="auto"/>
            <w:shd w:val="clear" w:color="auto" w:fill="auto"/>
          </w:tcPr>
          <w:p w14:paraId="0D8E0734" w14:textId="77777777" w:rsidR="004C2197" w:rsidRDefault="004C2197">
            <w:pPr>
              <w:rPr>
                <w:rFonts w:ascii="宋体"/>
              </w:rPr>
            </w:pPr>
          </w:p>
        </w:tc>
        <w:tc>
          <w:tcPr>
            <w:tcW w:w="0" w:type="auto"/>
            <w:shd w:val="clear" w:color="auto" w:fill="auto"/>
          </w:tcPr>
          <w:p w14:paraId="0D8E0735" w14:textId="77777777" w:rsidR="004C2197" w:rsidRDefault="004C2197">
            <w:pPr>
              <w:rPr>
                <w:rFonts w:ascii="宋体"/>
              </w:rPr>
            </w:pPr>
          </w:p>
        </w:tc>
        <w:tc>
          <w:tcPr>
            <w:tcW w:w="0" w:type="auto"/>
            <w:shd w:val="clear" w:color="auto" w:fill="auto"/>
          </w:tcPr>
          <w:p w14:paraId="0D8E0736" w14:textId="77777777" w:rsidR="004C2197" w:rsidRDefault="004C2197">
            <w:pPr>
              <w:rPr>
                <w:rFonts w:ascii="宋体"/>
              </w:rPr>
            </w:pPr>
          </w:p>
        </w:tc>
        <w:tc>
          <w:tcPr>
            <w:tcW w:w="0" w:type="auto"/>
            <w:shd w:val="clear" w:color="auto" w:fill="auto"/>
          </w:tcPr>
          <w:p w14:paraId="0D8E0737" w14:textId="77777777" w:rsidR="004C2197" w:rsidRDefault="004C2197">
            <w:pPr>
              <w:rPr>
                <w:rFonts w:ascii="宋体"/>
              </w:rPr>
            </w:pPr>
          </w:p>
        </w:tc>
        <w:tc>
          <w:tcPr>
            <w:tcW w:w="0" w:type="auto"/>
            <w:shd w:val="clear" w:color="auto" w:fill="auto"/>
          </w:tcPr>
          <w:p w14:paraId="0D8E0738" w14:textId="77777777" w:rsidR="004C2197" w:rsidRDefault="004C2197">
            <w:pPr>
              <w:rPr>
                <w:rFonts w:ascii="宋体"/>
              </w:rPr>
            </w:pPr>
          </w:p>
        </w:tc>
        <w:tc>
          <w:tcPr>
            <w:tcW w:w="0" w:type="auto"/>
            <w:shd w:val="clear" w:color="auto" w:fill="auto"/>
          </w:tcPr>
          <w:p w14:paraId="0D8E0739" w14:textId="77777777" w:rsidR="004C2197" w:rsidRDefault="004C2197">
            <w:pPr>
              <w:rPr>
                <w:rFonts w:ascii="宋体"/>
              </w:rPr>
            </w:pPr>
          </w:p>
        </w:tc>
        <w:tc>
          <w:tcPr>
            <w:tcW w:w="0" w:type="auto"/>
            <w:shd w:val="clear" w:color="auto" w:fill="auto"/>
          </w:tcPr>
          <w:p w14:paraId="0D8E073A" w14:textId="77777777" w:rsidR="004C2197" w:rsidRDefault="004C2197">
            <w:pPr>
              <w:rPr>
                <w:rFonts w:ascii="宋体"/>
              </w:rPr>
            </w:pPr>
          </w:p>
        </w:tc>
        <w:tc>
          <w:tcPr>
            <w:tcW w:w="0" w:type="auto"/>
            <w:shd w:val="clear" w:color="auto" w:fill="auto"/>
          </w:tcPr>
          <w:p w14:paraId="0D8E073B" w14:textId="77777777" w:rsidR="004C2197" w:rsidRDefault="004C2197">
            <w:pPr>
              <w:rPr>
                <w:rFonts w:ascii="宋体"/>
              </w:rPr>
            </w:pPr>
          </w:p>
        </w:tc>
        <w:tc>
          <w:tcPr>
            <w:tcW w:w="0" w:type="auto"/>
            <w:shd w:val="clear" w:color="auto" w:fill="auto"/>
          </w:tcPr>
          <w:p w14:paraId="0D8E073C" w14:textId="77777777" w:rsidR="004C2197" w:rsidRDefault="004C2197">
            <w:pPr>
              <w:rPr>
                <w:rFonts w:ascii="宋体"/>
              </w:rPr>
            </w:pPr>
          </w:p>
        </w:tc>
        <w:tc>
          <w:tcPr>
            <w:tcW w:w="0" w:type="auto"/>
            <w:shd w:val="clear" w:color="auto" w:fill="auto"/>
          </w:tcPr>
          <w:p w14:paraId="0D8E073D" w14:textId="77777777" w:rsidR="004C2197" w:rsidRDefault="004C2197">
            <w:pPr>
              <w:rPr>
                <w:rFonts w:ascii="宋体"/>
              </w:rPr>
            </w:pPr>
          </w:p>
        </w:tc>
      </w:tr>
      <w:tr w:rsidR="004C2197" w14:paraId="0D8E0757" w14:textId="77777777">
        <w:tc>
          <w:tcPr>
            <w:tcW w:w="0" w:type="auto"/>
            <w:gridSpan w:val="3"/>
            <w:shd w:val="clear" w:color="auto" w:fill="FFFFFF"/>
            <w:tcMar>
              <w:top w:w="40" w:type="dxa"/>
              <w:left w:w="20" w:type="dxa"/>
              <w:bottom w:w="40" w:type="dxa"/>
              <w:right w:w="20" w:type="dxa"/>
            </w:tcMar>
            <w:vAlign w:val="bottom"/>
          </w:tcPr>
          <w:p w14:paraId="0D8E073F" w14:textId="77777777" w:rsidR="004C2197" w:rsidRDefault="00863B83">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0D8E0740" w14:textId="77777777" w:rsidR="004C2197" w:rsidRDefault="00863B83">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bottom w:w="40" w:type="dxa"/>
              <w:right w:w="20" w:type="dxa"/>
            </w:tcMar>
            <w:vAlign w:val="bottom"/>
          </w:tcPr>
          <w:p w14:paraId="0D8E0741"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4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743" w14:textId="77777777" w:rsidR="004C2197" w:rsidRDefault="00863B83">
            <w:pPr>
              <w:jc w:val="right"/>
              <w:textAlignment w:val="bottom"/>
            </w:pPr>
            <w:r>
              <w:rPr>
                <w:rFonts w:ascii="sans-serif" w:eastAsia="sans-serif" w:hAnsi="sans-serif" w:cs="sans-serif"/>
                <w:color w:val="000000"/>
                <w:sz w:val="20"/>
                <w:szCs w:val="20"/>
              </w:rPr>
              <w:t>(0.5)</w:t>
            </w:r>
          </w:p>
        </w:tc>
        <w:tc>
          <w:tcPr>
            <w:tcW w:w="0" w:type="auto"/>
            <w:shd w:val="clear" w:color="auto" w:fill="FFFFFF"/>
            <w:tcMar>
              <w:top w:w="40" w:type="dxa"/>
              <w:bottom w:w="40" w:type="dxa"/>
              <w:right w:w="20" w:type="dxa"/>
            </w:tcMar>
            <w:vAlign w:val="bottom"/>
          </w:tcPr>
          <w:p w14:paraId="0D8E0744"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45"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746" w14:textId="77777777" w:rsidR="004C2197" w:rsidRDefault="00863B83">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bottom w:w="40" w:type="dxa"/>
              <w:right w:w="20" w:type="dxa"/>
            </w:tcMar>
            <w:vAlign w:val="bottom"/>
          </w:tcPr>
          <w:p w14:paraId="0D8E0747"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4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749" w14:textId="77777777" w:rsidR="004C2197" w:rsidRDefault="00863B83">
            <w:pPr>
              <w:jc w:val="right"/>
              <w:textAlignment w:val="bottom"/>
            </w:pPr>
            <w:r>
              <w:rPr>
                <w:rFonts w:ascii="sans-serif" w:eastAsia="sans-serif" w:hAnsi="sans-serif" w:cs="sans-serif"/>
                <w:color w:val="000000"/>
                <w:sz w:val="20"/>
                <w:szCs w:val="20"/>
              </w:rPr>
              <w:t>(0.6)</w:t>
            </w:r>
          </w:p>
        </w:tc>
        <w:tc>
          <w:tcPr>
            <w:tcW w:w="0" w:type="auto"/>
            <w:shd w:val="clear" w:color="auto" w:fill="FFFFFF"/>
            <w:tcMar>
              <w:top w:w="40" w:type="dxa"/>
              <w:bottom w:w="40" w:type="dxa"/>
              <w:right w:w="20" w:type="dxa"/>
            </w:tcMar>
            <w:vAlign w:val="bottom"/>
          </w:tcPr>
          <w:p w14:paraId="0D8E074A" w14:textId="77777777" w:rsidR="004C2197" w:rsidRDefault="004C2197">
            <w:pPr>
              <w:jc w:val="right"/>
              <w:rPr>
                <w:rFonts w:ascii="宋体"/>
              </w:rPr>
            </w:pPr>
          </w:p>
        </w:tc>
        <w:tc>
          <w:tcPr>
            <w:tcW w:w="0" w:type="auto"/>
            <w:shd w:val="clear" w:color="auto" w:fill="auto"/>
          </w:tcPr>
          <w:p w14:paraId="0D8E074B" w14:textId="77777777" w:rsidR="004C2197" w:rsidRDefault="004C2197">
            <w:pPr>
              <w:rPr>
                <w:rFonts w:ascii="宋体"/>
              </w:rPr>
            </w:pPr>
          </w:p>
        </w:tc>
        <w:tc>
          <w:tcPr>
            <w:tcW w:w="0" w:type="auto"/>
            <w:shd w:val="clear" w:color="auto" w:fill="auto"/>
          </w:tcPr>
          <w:p w14:paraId="0D8E074C" w14:textId="77777777" w:rsidR="004C2197" w:rsidRDefault="004C2197">
            <w:pPr>
              <w:rPr>
                <w:rFonts w:ascii="宋体"/>
              </w:rPr>
            </w:pPr>
          </w:p>
        </w:tc>
        <w:tc>
          <w:tcPr>
            <w:tcW w:w="0" w:type="auto"/>
            <w:shd w:val="clear" w:color="auto" w:fill="auto"/>
          </w:tcPr>
          <w:p w14:paraId="0D8E074D" w14:textId="77777777" w:rsidR="004C2197" w:rsidRDefault="004C2197">
            <w:pPr>
              <w:rPr>
                <w:rFonts w:ascii="宋体"/>
              </w:rPr>
            </w:pPr>
          </w:p>
        </w:tc>
        <w:tc>
          <w:tcPr>
            <w:tcW w:w="0" w:type="auto"/>
            <w:shd w:val="clear" w:color="auto" w:fill="auto"/>
          </w:tcPr>
          <w:p w14:paraId="0D8E074E" w14:textId="77777777" w:rsidR="004C2197" w:rsidRDefault="004C2197">
            <w:pPr>
              <w:rPr>
                <w:rFonts w:ascii="宋体"/>
              </w:rPr>
            </w:pPr>
          </w:p>
        </w:tc>
        <w:tc>
          <w:tcPr>
            <w:tcW w:w="0" w:type="auto"/>
            <w:shd w:val="clear" w:color="auto" w:fill="auto"/>
          </w:tcPr>
          <w:p w14:paraId="0D8E074F" w14:textId="77777777" w:rsidR="004C2197" w:rsidRDefault="004C2197">
            <w:pPr>
              <w:rPr>
                <w:rFonts w:ascii="宋体"/>
              </w:rPr>
            </w:pPr>
          </w:p>
        </w:tc>
        <w:tc>
          <w:tcPr>
            <w:tcW w:w="0" w:type="auto"/>
            <w:shd w:val="clear" w:color="auto" w:fill="auto"/>
          </w:tcPr>
          <w:p w14:paraId="0D8E0750" w14:textId="77777777" w:rsidR="004C2197" w:rsidRDefault="004C2197">
            <w:pPr>
              <w:rPr>
                <w:rFonts w:ascii="宋体"/>
              </w:rPr>
            </w:pPr>
          </w:p>
        </w:tc>
        <w:tc>
          <w:tcPr>
            <w:tcW w:w="0" w:type="auto"/>
            <w:shd w:val="clear" w:color="auto" w:fill="auto"/>
          </w:tcPr>
          <w:p w14:paraId="0D8E0751" w14:textId="77777777" w:rsidR="004C2197" w:rsidRDefault="004C2197">
            <w:pPr>
              <w:rPr>
                <w:rFonts w:ascii="宋体"/>
              </w:rPr>
            </w:pPr>
          </w:p>
        </w:tc>
        <w:tc>
          <w:tcPr>
            <w:tcW w:w="0" w:type="auto"/>
            <w:shd w:val="clear" w:color="auto" w:fill="auto"/>
          </w:tcPr>
          <w:p w14:paraId="0D8E0752" w14:textId="77777777" w:rsidR="004C2197" w:rsidRDefault="004C2197">
            <w:pPr>
              <w:rPr>
                <w:rFonts w:ascii="宋体"/>
              </w:rPr>
            </w:pPr>
          </w:p>
        </w:tc>
        <w:tc>
          <w:tcPr>
            <w:tcW w:w="0" w:type="auto"/>
            <w:shd w:val="clear" w:color="auto" w:fill="auto"/>
          </w:tcPr>
          <w:p w14:paraId="0D8E0753" w14:textId="77777777" w:rsidR="004C2197" w:rsidRDefault="004C2197">
            <w:pPr>
              <w:rPr>
                <w:rFonts w:ascii="宋体"/>
              </w:rPr>
            </w:pPr>
          </w:p>
        </w:tc>
        <w:tc>
          <w:tcPr>
            <w:tcW w:w="0" w:type="auto"/>
            <w:shd w:val="clear" w:color="auto" w:fill="auto"/>
          </w:tcPr>
          <w:p w14:paraId="0D8E0754" w14:textId="77777777" w:rsidR="004C2197" w:rsidRDefault="004C2197">
            <w:pPr>
              <w:rPr>
                <w:rFonts w:ascii="宋体"/>
              </w:rPr>
            </w:pPr>
          </w:p>
        </w:tc>
        <w:tc>
          <w:tcPr>
            <w:tcW w:w="0" w:type="auto"/>
            <w:shd w:val="clear" w:color="auto" w:fill="auto"/>
          </w:tcPr>
          <w:p w14:paraId="0D8E0755" w14:textId="77777777" w:rsidR="004C2197" w:rsidRDefault="004C2197">
            <w:pPr>
              <w:rPr>
                <w:rFonts w:ascii="宋体"/>
              </w:rPr>
            </w:pPr>
          </w:p>
        </w:tc>
        <w:tc>
          <w:tcPr>
            <w:tcW w:w="0" w:type="auto"/>
            <w:shd w:val="clear" w:color="auto" w:fill="auto"/>
          </w:tcPr>
          <w:p w14:paraId="0D8E0756" w14:textId="77777777" w:rsidR="004C2197" w:rsidRDefault="004C2197">
            <w:pPr>
              <w:rPr>
                <w:rFonts w:ascii="宋体"/>
              </w:rPr>
            </w:pPr>
          </w:p>
        </w:tc>
      </w:tr>
      <w:tr w:rsidR="004C2197" w14:paraId="0D8E076C" w14:textId="77777777">
        <w:trPr>
          <w:hidden/>
        </w:trPr>
        <w:tc>
          <w:tcPr>
            <w:tcW w:w="0" w:type="auto"/>
            <w:gridSpan w:val="3"/>
            <w:shd w:val="clear" w:color="auto" w:fill="auto"/>
          </w:tcPr>
          <w:p w14:paraId="0D8E0758" w14:textId="77777777" w:rsidR="004C2197" w:rsidRDefault="004C2197">
            <w:pPr>
              <w:rPr>
                <w:rFonts w:ascii="宋体"/>
                <w:vanish/>
              </w:rPr>
            </w:pPr>
          </w:p>
        </w:tc>
        <w:tc>
          <w:tcPr>
            <w:tcW w:w="0" w:type="auto"/>
            <w:gridSpan w:val="3"/>
            <w:shd w:val="clear" w:color="auto" w:fill="auto"/>
          </w:tcPr>
          <w:p w14:paraId="0D8E0759" w14:textId="77777777" w:rsidR="004C2197" w:rsidRDefault="004C2197">
            <w:pPr>
              <w:rPr>
                <w:rFonts w:ascii="宋体"/>
                <w:vanish/>
              </w:rPr>
            </w:pPr>
          </w:p>
        </w:tc>
        <w:tc>
          <w:tcPr>
            <w:tcW w:w="0" w:type="auto"/>
            <w:gridSpan w:val="3"/>
            <w:shd w:val="clear" w:color="auto" w:fill="auto"/>
          </w:tcPr>
          <w:p w14:paraId="0D8E075A" w14:textId="77777777" w:rsidR="004C2197" w:rsidRDefault="004C2197">
            <w:pPr>
              <w:rPr>
                <w:rFonts w:ascii="宋体"/>
                <w:vanish/>
              </w:rPr>
            </w:pPr>
          </w:p>
        </w:tc>
        <w:tc>
          <w:tcPr>
            <w:tcW w:w="0" w:type="auto"/>
            <w:gridSpan w:val="3"/>
            <w:shd w:val="clear" w:color="auto" w:fill="auto"/>
          </w:tcPr>
          <w:p w14:paraId="0D8E075B" w14:textId="77777777" w:rsidR="004C2197" w:rsidRDefault="004C2197">
            <w:pPr>
              <w:rPr>
                <w:rFonts w:ascii="宋体"/>
                <w:vanish/>
              </w:rPr>
            </w:pPr>
          </w:p>
        </w:tc>
        <w:tc>
          <w:tcPr>
            <w:tcW w:w="0" w:type="auto"/>
            <w:gridSpan w:val="3"/>
            <w:shd w:val="clear" w:color="auto" w:fill="auto"/>
          </w:tcPr>
          <w:p w14:paraId="0D8E075C" w14:textId="77777777" w:rsidR="004C2197" w:rsidRDefault="004C2197">
            <w:pPr>
              <w:rPr>
                <w:rFonts w:ascii="宋体"/>
                <w:vanish/>
              </w:rPr>
            </w:pPr>
          </w:p>
        </w:tc>
        <w:tc>
          <w:tcPr>
            <w:tcW w:w="0" w:type="auto"/>
            <w:gridSpan w:val="3"/>
            <w:shd w:val="clear" w:color="auto" w:fill="auto"/>
          </w:tcPr>
          <w:p w14:paraId="0D8E075D" w14:textId="77777777" w:rsidR="004C2197" w:rsidRDefault="004C2197">
            <w:pPr>
              <w:rPr>
                <w:rFonts w:ascii="宋体"/>
                <w:vanish/>
              </w:rPr>
            </w:pPr>
          </w:p>
        </w:tc>
        <w:tc>
          <w:tcPr>
            <w:tcW w:w="0" w:type="auto"/>
            <w:gridSpan w:val="3"/>
            <w:shd w:val="clear" w:color="auto" w:fill="auto"/>
          </w:tcPr>
          <w:p w14:paraId="0D8E075E" w14:textId="77777777" w:rsidR="004C2197" w:rsidRDefault="004C2197">
            <w:pPr>
              <w:rPr>
                <w:rFonts w:ascii="宋体"/>
                <w:vanish/>
              </w:rPr>
            </w:pPr>
          </w:p>
        </w:tc>
        <w:tc>
          <w:tcPr>
            <w:tcW w:w="0" w:type="auto"/>
            <w:gridSpan w:val="3"/>
            <w:shd w:val="clear" w:color="auto" w:fill="auto"/>
          </w:tcPr>
          <w:p w14:paraId="0D8E075F" w14:textId="77777777" w:rsidR="004C2197" w:rsidRDefault="004C2197">
            <w:pPr>
              <w:rPr>
                <w:rFonts w:ascii="宋体"/>
                <w:vanish/>
              </w:rPr>
            </w:pPr>
          </w:p>
        </w:tc>
        <w:tc>
          <w:tcPr>
            <w:tcW w:w="0" w:type="auto"/>
            <w:shd w:val="clear" w:color="auto" w:fill="auto"/>
          </w:tcPr>
          <w:p w14:paraId="0D8E0760" w14:textId="77777777" w:rsidR="004C2197" w:rsidRDefault="004C2197">
            <w:pPr>
              <w:rPr>
                <w:rFonts w:ascii="宋体"/>
              </w:rPr>
            </w:pPr>
          </w:p>
        </w:tc>
        <w:tc>
          <w:tcPr>
            <w:tcW w:w="0" w:type="auto"/>
            <w:shd w:val="clear" w:color="auto" w:fill="auto"/>
          </w:tcPr>
          <w:p w14:paraId="0D8E0761" w14:textId="77777777" w:rsidR="004C2197" w:rsidRDefault="004C2197">
            <w:pPr>
              <w:rPr>
                <w:rFonts w:ascii="宋体"/>
              </w:rPr>
            </w:pPr>
          </w:p>
        </w:tc>
        <w:tc>
          <w:tcPr>
            <w:tcW w:w="0" w:type="auto"/>
            <w:shd w:val="clear" w:color="auto" w:fill="auto"/>
          </w:tcPr>
          <w:p w14:paraId="0D8E0762" w14:textId="77777777" w:rsidR="004C2197" w:rsidRDefault="004C2197">
            <w:pPr>
              <w:rPr>
                <w:rFonts w:ascii="宋体"/>
              </w:rPr>
            </w:pPr>
          </w:p>
        </w:tc>
        <w:tc>
          <w:tcPr>
            <w:tcW w:w="0" w:type="auto"/>
            <w:shd w:val="clear" w:color="auto" w:fill="auto"/>
          </w:tcPr>
          <w:p w14:paraId="0D8E0763" w14:textId="77777777" w:rsidR="004C2197" w:rsidRDefault="004C2197">
            <w:pPr>
              <w:rPr>
                <w:rFonts w:ascii="宋体"/>
              </w:rPr>
            </w:pPr>
          </w:p>
        </w:tc>
        <w:tc>
          <w:tcPr>
            <w:tcW w:w="0" w:type="auto"/>
            <w:shd w:val="clear" w:color="auto" w:fill="auto"/>
          </w:tcPr>
          <w:p w14:paraId="0D8E0764" w14:textId="77777777" w:rsidR="004C2197" w:rsidRDefault="004C2197">
            <w:pPr>
              <w:rPr>
                <w:rFonts w:ascii="宋体"/>
              </w:rPr>
            </w:pPr>
          </w:p>
        </w:tc>
        <w:tc>
          <w:tcPr>
            <w:tcW w:w="0" w:type="auto"/>
            <w:shd w:val="clear" w:color="auto" w:fill="auto"/>
          </w:tcPr>
          <w:p w14:paraId="0D8E0765" w14:textId="77777777" w:rsidR="004C2197" w:rsidRDefault="004C2197">
            <w:pPr>
              <w:rPr>
                <w:rFonts w:ascii="宋体"/>
              </w:rPr>
            </w:pPr>
          </w:p>
        </w:tc>
        <w:tc>
          <w:tcPr>
            <w:tcW w:w="0" w:type="auto"/>
            <w:shd w:val="clear" w:color="auto" w:fill="auto"/>
          </w:tcPr>
          <w:p w14:paraId="0D8E0766" w14:textId="77777777" w:rsidR="004C2197" w:rsidRDefault="004C2197">
            <w:pPr>
              <w:rPr>
                <w:rFonts w:ascii="宋体"/>
              </w:rPr>
            </w:pPr>
          </w:p>
        </w:tc>
        <w:tc>
          <w:tcPr>
            <w:tcW w:w="0" w:type="auto"/>
            <w:shd w:val="clear" w:color="auto" w:fill="auto"/>
          </w:tcPr>
          <w:p w14:paraId="0D8E0767" w14:textId="77777777" w:rsidR="004C2197" w:rsidRDefault="004C2197">
            <w:pPr>
              <w:rPr>
                <w:rFonts w:ascii="宋体"/>
              </w:rPr>
            </w:pPr>
          </w:p>
        </w:tc>
        <w:tc>
          <w:tcPr>
            <w:tcW w:w="0" w:type="auto"/>
            <w:shd w:val="clear" w:color="auto" w:fill="auto"/>
          </w:tcPr>
          <w:p w14:paraId="0D8E0768" w14:textId="77777777" w:rsidR="004C2197" w:rsidRDefault="004C2197">
            <w:pPr>
              <w:rPr>
                <w:rFonts w:ascii="宋体"/>
              </w:rPr>
            </w:pPr>
          </w:p>
        </w:tc>
        <w:tc>
          <w:tcPr>
            <w:tcW w:w="0" w:type="auto"/>
            <w:shd w:val="clear" w:color="auto" w:fill="auto"/>
          </w:tcPr>
          <w:p w14:paraId="0D8E0769" w14:textId="77777777" w:rsidR="004C2197" w:rsidRDefault="004C2197">
            <w:pPr>
              <w:rPr>
                <w:rFonts w:ascii="宋体"/>
              </w:rPr>
            </w:pPr>
          </w:p>
        </w:tc>
        <w:tc>
          <w:tcPr>
            <w:tcW w:w="0" w:type="auto"/>
            <w:shd w:val="clear" w:color="auto" w:fill="auto"/>
          </w:tcPr>
          <w:p w14:paraId="0D8E076A" w14:textId="77777777" w:rsidR="004C2197" w:rsidRDefault="004C2197">
            <w:pPr>
              <w:rPr>
                <w:rFonts w:ascii="宋体"/>
              </w:rPr>
            </w:pPr>
          </w:p>
        </w:tc>
        <w:tc>
          <w:tcPr>
            <w:tcW w:w="0" w:type="auto"/>
            <w:shd w:val="clear" w:color="auto" w:fill="auto"/>
          </w:tcPr>
          <w:p w14:paraId="0D8E076B" w14:textId="77777777" w:rsidR="004C2197" w:rsidRDefault="004C2197">
            <w:pPr>
              <w:rPr>
                <w:rFonts w:ascii="宋体"/>
              </w:rPr>
            </w:pPr>
          </w:p>
        </w:tc>
      </w:tr>
      <w:tr w:rsidR="004C2197" w14:paraId="0D8E0785" w14:textId="77777777">
        <w:tc>
          <w:tcPr>
            <w:tcW w:w="0" w:type="auto"/>
            <w:gridSpan w:val="3"/>
            <w:shd w:val="clear" w:color="auto" w:fill="E2EFD9"/>
            <w:tcMar>
              <w:top w:w="40" w:type="dxa"/>
              <w:left w:w="20" w:type="dxa"/>
              <w:bottom w:w="40" w:type="dxa"/>
              <w:right w:w="20" w:type="dxa"/>
            </w:tcMar>
            <w:vAlign w:val="bottom"/>
          </w:tcPr>
          <w:p w14:paraId="0D8E076D" w14:textId="77777777" w:rsidR="004C2197" w:rsidRDefault="00863B83">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76E" w14:textId="77777777" w:rsidR="004C2197" w:rsidRDefault="00863B83">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E2EFD9"/>
            <w:tcMar>
              <w:top w:w="40" w:type="dxa"/>
              <w:bottom w:w="40" w:type="dxa"/>
              <w:right w:w="20" w:type="dxa"/>
            </w:tcMar>
            <w:vAlign w:val="bottom"/>
          </w:tcPr>
          <w:p w14:paraId="0D8E076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70"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771" w14:textId="77777777" w:rsidR="004C2197" w:rsidRDefault="00863B83">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E2EFD9"/>
            <w:tcMar>
              <w:top w:w="40" w:type="dxa"/>
              <w:bottom w:w="40" w:type="dxa"/>
              <w:right w:w="20" w:type="dxa"/>
            </w:tcMar>
            <w:vAlign w:val="bottom"/>
          </w:tcPr>
          <w:p w14:paraId="0D8E077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73"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774" w14:textId="77777777" w:rsidR="004C2197" w:rsidRDefault="00863B83">
            <w:pPr>
              <w:jc w:val="right"/>
              <w:textAlignment w:val="bottom"/>
            </w:pPr>
            <w:r>
              <w:rPr>
                <w:rFonts w:ascii="sans-serif" w:eastAsia="sans-serif" w:hAnsi="sans-serif" w:cs="sans-serif"/>
                <w:color w:val="000000"/>
                <w:sz w:val="20"/>
                <w:szCs w:val="20"/>
              </w:rPr>
              <w:t>(0.5)</w:t>
            </w:r>
          </w:p>
        </w:tc>
        <w:tc>
          <w:tcPr>
            <w:tcW w:w="0" w:type="auto"/>
            <w:tcBorders>
              <w:top w:val="single" w:sz="8" w:space="0" w:color="000000"/>
            </w:tcBorders>
            <w:shd w:val="clear" w:color="auto" w:fill="E2EFD9"/>
            <w:tcMar>
              <w:top w:w="40" w:type="dxa"/>
              <w:bottom w:w="40" w:type="dxa"/>
              <w:right w:w="20" w:type="dxa"/>
            </w:tcMar>
            <w:vAlign w:val="bottom"/>
          </w:tcPr>
          <w:p w14:paraId="0D8E077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76" w14:textId="77777777" w:rsidR="004C2197" w:rsidRDefault="004C2197">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0D8E0777" w14:textId="77777777" w:rsidR="004C2197" w:rsidRDefault="00863B83">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E2EFD9"/>
            <w:tcMar>
              <w:top w:w="40" w:type="dxa"/>
              <w:bottom w:w="40" w:type="dxa"/>
              <w:right w:w="20" w:type="dxa"/>
            </w:tcMar>
            <w:vAlign w:val="bottom"/>
          </w:tcPr>
          <w:p w14:paraId="0D8E0778" w14:textId="77777777" w:rsidR="004C2197" w:rsidRDefault="004C2197">
            <w:pPr>
              <w:jc w:val="right"/>
              <w:rPr>
                <w:rFonts w:ascii="宋体"/>
              </w:rPr>
            </w:pPr>
          </w:p>
        </w:tc>
        <w:tc>
          <w:tcPr>
            <w:tcW w:w="0" w:type="auto"/>
            <w:shd w:val="clear" w:color="auto" w:fill="auto"/>
          </w:tcPr>
          <w:p w14:paraId="0D8E0779" w14:textId="77777777" w:rsidR="004C2197" w:rsidRDefault="004C2197">
            <w:pPr>
              <w:rPr>
                <w:rFonts w:ascii="宋体"/>
              </w:rPr>
            </w:pPr>
          </w:p>
        </w:tc>
        <w:tc>
          <w:tcPr>
            <w:tcW w:w="0" w:type="auto"/>
            <w:shd w:val="clear" w:color="auto" w:fill="auto"/>
          </w:tcPr>
          <w:p w14:paraId="0D8E077A" w14:textId="77777777" w:rsidR="004C2197" w:rsidRDefault="004C2197">
            <w:pPr>
              <w:rPr>
                <w:rFonts w:ascii="宋体"/>
              </w:rPr>
            </w:pPr>
          </w:p>
        </w:tc>
        <w:tc>
          <w:tcPr>
            <w:tcW w:w="0" w:type="auto"/>
            <w:shd w:val="clear" w:color="auto" w:fill="auto"/>
          </w:tcPr>
          <w:p w14:paraId="0D8E077B" w14:textId="77777777" w:rsidR="004C2197" w:rsidRDefault="004C2197">
            <w:pPr>
              <w:rPr>
                <w:rFonts w:ascii="宋体"/>
              </w:rPr>
            </w:pPr>
          </w:p>
        </w:tc>
        <w:tc>
          <w:tcPr>
            <w:tcW w:w="0" w:type="auto"/>
            <w:shd w:val="clear" w:color="auto" w:fill="auto"/>
          </w:tcPr>
          <w:p w14:paraId="0D8E077C" w14:textId="77777777" w:rsidR="004C2197" w:rsidRDefault="004C2197">
            <w:pPr>
              <w:rPr>
                <w:rFonts w:ascii="宋体"/>
              </w:rPr>
            </w:pPr>
          </w:p>
        </w:tc>
        <w:tc>
          <w:tcPr>
            <w:tcW w:w="0" w:type="auto"/>
            <w:shd w:val="clear" w:color="auto" w:fill="auto"/>
          </w:tcPr>
          <w:p w14:paraId="0D8E077D" w14:textId="77777777" w:rsidR="004C2197" w:rsidRDefault="004C2197">
            <w:pPr>
              <w:rPr>
                <w:rFonts w:ascii="宋体"/>
              </w:rPr>
            </w:pPr>
          </w:p>
        </w:tc>
        <w:tc>
          <w:tcPr>
            <w:tcW w:w="0" w:type="auto"/>
            <w:shd w:val="clear" w:color="auto" w:fill="auto"/>
          </w:tcPr>
          <w:p w14:paraId="0D8E077E" w14:textId="77777777" w:rsidR="004C2197" w:rsidRDefault="004C2197">
            <w:pPr>
              <w:rPr>
                <w:rFonts w:ascii="宋体"/>
              </w:rPr>
            </w:pPr>
          </w:p>
        </w:tc>
        <w:tc>
          <w:tcPr>
            <w:tcW w:w="0" w:type="auto"/>
            <w:shd w:val="clear" w:color="auto" w:fill="auto"/>
          </w:tcPr>
          <w:p w14:paraId="0D8E077F" w14:textId="77777777" w:rsidR="004C2197" w:rsidRDefault="004C2197">
            <w:pPr>
              <w:rPr>
                <w:rFonts w:ascii="宋体"/>
              </w:rPr>
            </w:pPr>
          </w:p>
        </w:tc>
        <w:tc>
          <w:tcPr>
            <w:tcW w:w="0" w:type="auto"/>
            <w:shd w:val="clear" w:color="auto" w:fill="auto"/>
          </w:tcPr>
          <w:p w14:paraId="0D8E0780" w14:textId="77777777" w:rsidR="004C2197" w:rsidRDefault="004C2197">
            <w:pPr>
              <w:rPr>
                <w:rFonts w:ascii="宋体"/>
              </w:rPr>
            </w:pPr>
          </w:p>
        </w:tc>
        <w:tc>
          <w:tcPr>
            <w:tcW w:w="0" w:type="auto"/>
            <w:shd w:val="clear" w:color="auto" w:fill="auto"/>
          </w:tcPr>
          <w:p w14:paraId="0D8E0781" w14:textId="77777777" w:rsidR="004C2197" w:rsidRDefault="004C2197">
            <w:pPr>
              <w:rPr>
                <w:rFonts w:ascii="宋体"/>
              </w:rPr>
            </w:pPr>
          </w:p>
        </w:tc>
        <w:tc>
          <w:tcPr>
            <w:tcW w:w="0" w:type="auto"/>
            <w:shd w:val="clear" w:color="auto" w:fill="auto"/>
          </w:tcPr>
          <w:p w14:paraId="0D8E0782" w14:textId="77777777" w:rsidR="004C2197" w:rsidRDefault="004C2197">
            <w:pPr>
              <w:rPr>
                <w:rFonts w:ascii="宋体"/>
              </w:rPr>
            </w:pPr>
          </w:p>
        </w:tc>
        <w:tc>
          <w:tcPr>
            <w:tcW w:w="0" w:type="auto"/>
            <w:shd w:val="clear" w:color="auto" w:fill="auto"/>
          </w:tcPr>
          <w:p w14:paraId="0D8E0783" w14:textId="77777777" w:rsidR="004C2197" w:rsidRDefault="004C2197">
            <w:pPr>
              <w:rPr>
                <w:rFonts w:ascii="宋体"/>
              </w:rPr>
            </w:pPr>
          </w:p>
        </w:tc>
        <w:tc>
          <w:tcPr>
            <w:tcW w:w="0" w:type="auto"/>
            <w:shd w:val="clear" w:color="auto" w:fill="auto"/>
          </w:tcPr>
          <w:p w14:paraId="0D8E0784" w14:textId="77777777" w:rsidR="004C2197" w:rsidRDefault="004C2197">
            <w:pPr>
              <w:rPr>
                <w:rFonts w:ascii="宋体"/>
              </w:rPr>
            </w:pPr>
          </w:p>
        </w:tc>
      </w:tr>
      <w:tr w:rsidR="004C2197" w14:paraId="0D8E079E" w14:textId="77777777">
        <w:tc>
          <w:tcPr>
            <w:tcW w:w="0" w:type="auto"/>
            <w:gridSpan w:val="3"/>
            <w:shd w:val="clear" w:color="auto" w:fill="FFFFFF"/>
            <w:tcMar>
              <w:top w:w="40" w:type="dxa"/>
              <w:left w:w="20" w:type="dxa"/>
              <w:bottom w:w="40" w:type="dxa"/>
              <w:right w:w="20" w:type="dxa"/>
            </w:tcMar>
            <w:vAlign w:val="bottom"/>
          </w:tcPr>
          <w:p w14:paraId="0D8E0786" w14:textId="77777777" w:rsidR="004C2197" w:rsidRDefault="00863B83">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87" w14:textId="77777777" w:rsidR="004C2197" w:rsidRDefault="00863B83">
            <w:pPr>
              <w:jc w:val="right"/>
              <w:textAlignment w:val="bottom"/>
            </w:pPr>
            <w:r>
              <w:rPr>
                <w:rFonts w:ascii="sans-serif" w:eastAsia="sans-serif" w:hAnsi="sans-serif" w:cs="sans-serif"/>
                <w:color w:val="000000"/>
                <w:sz w:val="20"/>
                <w:szCs w:val="20"/>
              </w:rPr>
              <w:t>15.7 </w:t>
            </w:r>
          </w:p>
        </w:tc>
        <w:tc>
          <w:tcPr>
            <w:tcW w:w="0" w:type="auto"/>
            <w:tcBorders>
              <w:top w:val="single" w:sz="8" w:space="0" w:color="000000"/>
            </w:tcBorders>
            <w:shd w:val="clear" w:color="auto" w:fill="FFFFFF"/>
            <w:tcMar>
              <w:top w:w="40" w:type="dxa"/>
              <w:bottom w:w="40" w:type="dxa"/>
              <w:right w:w="20" w:type="dxa"/>
            </w:tcMar>
            <w:vAlign w:val="bottom"/>
          </w:tcPr>
          <w:p w14:paraId="0D8E078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89"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8A" w14:textId="77777777" w:rsidR="004C2197" w:rsidRDefault="00863B83">
            <w:pPr>
              <w:jc w:val="right"/>
              <w:textAlignment w:val="bottom"/>
            </w:pPr>
            <w:r>
              <w:rPr>
                <w:rFonts w:ascii="sans-serif" w:eastAsia="sans-serif" w:hAnsi="sans-serif" w:cs="sans-serif"/>
                <w:color w:val="000000"/>
                <w:sz w:val="20"/>
                <w:szCs w:val="20"/>
              </w:rPr>
              <w:t>23.5 </w:t>
            </w:r>
          </w:p>
        </w:tc>
        <w:tc>
          <w:tcPr>
            <w:tcW w:w="0" w:type="auto"/>
            <w:tcBorders>
              <w:top w:val="single" w:sz="8" w:space="0" w:color="000000"/>
            </w:tcBorders>
            <w:shd w:val="clear" w:color="auto" w:fill="FFFFFF"/>
            <w:tcMar>
              <w:top w:w="40" w:type="dxa"/>
              <w:bottom w:w="40" w:type="dxa"/>
              <w:right w:w="20" w:type="dxa"/>
            </w:tcMar>
            <w:vAlign w:val="bottom"/>
          </w:tcPr>
          <w:p w14:paraId="0D8E078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8C"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8D" w14:textId="77777777" w:rsidR="004C2197" w:rsidRDefault="00863B83">
            <w:pPr>
              <w:jc w:val="right"/>
              <w:textAlignment w:val="bottom"/>
            </w:pPr>
            <w:r>
              <w:rPr>
                <w:rFonts w:ascii="sans-serif" w:eastAsia="sans-serif" w:hAnsi="sans-serif" w:cs="sans-serif"/>
                <w:color w:val="000000"/>
                <w:sz w:val="20"/>
                <w:szCs w:val="20"/>
              </w:rPr>
              <w:t>22.9 </w:t>
            </w:r>
          </w:p>
        </w:tc>
        <w:tc>
          <w:tcPr>
            <w:tcW w:w="0" w:type="auto"/>
            <w:tcBorders>
              <w:top w:val="single" w:sz="8" w:space="0" w:color="000000"/>
            </w:tcBorders>
            <w:shd w:val="clear" w:color="auto" w:fill="FFFFFF"/>
            <w:tcMar>
              <w:top w:w="40" w:type="dxa"/>
              <w:bottom w:w="40" w:type="dxa"/>
              <w:right w:w="20" w:type="dxa"/>
            </w:tcMar>
            <w:vAlign w:val="bottom"/>
          </w:tcPr>
          <w:p w14:paraId="0D8E078E"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78F" w14:textId="77777777" w:rsidR="004C2197" w:rsidRDefault="004C219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8E0790" w14:textId="77777777" w:rsidR="004C2197" w:rsidRDefault="00863B83">
            <w:pPr>
              <w:jc w:val="right"/>
              <w:textAlignment w:val="bottom"/>
            </w:pPr>
            <w:r>
              <w:rPr>
                <w:rFonts w:ascii="sans-serif" w:eastAsia="sans-serif" w:hAnsi="sans-serif" w:cs="sans-serif"/>
                <w:color w:val="000000"/>
                <w:sz w:val="20"/>
                <w:szCs w:val="20"/>
              </w:rPr>
              <w:t>20.7 </w:t>
            </w:r>
          </w:p>
        </w:tc>
        <w:tc>
          <w:tcPr>
            <w:tcW w:w="0" w:type="auto"/>
            <w:tcBorders>
              <w:top w:val="single" w:sz="8" w:space="0" w:color="000000"/>
            </w:tcBorders>
            <w:shd w:val="clear" w:color="auto" w:fill="FFFFFF"/>
            <w:tcMar>
              <w:top w:w="40" w:type="dxa"/>
              <w:bottom w:w="40" w:type="dxa"/>
              <w:right w:w="20" w:type="dxa"/>
            </w:tcMar>
            <w:vAlign w:val="bottom"/>
          </w:tcPr>
          <w:p w14:paraId="0D8E0791" w14:textId="77777777" w:rsidR="004C2197" w:rsidRDefault="004C2197">
            <w:pPr>
              <w:jc w:val="right"/>
              <w:rPr>
                <w:rFonts w:ascii="宋体"/>
              </w:rPr>
            </w:pPr>
          </w:p>
        </w:tc>
        <w:tc>
          <w:tcPr>
            <w:tcW w:w="0" w:type="auto"/>
            <w:shd w:val="clear" w:color="auto" w:fill="auto"/>
          </w:tcPr>
          <w:p w14:paraId="0D8E0792" w14:textId="77777777" w:rsidR="004C2197" w:rsidRDefault="004C2197">
            <w:pPr>
              <w:rPr>
                <w:rFonts w:ascii="宋体"/>
              </w:rPr>
            </w:pPr>
          </w:p>
        </w:tc>
        <w:tc>
          <w:tcPr>
            <w:tcW w:w="0" w:type="auto"/>
            <w:shd w:val="clear" w:color="auto" w:fill="auto"/>
          </w:tcPr>
          <w:p w14:paraId="0D8E0793" w14:textId="77777777" w:rsidR="004C2197" w:rsidRDefault="004C2197">
            <w:pPr>
              <w:rPr>
                <w:rFonts w:ascii="宋体"/>
              </w:rPr>
            </w:pPr>
          </w:p>
        </w:tc>
        <w:tc>
          <w:tcPr>
            <w:tcW w:w="0" w:type="auto"/>
            <w:shd w:val="clear" w:color="auto" w:fill="auto"/>
          </w:tcPr>
          <w:p w14:paraId="0D8E0794" w14:textId="77777777" w:rsidR="004C2197" w:rsidRDefault="004C2197">
            <w:pPr>
              <w:rPr>
                <w:rFonts w:ascii="宋体"/>
              </w:rPr>
            </w:pPr>
          </w:p>
        </w:tc>
        <w:tc>
          <w:tcPr>
            <w:tcW w:w="0" w:type="auto"/>
            <w:shd w:val="clear" w:color="auto" w:fill="auto"/>
          </w:tcPr>
          <w:p w14:paraId="0D8E0795" w14:textId="77777777" w:rsidR="004C2197" w:rsidRDefault="004C2197">
            <w:pPr>
              <w:rPr>
                <w:rFonts w:ascii="宋体"/>
              </w:rPr>
            </w:pPr>
          </w:p>
        </w:tc>
        <w:tc>
          <w:tcPr>
            <w:tcW w:w="0" w:type="auto"/>
            <w:shd w:val="clear" w:color="auto" w:fill="auto"/>
          </w:tcPr>
          <w:p w14:paraId="0D8E0796" w14:textId="77777777" w:rsidR="004C2197" w:rsidRDefault="004C2197">
            <w:pPr>
              <w:rPr>
                <w:rFonts w:ascii="宋体"/>
              </w:rPr>
            </w:pPr>
          </w:p>
        </w:tc>
        <w:tc>
          <w:tcPr>
            <w:tcW w:w="0" w:type="auto"/>
            <w:shd w:val="clear" w:color="auto" w:fill="auto"/>
          </w:tcPr>
          <w:p w14:paraId="0D8E0797" w14:textId="77777777" w:rsidR="004C2197" w:rsidRDefault="004C2197">
            <w:pPr>
              <w:rPr>
                <w:rFonts w:ascii="宋体"/>
              </w:rPr>
            </w:pPr>
          </w:p>
        </w:tc>
        <w:tc>
          <w:tcPr>
            <w:tcW w:w="0" w:type="auto"/>
            <w:shd w:val="clear" w:color="auto" w:fill="auto"/>
          </w:tcPr>
          <w:p w14:paraId="0D8E0798" w14:textId="77777777" w:rsidR="004C2197" w:rsidRDefault="004C2197">
            <w:pPr>
              <w:rPr>
                <w:rFonts w:ascii="宋体"/>
              </w:rPr>
            </w:pPr>
          </w:p>
        </w:tc>
        <w:tc>
          <w:tcPr>
            <w:tcW w:w="0" w:type="auto"/>
            <w:shd w:val="clear" w:color="auto" w:fill="auto"/>
          </w:tcPr>
          <w:p w14:paraId="0D8E0799" w14:textId="77777777" w:rsidR="004C2197" w:rsidRDefault="004C2197">
            <w:pPr>
              <w:rPr>
                <w:rFonts w:ascii="宋体"/>
              </w:rPr>
            </w:pPr>
          </w:p>
        </w:tc>
        <w:tc>
          <w:tcPr>
            <w:tcW w:w="0" w:type="auto"/>
            <w:shd w:val="clear" w:color="auto" w:fill="auto"/>
          </w:tcPr>
          <w:p w14:paraId="0D8E079A" w14:textId="77777777" w:rsidR="004C2197" w:rsidRDefault="004C2197">
            <w:pPr>
              <w:rPr>
                <w:rFonts w:ascii="宋体"/>
              </w:rPr>
            </w:pPr>
          </w:p>
        </w:tc>
        <w:tc>
          <w:tcPr>
            <w:tcW w:w="0" w:type="auto"/>
            <w:shd w:val="clear" w:color="auto" w:fill="auto"/>
          </w:tcPr>
          <w:p w14:paraId="0D8E079B" w14:textId="77777777" w:rsidR="004C2197" w:rsidRDefault="004C2197">
            <w:pPr>
              <w:rPr>
                <w:rFonts w:ascii="宋体"/>
              </w:rPr>
            </w:pPr>
          </w:p>
        </w:tc>
        <w:tc>
          <w:tcPr>
            <w:tcW w:w="0" w:type="auto"/>
            <w:shd w:val="clear" w:color="auto" w:fill="auto"/>
          </w:tcPr>
          <w:p w14:paraId="0D8E079C" w14:textId="77777777" w:rsidR="004C2197" w:rsidRDefault="004C2197">
            <w:pPr>
              <w:rPr>
                <w:rFonts w:ascii="宋体"/>
              </w:rPr>
            </w:pPr>
          </w:p>
        </w:tc>
        <w:tc>
          <w:tcPr>
            <w:tcW w:w="0" w:type="auto"/>
            <w:shd w:val="clear" w:color="auto" w:fill="auto"/>
          </w:tcPr>
          <w:p w14:paraId="0D8E079D" w14:textId="77777777" w:rsidR="004C2197" w:rsidRDefault="004C2197">
            <w:pPr>
              <w:rPr>
                <w:rFonts w:ascii="宋体"/>
              </w:rPr>
            </w:pPr>
          </w:p>
        </w:tc>
      </w:tr>
      <w:tr w:rsidR="004C2197" w14:paraId="0D8E07B7" w14:textId="77777777">
        <w:tc>
          <w:tcPr>
            <w:tcW w:w="0" w:type="auto"/>
            <w:gridSpan w:val="3"/>
            <w:shd w:val="clear" w:color="auto" w:fill="E2EFD9"/>
            <w:tcMar>
              <w:top w:w="40" w:type="dxa"/>
              <w:left w:w="20" w:type="dxa"/>
              <w:bottom w:w="40" w:type="dxa"/>
              <w:right w:w="20" w:type="dxa"/>
            </w:tcMar>
            <w:vAlign w:val="bottom"/>
          </w:tcPr>
          <w:p w14:paraId="0D8E079F" w14:textId="77777777" w:rsidR="004C2197" w:rsidRDefault="00863B83">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0D8E07A0" w14:textId="77777777" w:rsidR="004C2197" w:rsidRDefault="00863B83">
            <w:pPr>
              <w:jc w:val="right"/>
              <w:textAlignment w:val="bottom"/>
            </w:pPr>
            <w:r>
              <w:rPr>
                <w:rFonts w:ascii="sans-serif" w:eastAsia="sans-serif" w:hAnsi="sans-serif" w:cs="sans-serif"/>
                <w:color w:val="000000"/>
                <w:sz w:val="20"/>
                <w:szCs w:val="20"/>
              </w:rPr>
              <w:t>(0.3)</w:t>
            </w:r>
          </w:p>
        </w:tc>
        <w:tc>
          <w:tcPr>
            <w:tcW w:w="0" w:type="auto"/>
            <w:shd w:val="clear" w:color="auto" w:fill="E2EFD9"/>
            <w:tcMar>
              <w:top w:w="40" w:type="dxa"/>
              <w:bottom w:w="40" w:type="dxa"/>
              <w:right w:w="20" w:type="dxa"/>
            </w:tcMar>
            <w:vAlign w:val="bottom"/>
          </w:tcPr>
          <w:p w14:paraId="0D8E07A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A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A3" w14:textId="77777777" w:rsidR="004C2197" w:rsidRDefault="00863B83">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bottom w:w="40" w:type="dxa"/>
              <w:right w:w="20" w:type="dxa"/>
            </w:tcMar>
            <w:vAlign w:val="bottom"/>
          </w:tcPr>
          <w:p w14:paraId="0D8E07A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A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A6" w14:textId="77777777" w:rsidR="004C2197" w:rsidRDefault="00863B83">
            <w:pPr>
              <w:jc w:val="right"/>
              <w:textAlignment w:val="bottom"/>
            </w:pPr>
            <w:r>
              <w:rPr>
                <w:rFonts w:ascii="sans-serif" w:eastAsia="sans-serif" w:hAnsi="sans-serif" w:cs="sans-serif"/>
                <w:color w:val="000000"/>
                <w:sz w:val="20"/>
                <w:szCs w:val="20"/>
              </w:rPr>
              <w:t>0.7 </w:t>
            </w:r>
          </w:p>
        </w:tc>
        <w:tc>
          <w:tcPr>
            <w:tcW w:w="0" w:type="auto"/>
            <w:shd w:val="clear" w:color="auto" w:fill="E2EFD9"/>
            <w:tcMar>
              <w:top w:w="40" w:type="dxa"/>
              <w:bottom w:w="40" w:type="dxa"/>
              <w:right w:w="20" w:type="dxa"/>
            </w:tcMar>
            <w:vAlign w:val="bottom"/>
          </w:tcPr>
          <w:p w14:paraId="0D8E07A7"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7A8"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7A9" w14:textId="77777777" w:rsidR="004C2197" w:rsidRDefault="00863B83">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bottom w:w="40" w:type="dxa"/>
              <w:right w:w="20" w:type="dxa"/>
            </w:tcMar>
            <w:vAlign w:val="bottom"/>
          </w:tcPr>
          <w:p w14:paraId="0D8E07AA" w14:textId="77777777" w:rsidR="004C2197" w:rsidRDefault="004C2197">
            <w:pPr>
              <w:jc w:val="right"/>
              <w:rPr>
                <w:rFonts w:ascii="宋体"/>
              </w:rPr>
            </w:pPr>
          </w:p>
        </w:tc>
        <w:tc>
          <w:tcPr>
            <w:tcW w:w="0" w:type="auto"/>
            <w:shd w:val="clear" w:color="auto" w:fill="auto"/>
          </w:tcPr>
          <w:p w14:paraId="0D8E07AB" w14:textId="77777777" w:rsidR="004C2197" w:rsidRDefault="004C2197">
            <w:pPr>
              <w:rPr>
                <w:rFonts w:ascii="宋体"/>
              </w:rPr>
            </w:pPr>
          </w:p>
        </w:tc>
        <w:tc>
          <w:tcPr>
            <w:tcW w:w="0" w:type="auto"/>
            <w:shd w:val="clear" w:color="auto" w:fill="auto"/>
          </w:tcPr>
          <w:p w14:paraId="0D8E07AC" w14:textId="77777777" w:rsidR="004C2197" w:rsidRDefault="004C2197">
            <w:pPr>
              <w:rPr>
                <w:rFonts w:ascii="宋体"/>
              </w:rPr>
            </w:pPr>
          </w:p>
        </w:tc>
        <w:tc>
          <w:tcPr>
            <w:tcW w:w="0" w:type="auto"/>
            <w:shd w:val="clear" w:color="auto" w:fill="auto"/>
          </w:tcPr>
          <w:p w14:paraId="0D8E07AD" w14:textId="77777777" w:rsidR="004C2197" w:rsidRDefault="004C2197">
            <w:pPr>
              <w:rPr>
                <w:rFonts w:ascii="宋体"/>
              </w:rPr>
            </w:pPr>
          </w:p>
        </w:tc>
        <w:tc>
          <w:tcPr>
            <w:tcW w:w="0" w:type="auto"/>
            <w:shd w:val="clear" w:color="auto" w:fill="auto"/>
          </w:tcPr>
          <w:p w14:paraId="0D8E07AE" w14:textId="77777777" w:rsidR="004C2197" w:rsidRDefault="004C2197">
            <w:pPr>
              <w:rPr>
                <w:rFonts w:ascii="宋体"/>
              </w:rPr>
            </w:pPr>
          </w:p>
        </w:tc>
        <w:tc>
          <w:tcPr>
            <w:tcW w:w="0" w:type="auto"/>
            <w:shd w:val="clear" w:color="auto" w:fill="auto"/>
          </w:tcPr>
          <w:p w14:paraId="0D8E07AF" w14:textId="77777777" w:rsidR="004C2197" w:rsidRDefault="004C2197">
            <w:pPr>
              <w:rPr>
                <w:rFonts w:ascii="宋体"/>
              </w:rPr>
            </w:pPr>
          </w:p>
        </w:tc>
        <w:tc>
          <w:tcPr>
            <w:tcW w:w="0" w:type="auto"/>
            <w:shd w:val="clear" w:color="auto" w:fill="auto"/>
          </w:tcPr>
          <w:p w14:paraId="0D8E07B0" w14:textId="77777777" w:rsidR="004C2197" w:rsidRDefault="004C2197">
            <w:pPr>
              <w:rPr>
                <w:rFonts w:ascii="宋体"/>
              </w:rPr>
            </w:pPr>
          </w:p>
        </w:tc>
        <w:tc>
          <w:tcPr>
            <w:tcW w:w="0" w:type="auto"/>
            <w:shd w:val="clear" w:color="auto" w:fill="auto"/>
          </w:tcPr>
          <w:p w14:paraId="0D8E07B1" w14:textId="77777777" w:rsidR="004C2197" w:rsidRDefault="004C2197">
            <w:pPr>
              <w:rPr>
                <w:rFonts w:ascii="宋体"/>
              </w:rPr>
            </w:pPr>
          </w:p>
        </w:tc>
        <w:tc>
          <w:tcPr>
            <w:tcW w:w="0" w:type="auto"/>
            <w:shd w:val="clear" w:color="auto" w:fill="auto"/>
          </w:tcPr>
          <w:p w14:paraId="0D8E07B2" w14:textId="77777777" w:rsidR="004C2197" w:rsidRDefault="004C2197">
            <w:pPr>
              <w:rPr>
                <w:rFonts w:ascii="宋体"/>
              </w:rPr>
            </w:pPr>
          </w:p>
        </w:tc>
        <w:tc>
          <w:tcPr>
            <w:tcW w:w="0" w:type="auto"/>
            <w:shd w:val="clear" w:color="auto" w:fill="auto"/>
          </w:tcPr>
          <w:p w14:paraId="0D8E07B3" w14:textId="77777777" w:rsidR="004C2197" w:rsidRDefault="004C2197">
            <w:pPr>
              <w:rPr>
                <w:rFonts w:ascii="宋体"/>
              </w:rPr>
            </w:pPr>
          </w:p>
        </w:tc>
        <w:tc>
          <w:tcPr>
            <w:tcW w:w="0" w:type="auto"/>
            <w:shd w:val="clear" w:color="auto" w:fill="auto"/>
          </w:tcPr>
          <w:p w14:paraId="0D8E07B4" w14:textId="77777777" w:rsidR="004C2197" w:rsidRDefault="004C2197">
            <w:pPr>
              <w:rPr>
                <w:rFonts w:ascii="宋体"/>
              </w:rPr>
            </w:pPr>
          </w:p>
        </w:tc>
        <w:tc>
          <w:tcPr>
            <w:tcW w:w="0" w:type="auto"/>
            <w:shd w:val="clear" w:color="auto" w:fill="auto"/>
          </w:tcPr>
          <w:p w14:paraId="0D8E07B5" w14:textId="77777777" w:rsidR="004C2197" w:rsidRDefault="004C2197">
            <w:pPr>
              <w:rPr>
                <w:rFonts w:ascii="宋体"/>
              </w:rPr>
            </w:pPr>
          </w:p>
        </w:tc>
        <w:tc>
          <w:tcPr>
            <w:tcW w:w="0" w:type="auto"/>
            <w:shd w:val="clear" w:color="auto" w:fill="auto"/>
          </w:tcPr>
          <w:p w14:paraId="0D8E07B6" w14:textId="77777777" w:rsidR="004C2197" w:rsidRDefault="004C2197">
            <w:pPr>
              <w:rPr>
                <w:rFonts w:ascii="宋体"/>
              </w:rPr>
            </w:pPr>
          </w:p>
        </w:tc>
      </w:tr>
      <w:tr w:rsidR="004C2197" w14:paraId="0D8E07D0" w14:textId="77777777">
        <w:tc>
          <w:tcPr>
            <w:tcW w:w="0" w:type="auto"/>
            <w:gridSpan w:val="3"/>
            <w:shd w:val="clear" w:color="auto" w:fill="FFFFFF"/>
            <w:tcMar>
              <w:top w:w="40" w:type="dxa"/>
              <w:left w:w="20" w:type="dxa"/>
              <w:bottom w:w="40" w:type="dxa"/>
              <w:right w:w="20" w:type="dxa"/>
            </w:tcMar>
            <w:vAlign w:val="bottom"/>
          </w:tcPr>
          <w:p w14:paraId="0D8E07B8" w14:textId="77777777" w:rsidR="004C2197" w:rsidRDefault="00863B83">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E07B9" w14:textId="77777777" w:rsidR="004C2197" w:rsidRDefault="00863B83">
            <w:pPr>
              <w:jc w:val="right"/>
              <w:textAlignment w:val="bottom"/>
            </w:pPr>
            <w:r>
              <w:rPr>
                <w:rFonts w:ascii="sans-serif" w:eastAsia="sans-serif" w:hAnsi="sans-serif" w:cs="sans-serif"/>
                <w:color w:val="000000"/>
                <w:sz w:val="20"/>
                <w:szCs w:val="20"/>
              </w:rPr>
              <w:t>16.0 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7BA"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7BB"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E07BC" w14:textId="77777777" w:rsidR="004C2197" w:rsidRDefault="00863B83">
            <w:pPr>
              <w:jc w:val="right"/>
              <w:textAlignment w:val="bottom"/>
            </w:pPr>
            <w:r>
              <w:rPr>
                <w:rFonts w:ascii="sans-serif" w:eastAsia="sans-serif" w:hAnsi="sans-serif" w:cs="sans-serif"/>
                <w:color w:val="000000"/>
                <w:sz w:val="20"/>
                <w:szCs w:val="20"/>
              </w:rPr>
              <w:t>21.4 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7BD"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7BE"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E07BF" w14:textId="77777777" w:rsidR="004C2197" w:rsidRDefault="00863B83">
            <w:pPr>
              <w:jc w:val="right"/>
              <w:textAlignment w:val="bottom"/>
            </w:pPr>
            <w:r>
              <w:rPr>
                <w:rFonts w:ascii="sans-serif" w:eastAsia="sans-serif" w:hAnsi="sans-serif" w:cs="sans-serif"/>
                <w:color w:val="000000"/>
                <w:sz w:val="20"/>
                <w:szCs w:val="20"/>
              </w:rPr>
              <w:t>22.2 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7C0"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7C1"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8E07C2" w14:textId="77777777" w:rsidR="004C2197" w:rsidRDefault="00863B83">
            <w:pPr>
              <w:jc w:val="right"/>
              <w:textAlignment w:val="bottom"/>
            </w:pPr>
            <w:r>
              <w:rPr>
                <w:rFonts w:ascii="sans-serif" w:eastAsia="sans-serif" w:hAnsi="sans-serif" w:cs="sans-serif"/>
                <w:color w:val="000000"/>
                <w:sz w:val="20"/>
                <w:szCs w:val="20"/>
              </w:rPr>
              <w:t>19.7 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0D8E07C3"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7C4" w14:textId="77777777" w:rsidR="004C2197" w:rsidRDefault="004C2197">
            <w:pPr>
              <w:rPr>
                <w:rFonts w:ascii="宋体"/>
              </w:rPr>
            </w:pPr>
          </w:p>
        </w:tc>
        <w:tc>
          <w:tcPr>
            <w:tcW w:w="0" w:type="auto"/>
            <w:shd w:val="clear" w:color="auto" w:fill="auto"/>
          </w:tcPr>
          <w:p w14:paraId="0D8E07C5" w14:textId="77777777" w:rsidR="004C2197" w:rsidRDefault="004C2197">
            <w:pPr>
              <w:rPr>
                <w:rFonts w:ascii="宋体"/>
              </w:rPr>
            </w:pPr>
          </w:p>
        </w:tc>
        <w:tc>
          <w:tcPr>
            <w:tcW w:w="0" w:type="auto"/>
            <w:shd w:val="clear" w:color="auto" w:fill="auto"/>
          </w:tcPr>
          <w:p w14:paraId="0D8E07C6" w14:textId="77777777" w:rsidR="004C2197" w:rsidRDefault="004C2197">
            <w:pPr>
              <w:rPr>
                <w:rFonts w:ascii="宋体"/>
              </w:rPr>
            </w:pPr>
          </w:p>
        </w:tc>
        <w:tc>
          <w:tcPr>
            <w:tcW w:w="0" w:type="auto"/>
            <w:shd w:val="clear" w:color="auto" w:fill="auto"/>
          </w:tcPr>
          <w:p w14:paraId="0D8E07C7" w14:textId="77777777" w:rsidR="004C2197" w:rsidRDefault="004C2197">
            <w:pPr>
              <w:rPr>
                <w:rFonts w:ascii="宋体"/>
              </w:rPr>
            </w:pPr>
          </w:p>
        </w:tc>
        <w:tc>
          <w:tcPr>
            <w:tcW w:w="0" w:type="auto"/>
            <w:shd w:val="clear" w:color="auto" w:fill="auto"/>
          </w:tcPr>
          <w:p w14:paraId="0D8E07C8" w14:textId="77777777" w:rsidR="004C2197" w:rsidRDefault="004C2197">
            <w:pPr>
              <w:rPr>
                <w:rFonts w:ascii="宋体"/>
              </w:rPr>
            </w:pPr>
          </w:p>
        </w:tc>
        <w:tc>
          <w:tcPr>
            <w:tcW w:w="0" w:type="auto"/>
            <w:shd w:val="clear" w:color="auto" w:fill="auto"/>
          </w:tcPr>
          <w:p w14:paraId="0D8E07C9" w14:textId="77777777" w:rsidR="004C2197" w:rsidRDefault="004C2197">
            <w:pPr>
              <w:rPr>
                <w:rFonts w:ascii="宋体"/>
              </w:rPr>
            </w:pPr>
          </w:p>
        </w:tc>
        <w:tc>
          <w:tcPr>
            <w:tcW w:w="0" w:type="auto"/>
            <w:shd w:val="clear" w:color="auto" w:fill="auto"/>
          </w:tcPr>
          <w:p w14:paraId="0D8E07CA" w14:textId="77777777" w:rsidR="004C2197" w:rsidRDefault="004C2197">
            <w:pPr>
              <w:rPr>
                <w:rFonts w:ascii="宋体"/>
              </w:rPr>
            </w:pPr>
          </w:p>
        </w:tc>
        <w:tc>
          <w:tcPr>
            <w:tcW w:w="0" w:type="auto"/>
            <w:shd w:val="clear" w:color="auto" w:fill="auto"/>
          </w:tcPr>
          <w:p w14:paraId="0D8E07CB" w14:textId="77777777" w:rsidR="004C2197" w:rsidRDefault="004C2197">
            <w:pPr>
              <w:rPr>
                <w:rFonts w:ascii="宋体"/>
              </w:rPr>
            </w:pPr>
          </w:p>
        </w:tc>
        <w:tc>
          <w:tcPr>
            <w:tcW w:w="0" w:type="auto"/>
            <w:shd w:val="clear" w:color="auto" w:fill="auto"/>
          </w:tcPr>
          <w:p w14:paraId="0D8E07CC" w14:textId="77777777" w:rsidR="004C2197" w:rsidRDefault="004C2197">
            <w:pPr>
              <w:rPr>
                <w:rFonts w:ascii="宋体"/>
              </w:rPr>
            </w:pPr>
          </w:p>
        </w:tc>
        <w:tc>
          <w:tcPr>
            <w:tcW w:w="0" w:type="auto"/>
            <w:shd w:val="clear" w:color="auto" w:fill="auto"/>
          </w:tcPr>
          <w:p w14:paraId="0D8E07CD" w14:textId="77777777" w:rsidR="004C2197" w:rsidRDefault="004C2197">
            <w:pPr>
              <w:rPr>
                <w:rFonts w:ascii="宋体"/>
              </w:rPr>
            </w:pPr>
          </w:p>
        </w:tc>
        <w:tc>
          <w:tcPr>
            <w:tcW w:w="0" w:type="auto"/>
            <w:shd w:val="clear" w:color="auto" w:fill="auto"/>
          </w:tcPr>
          <w:p w14:paraId="0D8E07CE" w14:textId="77777777" w:rsidR="004C2197" w:rsidRDefault="004C2197">
            <w:pPr>
              <w:rPr>
                <w:rFonts w:ascii="宋体"/>
              </w:rPr>
            </w:pPr>
          </w:p>
        </w:tc>
        <w:tc>
          <w:tcPr>
            <w:tcW w:w="0" w:type="auto"/>
            <w:shd w:val="clear" w:color="auto" w:fill="auto"/>
          </w:tcPr>
          <w:p w14:paraId="0D8E07CF" w14:textId="77777777" w:rsidR="004C2197" w:rsidRDefault="004C2197">
            <w:pPr>
              <w:rPr>
                <w:rFonts w:ascii="宋体"/>
              </w:rPr>
            </w:pPr>
          </w:p>
        </w:tc>
      </w:tr>
    </w:tbl>
    <w:p w14:paraId="0D8E07D1" w14:textId="77777777" w:rsidR="004C2197" w:rsidRDefault="00863B83">
      <w:pPr>
        <w:spacing w:before="240" w:after="60"/>
        <w:jc w:val="both"/>
      </w:pPr>
      <w:r>
        <w:rPr>
          <w:rFonts w:ascii="sans-serif" w:eastAsia="sans-serif" w:hAnsi="sans-serif" w:cs="sans-serif"/>
          <w:b/>
          <w:bCs/>
          <w:color w:val="76B900"/>
          <w:sz w:val="20"/>
          <w:szCs w:val="20"/>
        </w:rPr>
        <w:t>Revenue</w:t>
      </w:r>
    </w:p>
    <w:p w14:paraId="0D8E07D2" w14:textId="77777777" w:rsidR="004C2197" w:rsidRDefault="00863B83">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962"/>
        <w:gridCol w:w="36"/>
        <w:gridCol w:w="137"/>
        <w:gridCol w:w="630"/>
        <w:gridCol w:w="41"/>
        <w:gridCol w:w="36"/>
        <w:gridCol w:w="36"/>
        <w:gridCol w:w="36"/>
        <w:gridCol w:w="137"/>
        <w:gridCol w:w="565"/>
        <w:gridCol w:w="41"/>
        <w:gridCol w:w="36"/>
        <w:gridCol w:w="36"/>
        <w:gridCol w:w="36"/>
        <w:gridCol w:w="137"/>
        <w:gridCol w:w="516"/>
        <w:gridCol w:w="41"/>
        <w:gridCol w:w="36"/>
        <w:gridCol w:w="36"/>
        <w:gridCol w:w="36"/>
        <w:gridCol w:w="75"/>
        <w:gridCol w:w="573"/>
        <w:gridCol w:w="178"/>
        <w:gridCol w:w="36"/>
        <w:gridCol w:w="36"/>
        <w:gridCol w:w="36"/>
        <w:gridCol w:w="137"/>
        <w:gridCol w:w="516"/>
        <w:gridCol w:w="41"/>
        <w:gridCol w:w="36"/>
        <w:gridCol w:w="36"/>
        <w:gridCol w:w="36"/>
        <w:gridCol w:w="137"/>
        <w:gridCol w:w="516"/>
        <w:gridCol w:w="41"/>
        <w:gridCol w:w="36"/>
        <w:gridCol w:w="36"/>
        <w:gridCol w:w="36"/>
        <w:gridCol w:w="137"/>
        <w:gridCol w:w="516"/>
        <w:gridCol w:w="41"/>
        <w:gridCol w:w="36"/>
        <w:gridCol w:w="36"/>
        <w:gridCol w:w="36"/>
        <w:gridCol w:w="75"/>
        <w:gridCol w:w="573"/>
        <w:gridCol w:w="178"/>
        <w:gridCol w:w="36"/>
        <w:gridCol w:w="36"/>
        <w:gridCol w:w="36"/>
        <w:gridCol w:w="36"/>
        <w:gridCol w:w="36"/>
        <w:gridCol w:w="36"/>
        <w:gridCol w:w="36"/>
        <w:gridCol w:w="36"/>
        <w:gridCol w:w="36"/>
        <w:gridCol w:w="36"/>
        <w:gridCol w:w="36"/>
        <w:gridCol w:w="36"/>
        <w:gridCol w:w="36"/>
        <w:gridCol w:w="36"/>
        <w:gridCol w:w="36"/>
      </w:tblGrid>
      <w:tr w:rsidR="004C2197" w14:paraId="0D8E0803" w14:textId="77777777">
        <w:trPr>
          <w:gridAfter w:val="15"/>
        </w:trPr>
        <w:tc>
          <w:tcPr>
            <w:tcW w:w="50" w:type="pct"/>
            <w:shd w:val="clear" w:color="auto" w:fill="auto"/>
          </w:tcPr>
          <w:p w14:paraId="0D8E07D3" w14:textId="77777777" w:rsidR="004C2197" w:rsidRDefault="004C2197">
            <w:pPr>
              <w:rPr>
                <w:rFonts w:ascii="宋体"/>
              </w:rPr>
            </w:pPr>
          </w:p>
        </w:tc>
        <w:tc>
          <w:tcPr>
            <w:tcW w:w="741" w:type="pct"/>
            <w:shd w:val="clear" w:color="auto" w:fill="auto"/>
          </w:tcPr>
          <w:p w14:paraId="0D8E07D4" w14:textId="77777777" w:rsidR="004C2197" w:rsidRDefault="004C2197">
            <w:pPr>
              <w:rPr>
                <w:rFonts w:ascii="宋体"/>
              </w:rPr>
            </w:pPr>
          </w:p>
        </w:tc>
        <w:tc>
          <w:tcPr>
            <w:tcW w:w="5" w:type="pct"/>
            <w:shd w:val="clear" w:color="auto" w:fill="auto"/>
          </w:tcPr>
          <w:p w14:paraId="0D8E07D5" w14:textId="77777777" w:rsidR="004C2197" w:rsidRDefault="004C2197">
            <w:pPr>
              <w:rPr>
                <w:rFonts w:ascii="宋体"/>
              </w:rPr>
            </w:pPr>
          </w:p>
        </w:tc>
        <w:tc>
          <w:tcPr>
            <w:tcW w:w="50" w:type="pct"/>
            <w:shd w:val="clear" w:color="auto" w:fill="auto"/>
          </w:tcPr>
          <w:p w14:paraId="0D8E07D6" w14:textId="77777777" w:rsidR="004C2197" w:rsidRDefault="004C2197">
            <w:pPr>
              <w:rPr>
                <w:rFonts w:ascii="宋体"/>
              </w:rPr>
            </w:pPr>
          </w:p>
        </w:tc>
        <w:tc>
          <w:tcPr>
            <w:tcW w:w="493" w:type="pct"/>
            <w:shd w:val="clear" w:color="auto" w:fill="auto"/>
          </w:tcPr>
          <w:p w14:paraId="0D8E07D7" w14:textId="77777777" w:rsidR="004C2197" w:rsidRDefault="004C2197">
            <w:pPr>
              <w:rPr>
                <w:rFonts w:ascii="宋体"/>
              </w:rPr>
            </w:pPr>
          </w:p>
        </w:tc>
        <w:tc>
          <w:tcPr>
            <w:tcW w:w="5" w:type="pct"/>
            <w:shd w:val="clear" w:color="auto" w:fill="auto"/>
          </w:tcPr>
          <w:p w14:paraId="0D8E07D8" w14:textId="77777777" w:rsidR="004C2197" w:rsidRDefault="004C2197">
            <w:pPr>
              <w:rPr>
                <w:rFonts w:ascii="宋体"/>
              </w:rPr>
            </w:pPr>
          </w:p>
        </w:tc>
        <w:tc>
          <w:tcPr>
            <w:tcW w:w="5" w:type="pct"/>
            <w:shd w:val="clear" w:color="auto" w:fill="auto"/>
          </w:tcPr>
          <w:p w14:paraId="0D8E07D9" w14:textId="77777777" w:rsidR="004C2197" w:rsidRDefault="004C2197">
            <w:pPr>
              <w:rPr>
                <w:rFonts w:ascii="宋体"/>
              </w:rPr>
            </w:pPr>
          </w:p>
        </w:tc>
        <w:tc>
          <w:tcPr>
            <w:tcW w:w="26" w:type="pct"/>
            <w:shd w:val="clear" w:color="auto" w:fill="auto"/>
          </w:tcPr>
          <w:p w14:paraId="0D8E07DA" w14:textId="77777777" w:rsidR="004C2197" w:rsidRDefault="004C2197">
            <w:pPr>
              <w:rPr>
                <w:rFonts w:ascii="宋体"/>
              </w:rPr>
            </w:pPr>
          </w:p>
        </w:tc>
        <w:tc>
          <w:tcPr>
            <w:tcW w:w="5" w:type="pct"/>
            <w:shd w:val="clear" w:color="auto" w:fill="auto"/>
          </w:tcPr>
          <w:p w14:paraId="0D8E07DB" w14:textId="77777777" w:rsidR="004C2197" w:rsidRDefault="004C2197">
            <w:pPr>
              <w:rPr>
                <w:rFonts w:ascii="宋体"/>
              </w:rPr>
            </w:pPr>
          </w:p>
        </w:tc>
        <w:tc>
          <w:tcPr>
            <w:tcW w:w="50" w:type="pct"/>
            <w:shd w:val="clear" w:color="auto" w:fill="auto"/>
          </w:tcPr>
          <w:p w14:paraId="0D8E07DC" w14:textId="77777777" w:rsidR="004C2197" w:rsidRDefault="004C2197">
            <w:pPr>
              <w:rPr>
                <w:rFonts w:ascii="宋体"/>
              </w:rPr>
            </w:pPr>
          </w:p>
        </w:tc>
        <w:tc>
          <w:tcPr>
            <w:tcW w:w="493" w:type="pct"/>
            <w:shd w:val="clear" w:color="auto" w:fill="auto"/>
          </w:tcPr>
          <w:p w14:paraId="0D8E07DD" w14:textId="77777777" w:rsidR="004C2197" w:rsidRDefault="004C2197">
            <w:pPr>
              <w:rPr>
                <w:rFonts w:ascii="宋体"/>
              </w:rPr>
            </w:pPr>
          </w:p>
        </w:tc>
        <w:tc>
          <w:tcPr>
            <w:tcW w:w="5" w:type="pct"/>
            <w:shd w:val="clear" w:color="auto" w:fill="auto"/>
          </w:tcPr>
          <w:p w14:paraId="0D8E07DE" w14:textId="77777777" w:rsidR="004C2197" w:rsidRDefault="004C2197">
            <w:pPr>
              <w:rPr>
                <w:rFonts w:ascii="宋体"/>
              </w:rPr>
            </w:pPr>
          </w:p>
        </w:tc>
        <w:tc>
          <w:tcPr>
            <w:tcW w:w="5" w:type="pct"/>
            <w:shd w:val="clear" w:color="auto" w:fill="auto"/>
          </w:tcPr>
          <w:p w14:paraId="0D8E07DF" w14:textId="77777777" w:rsidR="004C2197" w:rsidRDefault="004C2197">
            <w:pPr>
              <w:rPr>
                <w:rFonts w:ascii="宋体"/>
              </w:rPr>
            </w:pPr>
          </w:p>
        </w:tc>
        <w:tc>
          <w:tcPr>
            <w:tcW w:w="26" w:type="pct"/>
            <w:shd w:val="clear" w:color="auto" w:fill="auto"/>
          </w:tcPr>
          <w:p w14:paraId="0D8E07E0" w14:textId="77777777" w:rsidR="004C2197" w:rsidRDefault="004C2197">
            <w:pPr>
              <w:rPr>
                <w:rFonts w:ascii="宋体"/>
              </w:rPr>
            </w:pPr>
          </w:p>
        </w:tc>
        <w:tc>
          <w:tcPr>
            <w:tcW w:w="5" w:type="pct"/>
            <w:shd w:val="clear" w:color="auto" w:fill="auto"/>
          </w:tcPr>
          <w:p w14:paraId="0D8E07E1" w14:textId="77777777" w:rsidR="004C2197" w:rsidRDefault="004C2197">
            <w:pPr>
              <w:rPr>
                <w:rFonts w:ascii="宋体"/>
              </w:rPr>
            </w:pPr>
          </w:p>
        </w:tc>
        <w:tc>
          <w:tcPr>
            <w:tcW w:w="50" w:type="pct"/>
            <w:shd w:val="clear" w:color="auto" w:fill="auto"/>
          </w:tcPr>
          <w:p w14:paraId="0D8E07E2" w14:textId="77777777" w:rsidR="004C2197" w:rsidRDefault="004C2197">
            <w:pPr>
              <w:rPr>
                <w:rFonts w:ascii="宋体"/>
              </w:rPr>
            </w:pPr>
          </w:p>
        </w:tc>
        <w:tc>
          <w:tcPr>
            <w:tcW w:w="383" w:type="pct"/>
            <w:shd w:val="clear" w:color="auto" w:fill="auto"/>
          </w:tcPr>
          <w:p w14:paraId="0D8E07E3" w14:textId="77777777" w:rsidR="004C2197" w:rsidRDefault="004C2197">
            <w:pPr>
              <w:rPr>
                <w:rFonts w:ascii="宋体"/>
              </w:rPr>
            </w:pPr>
          </w:p>
        </w:tc>
        <w:tc>
          <w:tcPr>
            <w:tcW w:w="5" w:type="pct"/>
            <w:shd w:val="clear" w:color="auto" w:fill="auto"/>
          </w:tcPr>
          <w:p w14:paraId="0D8E07E4" w14:textId="77777777" w:rsidR="004C2197" w:rsidRDefault="004C2197">
            <w:pPr>
              <w:rPr>
                <w:rFonts w:ascii="宋体"/>
              </w:rPr>
            </w:pPr>
          </w:p>
        </w:tc>
        <w:tc>
          <w:tcPr>
            <w:tcW w:w="5" w:type="pct"/>
            <w:shd w:val="clear" w:color="auto" w:fill="auto"/>
          </w:tcPr>
          <w:p w14:paraId="0D8E07E5" w14:textId="77777777" w:rsidR="004C2197" w:rsidRDefault="004C2197">
            <w:pPr>
              <w:rPr>
                <w:rFonts w:ascii="宋体"/>
              </w:rPr>
            </w:pPr>
          </w:p>
        </w:tc>
        <w:tc>
          <w:tcPr>
            <w:tcW w:w="26" w:type="pct"/>
            <w:shd w:val="clear" w:color="auto" w:fill="auto"/>
          </w:tcPr>
          <w:p w14:paraId="0D8E07E6" w14:textId="77777777" w:rsidR="004C2197" w:rsidRDefault="004C2197">
            <w:pPr>
              <w:rPr>
                <w:rFonts w:ascii="宋体"/>
              </w:rPr>
            </w:pPr>
          </w:p>
        </w:tc>
        <w:tc>
          <w:tcPr>
            <w:tcW w:w="5" w:type="pct"/>
            <w:shd w:val="clear" w:color="auto" w:fill="auto"/>
          </w:tcPr>
          <w:p w14:paraId="0D8E07E7" w14:textId="77777777" w:rsidR="004C2197" w:rsidRDefault="004C2197">
            <w:pPr>
              <w:rPr>
                <w:rFonts w:ascii="宋体"/>
              </w:rPr>
            </w:pPr>
          </w:p>
        </w:tc>
        <w:tc>
          <w:tcPr>
            <w:tcW w:w="50" w:type="pct"/>
            <w:shd w:val="clear" w:color="auto" w:fill="auto"/>
          </w:tcPr>
          <w:p w14:paraId="0D8E07E8" w14:textId="77777777" w:rsidR="004C2197" w:rsidRDefault="004C2197">
            <w:pPr>
              <w:rPr>
                <w:rFonts w:ascii="宋体"/>
              </w:rPr>
            </w:pPr>
          </w:p>
        </w:tc>
        <w:tc>
          <w:tcPr>
            <w:tcW w:w="383" w:type="pct"/>
            <w:shd w:val="clear" w:color="auto" w:fill="auto"/>
          </w:tcPr>
          <w:p w14:paraId="0D8E07E9" w14:textId="77777777" w:rsidR="004C2197" w:rsidRDefault="004C2197">
            <w:pPr>
              <w:rPr>
                <w:rFonts w:ascii="宋体"/>
              </w:rPr>
            </w:pPr>
          </w:p>
        </w:tc>
        <w:tc>
          <w:tcPr>
            <w:tcW w:w="5" w:type="pct"/>
            <w:shd w:val="clear" w:color="auto" w:fill="auto"/>
          </w:tcPr>
          <w:p w14:paraId="0D8E07EA" w14:textId="77777777" w:rsidR="004C2197" w:rsidRDefault="004C2197">
            <w:pPr>
              <w:rPr>
                <w:rFonts w:ascii="宋体"/>
              </w:rPr>
            </w:pPr>
          </w:p>
        </w:tc>
        <w:tc>
          <w:tcPr>
            <w:tcW w:w="5" w:type="pct"/>
            <w:shd w:val="clear" w:color="auto" w:fill="auto"/>
          </w:tcPr>
          <w:p w14:paraId="0D8E07EB" w14:textId="77777777" w:rsidR="004C2197" w:rsidRDefault="004C2197">
            <w:pPr>
              <w:rPr>
                <w:rFonts w:ascii="宋体"/>
              </w:rPr>
            </w:pPr>
          </w:p>
        </w:tc>
        <w:tc>
          <w:tcPr>
            <w:tcW w:w="26" w:type="pct"/>
            <w:shd w:val="clear" w:color="auto" w:fill="auto"/>
          </w:tcPr>
          <w:p w14:paraId="0D8E07EC" w14:textId="77777777" w:rsidR="004C2197" w:rsidRDefault="004C2197">
            <w:pPr>
              <w:rPr>
                <w:rFonts w:ascii="宋体"/>
              </w:rPr>
            </w:pPr>
          </w:p>
        </w:tc>
        <w:tc>
          <w:tcPr>
            <w:tcW w:w="5" w:type="pct"/>
            <w:shd w:val="clear" w:color="auto" w:fill="auto"/>
          </w:tcPr>
          <w:p w14:paraId="0D8E07ED" w14:textId="77777777" w:rsidR="004C2197" w:rsidRDefault="004C2197">
            <w:pPr>
              <w:rPr>
                <w:rFonts w:ascii="宋体"/>
              </w:rPr>
            </w:pPr>
          </w:p>
        </w:tc>
        <w:tc>
          <w:tcPr>
            <w:tcW w:w="50" w:type="pct"/>
            <w:shd w:val="clear" w:color="auto" w:fill="auto"/>
          </w:tcPr>
          <w:p w14:paraId="0D8E07EE" w14:textId="77777777" w:rsidR="004C2197" w:rsidRDefault="004C2197">
            <w:pPr>
              <w:rPr>
                <w:rFonts w:ascii="宋体"/>
              </w:rPr>
            </w:pPr>
          </w:p>
        </w:tc>
        <w:tc>
          <w:tcPr>
            <w:tcW w:w="493" w:type="pct"/>
            <w:shd w:val="clear" w:color="auto" w:fill="auto"/>
          </w:tcPr>
          <w:p w14:paraId="0D8E07EF" w14:textId="77777777" w:rsidR="004C2197" w:rsidRDefault="004C2197">
            <w:pPr>
              <w:rPr>
                <w:rFonts w:ascii="宋体"/>
              </w:rPr>
            </w:pPr>
          </w:p>
        </w:tc>
        <w:tc>
          <w:tcPr>
            <w:tcW w:w="5" w:type="pct"/>
            <w:shd w:val="clear" w:color="auto" w:fill="auto"/>
          </w:tcPr>
          <w:p w14:paraId="0D8E07F0" w14:textId="77777777" w:rsidR="004C2197" w:rsidRDefault="004C2197">
            <w:pPr>
              <w:rPr>
                <w:rFonts w:ascii="宋体"/>
              </w:rPr>
            </w:pPr>
          </w:p>
        </w:tc>
        <w:tc>
          <w:tcPr>
            <w:tcW w:w="5" w:type="pct"/>
            <w:shd w:val="clear" w:color="auto" w:fill="auto"/>
          </w:tcPr>
          <w:p w14:paraId="0D8E07F1" w14:textId="77777777" w:rsidR="004C2197" w:rsidRDefault="004C2197">
            <w:pPr>
              <w:rPr>
                <w:rFonts w:ascii="宋体"/>
              </w:rPr>
            </w:pPr>
          </w:p>
        </w:tc>
        <w:tc>
          <w:tcPr>
            <w:tcW w:w="26" w:type="pct"/>
            <w:shd w:val="clear" w:color="auto" w:fill="auto"/>
          </w:tcPr>
          <w:p w14:paraId="0D8E07F2" w14:textId="77777777" w:rsidR="004C2197" w:rsidRDefault="004C2197">
            <w:pPr>
              <w:rPr>
                <w:rFonts w:ascii="宋体"/>
              </w:rPr>
            </w:pPr>
          </w:p>
        </w:tc>
        <w:tc>
          <w:tcPr>
            <w:tcW w:w="5" w:type="pct"/>
            <w:shd w:val="clear" w:color="auto" w:fill="auto"/>
          </w:tcPr>
          <w:p w14:paraId="0D8E07F3" w14:textId="77777777" w:rsidR="004C2197" w:rsidRDefault="004C2197">
            <w:pPr>
              <w:rPr>
                <w:rFonts w:ascii="宋体"/>
              </w:rPr>
            </w:pPr>
          </w:p>
        </w:tc>
        <w:tc>
          <w:tcPr>
            <w:tcW w:w="50" w:type="pct"/>
            <w:shd w:val="clear" w:color="auto" w:fill="auto"/>
          </w:tcPr>
          <w:p w14:paraId="0D8E07F4" w14:textId="77777777" w:rsidR="004C2197" w:rsidRDefault="004C2197">
            <w:pPr>
              <w:rPr>
                <w:rFonts w:ascii="宋体"/>
              </w:rPr>
            </w:pPr>
          </w:p>
        </w:tc>
        <w:tc>
          <w:tcPr>
            <w:tcW w:w="493" w:type="pct"/>
            <w:shd w:val="clear" w:color="auto" w:fill="auto"/>
          </w:tcPr>
          <w:p w14:paraId="0D8E07F5" w14:textId="77777777" w:rsidR="004C2197" w:rsidRDefault="004C2197">
            <w:pPr>
              <w:rPr>
                <w:rFonts w:ascii="宋体"/>
              </w:rPr>
            </w:pPr>
          </w:p>
        </w:tc>
        <w:tc>
          <w:tcPr>
            <w:tcW w:w="5" w:type="pct"/>
            <w:shd w:val="clear" w:color="auto" w:fill="auto"/>
          </w:tcPr>
          <w:p w14:paraId="0D8E07F6" w14:textId="77777777" w:rsidR="004C2197" w:rsidRDefault="004C2197">
            <w:pPr>
              <w:rPr>
                <w:rFonts w:ascii="宋体"/>
              </w:rPr>
            </w:pPr>
          </w:p>
        </w:tc>
        <w:tc>
          <w:tcPr>
            <w:tcW w:w="5" w:type="pct"/>
            <w:shd w:val="clear" w:color="auto" w:fill="auto"/>
          </w:tcPr>
          <w:p w14:paraId="0D8E07F7" w14:textId="77777777" w:rsidR="004C2197" w:rsidRDefault="004C2197">
            <w:pPr>
              <w:rPr>
                <w:rFonts w:ascii="宋体"/>
              </w:rPr>
            </w:pPr>
          </w:p>
        </w:tc>
        <w:tc>
          <w:tcPr>
            <w:tcW w:w="26" w:type="pct"/>
            <w:shd w:val="clear" w:color="auto" w:fill="auto"/>
          </w:tcPr>
          <w:p w14:paraId="0D8E07F8" w14:textId="77777777" w:rsidR="004C2197" w:rsidRDefault="004C2197">
            <w:pPr>
              <w:rPr>
                <w:rFonts w:ascii="宋体"/>
              </w:rPr>
            </w:pPr>
          </w:p>
        </w:tc>
        <w:tc>
          <w:tcPr>
            <w:tcW w:w="5" w:type="pct"/>
            <w:shd w:val="clear" w:color="auto" w:fill="auto"/>
          </w:tcPr>
          <w:p w14:paraId="0D8E07F9" w14:textId="77777777" w:rsidR="004C2197" w:rsidRDefault="004C2197">
            <w:pPr>
              <w:rPr>
                <w:rFonts w:ascii="宋体"/>
              </w:rPr>
            </w:pPr>
          </w:p>
        </w:tc>
        <w:tc>
          <w:tcPr>
            <w:tcW w:w="50" w:type="pct"/>
            <w:shd w:val="clear" w:color="auto" w:fill="auto"/>
          </w:tcPr>
          <w:p w14:paraId="0D8E07FA" w14:textId="77777777" w:rsidR="004C2197" w:rsidRDefault="004C2197">
            <w:pPr>
              <w:rPr>
                <w:rFonts w:ascii="宋体"/>
              </w:rPr>
            </w:pPr>
          </w:p>
        </w:tc>
        <w:tc>
          <w:tcPr>
            <w:tcW w:w="383" w:type="pct"/>
            <w:shd w:val="clear" w:color="auto" w:fill="auto"/>
          </w:tcPr>
          <w:p w14:paraId="0D8E07FB" w14:textId="77777777" w:rsidR="004C2197" w:rsidRDefault="004C2197">
            <w:pPr>
              <w:rPr>
                <w:rFonts w:ascii="宋体"/>
              </w:rPr>
            </w:pPr>
          </w:p>
        </w:tc>
        <w:tc>
          <w:tcPr>
            <w:tcW w:w="5" w:type="pct"/>
            <w:shd w:val="clear" w:color="auto" w:fill="auto"/>
          </w:tcPr>
          <w:p w14:paraId="0D8E07FC" w14:textId="77777777" w:rsidR="004C2197" w:rsidRDefault="004C2197">
            <w:pPr>
              <w:rPr>
                <w:rFonts w:ascii="宋体"/>
              </w:rPr>
            </w:pPr>
          </w:p>
        </w:tc>
        <w:tc>
          <w:tcPr>
            <w:tcW w:w="5" w:type="pct"/>
            <w:shd w:val="clear" w:color="auto" w:fill="auto"/>
          </w:tcPr>
          <w:p w14:paraId="0D8E07FD" w14:textId="77777777" w:rsidR="004C2197" w:rsidRDefault="004C2197">
            <w:pPr>
              <w:rPr>
                <w:rFonts w:ascii="宋体"/>
              </w:rPr>
            </w:pPr>
          </w:p>
        </w:tc>
        <w:tc>
          <w:tcPr>
            <w:tcW w:w="26" w:type="pct"/>
            <w:shd w:val="clear" w:color="auto" w:fill="auto"/>
          </w:tcPr>
          <w:p w14:paraId="0D8E07FE" w14:textId="77777777" w:rsidR="004C2197" w:rsidRDefault="004C2197">
            <w:pPr>
              <w:rPr>
                <w:rFonts w:ascii="宋体"/>
              </w:rPr>
            </w:pPr>
          </w:p>
        </w:tc>
        <w:tc>
          <w:tcPr>
            <w:tcW w:w="5" w:type="pct"/>
            <w:shd w:val="clear" w:color="auto" w:fill="auto"/>
          </w:tcPr>
          <w:p w14:paraId="0D8E07FF" w14:textId="77777777" w:rsidR="004C2197" w:rsidRDefault="004C2197">
            <w:pPr>
              <w:rPr>
                <w:rFonts w:ascii="宋体"/>
              </w:rPr>
            </w:pPr>
          </w:p>
        </w:tc>
        <w:tc>
          <w:tcPr>
            <w:tcW w:w="50" w:type="pct"/>
            <w:shd w:val="clear" w:color="auto" w:fill="auto"/>
          </w:tcPr>
          <w:p w14:paraId="0D8E0800" w14:textId="77777777" w:rsidR="004C2197" w:rsidRDefault="004C2197">
            <w:pPr>
              <w:rPr>
                <w:rFonts w:ascii="宋体"/>
              </w:rPr>
            </w:pPr>
          </w:p>
        </w:tc>
        <w:tc>
          <w:tcPr>
            <w:tcW w:w="384" w:type="pct"/>
            <w:shd w:val="clear" w:color="auto" w:fill="auto"/>
          </w:tcPr>
          <w:p w14:paraId="0D8E0801" w14:textId="77777777" w:rsidR="004C2197" w:rsidRDefault="004C2197">
            <w:pPr>
              <w:rPr>
                <w:rFonts w:ascii="宋体"/>
              </w:rPr>
            </w:pPr>
          </w:p>
        </w:tc>
        <w:tc>
          <w:tcPr>
            <w:tcW w:w="5" w:type="pct"/>
            <w:shd w:val="clear" w:color="auto" w:fill="auto"/>
          </w:tcPr>
          <w:p w14:paraId="0D8E0802" w14:textId="77777777" w:rsidR="004C2197" w:rsidRDefault="004C2197">
            <w:pPr>
              <w:rPr>
                <w:rFonts w:ascii="宋体"/>
              </w:rPr>
            </w:pPr>
          </w:p>
        </w:tc>
      </w:tr>
      <w:tr w:rsidR="004C2197" w14:paraId="0D8E080F" w14:textId="77777777">
        <w:tc>
          <w:tcPr>
            <w:tcW w:w="0" w:type="auto"/>
            <w:gridSpan w:val="3"/>
            <w:shd w:val="clear" w:color="auto" w:fill="auto"/>
            <w:tcMar>
              <w:left w:w="20" w:type="dxa"/>
              <w:right w:w="20" w:type="dxa"/>
            </w:tcMar>
            <w:vAlign w:val="bottom"/>
          </w:tcPr>
          <w:p w14:paraId="0D8E0804" w14:textId="77777777" w:rsidR="004C2197" w:rsidRDefault="004C2197">
            <w:pPr>
              <w:rPr>
                <w:rFonts w:ascii="宋体"/>
              </w:rPr>
            </w:pPr>
          </w:p>
        </w:tc>
        <w:tc>
          <w:tcPr>
            <w:tcW w:w="0" w:type="auto"/>
            <w:gridSpan w:val="21"/>
            <w:shd w:val="clear" w:color="auto" w:fill="auto"/>
            <w:tcMar>
              <w:top w:w="40" w:type="dxa"/>
              <w:left w:w="20" w:type="dxa"/>
              <w:bottom w:w="40" w:type="dxa"/>
              <w:right w:w="20" w:type="dxa"/>
            </w:tcMar>
            <w:vAlign w:val="bottom"/>
          </w:tcPr>
          <w:p w14:paraId="0D8E0805" w14:textId="77777777" w:rsidR="004C2197" w:rsidRDefault="00863B83">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Pr>
          <w:p w14:paraId="0D8E0806" w14:textId="77777777" w:rsidR="004C2197" w:rsidRDefault="004C2197">
            <w:pPr>
              <w:rPr>
                <w:rFonts w:ascii="宋体"/>
                <w:vanish/>
              </w:rPr>
            </w:pPr>
          </w:p>
        </w:tc>
        <w:tc>
          <w:tcPr>
            <w:tcW w:w="0" w:type="auto"/>
            <w:gridSpan w:val="3"/>
            <w:shd w:val="clear" w:color="auto" w:fill="auto"/>
          </w:tcPr>
          <w:p w14:paraId="0D8E0807" w14:textId="77777777" w:rsidR="004C2197" w:rsidRDefault="004C2197">
            <w:pPr>
              <w:rPr>
                <w:rFonts w:ascii="宋体"/>
                <w:vanish/>
              </w:rPr>
            </w:pPr>
          </w:p>
        </w:tc>
        <w:tc>
          <w:tcPr>
            <w:tcW w:w="0" w:type="auto"/>
            <w:gridSpan w:val="3"/>
            <w:shd w:val="clear" w:color="auto" w:fill="auto"/>
          </w:tcPr>
          <w:p w14:paraId="0D8E0808" w14:textId="77777777" w:rsidR="004C2197" w:rsidRDefault="004C2197">
            <w:pPr>
              <w:rPr>
                <w:rFonts w:ascii="宋体"/>
                <w:vanish/>
              </w:rPr>
            </w:pPr>
          </w:p>
        </w:tc>
        <w:tc>
          <w:tcPr>
            <w:tcW w:w="0" w:type="auto"/>
            <w:gridSpan w:val="3"/>
            <w:shd w:val="clear" w:color="auto" w:fill="auto"/>
          </w:tcPr>
          <w:p w14:paraId="0D8E0809" w14:textId="77777777" w:rsidR="004C2197" w:rsidRDefault="004C2197">
            <w:pPr>
              <w:rPr>
                <w:rFonts w:ascii="宋体"/>
                <w:vanish/>
              </w:rPr>
            </w:pPr>
          </w:p>
        </w:tc>
        <w:tc>
          <w:tcPr>
            <w:tcW w:w="0" w:type="auto"/>
            <w:gridSpan w:val="3"/>
            <w:shd w:val="clear" w:color="auto" w:fill="auto"/>
          </w:tcPr>
          <w:p w14:paraId="0D8E080A" w14:textId="77777777" w:rsidR="004C2197" w:rsidRDefault="004C2197">
            <w:pPr>
              <w:rPr>
                <w:rFonts w:ascii="宋体"/>
                <w:vanish/>
              </w:rPr>
            </w:pPr>
          </w:p>
        </w:tc>
        <w:tc>
          <w:tcPr>
            <w:tcW w:w="0" w:type="auto"/>
            <w:gridSpan w:val="3"/>
            <w:shd w:val="clear" w:color="auto" w:fill="auto"/>
          </w:tcPr>
          <w:p w14:paraId="0D8E080B"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80C" w14:textId="77777777" w:rsidR="004C2197" w:rsidRDefault="004C2197">
            <w:pPr>
              <w:rPr>
                <w:rFonts w:ascii="宋体"/>
              </w:rPr>
            </w:pPr>
          </w:p>
        </w:tc>
        <w:tc>
          <w:tcPr>
            <w:tcW w:w="0" w:type="auto"/>
            <w:gridSpan w:val="17"/>
            <w:shd w:val="clear" w:color="auto" w:fill="auto"/>
            <w:tcMar>
              <w:top w:w="40" w:type="dxa"/>
              <w:left w:w="20" w:type="dxa"/>
              <w:bottom w:w="40" w:type="dxa"/>
              <w:right w:w="20" w:type="dxa"/>
            </w:tcMar>
            <w:vAlign w:val="bottom"/>
          </w:tcPr>
          <w:p w14:paraId="0D8E080D"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shd w:val="clear" w:color="auto" w:fill="auto"/>
          </w:tcPr>
          <w:p w14:paraId="0D8E080E" w14:textId="77777777" w:rsidR="004C2197" w:rsidRDefault="004C2197">
            <w:pPr>
              <w:rPr>
                <w:rFonts w:ascii="宋体"/>
                <w:vanish/>
              </w:rPr>
            </w:pPr>
          </w:p>
        </w:tc>
      </w:tr>
      <w:tr w:rsidR="004C2197" w14:paraId="0D8E082F" w14:textId="77777777">
        <w:tc>
          <w:tcPr>
            <w:tcW w:w="0" w:type="auto"/>
            <w:gridSpan w:val="3"/>
            <w:shd w:val="clear" w:color="auto" w:fill="auto"/>
            <w:tcMar>
              <w:top w:w="40" w:type="dxa"/>
              <w:left w:w="20" w:type="dxa"/>
              <w:bottom w:w="40" w:type="dxa"/>
              <w:right w:w="20" w:type="dxa"/>
            </w:tcMar>
            <w:vAlign w:val="center"/>
          </w:tcPr>
          <w:p w14:paraId="0D8E0810" w14:textId="77777777" w:rsidR="004C2197" w:rsidRDefault="00863B83">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1" w14:textId="77777777" w:rsidR="004C2197" w:rsidRDefault="00863B83">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812"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3" w14:textId="77777777" w:rsidR="004C2197" w:rsidRDefault="00863B83">
            <w:pPr>
              <w:jc w:val="center"/>
              <w:textAlignment w:val="center"/>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0D8E0814"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5"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0D8E0816"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7"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left w:w="20" w:type="dxa"/>
              <w:right w:w="20" w:type="dxa"/>
            </w:tcMar>
            <w:vAlign w:val="bottom"/>
          </w:tcPr>
          <w:p w14:paraId="0D8E0818"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9" w14:textId="77777777" w:rsidR="004C2197" w:rsidRDefault="00863B83">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81A"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B" w14:textId="77777777" w:rsidR="004C2197" w:rsidRDefault="00863B83">
            <w:pPr>
              <w:jc w:val="center"/>
              <w:textAlignment w:val="center"/>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0D8E081C"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D"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0D8E081E"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81F"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shd w:val="clear" w:color="auto" w:fill="auto"/>
          </w:tcPr>
          <w:p w14:paraId="0D8E0820" w14:textId="77777777" w:rsidR="004C2197" w:rsidRDefault="004C2197">
            <w:pPr>
              <w:rPr>
                <w:rFonts w:ascii="宋体"/>
              </w:rPr>
            </w:pPr>
          </w:p>
        </w:tc>
        <w:tc>
          <w:tcPr>
            <w:tcW w:w="0" w:type="auto"/>
            <w:shd w:val="clear" w:color="auto" w:fill="auto"/>
          </w:tcPr>
          <w:p w14:paraId="0D8E0821" w14:textId="77777777" w:rsidR="004C2197" w:rsidRDefault="004C2197">
            <w:pPr>
              <w:rPr>
                <w:rFonts w:ascii="宋体"/>
              </w:rPr>
            </w:pPr>
          </w:p>
        </w:tc>
        <w:tc>
          <w:tcPr>
            <w:tcW w:w="0" w:type="auto"/>
            <w:shd w:val="clear" w:color="auto" w:fill="auto"/>
          </w:tcPr>
          <w:p w14:paraId="0D8E0822" w14:textId="77777777" w:rsidR="004C2197" w:rsidRDefault="004C2197">
            <w:pPr>
              <w:rPr>
                <w:rFonts w:ascii="宋体"/>
              </w:rPr>
            </w:pPr>
          </w:p>
        </w:tc>
        <w:tc>
          <w:tcPr>
            <w:tcW w:w="0" w:type="auto"/>
            <w:shd w:val="clear" w:color="auto" w:fill="auto"/>
          </w:tcPr>
          <w:p w14:paraId="0D8E0823" w14:textId="77777777" w:rsidR="004C2197" w:rsidRDefault="004C2197">
            <w:pPr>
              <w:rPr>
                <w:rFonts w:ascii="宋体"/>
              </w:rPr>
            </w:pPr>
          </w:p>
        </w:tc>
        <w:tc>
          <w:tcPr>
            <w:tcW w:w="0" w:type="auto"/>
            <w:shd w:val="clear" w:color="auto" w:fill="auto"/>
          </w:tcPr>
          <w:p w14:paraId="0D8E0824" w14:textId="77777777" w:rsidR="004C2197" w:rsidRDefault="004C2197">
            <w:pPr>
              <w:rPr>
                <w:rFonts w:ascii="宋体"/>
              </w:rPr>
            </w:pPr>
          </w:p>
        </w:tc>
        <w:tc>
          <w:tcPr>
            <w:tcW w:w="0" w:type="auto"/>
            <w:shd w:val="clear" w:color="auto" w:fill="auto"/>
          </w:tcPr>
          <w:p w14:paraId="0D8E0825" w14:textId="77777777" w:rsidR="004C2197" w:rsidRDefault="004C2197">
            <w:pPr>
              <w:rPr>
                <w:rFonts w:ascii="宋体"/>
              </w:rPr>
            </w:pPr>
          </w:p>
        </w:tc>
        <w:tc>
          <w:tcPr>
            <w:tcW w:w="0" w:type="auto"/>
            <w:shd w:val="clear" w:color="auto" w:fill="auto"/>
          </w:tcPr>
          <w:p w14:paraId="0D8E0826" w14:textId="77777777" w:rsidR="004C2197" w:rsidRDefault="004C2197">
            <w:pPr>
              <w:rPr>
                <w:rFonts w:ascii="宋体"/>
              </w:rPr>
            </w:pPr>
          </w:p>
        </w:tc>
        <w:tc>
          <w:tcPr>
            <w:tcW w:w="0" w:type="auto"/>
            <w:shd w:val="clear" w:color="auto" w:fill="auto"/>
          </w:tcPr>
          <w:p w14:paraId="0D8E0827" w14:textId="77777777" w:rsidR="004C2197" w:rsidRDefault="004C2197">
            <w:pPr>
              <w:rPr>
                <w:rFonts w:ascii="宋体"/>
              </w:rPr>
            </w:pPr>
          </w:p>
        </w:tc>
        <w:tc>
          <w:tcPr>
            <w:tcW w:w="0" w:type="auto"/>
            <w:shd w:val="clear" w:color="auto" w:fill="auto"/>
          </w:tcPr>
          <w:p w14:paraId="0D8E0828" w14:textId="77777777" w:rsidR="004C2197" w:rsidRDefault="004C2197">
            <w:pPr>
              <w:rPr>
                <w:rFonts w:ascii="宋体"/>
              </w:rPr>
            </w:pPr>
          </w:p>
        </w:tc>
        <w:tc>
          <w:tcPr>
            <w:tcW w:w="0" w:type="auto"/>
            <w:shd w:val="clear" w:color="auto" w:fill="auto"/>
          </w:tcPr>
          <w:p w14:paraId="0D8E0829" w14:textId="77777777" w:rsidR="004C2197" w:rsidRDefault="004C2197">
            <w:pPr>
              <w:rPr>
                <w:rFonts w:ascii="宋体"/>
              </w:rPr>
            </w:pPr>
          </w:p>
        </w:tc>
        <w:tc>
          <w:tcPr>
            <w:tcW w:w="0" w:type="auto"/>
            <w:shd w:val="clear" w:color="auto" w:fill="auto"/>
          </w:tcPr>
          <w:p w14:paraId="0D8E082A" w14:textId="77777777" w:rsidR="004C2197" w:rsidRDefault="004C2197">
            <w:pPr>
              <w:rPr>
                <w:rFonts w:ascii="宋体"/>
              </w:rPr>
            </w:pPr>
          </w:p>
        </w:tc>
        <w:tc>
          <w:tcPr>
            <w:tcW w:w="0" w:type="auto"/>
            <w:shd w:val="clear" w:color="auto" w:fill="auto"/>
          </w:tcPr>
          <w:p w14:paraId="0D8E082B" w14:textId="77777777" w:rsidR="004C2197" w:rsidRDefault="004C2197">
            <w:pPr>
              <w:rPr>
                <w:rFonts w:ascii="宋体"/>
              </w:rPr>
            </w:pPr>
          </w:p>
        </w:tc>
        <w:tc>
          <w:tcPr>
            <w:tcW w:w="0" w:type="auto"/>
            <w:shd w:val="clear" w:color="auto" w:fill="auto"/>
          </w:tcPr>
          <w:p w14:paraId="0D8E082C" w14:textId="77777777" w:rsidR="004C2197" w:rsidRDefault="004C2197">
            <w:pPr>
              <w:rPr>
                <w:rFonts w:ascii="宋体"/>
              </w:rPr>
            </w:pPr>
          </w:p>
        </w:tc>
        <w:tc>
          <w:tcPr>
            <w:tcW w:w="0" w:type="auto"/>
            <w:shd w:val="clear" w:color="auto" w:fill="auto"/>
          </w:tcPr>
          <w:p w14:paraId="0D8E082D" w14:textId="77777777" w:rsidR="004C2197" w:rsidRDefault="004C2197">
            <w:pPr>
              <w:rPr>
                <w:rFonts w:ascii="宋体"/>
              </w:rPr>
            </w:pPr>
          </w:p>
        </w:tc>
        <w:tc>
          <w:tcPr>
            <w:tcW w:w="0" w:type="auto"/>
            <w:shd w:val="clear" w:color="auto" w:fill="auto"/>
          </w:tcPr>
          <w:p w14:paraId="0D8E082E" w14:textId="77777777" w:rsidR="004C2197" w:rsidRDefault="004C2197">
            <w:pPr>
              <w:rPr>
                <w:rFonts w:ascii="宋体"/>
              </w:rPr>
            </w:pPr>
          </w:p>
        </w:tc>
      </w:tr>
      <w:tr w:rsidR="004C2197" w14:paraId="0D8E084F" w14:textId="77777777">
        <w:trPr>
          <w:trHeight w:val="60"/>
        </w:trPr>
        <w:tc>
          <w:tcPr>
            <w:tcW w:w="0" w:type="auto"/>
            <w:gridSpan w:val="3"/>
            <w:shd w:val="clear" w:color="auto" w:fill="auto"/>
            <w:tcMar>
              <w:left w:w="20" w:type="dxa"/>
              <w:right w:w="20" w:type="dxa"/>
            </w:tcMar>
            <w:vAlign w:val="bottom"/>
          </w:tcPr>
          <w:p w14:paraId="0D8E083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4"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6"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8"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A"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C"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83E"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83F" w14:textId="77777777" w:rsidR="004C2197" w:rsidRDefault="004C2197">
            <w:pPr>
              <w:rPr>
                <w:rFonts w:ascii="宋体"/>
              </w:rPr>
            </w:pPr>
          </w:p>
        </w:tc>
        <w:tc>
          <w:tcPr>
            <w:tcW w:w="0" w:type="auto"/>
            <w:shd w:val="clear" w:color="auto" w:fill="auto"/>
          </w:tcPr>
          <w:p w14:paraId="0D8E0840" w14:textId="77777777" w:rsidR="004C2197" w:rsidRDefault="004C2197">
            <w:pPr>
              <w:rPr>
                <w:rFonts w:ascii="宋体"/>
              </w:rPr>
            </w:pPr>
          </w:p>
        </w:tc>
        <w:tc>
          <w:tcPr>
            <w:tcW w:w="0" w:type="auto"/>
            <w:shd w:val="clear" w:color="auto" w:fill="auto"/>
          </w:tcPr>
          <w:p w14:paraId="0D8E0841" w14:textId="77777777" w:rsidR="004C2197" w:rsidRDefault="004C2197">
            <w:pPr>
              <w:rPr>
                <w:rFonts w:ascii="宋体"/>
              </w:rPr>
            </w:pPr>
          </w:p>
        </w:tc>
        <w:tc>
          <w:tcPr>
            <w:tcW w:w="0" w:type="auto"/>
            <w:shd w:val="clear" w:color="auto" w:fill="auto"/>
          </w:tcPr>
          <w:p w14:paraId="0D8E0842" w14:textId="77777777" w:rsidR="004C2197" w:rsidRDefault="004C2197">
            <w:pPr>
              <w:rPr>
                <w:rFonts w:ascii="宋体"/>
              </w:rPr>
            </w:pPr>
          </w:p>
        </w:tc>
        <w:tc>
          <w:tcPr>
            <w:tcW w:w="0" w:type="auto"/>
            <w:shd w:val="clear" w:color="auto" w:fill="auto"/>
          </w:tcPr>
          <w:p w14:paraId="0D8E0843" w14:textId="77777777" w:rsidR="004C2197" w:rsidRDefault="004C2197">
            <w:pPr>
              <w:rPr>
                <w:rFonts w:ascii="宋体"/>
              </w:rPr>
            </w:pPr>
          </w:p>
        </w:tc>
        <w:tc>
          <w:tcPr>
            <w:tcW w:w="0" w:type="auto"/>
            <w:shd w:val="clear" w:color="auto" w:fill="auto"/>
          </w:tcPr>
          <w:p w14:paraId="0D8E0844" w14:textId="77777777" w:rsidR="004C2197" w:rsidRDefault="004C2197">
            <w:pPr>
              <w:rPr>
                <w:rFonts w:ascii="宋体"/>
              </w:rPr>
            </w:pPr>
          </w:p>
        </w:tc>
        <w:tc>
          <w:tcPr>
            <w:tcW w:w="0" w:type="auto"/>
            <w:shd w:val="clear" w:color="auto" w:fill="auto"/>
          </w:tcPr>
          <w:p w14:paraId="0D8E0845" w14:textId="77777777" w:rsidR="004C2197" w:rsidRDefault="004C2197">
            <w:pPr>
              <w:rPr>
                <w:rFonts w:ascii="宋体"/>
              </w:rPr>
            </w:pPr>
          </w:p>
        </w:tc>
        <w:tc>
          <w:tcPr>
            <w:tcW w:w="0" w:type="auto"/>
            <w:shd w:val="clear" w:color="auto" w:fill="auto"/>
          </w:tcPr>
          <w:p w14:paraId="0D8E0846" w14:textId="77777777" w:rsidR="004C2197" w:rsidRDefault="004C2197">
            <w:pPr>
              <w:rPr>
                <w:rFonts w:ascii="宋体"/>
              </w:rPr>
            </w:pPr>
          </w:p>
        </w:tc>
        <w:tc>
          <w:tcPr>
            <w:tcW w:w="0" w:type="auto"/>
            <w:shd w:val="clear" w:color="auto" w:fill="auto"/>
          </w:tcPr>
          <w:p w14:paraId="0D8E0847" w14:textId="77777777" w:rsidR="004C2197" w:rsidRDefault="004C2197">
            <w:pPr>
              <w:rPr>
                <w:rFonts w:ascii="宋体"/>
              </w:rPr>
            </w:pPr>
          </w:p>
        </w:tc>
        <w:tc>
          <w:tcPr>
            <w:tcW w:w="0" w:type="auto"/>
            <w:shd w:val="clear" w:color="auto" w:fill="auto"/>
          </w:tcPr>
          <w:p w14:paraId="0D8E0848" w14:textId="77777777" w:rsidR="004C2197" w:rsidRDefault="004C2197">
            <w:pPr>
              <w:rPr>
                <w:rFonts w:ascii="宋体"/>
              </w:rPr>
            </w:pPr>
          </w:p>
        </w:tc>
        <w:tc>
          <w:tcPr>
            <w:tcW w:w="0" w:type="auto"/>
            <w:shd w:val="clear" w:color="auto" w:fill="auto"/>
          </w:tcPr>
          <w:p w14:paraId="0D8E0849" w14:textId="77777777" w:rsidR="004C2197" w:rsidRDefault="004C2197">
            <w:pPr>
              <w:rPr>
                <w:rFonts w:ascii="宋体"/>
              </w:rPr>
            </w:pPr>
          </w:p>
        </w:tc>
        <w:tc>
          <w:tcPr>
            <w:tcW w:w="0" w:type="auto"/>
            <w:shd w:val="clear" w:color="auto" w:fill="auto"/>
          </w:tcPr>
          <w:p w14:paraId="0D8E084A" w14:textId="77777777" w:rsidR="004C2197" w:rsidRDefault="004C2197">
            <w:pPr>
              <w:rPr>
                <w:rFonts w:ascii="宋体"/>
              </w:rPr>
            </w:pPr>
          </w:p>
        </w:tc>
        <w:tc>
          <w:tcPr>
            <w:tcW w:w="0" w:type="auto"/>
            <w:shd w:val="clear" w:color="auto" w:fill="auto"/>
          </w:tcPr>
          <w:p w14:paraId="0D8E084B" w14:textId="77777777" w:rsidR="004C2197" w:rsidRDefault="004C2197">
            <w:pPr>
              <w:rPr>
                <w:rFonts w:ascii="宋体"/>
              </w:rPr>
            </w:pPr>
          </w:p>
        </w:tc>
        <w:tc>
          <w:tcPr>
            <w:tcW w:w="0" w:type="auto"/>
            <w:shd w:val="clear" w:color="auto" w:fill="auto"/>
          </w:tcPr>
          <w:p w14:paraId="0D8E084C" w14:textId="77777777" w:rsidR="004C2197" w:rsidRDefault="004C2197">
            <w:pPr>
              <w:rPr>
                <w:rFonts w:ascii="宋体"/>
              </w:rPr>
            </w:pPr>
          </w:p>
        </w:tc>
        <w:tc>
          <w:tcPr>
            <w:tcW w:w="0" w:type="auto"/>
            <w:shd w:val="clear" w:color="auto" w:fill="auto"/>
          </w:tcPr>
          <w:p w14:paraId="0D8E084D" w14:textId="77777777" w:rsidR="004C2197" w:rsidRDefault="004C2197">
            <w:pPr>
              <w:rPr>
                <w:rFonts w:ascii="宋体"/>
              </w:rPr>
            </w:pPr>
          </w:p>
        </w:tc>
        <w:tc>
          <w:tcPr>
            <w:tcW w:w="0" w:type="auto"/>
            <w:shd w:val="clear" w:color="auto" w:fill="auto"/>
          </w:tcPr>
          <w:p w14:paraId="0D8E084E" w14:textId="77777777" w:rsidR="004C2197" w:rsidRDefault="004C2197">
            <w:pPr>
              <w:rPr>
                <w:rFonts w:ascii="宋体"/>
              </w:rPr>
            </w:pPr>
          </w:p>
        </w:tc>
      </w:tr>
      <w:tr w:rsidR="004C2197" w14:paraId="0D8E0858" w14:textId="77777777">
        <w:tc>
          <w:tcPr>
            <w:tcW w:w="0" w:type="auto"/>
            <w:gridSpan w:val="3"/>
            <w:shd w:val="clear" w:color="auto" w:fill="auto"/>
            <w:tcMar>
              <w:top w:w="40" w:type="dxa"/>
              <w:left w:w="20" w:type="dxa"/>
              <w:bottom w:w="40" w:type="dxa"/>
              <w:right w:w="20" w:type="dxa"/>
            </w:tcMar>
            <w:vAlign w:val="bottom"/>
          </w:tcPr>
          <w:p w14:paraId="0D8E0850" w14:textId="77777777" w:rsidR="004C2197" w:rsidRDefault="00863B83">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0D8E0851" w14:textId="77777777" w:rsidR="004C2197" w:rsidRDefault="00863B83">
            <w:pPr>
              <w:jc w:val="center"/>
              <w:textAlignment w:val="bottom"/>
            </w:pPr>
            <w:r>
              <w:rPr>
                <w:rFonts w:ascii="sans-serif" w:eastAsia="sans-serif" w:hAnsi="sans-serif" w:cs="sans-serif"/>
                <w:i/>
                <w:iCs/>
                <w:color w:val="000000"/>
                <w:sz w:val="20"/>
                <w:szCs w:val="20"/>
              </w:rPr>
              <w:t>($ in millions)</w:t>
            </w:r>
          </w:p>
        </w:tc>
        <w:tc>
          <w:tcPr>
            <w:tcW w:w="0" w:type="auto"/>
            <w:gridSpan w:val="3"/>
            <w:shd w:val="clear" w:color="auto" w:fill="auto"/>
          </w:tcPr>
          <w:p w14:paraId="0D8E0852" w14:textId="77777777" w:rsidR="004C2197" w:rsidRDefault="004C2197">
            <w:pPr>
              <w:rPr>
                <w:rFonts w:ascii="宋体"/>
                <w:vanish/>
              </w:rPr>
            </w:pPr>
          </w:p>
        </w:tc>
        <w:tc>
          <w:tcPr>
            <w:tcW w:w="0" w:type="auto"/>
            <w:gridSpan w:val="3"/>
            <w:shd w:val="clear" w:color="auto" w:fill="auto"/>
          </w:tcPr>
          <w:p w14:paraId="0D8E0853" w14:textId="77777777" w:rsidR="004C2197" w:rsidRDefault="004C2197">
            <w:pPr>
              <w:rPr>
                <w:rFonts w:ascii="宋体"/>
                <w:vanish/>
              </w:rPr>
            </w:pPr>
          </w:p>
        </w:tc>
        <w:tc>
          <w:tcPr>
            <w:tcW w:w="0" w:type="auto"/>
            <w:gridSpan w:val="3"/>
            <w:shd w:val="clear" w:color="auto" w:fill="auto"/>
          </w:tcPr>
          <w:p w14:paraId="0D8E0854" w14:textId="77777777" w:rsidR="004C2197" w:rsidRDefault="004C2197">
            <w:pPr>
              <w:rPr>
                <w:rFonts w:ascii="宋体"/>
                <w:vanish/>
              </w:rPr>
            </w:pPr>
          </w:p>
        </w:tc>
        <w:tc>
          <w:tcPr>
            <w:tcW w:w="0" w:type="auto"/>
            <w:gridSpan w:val="3"/>
            <w:shd w:val="clear" w:color="auto" w:fill="auto"/>
          </w:tcPr>
          <w:p w14:paraId="0D8E0855" w14:textId="77777777" w:rsidR="004C2197" w:rsidRDefault="004C2197">
            <w:pPr>
              <w:rPr>
                <w:rFonts w:ascii="宋体"/>
                <w:vanish/>
              </w:rPr>
            </w:pPr>
          </w:p>
        </w:tc>
        <w:tc>
          <w:tcPr>
            <w:tcW w:w="0" w:type="auto"/>
            <w:gridSpan w:val="2"/>
            <w:shd w:val="clear" w:color="auto" w:fill="auto"/>
          </w:tcPr>
          <w:p w14:paraId="0D8E0856" w14:textId="77777777" w:rsidR="004C2197" w:rsidRDefault="004C2197">
            <w:pPr>
              <w:rPr>
                <w:rFonts w:ascii="宋体"/>
                <w:vanish/>
              </w:rPr>
            </w:pPr>
          </w:p>
        </w:tc>
        <w:tc>
          <w:tcPr>
            <w:tcW w:w="0" w:type="auto"/>
            <w:shd w:val="clear" w:color="auto" w:fill="auto"/>
          </w:tcPr>
          <w:p w14:paraId="0D8E0857" w14:textId="77777777" w:rsidR="004C2197" w:rsidRDefault="004C2197">
            <w:pPr>
              <w:rPr>
                <w:rFonts w:ascii="宋体"/>
                <w:vanish/>
              </w:rPr>
            </w:pPr>
          </w:p>
        </w:tc>
      </w:tr>
      <w:tr w:rsidR="00863B83" w14:paraId="0D8E0886" w14:textId="77777777">
        <w:tc>
          <w:tcPr>
            <w:tcW w:w="0" w:type="auto"/>
            <w:gridSpan w:val="3"/>
            <w:shd w:val="clear" w:color="auto" w:fill="E2EFD9"/>
            <w:tcMar>
              <w:top w:w="40" w:type="dxa"/>
              <w:left w:w="20" w:type="dxa"/>
              <w:bottom w:w="40" w:type="dxa"/>
              <w:right w:w="20" w:type="dxa"/>
            </w:tcMar>
            <w:vAlign w:val="bottom"/>
          </w:tcPr>
          <w:p w14:paraId="0D8E0859" w14:textId="77777777" w:rsidR="004C2197" w:rsidRDefault="00863B83">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tcMar>
            <w:vAlign w:val="bottom"/>
          </w:tcPr>
          <w:p w14:paraId="0D8E085A"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5B" w14:textId="77777777" w:rsidR="004C2197" w:rsidRDefault="00863B83">
            <w:pPr>
              <w:jc w:val="right"/>
              <w:textAlignment w:val="bottom"/>
            </w:pPr>
            <w:r>
              <w:rPr>
                <w:rFonts w:ascii="sans-serif" w:eastAsia="sans-serif" w:hAnsi="sans-serif" w:cs="sans-serif"/>
                <w:color w:val="000000"/>
                <w:sz w:val="20"/>
                <w:szCs w:val="20"/>
              </w:rPr>
              <w:t>2,085 </w:t>
            </w:r>
          </w:p>
        </w:tc>
        <w:tc>
          <w:tcPr>
            <w:tcW w:w="0" w:type="auto"/>
            <w:shd w:val="clear" w:color="auto" w:fill="E2EFD9"/>
            <w:tcMar>
              <w:top w:w="40" w:type="dxa"/>
              <w:bottom w:w="40" w:type="dxa"/>
              <w:right w:w="20" w:type="dxa"/>
            </w:tcMar>
            <w:vAlign w:val="bottom"/>
          </w:tcPr>
          <w:p w14:paraId="0D8E085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5D"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85E"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5F" w14:textId="77777777" w:rsidR="004C2197" w:rsidRDefault="00863B83">
            <w:pPr>
              <w:jc w:val="right"/>
              <w:textAlignment w:val="bottom"/>
            </w:pPr>
            <w:r>
              <w:rPr>
                <w:rFonts w:ascii="sans-serif" w:eastAsia="sans-serif" w:hAnsi="sans-serif" w:cs="sans-serif"/>
                <w:color w:val="000000"/>
                <w:sz w:val="20"/>
                <w:szCs w:val="20"/>
              </w:rPr>
              <w:t>1,803 </w:t>
            </w:r>
          </w:p>
        </w:tc>
        <w:tc>
          <w:tcPr>
            <w:tcW w:w="0" w:type="auto"/>
            <w:shd w:val="clear" w:color="auto" w:fill="E2EFD9"/>
            <w:tcMar>
              <w:top w:w="40" w:type="dxa"/>
              <w:bottom w:w="40" w:type="dxa"/>
              <w:right w:w="20" w:type="dxa"/>
            </w:tcMar>
            <w:vAlign w:val="bottom"/>
          </w:tcPr>
          <w:p w14:paraId="0D8E086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61"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862"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63" w14:textId="77777777" w:rsidR="004C2197" w:rsidRDefault="00863B83">
            <w:pPr>
              <w:jc w:val="right"/>
              <w:textAlignment w:val="bottom"/>
            </w:pPr>
            <w:r>
              <w:rPr>
                <w:rFonts w:ascii="sans-serif" w:eastAsia="sans-serif" w:hAnsi="sans-serif" w:cs="sans-serif"/>
                <w:color w:val="000000"/>
                <w:sz w:val="20"/>
                <w:szCs w:val="20"/>
              </w:rPr>
              <w:t>282 </w:t>
            </w:r>
          </w:p>
        </w:tc>
        <w:tc>
          <w:tcPr>
            <w:tcW w:w="0" w:type="auto"/>
            <w:shd w:val="clear" w:color="auto" w:fill="E2EFD9"/>
            <w:tcMar>
              <w:top w:w="40" w:type="dxa"/>
              <w:bottom w:w="40" w:type="dxa"/>
              <w:right w:w="20" w:type="dxa"/>
            </w:tcMar>
            <w:vAlign w:val="bottom"/>
          </w:tcPr>
          <w:p w14:paraId="0D8E086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65"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866" w14:textId="77777777" w:rsidR="004C2197" w:rsidRDefault="00863B83">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bottom w:w="40" w:type="dxa"/>
              <w:right w:w="20" w:type="dxa"/>
            </w:tcMar>
            <w:vAlign w:val="bottom"/>
          </w:tcPr>
          <w:p w14:paraId="0D8E0867"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868"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869"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6A" w14:textId="77777777" w:rsidR="004C2197" w:rsidRDefault="00863B83">
            <w:pPr>
              <w:jc w:val="right"/>
              <w:textAlignment w:val="bottom"/>
            </w:pPr>
            <w:r>
              <w:rPr>
                <w:rFonts w:ascii="sans-serif" w:eastAsia="sans-serif" w:hAnsi="sans-serif" w:cs="sans-serif"/>
                <w:color w:val="000000"/>
                <w:sz w:val="20"/>
                <w:szCs w:val="20"/>
              </w:rPr>
              <w:t>3,991 </w:t>
            </w:r>
          </w:p>
        </w:tc>
        <w:tc>
          <w:tcPr>
            <w:tcW w:w="0" w:type="auto"/>
            <w:shd w:val="clear" w:color="auto" w:fill="E2EFD9"/>
            <w:tcMar>
              <w:top w:w="40" w:type="dxa"/>
              <w:bottom w:w="40" w:type="dxa"/>
              <w:right w:w="20" w:type="dxa"/>
            </w:tcMar>
            <w:vAlign w:val="bottom"/>
          </w:tcPr>
          <w:p w14:paraId="0D8E086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6C"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86D"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6E" w14:textId="77777777" w:rsidR="004C2197" w:rsidRDefault="00863B83">
            <w:pPr>
              <w:jc w:val="right"/>
              <w:textAlignment w:val="bottom"/>
            </w:pPr>
            <w:r>
              <w:rPr>
                <w:rFonts w:ascii="sans-serif" w:eastAsia="sans-serif" w:hAnsi="sans-serif" w:cs="sans-serif"/>
                <w:color w:val="000000"/>
                <w:sz w:val="20"/>
                <w:szCs w:val="20"/>
              </w:rPr>
              <w:t>3,329 </w:t>
            </w:r>
          </w:p>
        </w:tc>
        <w:tc>
          <w:tcPr>
            <w:tcW w:w="0" w:type="auto"/>
            <w:shd w:val="clear" w:color="auto" w:fill="E2EFD9"/>
            <w:tcMar>
              <w:top w:w="40" w:type="dxa"/>
              <w:bottom w:w="40" w:type="dxa"/>
              <w:right w:w="20" w:type="dxa"/>
            </w:tcMar>
            <w:vAlign w:val="bottom"/>
          </w:tcPr>
          <w:p w14:paraId="0D8E086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70"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87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872" w14:textId="77777777" w:rsidR="004C2197" w:rsidRDefault="00863B83">
            <w:pPr>
              <w:jc w:val="right"/>
              <w:textAlignment w:val="bottom"/>
            </w:pPr>
            <w:r>
              <w:rPr>
                <w:rFonts w:ascii="sans-serif" w:eastAsia="sans-serif" w:hAnsi="sans-serif" w:cs="sans-serif"/>
                <w:color w:val="000000"/>
                <w:sz w:val="20"/>
                <w:szCs w:val="20"/>
              </w:rPr>
              <w:t>662 </w:t>
            </w:r>
          </w:p>
        </w:tc>
        <w:tc>
          <w:tcPr>
            <w:tcW w:w="0" w:type="auto"/>
            <w:shd w:val="clear" w:color="auto" w:fill="E2EFD9"/>
            <w:tcMar>
              <w:top w:w="40" w:type="dxa"/>
              <w:bottom w:w="40" w:type="dxa"/>
              <w:right w:w="20" w:type="dxa"/>
            </w:tcMar>
            <w:vAlign w:val="bottom"/>
          </w:tcPr>
          <w:p w14:paraId="0D8E087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74"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875" w14:textId="77777777" w:rsidR="004C2197" w:rsidRDefault="00863B83">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bottom w:w="40" w:type="dxa"/>
              <w:right w:w="20" w:type="dxa"/>
            </w:tcMar>
            <w:vAlign w:val="bottom"/>
          </w:tcPr>
          <w:p w14:paraId="0D8E0876"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877" w14:textId="77777777" w:rsidR="004C2197" w:rsidRDefault="004C2197">
            <w:pPr>
              <w:rPr>
                <w:rFonts w:ascii="宋体"/>
              </w:rPr>
            </w:pPr>
          </w:p>
        </w:tc>
        <w:tc>
          <w:tcPr>
            <w:tcW w:w="0" w:type="auto"/>
            <w:shd w:val="clear" w:color="auto" w:fill="auto"/>
          </w:tcPr>
          <w:p w14:paraId="0D8E0878" w14:textId="77777777" w:rsidR="004C2197" w:rsidRDefault="004C2197">
            <w:pPr>
              <w:rPr>
                <w:rFonts w:ascii="宋体"/>
              </w:rPr>
            </w:pPr>
          </w:p>
        </w:tc>
        <w:tc>
          <w:tcPr>
            <w:tcW w:w="0" w:type="auto"/>
            <w:shd w:val="clear" w:color="auto" w:fill="auto"/>
          </w:tcPr>
          <w:p w14:paraId="0D8E0879" w14:textId="77777777" w:rsidR="004C2197" w:rsidRDefault="004C2197">
            <w:pPr>
              <w:rPr>
                <w:rFonts w:ascii="宋体"/>
              </w:rPr>
            </w:pPr>
          </w:p>
        </w:tc>
        <w:tc>
          <w:tcPr>
            <w:tcW w:w="0" w:type="auto"/>
            <w:shd w:val="clear" w:color="auto" w:fill="auto"/>
          </w:tcPr>
          <w:p w14:paraId="0D8E087A" w14:textId="77777777" w:rsidR="004C2197" w:rsidRDefault="004C2197">
            <w:pPr>
              <w:rPr>
                <w:rFonts w:ascii="宋体"/>
              </w:rPr>
            </w:pPr>
          </w:p>
        </w:tc>
        <w:tc>
          <w:tcPr>
            <w:tcW w:w="0" w:type="auto"/>
            <w:shd w:val="clear" w:color="auto" w:fill="auto"/>
          </w:tcPr>
          <w:p w14:paraId="0D8E087B" w14:textId="77777777" w:rsidR="004C2197" w:rsidRDefault="004C2197">
            <w:pPr>
              <w:rPr>
                <w:rFonts w:ascii="宋体"/>
              </w:rPr>
            </w:pPr>
          </w:p>
        </w:tc>
        <w:tc>
          <w:tcPr>
            <w:tcW w:w="0" w:type="auto"/>
            <w:shd w:val="clear" w:color="auto" w:fill="auto"/>
          </w:tcPr>
          <w:p w14:paraId="0D8E087C" w14:textId="77777777" w:rsidR="004C2197" w:rsidRDefault="004C2197">
            <w:pPr>
              <w:rPr>
                <w:rFonts w:ascii="宋体"/>
              </w:rPr>
            </w:pPr>
          </w:p>
        </w:tc>
        <w:tc>
          <w:tcPr>
            <w:tcW w:w="0" w:type="auto"/>
            <w:shd w:val="clear" w:color="auto" w:fill="auto"/>
          </w:tcPr>
          <w:p w14:paraId="0D8E087D" w14:textId="77777777" w:rsidR="004C2197" w:rsidRDefault="004C2197">
            <w:pPr>
              <w:rPr>
                <w:rFonts w:ascii="宋体"/>
              </w:rPr>
            </w:pPr>
          </w:p>
        </w:tc>
        <w:tc>
          <w:tcPr>
            <w:tcW w:w="0" w:type="auto"/>
            <w:shd w:val="clear" w:color="auto" w:fill="auto"/>
          </w:tcPr>
          <w:p w14:paraId="0D8E087E" w14:textId="77777777" w:rsidR="004C2197" w:rsidRDefault="004C2197">
            <w:pPr>
              <w:rPr>
                <w:rFonts w:ascii="宋体"/>
              </w:rPr>
            </w:pPr>
          </w:p>
        </w:tc>
        <w:tc>
          <w:tcPr>
            <w:tcW w:w="0" w:type="auto"/>
            <w:shd w:val="clear" w:color="auto" w:fill="auto"/>
          </w:tcPr>
          <w:p w14:paraId="0D8E087F" w14:textId="77777777" w:rsidR="004C2197" w:rsidRDefault="004C2197">
            <w:pPr>
              <w:rPr>
                <w:rFonts w:ascii="宋体"/>
              </w:rPr>
            </w:pPr>
          </w:p>
        </w:tc>
        <w:tc>
          <w:tcPr>
            <w:tcW w:w="0" w:type="auto"/>
            <w:shd w:val="clear" w:color="auto" w:fill="auto"/>
          </w:tcPr>
          <w:p w14:paraId="0D8E0880" w14:textId="77777777" w:rsidR="004C2197" w:rsidRDefault="004C2197">
            <w:pPr>
              <w:rPr>
                <w:rFonts w:ascii="宋体"/>
              </w:rPr>
            </w:pPr>
          </w:p>
        </w:tc>
        <w:tc>
          <w:tcPr>
            <w:tcW w:w="0" w:type="auto"/>
            <w:shd w:val="clear" w:color="auto" w:fill="auto"/>
          </w:tcPr>
          <w:p w14:paraId="0D8E0881" w14:textId="77777777" w:rsidR="004C2197" w:rsidRDefault="004C2197">
            <w:pPr>
              <w:rPr>
                <w:rFonts w:ascii="宋体"/>
              </w:rPr>
            </w:pPr>
          </w:p>
        </w:tc>
        <w:tc>
          <w:tcPr>
            <w:tcW w:w="0" w:type="auto"/>
            <w:shd w:val="clear" w:color="auto" w:fill="auto"/>
          </w:tcPr>
          <w:p w14:paraId="0D8E0882" w14:textId="77777777" w:rsidR="004C2197" w:rsidRDefault="004C2197">
            <w:pPr>
              <w:rPr>
                <w:rFonts w:ascii="宋体"/>
              </w:rPr>
            </w:pPr>
          </w:p>
        </w:tc>
        <w:tc>
          <w:tcPr>
            <w:tcW w:w="0" w:type="auto"/>
            <w:shd w:val="clear" w:color="auto" w:fill="auto"/>
          </w:tcPr>
          <w:p w14:paraId="0D8E0883" w14:textId="77777777" w:rsidR="004C2197" w:rsidRDefault="004C2197">
            <w:pPr>
              <w:rPr>
                <w:rFonts w:ascii="宋体"/>
              </w:rPr>
            </w:pPr>
          </w:p>
        </w:tc>
        <w:tc>
          <w:tcPr>
            <w:tcW w:w="0" w:type="auto"/>
            <w:shd w:val="clear" w:color="auto" w:fill="auto"/>
          </w:tcPr>
          <w:p w14:paraId="0D8E0884" w14:textId="77777777" w:rsidR="004C2197" w:rsidRDefault="004C2197">
            <w:pPr>
              <w:rPr>
                <w:rFonts w:ascii="宋体"/>
              </w:rPr>
            </w:pPr>
          </w:p>
        </w:tc>
        <w:tc>
          <w:tcPr>
            <w:tcW w:w="0" w:type="auto"/>
            <w:shd w:val="clear" w:color="auto" w:fill="auto"/>
          </w:tcPr>
          <w:p w14:paraId="0D8E0885" w14:textId="77777777" w:rsidR="004C2197" w:rsidRDefault="004C2197">
            <w:pPr>
              <w:rPr>
                <w:rFonts w:ascii="宋体"/>
              </w:rPr>
            </w:pPr>
          </w:p>
        </w:tc>
      </w:tr>
      <w:tr w:rsidR="004C2197" w14:paraId="0D8E08AE" w14:textId="77777777">
        <w:tc>
          <w:tcPr>
            <w:tcW w:w="0" w:type="auto"/>
            <w:gridSpan w:val="3"/>
            <w:shd w:val="clear" w:color="auto" w:fill="FFFFFF"/>
            <w:tcMar>
              <w:top w:w="40" w:type="dxa"/>
              <w:left w:w="20" w:type="dxa"/>
              <w:bottom w:w="40" w:type="dxa"/>
              <w:right w:w="20" w:type="dxa"/>
            </w:tcMar>
            <w:vAlign w:val="bottom"/>
          </w:tcPr>
          <w:p w14:paraId="0D8E0887" w14:textId="77777777" w:rsidR="004C2197" w:rsidRDefault="00863B83">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0D8E0888" w14:textId="77777777" w:rsidR="004C2197" w:rsidRDefault="00863B83">
            <w:pPr>
              <w:jc w:val="right"/>
              <w:textAlignment w:val="bottom"/>
            </w:pPr>
            <w:r>
              <w:rPr>
                <w:rFonts w:ascii="sans-serif" w:eastAsia="sans-serif" w:hAnsi="sans-serif" w:cs="sans-serif"/>
                <w:color w:val="000000"/>
                <w:sz w:val="20"/>
                <w:szCs w:val="20"/>
              </w:rPr>
              <w:t>1,781 </w:t>
            </w:r>
          </w:p>
        </w:tc>
        <w:tc>
          <w:tcPr>
            <w:tcW w:w="0" w:type="auto"/>
            <w:shd w:val="clear" w:color="auto" w:fill="FFFFFF"/>
            <w:tcMar>
              <w:top w:w="40" w:type="dxa"/>
              <w:bottom w:w="40" w:type="dxa"/>
              <w:right w:w="20" w:type="dxa"/>
            </w:tcMar>
            <w:vAlign w:val="bottom"/>
          </w:tcPr>
          <w:p w14:paraId="0D8E0889"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8A"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8B" w14:textId="77777777" w:rsidR="004C2197" w:rsidRDefault="00863B83">
            <w:pPr>
              <w:jc w:val="right"/>
              <w:textAlignment w:val="bottom"/>
            </w:pPr>
            <w:r>
              <w:rPr>
                <w:rFonts w:ascii="sans-serif" w:eastAsia="sans-serif" w:hAnsi="sans-serif" w:cs="sans-serif"/>
                <w:color w:val="000000"/>
                <w:sz w:val="20"/>
                <w:szCs w:val="20"/>
              </w:rPr>
              <w:t>776 </w:t>
            </w:r>
          </w:p>
        </w:tc>
        <w:tc>
          <w:tcPr>
            <w:tcW w:w="0" w:type="auto"/>
            <w:shd w:val="clear" w:color="auto" w:fill="FFFFFF"/>
            <w:tcMar>
              <w:top w:w="40" w:type="dxa"/>
              <w:bottom w:w="40" w:type="dxa"/>
              <w:right w:w="20" w:type="dxa"/>
            </w:tcMar>
            <w:vAlign w:val="bottom"/>
          </w:tcPr>
          <w:p w14:paraId="0D8E088C"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8D"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8E" w14:textId="77777777" w:rsidR="004C2197" w:rsidRDefault="00863B83">
            <w:pPr>
              <w:jc w:val="right"/>
              <w:textAlignment w:val="bottom"/>
            </w:pPr>
            <w:r>
              <w:rPr>
                <w:rFonts w:ascii="sans-serif" w:eastAsia="sans-serif" w:hAnsi="sans-serif" w:cs="sans-serif"/>
                <w:color w:val="000000"/>
                <w:sz w:val="20"/>
                <w:szCs w:val="20"/>
              </w:rPr>
              <w:t>1,005 </w:t>
            </w:r>
          </w:p>
        </w:tc>
        <w:tc>
          <w:tcPr>
            <w:tcW w:w="0" w:type="auto"/>
            <w:shd w:val="clear" w:color="auto" w:fill="FFFFFF"/>
            <w:tcMar>
              <w:top w:w="40" w:type="dxa"/>
              <w:bottom w:w="40" w:type="dxa"/>
              <w:right w:w="20" w:type="dxa"/>
            </w:tcMar>
            <w:vAlign w:val="bottom"/>
          </w:tcPr>
          <w:p w14:paraId="0D8E088F"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90"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91" w14:textId="77777777" w:rsidR="004C2197" w:rsidRDefault="00863B83">
            <w:pPr>
              <w:jc w:val="right"/>
              <w:textAlignment w:val="bottom"/>
            </w:pPr>
            <w:r>
              <w:rPr>
                <w:rFonts w:ascii="sans-serif" w:eastAsia="sans-serif" w:hAnsi="sans-serif" w:cs="sans-serif"/>
                <w:color w:val="000000"/>
                <w:sz w:val="20"/>
                <w:szCs w:val="20"/>
              </w:rPr>
              <w:t>130 </w:t>
            </w:r>
          </w:p>
        </w:tc>
        <w:tc>
          <w:tcPr>
            <w:tcW w:w="0" w:type="auto"/>
            <w:shd w:val="clear" w:color="auto" w:fill="FFFFFF"/>
            <w:tcMar>
              <w:top w:w="40" w:type="dxa"/>
              <w:bottom w:w="40" w:type="dxa"/>
              <w:right w:w="20" w:type="dxa"/>
            </w:tcMar>
            <w:vAlign w:val="bottom"/>
          </w:tcPr>
          <w:p w14:paraId="0D8E0892"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left w:w="20" w:type="dxa"/>
              <w:right w:w="20" w:type="dxa"/>
            </w:tcMar>
            <w:vAlign w:val="bottom"/>
          </w:tcPr>
          <w:p w14:paraId="0D8E089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94" w14:textId="77777777" w:rsidR="004C2197" w:rsidRDefault="00863B83">
            <w:pPr>
              <w:jc w:val="right"/>
              <w:textAlignment w:val="bottom"/>
            </w:pPr>
            <w:r>
              <w:rPr>
                <w:rFonts w:ascii="sans-serif" w:eastAsia="sans-serif" w:hAnsi="sans-serif" w:cs="sans-serif"/>
                <w:color w:val="000000"/>
                <w:sz w:val="20"/>
                <w:szCs w:val="20"/>
              </w:rPr>
              <w:t>2,955 </w:t>
            </w:r>
          </w:p>
        </w:tc>
        <w:tc>
          <w:tcPr>
            <w:tcW w:w="0" w:type="auto"/>
            <w:shd w:val="clear" w:color="auto" w:fill="FFFFFF"/>
            <w:tcMar>
              <w:top w:w="40" w:type="dxa"/>
              <w:bottom w:w="40" w:type="dxa"/>
              <w:right w:w="20" w:type="dxa"/>
            </w:tcMar>
            <w:vAlign w:val="bottom"/>
          </w:tcPr>
          <w:p w14:paraId="0D8E0895"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9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97" w14:textId="77777777" w:rsidR="004C2197" w:rsidRDefault="00863B83">
            <w:pPr>
              <w:jc w:val="right"/>
              <w:textAlignment w:val="bottom"/>
            </w:pPr>
            <w:r>
              <w:rPr>
                <w:rFonts w:ascii="sans-serif" w:eastAsia="sans-serif" w:hAnsi="sans-serif" w:cs="sans-serif"/>
                <w:color w:val="000000"/>
                <w:sz w:val="20"/>
                <w:szCs w:val="20"/>
              </w:rPr>
              <w:t>1,470 </w:t>
            </w:r>
          </w:p>
        </w:tc>
        <w:tc>
          <w:tcPr>
            <w:tcW w:w="0" w:type="auto"/>
            <w:shd w:val="clear" w:color="auto" w:fill="FFFFFF"/>
            <w:tcMar>
              <w:top w:w="40" w:type="dxa"/>
              <w:bottom w:w="40" w:type="dxa"/>
              <w:right w:w="20" w:type="dxa"/>
            </w:tcMar>
            <w:vAlign w:val="bottom"/>
          </w:tcPr>
          <w:p w14:paraId="0D8E089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9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9A" w14:textId="77777777" w:rsidR="004C2197" w:rsidRDefault="00863B83">
            <w:pPr>
              <w:jc w:val="right"/>
              <w:textAlignment w:val="bottom"/>
            </w:pPr>
            <w:r>
              <w:rPr>
                <w:rFonts w:ascii="sans-serif" w:eastAsia="sans-serif" w:hAnsi="sans-serif" w:cs="sans-serif"/>
                <w:color w:val="000000"/>
                <w:sz w:val="20"/>
                <w:szCs w:val="20"/>
              </w:rPr>
              <w:t>1,485 </w:t>
            </w:r>
          </w:p>
        </w:tc>
        <w:tc>
          <w:tcPr>
            <w:tcW w:w="0" w:type="auto"/>
            <w:shd w:val="clear" w:color="auto" w:fill="FFFFFF"/>
            <w:tcMar>
              <w:top w:w="40" w:type="dxa"/>
              <w:bottom w:w="40" w:type="dxa"/>
              <w:right w:w="20" w:type="dxa"/>
            </w:tcMar>
            <w:vAlign w:val="bottom"/>
          </w:tcPr>
          <w:p w14:paraId="0D8E089B"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89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89D" w14:textId="77777777" w:rsidR="004C2197" w:rsidRDefault="00863B83">
            <w:pPr>
              <w:jc w:val="right"/>
              <w:textAlignment w:val="bottom"/>
            </w:pPr>
            <w:r>
              <w:rPr>
                <w:rFonts w:ascii="sans-serif" w:eastAsia="sans-serif" w:hAnsi="sans-serif" w:cs="sans-serif"/>
                <w:color w:val="000000"/>
                <w:sz w:val="20"/>
                <w:szCs w:val="20"/>
              </w:rPr>
              <w:t>101 </w:t>
            </w:r>
          </w:p>
        </w:tc>
        <w:tc>
          <w:tcPr>
            <w:tcW w:w="0" w:type="auto"/>
            <w:shd w:val="clear" w:color="auto" w:fill="FFFFFF"/>
            <w:tcMar>
              <w:top w:w="40" w:type="dxa"/>
              <w:bottom w:w="40" w:type="dxa"/>
              <w:right w:w="20" w:type="dxa"/>
            </w:tcMar>
            <w:vAlign w:val="bottom"/>
          </w:tcPr>
          <w:p w14:paraId="0D8E089E"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89F" w14:textId="77777777" w:rsidR="004C2197" w:rsidRDefault="004C2197">
            <w:pPr>
              <w:rPr>
                <w:rFonts w:ascii="宋体"/>
              </w:rPr>
            </w:pPr>
          </w:p>
        </w:tc>
        <w:tc>
          <w:tcPr>
            <w:tcW w:w="0" w:type="auto"/>
            <w:shd w:val="clear" w:color="auto" w:fill="auto"/>
          </w:tcPr>
          <w:p w14:paraId="0D8E08A0" w14:textId="77777777" w:rsidR="004C2197" w:rsidRDefault="004C2197">
            <w:pPr>
              <w:rPr>
                <w:rFonts w:ascii="宋体"/>
              </w:rPr>
            </w:pPr>
          </w:p>
        </w:tc>
        <w:tc>
          <w:tcPr>
            <w:tcW w:w="0" w:type="auto"/>
            <w:shd w:val="clear" w:color="auto" w:fill="auto"/>
          </w:tcPr>
          <w:p w14:paraId="0D8E08A1" w14:textId="77777777" w:rsidR="004C2197" w:rsidRDefault="004C2197">
            <w:pPr>
              <w:rPr>
                <w:rFonts w:ascii="宋体"/>
              </w:rPr>
            </w:pPr>
          </w:p>
        </w:tc>
        <w:tc>
          <w:tcPr>
            <w:tcW w:w="0" w:type="auto"/>
            <w:shd w:val="clear" w:color="auto" w:fill="auto"/>
          </w:tcPr>
          <w:p w14:paraId="0D8E08A2" w14:textId="77777777" w:rsidR="004C2197" w:rsidRDefault="004C2197">
            <w:pPr>
              <w:rPr>
                <w:rFonts w:ascii="宋体"/>
              </w:rPr>
            </w:pPr>
          </w:p>
        </w:tc>
        <w:tc>
          <w:tcPr>
            <w:tcW w:w="0" w:type="auto"/>
            <w:shd w:val="clear" w:color="auto" w:fill="auto"/>
          </w:tcPr>
          <w:p w14:paraId="0D8E08A3" w14:textId="77777777" w:rsidR="004C2197" w:rsidRDefault="004C2197">
            <w:pPr>
              <w:rPr>
                <w:rFonts w:ascii="宋体"/>
              </w:rPr>
            </w:pPr>
          </w:p>
        </w:tc>
        <w:tc>
          <w:tcPr>
            <w:tcW w:w="0" w:type="auto"/>
            <w:shd w:val="clear" w:color="auto" w:fill="auto"/>
          </w:tcPr>
          <w:p w14:paraId="0D8E08A4" w14:textId="77777777" w:rsidR="004C2197" w:rsidRDefault="004C2197">
            <w:pPr>
              <w:rPr>
                <w:rFonts w:ascii="宋体"/>
              </w:rPr>
            </w:pPr>
          </w:p>
        </w:tc>
        <w:tc>
          <w:tcPr>
            <w:tcW w:w="0" w:type="auto"/>
            <w:shd w:val="clear" w:color="auto" w:fill="auto"/>
          </w:tcPr>
          <w:p w14:paraId="0D8E08A5" w14:textId="77777777" w:rsidR="004C2197" w:rsidRDefault="004C2197">
            <w:pPr>
              <w:rPr>
                <w:rFonts w:ascii="宋体"/>
              </w:rPr>
            </w:pPr>
          </w:p>
        </w:tc>
        <w:tc>
          <w:tcPr>
            <w:tcW w:w="0" w:type="auto"/>
            <w:shd w:val="clear" w:color="auto" w:fill="auto"/>
          </w:tcPr>
          <w:p w14:paraId="0D8E08A6" w14:textId="77777777" w:rsidR="004C2197" w:rsidRDefault="004C2197">
            <w:pPr>
              <w:rPr>
                <w:rFonts w:ascii="宋体"/>
              </w:rPr>
            </w:pPr>
          </w:p>
        </w:tc>
        <w:tc>
          <w:tcPr>
            <w:tcW w:w="0" w:type="auto"/>
            <w:shd w:val="clear" w:color="auto" w:fill="auto"/>
          </w:tcPr>
          <w:p w14:paraId="0D8E08A7" w14:textId="77777777" w:rsidR="004C2197" w:rsidRDefault="004C2197">
            <w:pPr>
              <w:rPr>
                <w:rFonts w:ascii="宋体"/>
              </w:rPr>
            </w:pPr>
          </w:p>
        </w:tc>
        <w:tc>
          <w:tcPr>
            <w:tcW w:w="0" w:type="auto"/>
            <w:shd w:val="clear" w:color="auto" w:fill="auto"/>
          </w:tcPr>
          <w:p w14:paraId="0D8E08A8" w14:textId="77777777" w:rsidR="004C2197" w:rsidRDefault="004C2197">
            <w:pPr>
              <w:rPr>
                <w:rFonts w:ascii="宋体"/>
              </w:rPr>
            </w:pPr>
          </w:p>
        </w:tc>
        <w:tc>
          <w:tcPr>
            <w:tcW w:w="0" w:type="auto"/>
            <w:shd w:val="clear" w:color="auto" w:fill="auto"/>
          </w:tcPr>
          <w:p w14:paraId="0D8E08A9" w14:textId="77777777" w:rsidR="004C2197" w:rsidRDefault="004C2197">
            <w:pPr>
              <w:rPr>
                <w:rFonts w:ascii="宋体"/>
              </w:rPr>
            </w:pPr>
          </w:p>
        </w:tc>
        <w:tc>
          <w:tcPr>
            <w:tcW w:w="0" w:type="auto"/>
            <w:shd w:val="clear" w:color="auto" w:fill="auto"/>
          </w:tcPr>
          <w:p w14:paraId="0D8E08AA" w14:textId="77777777" w:rsidR="004C2197" w:rsidRDefault="004C2197">
            <w:pPr>
              <w:rPr>
                <w:rFonts w:ascii="宋体"/>
              </w:rPr>
            </w:pPr>
          </w:p>
        </w:tc>
        <w:tc>
          <w:tcPr>
            <w:tcW w:w="0" w:type="auto"/>
            <w:shd w:val="clear" w:color="auto" w:fill="auto"/>
          </w:tcPr>
          <w:p w14:paraId="0D8E08AB" w14:textId="77777777" w:rsidR="004C2197" w:rsidRDefault="004C2197">
            <w:pPr>
              <w:rPr>
                <w:rFonts w:ascii="宋体"/>
              </w:rPr>
            </w:pPr>
          </w:p>
        </w:tc>
        <w:tc>
          <w:tcPr>
            <w:tcW w:w="0" w:type="auto"/>
            <w:shd w:val="clear" w:color="auto" w:fill="auto"/>
          </w:tcPr>
          <w:p w14:paraId="0D8E08AC" w14:textId="77777777" w:rsidR="004C2197" w:rsidRDefault="004C2197">
            <w:pPr>
              <w:rPr>
                <w:rFonts w:ascii="宋体"/>
              </w:rPr>
            </w:pPr>
          </w:p>
        </w:tc>
        <w:tc>
          <w:tcPr>
            <w:tcW w:w="0" w:type="auto"/>
            <w:shd w:val="clear" w:color="auto" w:fill="auto"/>
          </w:tcPr>
          <w:p w14:paraId="0D8E08AD" w14:textId="77777777" w:rsidR="004C2197" w:rsidRDefault="004C2197">
            <w:pPr>
              <w:rPr>
                <w:rFonts w:ascii="宋体"/>
              </w:rPr>
            </w:pPr>
          </w:p>
        </w:tc>
      </w:tr>
      <w:tr w:rsidR="00863B83" w14:paraId="0D8E08DC" w14:textId="77777777">
        <w:tc>
          <w:tcPr>
            <w:tcW w:w="0" w:type="auto"/>
            <w:gridSpan w:val="3"/>
            <w:shd w:val="clear" w:color="auto" w:fill="E2EFD9"/>
            <w:tcMar>
              <w:top w:w="40" w:type="dxa"/>
              <w:left w:w="20" w:type="dxa"/>
              <w:bottom w:w="40" w:type="dxa"/>
              <w:right w:w="20" w:type="dxa"/>
            </w:tcMar>
            <w:vAlign w:val="bottom"/>
          </w:tcPr>
          <w:p w14:paraId="0D8E08AF" w14:textId="77777777" w:rsidR="004C2197" w:rsidRDefault="00863B83">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B0"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B1" w14:textId="77777777" w:rsidR="004C2197" w:rsidRDefault="00863B83">
            <w:pPr>
              <w:jc w:val="right"/>
              <w:textAlignment w:val="bottom"/>
            </w:pPr>
            <w:r>
              <w:rPr>
                <w:rFonts w:ascii="sans-serif" w:eastAsia="sans-serif" w:hAnsi="sans-serif" w:cs="sans-serif"/>
                <w:color w:val="000000"/>
                <w:sz w:val="20"/>
                <w:szCs w:val="20"/>
              </w:rPr>
              <w:t>3,866 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B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B3"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B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B5" w14:textId="77777777" w:rsidR="004C2197" w:rsidRDefault="00863B83">
            <w:pPr>
              <w:jc w:val="right"/>
              <w:textAlignment w:val="bottom"/>
            </w:pPr>
            <w:r>
              <w:rPr>
                <w:rFonts w:ascii="sans-serif" w:eastAsia="sans-serif" w:hAnsi="sans-serif" w:cs="sans-serif"/>
                <w:color w:val="000000"/>
                <w:sz w:val="20"/>
                <w:szCs w:val="20"/>
              </w:rPr>
              <w:t>2,579 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B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B7"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B8"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B9" w14:textId="77777777" w:rsidR="004C2197" w:rsidRDefault="00863B83">
            <w:pPr>
              <w:jc w:val="right"/>
              <w:textAlignment w:val="bottom"/>
            </w:pPr>
            <w:r>
              <w:rPr>
                <w:rFonts w:ascii="sans-serif" w:eastAsia="sans-serif" w:hAnsi="sans-serif" w:cs="sans-serif"/>
                <w:color w:val="000000"/>
                <w:sz w:val="20"/>
                <w:szCs w:val="20"/>
              </w:rPr>
              <w:t>1,287 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B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BB"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0D8E08BC" w14:textId="77777777" w:rsidR="004C2197" w:rsidRDefault="00863B83">
            <w:pPr>
              <w:jc w:val="right"/>
              <w:textAlignment w:val="bottom"/>
            </w:pPr>
            <w:r>
              <w:rPr>
                <w:rFonts w:ascii="sans-serif" w:eastAsia="sans-serif" w:hAnsi="sans-serif" w:cs="sans-serif"/>
                <w:color w:val="000000"/>
                <w:sz w:val="20"/>
                <w:szCs w:val="20"/>
              </w:rPr>
              <w:t>50 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BD"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8BE"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BF"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C0" w14:textId="77777777" w:rsidR="004C2197" w:rsidRDefault="00863B83">
            <w:pPr>
              <w:jc w:val="right"/>
              <w:textAlignment w:val="bottom"/>
            </w:pPr>
            <w:r>
              <w:rPr>
                <w:rFonts w:ascii="sans-serif" w:eastAsia="sans-serif" w:hAnsi="sans-serif" w:cs="sans-serif"/>
                <w:color w:val="000000"/>
                <w:sz w:val="20"/>
                <w:szCs w:val="20"/>
              </w:rPr>
              <w:t>6,946 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C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C2"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C3"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C4" w14:textId="77777777" w:rsidR="004C2197" w:rsidRDefault="00863B83">
            <w:pPr>
              <w:jc w:val="right"/>
              <w:textAlignment w:val="bottom"/>
            </w:pPr>
            <w:r>
              <w:rPr>
                <w:rFonts w:ascii="sans-serif" w:eastAsia="sans-serif" w:hAnsi="sans-serif" w:cs="sans-serif"/>
                <w:color w:val="000000"/>
                <w:sz w:val="20"/>
                <w:szCs w:val="20"/>
              </w:rPr>
              <w:t>4,799 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C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C6"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8C7"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8C8" w14:textId="77777777" w:rsidR="004C2197" w:rsidRDefault="00863B83">
            <w:pPr>
              <w:jc w:val="right"/>
              <w:textAlignment w:val="bottom"/>
            </w:pPr>
            <w:r>
              <w:rPr>
                <w:rFonts w:ascii="sans-serif" w:eastAsia="sans-serif" w:hAnsi="sans-serif" w:cs="sans-serif"/>
                <w:color w:val="000000"/>
                <w:sz w:val="20"/>
                <w:szCs w:val="20"/>
              </w:rPr>
              <w:t>2,147 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C9"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8CA"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0D8E08CB" w14:textId="77777777" w:rsidR="004C2197" w:rsidRDefault="00863B83">
            <w:pPr>
              <w:jc w:val="right"/>
              <w:textAlignment w:val="bottom"/>
            </w:pPr>
            <w:r>
              <w:rPr>
                <w:rFonts w:ascii="sans-serif" w:eastAsia="sans-serif" w:hAnsi="sans-serif" w:cs="sans-serif"/>
                <w:color w:val="000000"/>
                <w:sz w:val="20"/>
                <w:szCs w:val="20"/>
              </w:rPr>
              <w:t>45 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8CC"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8CD" w14:textId="77777777" w:rsidR="004C2197" w:rsidRDefault="004C2197">
            <w:pPr>
              <w:rPr>
                <w:rFonts w:ascii="宋体"/>
              </w:rPr>
            </w:pPr>
          </w:p>
        </w:tc>
        <w:tc>
          <w:tcPr>
            <w:tcW w:w="0" w:type="auto"/>
            <w:shd w:val="clear" w:color="auto" w:fill="auto"/>
          </w:tcPr>
          <w:p w14:paraId="0D8E08CE" w14:textId="77777777" w:rsidR="004C2197" w:rsidRDefault="004C2197">
            <w:pPr>
              <w:rPr>
                <w:rFonts w:ascii="宋体"/>
              </w:rPr>
            </w:pPr>
          </w:p>
        </w:tc>
        <w:tc>
          <w:tcPr>
            <w:tcW w:w="0" w:type="auto"/>
            <w:shd w:val="clear" w:color="auto" w:fill="auto"/>
          </w:tcPr>
          <w:p w14:paraId="0D8E08CF" w14:textId="77777777" w:rsidR="004C2197" w:rsidRDefault="004C2197">
            <w:pPr>
              <w:rPr>
                <w:rFonts w:ascii="宋体"/>
              </w:rPr>
            </w:pPr>
          </w:p>
        </w:tc>
        <w:tc>
          <w:tcPr>
            <w:tcW w:w="0" w:type="auto"/>
            <w:shd w:val="clear" w:color="auto" w:fill="auto"/>
          </w:tcPr>
          <w:p w14:paraId="0D8E08D0" w14:textId="77777777" w:rsidR="004C2197" w:rsidRDefault="004C2197">
            <w:pPr>
              <w:rPr>
                <w:rFonts w:ascii="宋体"/>
              </w:rPr>
            </w:pPr>
          </w:p>
        </w:tc>
        <w:tc>
          <w:tcPr>
            <w:tcW w:w="0" w:type="auto"/>
            <w:shd w:val="clear" w:color="auto" w:fill="auto"/>
          </w:tcPr>
          <w:p w14:paraId="0D8E08D1" w14:textId="77777777" w:rsidR="004C2197" w:rsidRDefault="004C2197">
            <w:pPr>
              <w:rPr>
                <w:rFonts w:ascii="宋体"/>
              </w:rPr>
            </w:pPr>
          </w:p>
        </w:tc>
        <w:tc>
          <w:tcPr>
            <w:tcW w:w="0" w:type="auto"/>
            <w:shd w:val="clear" w:color="auto" w:fill="auto"/>
          </w:tcPr>
          <w:p w14:paraId="0D8E08D2" w14:textId="77777777" w:rsidR="004C2197" w:rsidRDefault="004C2197">
            <w:pPr>
              <w:rPr>
                <w:rFonts w:ascii="宋体"/>
              </w:rPr>
            </w:pPr>
          </w:p>
        </w:tc>
        <w:tc>
          <w:tcPr>
            <w:tcW w:w="0" w:type="auto"/>
            <w:shd w:val="clear" w:color="auto" w:fill="auto"/>
          </w:tcPr>
          <w:p w14:paraId="0D8E08D3" w14:textId="77777777" w:rsidR="004C2197" w:rsidRDefault="004C2197">
            <w:pPr>
              <w:rPr>
                <w:rFonts w:ascii="宋体"/>
              </w:rPr>
            </w:pPr>
          </w:p>
        </w:tc>
        <w:tc>
          <w:tcPr>
            <w:tcW w:w="0" w:type="auto"/>
            <w:shd w:val="clear" w:color="auto" w:fill="auto"/>
          </w:tcPr>
          <w:p w14:paraId="0D8E08D4" w14:textId="77777777" w:rsidR="004C2197" w:rsidRDefault="004C2197">
            <w:pPr>
              <w:rPr>
                <w:rFonts w:ascii="宋体"/>
              </w:rPr>
            </w:pPr>
          </w:p>
        </w:tc>
        <w:tc>
          <w:tcPr>
            <w:tcW w:w="0" w:type="auto"/>
            <w:shd w:val="clear" w:color="auto" w:fill="auto"/>
          </w:tcPr>
          <w:p w14:paraId="0D8E08D5" w14:textId="77777777" w:rsidR="004C2197" w:rsidRDefault="004C2197">
            <w:pPr>
              <w:rPr>
                <w:rFonts w:ascii="宋体"/>
              </w:rPr>
            </w:pPr>
          </w:p>
        </w:tc>
        <w:tc>
          <w:tcPr>
            <w:tcW w:w="0" w:type="auto"/>
            <w:shd w:val="clear" w:color="auto" w:fill="auto"/>
          </w:tcPr>
          <w:p w14:paraId="0D8E08D6" w14:textId="77777777" w:rsidR="004C2197" w:rsidRDefault="004C2197">
            <w:pPr>
              <w:rPr>
                <w:rFonts w:ascii="宋体"/>
              </w:rPr>
            </w:pPr>
          </w:p>
        </w:tc>
        <w:tc>
          <w:tcPr>
            <w:tcW w:w="0" w:type="auto"/>
            <w:shd w:val="clear" w:color="auto" w:fill="auto"/>
          </w:tcPr>
          <w:p w14:paraId="0D8E08D7" w14:textId="77777777" w:rsidR="004C2197" w:rsidRDefault="004C2197">
            <w:pPr>
              <w:rPr>
                <w:rFonts w:ascii="宋体"/>
              </w:rPr>
            </w:pPr>
          </w:p>
        </w:tc>
        <w:tc>
          <w:tcPr>
            <w:tcW w:w="0" w:type="auto"/>
            <w:shd w:val="clear" w:color="auto" w:fill="auto"/>
          </w:tcPr>
          <w:p w14:paraId="0D8E08D8" w14:textId="77777777" w:rsidR="004C2197" w:rsidRDefault="004C2197">
            <w:pPr>
              <w:rPr>
                <w:rFonts w:ascii="宋体"/>
              </w:rPr>
            </w:pPr>
          </w:p>
        </w:tc>
        <w:tc>
          <w:tcPr>
            <w:tcW w:w="0" w:type="auto"/>
            <w:shd w:val="clear" w:color="auto" w:fill="auto"/>
          </w:tcPr>
          <w:p w14:paraId="0D8E08D9" w14:textId="77777777" w:rsidR="004C2197" w:rsidRDefault="004C2197">
            <w:pPr>
              <w:rPr>
                <w:rFonts w:ascii="宋体"/>
              </w:rPr>
            </w:pPr>
          </w:p>
        </w:tc>
        <w:tc>
          <w:tcPr>
            <w:tcW w:w="0" w:type="auto"/>
            <w:shd w:val="clear" w:color="auto" w:fill="auto"/>
          </w:tcPr>
          <w:p w14:paraId="0D8E08DA" w14:textId="77777777" w:rsidR="004C2197" w:rsidRDefault="004C2197">
            <w:pPr>
              <w:rPr>
                <w:rFonts w:ascii="宋体"/>
              </w:rPr>
            </w:pPr>
          </w:p>
        </w:tc>
        <w:tc>
          <w:tcPr>
            <w:tcW w:w="0" w:type="auto"/>
            <w:shd w:val="clear" w:color="auto" w:fill="auto"/>
          </w:tcPr>
          <w:p w14:paraId="0D8E08DB" w14:textId="77777777" w:rsidR="004C2197" w:rsidRDefault="004C2197">
            <w:pPr>
              <w:rPr>
                <w:rFonts w:ascii="宋体"/>
              </w:rPr>
            </w:pPr>
          </w:p>
        </w:tc>
      </w:tr>
    </w:tbl>
    <w:p w14:paraId="0D8E08DD" w14:textId="77777777" w:rsidR="004C2197" w:rsidRDefault="00863B83">
      <w:pPr>
        <w:spacing w:before="360"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 increased 1</w:t>
      </w:r>
      <w:r>
        <w:rPr>
          <w:rFonts w:ascii="sans-serif" w:eastAsia="sans-serif" w:hAnsi="sans-serif" w:cs="sans-serif"/>
          <w:color w:val="000000"/>
          <w:sz w:val="20"/>
          <w:szCs w:val="20"/>
        </w:rPr>
        <w:t>6% in the second quarter of fiscal year 2021 compared to the second quarter of fiscal year 2020, which reflects growth in GeForce GPUs for gaming, partially offset by lower sales of Quadro workstations and game console SOCs.</w:t>
      </w:r>
    </w:p>
    <w:p w14:paraId="0D8E08DE" w14:textId="77777777" w:rsidR="004C2197" w:rsidRDefault="00863B83">
      <w:pPr>
        <w:spacing w:before="180" w:after="180"/>
        <w:jc w:val="both"/>
      </w:pPr>
      <w:r>
        <w:rPr>
          <w:rFonts w:ascii="sans-serif" w:eastAsia="sans-serif" w:hAnsi="sans-serif" w:cs="sans-serif"/>
          <w:color w:val="000000"/>
          <w:sz w:val="20"/>
          <w:szCs w:val="20"/>
        </w:rPr>
        <w:t>Graphics segment revenue increa</w:t>
      </w:r>
      <w:r>
        <w:rPr>
          <w:rFonts w:ascii="sans-serif" w:eastAsia="sans-serif" w:hAnsi="sans-serif" w:cs="sans-serif"/>
          <w:color w:val="000000"/>
          <w:sz w:val="20"/>
          <w:szCs w:val="20"/>
        </w:rPr>
        <w:t>sed 20% in the first half of fiscal year 2021 compared to the first half of fiscal year 2020, which reflects growth in GeForce GPUs for gaming, game console SOCs, and Quadro workstations.</w:t>
      </w:r>
    </w:p>
    <w:p w14:paraId="0D8E08DF" w14:textId="77777777" w:rsidR="004C2197" w:rsidRDefault="00863B83">
      <w:r>
        <w:rPr>
          <w:rFonts w:ascii="sans-serif" w:eastAsia="sans-serif" w:hAnsi="sans-serif" w:cs="sans-serif"/>
          <w:b/>
          <w:bCs/>
          <w:color w:val="000000"/>
          <w:sz w:val="20"/>
          <w:szCs w:val="20"/>
        </w:rPr>
        <w:t xml:space="preserve">Compute &amp; Networking - </w:t>
      </w:r>
      <w:r>
        <w:rPr>
          <w:rFonts w:ascii="sans-serif" w:eastAsia="sans-serif" w:hAnsi="sans-serif" w:cs="sans-serif"/>
          <w:color w:val="000000"/>
          <w:sz w:val="20"/>
          <w:szCs w:val="20"/>
        </w:rPr>
        <w:t xml:space="preserve">Compute &amp; Networking segment revenue for the </w:t>
      </w:r>
      <w:r>
        <w:rPr>
          <w:rFonts w:ascii="sans-serif" w:eastAsia="sans-serif" w:hAnsi="sans-serif" w:cs="sans-serif"/>
          <w:color w:val="000000"/>
          <w:sz w:val="20"/>
          <w:szCs w:val="20"/>
        </w:rPr>
        <w:t>second quarter of fiscal year 2021 compared to the second quarter of fiscal year 2020 increased by 130% and revenue for the first half of fiscal year 2021 compared to the first half of fiscal year 2020 increased by 101%. These increases reflect the additio</w:t>
      </w:r>
      <w:r>
        <w:rPr>
          <w:rFonts w:ascii="sans-serif" w:eastAsia="sans-serif" w:hAnsi="sans-serif" w:cs="sans-serif"/>
          <w:color w:val="000000"/>
          <w:sz w:val="20"/>
          <w:szCs w:val="20"/>
        </w:rPr>
        <w:t>n of Mellanox acquired on April 27, 2020 and the ramp of Ampere GPU architecture products, partially offset by lower autonomous driving development agreement revenue.</w:t>
      </w:r>
    </w:p>
    <w:p w14:paraId="0D8E08E0" w14:textId="77777777" w:rsidR="004C2197" w:rsidRDefault="00863B83">
      <w:pPr>
        <w:spacing w:before="120" w:after="120"/>
      </w:pPr>
      <w:r>
        <w:rPr>
          <w:rFonts w:ascii="sans-serif" w:eastAsia="sans-serif" w:hAnsi="sans-serif" w:cs="sans-serif"/>
          <w:b/>
          <w:bCs/>
          <w:color w:val="000000"/>
          <w:sz w:val="20"/>
          <w:szCs w:val="20"/>
        </w:rPr>
        <w:t>Concentration of Revenue </w:t>
      </w:r>
    </w:p>
    <w:p w14:paraId="0D8E08E1" w14:textId="77777777" w:rsidR="004C2197" w:rsidRDefault="00863B83">
      <w:pPr>
        <w:spacing w:before="120" w:after="120"/>
        <w:jc w:val="both"/>
      </w:pPr>
      <w:r>
        <w:rPr>
          <w:rFonts w:ascii="sans-serif" w:eastAsia="sans-serif" w:hAnsi="sans-serif" w:cs="sans-serif"/>
          <w:color w:val="000000"/>
          <w:sz w:val="20"/>
          <w:szCs w:val="20"/>
        </w:rPr>
        <w:t>Revenue from sales to customers outside of the United States ac</w:t>
      </w:r>
      <w:r>
        <w:rPr>
          <w:rFonts w:ascii="sans-serif" w:eastAsia="sans-serif" w:hAnsi="sans-serif" w:cs="sans-serif"/>
          <w:color w:val="000000"/>
          <w:sz w:val="20"/>
          <w:szCs w:val="20"/>
        </w:rPr>
        <w:t xml:space="preserve">counted for 76% and 79% of total revenue for the second quarter and first half of fiscal year 2021, respectively, and 93% of total revenue for the second quarter and first </w:t>
      </w:r>
    </w:p>
    <w:p w14:paraId="0D8E08E2" w14:textId="77777777" w:rsidR="004C2197" w:rsidRDefault="00863B83">
      <w:pPr>
        <w:spacing w:after="180"/>
        <w:jc w:val="center"/>
      </w:pPr>
      <w:r>
        <w:rPr>
          <w:rFonts w:ascii="sans-serif" w:eastAsia="sans-serif" w:hAnsi="sans-serif" w:cs="sans-serif"/>
          <w:color w:val="000000"/>
          <w:sz w:val="20"/>
          <w:szCs w:val="20"/>
        </w:rPr>
        <w:t>31</w:t>
      </w:r>
    </w:p>
    <w:p w14:paraId="0D8E08E3" w14:textId="77777777" w:rsidR="004C2197" w:rsidRDefault="00863B83">
      <w:r>
        <w:pict w14:anchorId="0D8E0CC3">
          <v:rect id="_x0000_i1055" style="width:415.3pt;height:1.5pt" o:hralign="center" o:hrstd="t" o:hr="t" fillcolor="#a0a0a0" stroked="f"/>
        </w:pict>
      </w:r>
    </w:p>
    <w:p w14:paraId="0D8E08E4" w14:textId="77777777" w:rsidR="004C2197" w:rsidRDefault="004C2197">
      <w:pPr>
        <w:spacing w:after="180"/>
        <w:jc w:val="both"/>
      </w:pPr>
    </w:p>
    <w:p w14:paraId="0D8E08E5" w14:textId="77777777" w:rsidR="004C2197" w:rsidRDefault="004C2197">
      <w:pPr>
        <w:spacing w:after="180"/>
        <w:jc w:val="both"/>
      </w:pPr>
    </w:p>
    <w:p w14:paraId="0D8E08E6" w14:textId="77777777" w:rsidR="004C2197" w:rsidRDefault="004C2197">
      <w:pPr>
        <w:spacing w:after="180"/>
        <w:jc w:val="both"/>
      </w:pPr>
    </w:p>
    <w:p w14:paraId="0D8E08E7" w14:textId="77777777" w:rsidR="004C2197" w:rsidRDefault="00863B83">
      <w:pPr>
        <w:spacing w:before="120" w:after="120"/>
        <w:jc w:val="both"/>
      </w:pPr>
      <w:r>
        <w:rPr>
          <w:rFonts w:ascii="sans-serif" w:eastAsia="sans-serif" w:hAnsi="sans-serif" w:cs="sans-serif"/>
          <w:color w:val="000000"/>
          <w:sz w:val="20"/>
          <w:szCs w:val="20"/>
        </w:rPr>
        <w:t>half of fiscal year 2020. Revenue by geographic region is allocated to indi</w:t>
      </w:r>
      <w:r>
        <w:rPr>
          <w:rFonts w:ascii="sans-serif" w:eastAsia="sans-serif" w:hAnsi="sans-serif" w:cs="sans-serif"/>
          <w:color w:val="000000"/>
          <w:sz w:val="20"/>
          <w:szCs w:val="20"/>
        </w:rPr>
        <w:t>vidual countries based on the location to which the products are initially billed even if the revenue is attributable to end customers in a different location.</w:t>
      </w:r>
    </w:p>
    <w:p w14:paraId="0D8E08E8" w14:textId="77777777" w:rsidR="004C2197" w:rsidRDefault="00863B83">
      <w:pPr>
        <w:spacing w:after="180"/>
        <w:jc w:val="both"/>
      </w:pPr>
      <w:r>
        <w:rPr>
          <w:rFonts w:ascii="sans-serif" w:eastAsia="sans-serif" w:hAnsi="sans-serif" w:cs="sans-serif"/>
          <w:color w:val="000000"/>
          <w:sz w:val="20"/>
          <w:szCs w:val="20"/>
        </w:rPr>
        <w:t>No customer represented 10% or more of total revenue for the second quarter and first half of fi</w:t>
      </w:r>
      <w:r>
        <w:rPr>
          <w:rFonts w:ascii="sans-serif" w:eastAsia="sans-serif" w:hAnsi="sans-serif" w:cs="sans-serif"/>
          <w:color w:val="000000"/>
          <w:sz w:val="20"/>
          <w:szCs w:val="20"/>
        </w:rPr>
        <w:t>scal year 2021. One customer represented 11% of our total revenue for the second quarter and the first half of fiscal year 2020 and was attributable primarily to the Graphics segment.</w:t>
      </w:r>
    </w:p>
    <w:p w14:paraId="0D8E08E9" w14:textId="77777777" w:rsidR="004C2197" w:rsidRDefault="00863B83">
      <w:pPr>
        <w:spacing w:before="240" w:after="60"/>
        <w:jc w:val="both"/>
      </w:pPr>
      <w:r>
        <w:rPr>
          <w:rFonts w:ascii="sans-serif" w:eastAsia="sans-serif" w:hAnsi="sans-serif" w:cs="sans-serif"/>
          <w:b/>
          <w:bCs/>
          <w:color w:val="76B900"/>
          <w:sz w:val="20"/>
          <w:szCs w:val="20"/>
        </w:rPr>
        <w:t>Gross Margin</w:t>
      </w:r>
    </w:p>
    <w:p w14:paraId="0D8E08EA" w14:textId="77777777" w:rsidR="004C2197" w:rsidRDefault="00863B83">
      <w:pPr>
        <w:spacing w:before="120"/>
        <w:jc w:val="both"/>
      </w:pPr>
      <w:r>
        <w:rPr>
          <w:rFonts w:ascii="sans-serif" w:eastAsia="sans-serif" w:hAnsi="sans-serif" w:cs="sans-serif"/>
          <w:color w:val="000000"/>
          <w:sz w:val="20"/>
          <w:szCs w:val="20"/>
        </w:rPr>
        <w:t xml:space="preserve">Our overall gross margin decreased to 58.8% for the </w:t>
      </w:r>
      <w:r>
        <w:rPr>
          <w:rFonts w:ascii="sans-serif" w:eastAsia="sans-serif" w:hAnsi="sans-serif" w:cs="sans-serif"/>
          <w:color w:val="000000"/>
          <w:sz w:val="20"/>
          <w:szCs w:val="20"/>
        </w:rPr>
        <w:t>second quarter of fiscal year 2021 from 59.8% for the second quarter of fiscal year 2020, reflecting Mellanox acquisition-related costs including a non-recurring inventory step-up charge of $161 million and ongoing intangible asset amortization of $84 mill</w:t>
      </w:r>
      <w:r>
        <w:rPr>
          <w:rFonts w:ascii="sans-serif" w:eastAsia="sans-serif" w:hAnsi="sans-serif" w:cs="sans-serif"/>
          <w:color w:val="000000"/>
          <w:sz w:val="20"/>
          <w:szCs w:val="20"/>
        </w:rPr>
        <w:t xml:space="preserve">ion, partially offset by an increase due to a shift in product mix. Our overall gross margin increased to 61.6% for the first half of fiscal year 2021 from 59.1% for the first half of fiscal year 2020, primarily driven by a shift in product mix, partially </w:t>
      </w:r>
      <w:r>
        <w:rPr>
          <w:rFonts w:ascii="sans-serif" w:eastAsia="sans-serif" w:hAnsi="sans-serif" w:cs="sans-serif"/>
          <w:color w:val="000000"/>
          <w:sz w:val="20"/>
          <w:szCs w:val="20"/>
        </w:rPr>
        <w:t>offset by Mellanox acquisition-related costs including a non-recurring inventory step-up charge of $161 million and ongoing intangible asset amortization of $85 million.</w:t>
      </w:r>
    </w:p>
    <w:p w14:paraId="0D8E08EB" w14:textId="77777777" w:rsidR="004C2197" w:rsidRDefault="004C2197"/>
    <w:p w14:paraId="0D8E08EC" w14:textId="77777777" w:rsidR="004C2197" w:rsidRDefault="00863B83">
      <w:pPr>
        <w:spacing w:after="180"/>
        <w:jc w:val="both"/>
      </w:pPr>
      <w:r>
        <w:rPr>
          <w:rFonts w:ascii="sans-serif" w:eastAsia="sans-serif" w:hAnsi="sans-serif" w:cs="sans-serif"/>
          <w:color w:val="000000"/>
          <w:sz w:val="20"/>
          <w:szCs w:val="20"/>
        </w:rPr>
        <w:t>Inventory provisions totaled $45 million and $28 million for the second quarter of fi</w:t>
      </w:r>
      <w:r>
        <w:rPr>
          <w:rFonts w:ascii="sans-serif" w:eastAsia="sans-serif" w:hAnsi="sans-serif" w:cs="sans-serif"/>
          <w:color w:val="000000"/>
          <w:sz w:val="20"/>
          <w:szCs w:val="20"/>
        </w:rPr>
        <w:t>scal years 2021 and 2020, respectively. Sales of inventory that was previously written-off or -down totaled $49 million and $19 million for the second quarter of fiscal years 2021 and 2020, respectively. As a result, the overall net effect on our gross mar</w:t>
      </w:r>
      <w:r>
        <w:rPr>
          <w:rFonts w:ascii="sans-serif" w:eastAsia="sans-serif" w:hAnsi="sans-serif" w:cs="sans-serif"/>
          <w:color w:val="000000"/>
          <w:sz w:val="20"/>
          <w:szCs w:val="20"/>
        </w:rPr>
        <w:t>gin was insignificant in the second quarter of fiscal year 2021, and an unfavorable impact of 0.4% in the second quarter of fiscal year 2020.</w:t>
      </w:r>
    </w:p>
    <w:p w14:paraId="0D8E08ED" w14:textId="77777777" w:rsidR="004C2197" w:rsidRDefault="00863B83">
      <w:pPr>
        <w:spacing w:before="120" w:after="120"/>
        <w:jc w:val="both"/>
      </w:pPr>
      <w:r>
        <w:rPr>
          <w:rFonts w:ascii="sans-serif" w:eastAsia="sans-serif" w:hAnsi="sans-serif" w:cs="sans-serif"/>
          <w:color w:val="000000"/>
          <w:sz w:val="20"/>
          <w:szCs w:val="20"/>
        </w:rPr>
        <w:t>Inventory provisions totaled $81 million and $72 million for the first half of fiscal years 2021 and 2020, respect</w:t>
      </w:r>
      <w:r>
        <w:rPr>
          <w:rFonts w:ascii="sans-serif" w:eastAsia="sans-serif" w:hAnsi="sans-serif" w:cs="sans-serif"/>
          <w:color w:val="000000"/>
          <w:sz w:val="20"/>
          <w:szCs w:val="20"/>
        </w:rPr>
        <w:t>ively. Sales of inventory that was previously written-off or -down totaled $88 million and $31 million for the first half of fiscal years 2021 and 2020, respectively. As a result, the overall net effect on our gross margin was insignificant in the first ha</w:t>
      </w:r>
      <w:r>
        <w:rPr>
          <w:rFonts w:ascii="sans-serif" w:eastAsia="sans-serif" w:hAnsi="sans-serif" w:cs="sans-serif"/>
          <w:color w:val="000000"/>
          <w:sz w:val="20"/>
          <w:szCs w:val="20"/>
        </w:rPr>
        <w:t>lf of fiscal year 2021 and an unfavorable impact of 0.9% for the first half of fiscal year 2020.</w:t>
      </w:r>
    </w:p>
    <w:p w14:paraId="0D8E08EE" w14:textId="77777777" w:rsidR="004C2197" w:rsidRDefault="00863B83">
      <w:pPr>
        <w:spacing w:after="180"/>
        <w:jc w:val="both"/>
      </w:pPr>
      <w:r>
        <w:rPr>
          <w:rFonts w:ascii="sans-serif" w:eastAsia="sans-serif" w:hAnsi="sans-serif" w:cs="sans-serif"/>
          <w:color w:val="000000"/>
          <w:sz w:val="20"/>
          <w:szCs w:val="20"/>
        </w:rPr>
        <w:t>A discussion of our gross margin results for each of our reportable segments is as follows:</w:t>
      </w:r>
    </w:p>
    <w:p w14:paraId="0D8E08EF" w14:textId="77777777" w:rsidR="004C2197" w:rsidRDefault="00863B83">
      <w:pPr>
        <w:spacing w:after="18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w:t>
      </w:r>
      <w:r>
        <w:rPr>
          <w:rFonts w:ascii="sans-serif" w:eastAsia="sans-serif" w:hAnsi="sans-serif" w:cs="sans-serif"/>
          <w:color w:val="000000"/>
          <w:sz w:val="20"/>
          <w:szCs w:val="20"/>
        </w:rPr>
        <w:t>g the second quarter and first half of fiscal year 2021 compared to the second quarter and first half of fiscal year 2020, primarily driven by a shift in product mix.</w:t>
      </w:r>
    </w:p>
    <w:p w14:paraId="0D8E08F0" w14:textId="77777777" w:rsidR="004C2197" w:rsidRDefault="00863B83">
      <w:pPr>
        <w:spacing w:after="18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decreased dur</w:t>
      </w:r>
      <w:r>
        <w:rPr>
          <w:rFonts w:ascii="sans-serif" w:eastAsia="sans-serif" w:hAnsi="sans-serif" w:cs="sans-serif"/>
          <w:color w:val="000000"/>
          <w:sz w:val="20"/>
          <w:szCs w:val="20"/>
        </w:rPr>
        <w:t xml:space="preserve">ing the second quarter and first half of fiscal year 2021 compared to the second quarter and first half of fiscal year 2020, primarily driven by Mellanox acquisition-related costs, partially offset by higher data center sales. </w:t>
      </w:r>
    </w:p>
    <w:p w14:paraId="0D8E08F1" w14:textId="77777777" w:rsidR="004C2197" w:rsidRDefault="00863B83">
      <w:pPr>
        <w:spacing w:before="240" w:after="60"/>
        <w:jc w:val="both"/>
      </w:pPr>
      <w:r>
        <w:rPr>
          <w:rFonts w:ascii="sans-serif" w:eastAsia="sans-serif" w:hAnsi="sans-serif" w:cs="sans-serif"/>
          <w:b/>
          <w:bCs/>
          <w:color w:val="76B900"/>
          <w:sz w:val="20"/>
          <w:szCs w:val="20"/>
        </w:rPr>
        <w:t>Operating Expenses </w:t>
      </w:r>
    </w:p>
    <w:tbl>
      <w:tblPr>
        <w:tblW w:w="5000" w:type="pct"/>
        <w:tblCellMar>
          <w:top w:w="15" w:type="dxa"/>
          <w:left w:w="15" w:type="dxa"/>
          <w:bottom w:w="15" w:type="dxa"/>
          <w:right w:w="15" w:type="dxa"/>
        </w:tblCellMar>
        <w:tblLook w:val="04A0" w:firstRow="1" w:lastRow="0" w:firstColumn="1" w:lastColumn="0" w:noHBand="0" w:noVBand="1"/>
      </w:tblPr>
      <w:tblGrid>
        <w:gridCol w:w="69"/>
        <w:gridCol w:w="1057"/>
        <w:gridCol w:w="35"/>
        <w:gridCol w:w="129"/>
        <w:gridCol w:w="478"/>
        <w:gridCol w:w="166"/>
        <w:gridCol w:w="36"/>
        <w:gridCol w:w="35"/>
        <w:gridCol w:w="35"/>
        <w:gridCol w:w="129"/>
        <w:gridCol w:w="338"/>
        <w:gridCol w:w="166"/>
        <w:gridCol w:w="36"/>
        <w:gridCol w:w="35"/>
        <w:gridCol w:w="35"/>
        <w:gridCol w:w="130"/>
        <w:gridCol w:w="524"/>
        <w:gridCol w:w="41"/>
        <w:gridCol w:w="36"/>
        <w:gridCol w:w="36"/>
        <w:gridCol w:w="36"/>
        <w:gridCol w:w="79"/>
        <w:gridCol w:w="524"/>
        <w:gridCol w:w="167"/>
        <w:gridCol w:w="36"/>
        <w:gridCol w:w="36"/>
        <w:gridCol w:w="36"/>
        <w:gridCol w:w="130"/>
        <w:gridCol w:w="479"/>
        <w:gridCol w:w="167"/>
        <w:gridCol w:w="36"/>
        <w:gridCol w:w="36"/>
        <w:gridCol w:w="36"/>
        <w:gridCol w:w="130"/>
        <w:gridCol w:w="479"/>
        <w:gridCol w:w="167"/>
        <w:gridCol w:w="36"/>
        <w:gridCol w:w="36"/>
        <w:gridCol w:w="36"/>
        <w:gridCol w:w="131"/>
        <w:gridCol w:w="519"/>
        <w:gridCol w:w="41"/>
        <w:gridCol w:w="36"/>
        <w:gridCol w:w="36"/>
        <w:gridCol w:w="36"/>
        <w:gridCol w:w="83"/>
        <w:gridCol w:w="519"/>
        <w:gridCol w:w="167"/>
        <w:gridCol w:w="36"/>
        <w:gridCol w:w="36"/>
        <w:gridCol w:w="36"/>
        <w:gridCol w:w="36"/>
        <w:gridCol w:w="36"/>
        <w:gridCol w:w="36"/>
        <w:gridCol w:w="36"/>
        <w:gridCol w:w="36"/>
        <w:gridCol w:w="36"/>
        <w:gridCol w:w="36"/>
        <w:gridCol w:w="36"/>
        <w:gridCol w:w="36"/>
        <w:gridCol w:w="36"/>
        <w:gridCol w:w="36"/>
        <w:gridCol w:w="36"/>
      </w:tblGrid>
      <w:tr w:rsidR="004C2197" w14:paraId="0D8E0922" w14:textId="77777777">
        <w:trPr>
          <w:gridAfter w:val="15"/>
        </w:trPr>
        <w:tc>
          <w:tcPr>
            <w:tcW w:w="50" w:type="pct"/>
            <w:shd w:val="clear" w:color="auto" w:fill="auto"/>
          </w:tcPr>
          <w:p w14:paraId="0D8E08F2" w14:textId="77777777" w:rsidR="004C2197" w:rsidRDefault="004C2197">
            <w:pPr>
              <w:rPr>
                <w:rFonts w:ascii="宋体"/>
              </w:rPr>
            </w:pPr>
          </w:p>
        </w:tc>
        <w:tc>
          <w:tcPr>
            <w:tcW w:w="924" w:type="pct"/>
            <w:shd w:val="clear" w:color="auto" w:fill="auto"/>
          </w:tcPr>
          <w:p w14:paraId="0D8E08F3" w14:textId="77777777" w:rsidR="004C2197" w:rsidRDefault="004C2197">
            <w:pPr>
              <w:rPr>
                <w:rFonts w:ascii="宋体"/>
              </w:rPr>
            </w:pPr>
          </w:p>
        </w:tc>
        <w:tc>
          <w:tcPr>
            <w:tcW w:w="5" w:type="pct"/>
            <w:shd w:val="clear" w:color="auto" w:fill="auto"/>
          </w:tcPr>
          <w:p w14:paraId="0D8E08F4" w14:textId="77777777" w:rsidR="004C2197" w:rsidRDefault="004C2197">
            <w:pPr>
              <w:rPr>
                <w:rFonts w:ascii="宋体"/>
              </w:rPr>
            </w:pPr>
          </w:p>
        </w:tc>
        <w:tc>
          <w:tcPr>
            <w:tcW w:w="50" w:type="pct"/>
            <w:shd w:val="clear" w:color="auto" w:fill="auto"/>
          </w:tcPr>
          <w:p w14:paraId="0D8E08F5" w14:textId="77777777" w:rsidR="004C2197" w:rsidRDefault="004C2197">
            <w:pPr>
              <w:rPr>
                <w:rFonts w:ascii="宋体"/>
              </w:rPr>
            </w:pPr>
          </w:p>
        </w:tc>
        <w:tc>
          <w:tcPr>
            <w:tcW w:w="493" w:type="pct"/>
            <w:shd w:val="clear" w:color="auto" w:fill="auto"/>
          </w:tcPr>
          <w:p w14:paraId="0D8E08F6" w14:textId="77777777" w:rsidR="004C2197" w:rsidRDefault="004C2197">
            <w:pPr>
              <w:rPr>
                <w:rFonts w:ascii="宋体"/>
              </w:rPr>
            </w:pPr>
          </w:p>
        </w:tc>
        <w:tc>
          <w:tcPr>
            <w:tcW w:w="5" w:type="pct"/>
            <w:shd w:val="clear" w:color="auto" w:fill="auto"/>
          </w:tcPr>
          <w:p w14:paraId="0D8E08F7" w14:textId="77777777" w:rsidR="004C2197" w:rsidRDefault="004C2197">
            <w:pPr>
              <w:rPr>
                <w:rFonts w:ascii="宋体"/>
              </w:rPr>
            </w:pPr>
          </w:p>
        </w:tc>
        <w:tc>
          <w:tcPr>
            <w:tcW w:w="5" w:type="pct"/>
            <w:shd w:val="clear" w:color="auto" w:fill="auto"/>
          </w:tcPr>
          <w:p w14:paraId="0D8E08F8" w14:textId="77777777" w:rsidR="004C2197" w:rsidRDefault="004C2197">
            <w:pPr>
              <w:rPr>
                <w:rFonts w:ascii="宋体"/>
              </w:rPr>
            </w:pPr>
          </w:p>
        </w:tc>
        <w:tc>
          <w:tcPr>
            <w:tcW w:w="26" w:type="pct"/>
            <w:shd w:val="clear" w:color="auto" w:fill="auto"/>
          </w:tcPr>
          <w:p w14:paraId="0D8E08F9" w14:textId="77777777" w:rsidR="004C2197" w:rsidRDefault="004C2197">
            <w:pPr>
              <w:rPr>
                <w:rFonts w:ascii="宋体"/>
              </w:rPr>
            </w:pPr>
          </w:p>
        </w:tc>
        <w:tc>
          <w:tcPr>
            <w:tcW w:w="5" w:type="pct"/>
            <w:shd w:val="clear" w:color="auto" w:fill="auto"/>
          </w:tcPr>
          <w:p w14:paraId="0D8E08FA" w14:textId="77777777" w:rsidR="004C2197" w:rsidRDefault="004C2197">
            <w:pPr>
              <w:rPr>
                <w:rFonts w:ascii="宋体"/>
              </w:rPr>
            </w:pPr>
          </w:p>
        </w:tc>
        <w:tc>
          <w:tcPr>
            <w:tcW w:w="50" w:type="pct"/>
            <w:shd w:val="clear" w:color="auto" w:fill="auto"/>
          </w:tcPr>
          <w:p w14:paraId="0D8E08FB" w14:textId="77777777" w:rsidR="004C2197" w:rsidRDefault="004C2197">
            <w:pPr>
              <w:rPr>
                <w:rFonts w:ascii="宋体"/>
              </w:rPr>
            </w:pPr>
          </w:p>
        </w:tc>
        <w:tc>
          <w:tcPr>
            <w:tcW w:w="493" w:type="pct"/>
            <w:shd w:val="clear" w:color="auto" w:fill="auto"/>
          </w:tcPr>
          <w:p w14:paraId="0D8E08FC" w14:textId="77777777" w:rsidR="004C2197" w:rsidRDefault="004C2197">
            <w:pPr>
              <w:rPr>
                <w:rFonts w:ascii="宋体"/>
              </w:rPr>
            </w:pPr>
          </w:p>
        </w:tc>
        <w:tc>
          <w:tcPr>
            <w:tcW w:w="5" w:type="pct"/>
            <w:shd w:val="clear" w:color="auto" w:fill="auto"/>
          </w:tcPr>
          <w:p w14:paraId="0D8E08FD" w14:textId="77777777" w:rsidR="004C2197" w:rsidRDefault="004C2197">
            <w:pPr>
              <w:rPr>
                <w:rFonts w:ascii="宋体"/>
              </w:rPr>
            </w:pPr>
          </w:p>
        </w:tc>
        <w:tc>
          <w:tcPr>
            <w:tcW w:w="5" w:type="pct"/>
            <w:shd w:val="clear" w:color="auto" w:fill="auto"/>
          </w:tcPr>
          <w:p w14:paraId="0D8E08FE" w14:textId="77777777" w:rsidR="004C2197" w:rsidRDefault="004C2197">
            <w:pPr>
              <w:rPr>
                <w:rFonts w:ascii="宋体"/>
              </w:rPr>
            </w:pPr>
          </w:p>
        </w:tc>
        <w:tc>
          <w:tcPr>
            <w:tcW w:w="26" w:type="pct"/>
            <w:shd w:val="clear" w:color="auto" w:fill="auto"/>
          </w:tcPr>
          <w:p w14:paraId="0D8E08FF" w14:textId="77777777" w:rsidR="004C2197" w:rsidRDefault="004C2197">
            <w:pPr>
              <w:rPr>
                <w:rFonts w:ascii="宋体"/>
              </w:rPr>
            </w:pPr>
          </w:p>
        </w:tc>
        <w:tc>
          <w:tcPr>
            <w:tcW w:w="5" w:type="pct"/>
            <w:shd w:val="clear" w:color="auto" w:fill="auto"/>
          </w:tcPr>
          <w:p w14:paraId="0D8E0900" w14:textId="77777777" w:rsidR="004C2197" w:rsidRDefault="004C2197">
            <w:pPr>
              <w:rPr>
                <w:rFonts w:ascii="宋体"/>
              </w:rPr>
            </w:pPr>
          </w:p>
        </w:tc>
        <w:tc>
          <w:tcPr>
            <w:tcW w:w="50" w:type="pct"/>
            <w:shd w:val="clear" w:color="auto" w:fill="auto"/>
          </w:tcPr>
          <w:p w14:paraId="0D8E0901" w14:textId="77777777" w:rsidR="004C2197" w:rsidRDefault="004C2197">
            <w:pPr>
              <w:rPr>
                <w:rFonts w:ascii="宋体"/>
              </w:rPr>
            </w:pPr>
          </w:p>
        </w:tc>
        <w:tc>
          <w:tcPr>
            <w:tcW w:w="347" w:type="pct"/>
            <w:shd w:val="clear" w:color="auto" w:fill="auto"/>
          </w:tcPr>
          <w:p w14:paraId="0D8E0902" w14:textId="77777777" w:rsidR="004C2197" w:rsidRDefault="004C2197">
            <w:pPr>
              <w:rPr>
                <w:rFonts w:ascii="宋体"/>
              </w:rPr>
            </w:pPr>
          </w:p>
        </w:tc>
        <w:tc>
          <w:tcPr>
            <w:tcW w:w="5" w:type="pct"/>
            <w:shd w:val="clear" w:color="auto" w:fill="auto"/>
          </w:tcPr>
          <w:p w14:paraId="0D8E0903" w14:textId="77777777" w:rsidR="004C2197" w:rsidRDefault="004C2197">
            <w:pPr>
              <w:rPr>
                <w:rFonts w:ascii="宋体"/>
              </w:rPr>
            </w:pPr>
          </w:p>
        </w:tc>
        <w:tc>
          <w:tcPr>
            <w:tcW w:w="5" w:type="pct"/>
            <w:shd w:val="clear" w:color="auto" w:fill="auto"/>
          </w:tcPr>
          <w:p w14:paraId="0D8E0904" w14:textId="77777777" w:rsidR="004C2197" w:rsidRDefault="004C2197">
            <w:pPr>
              <w:rPr>
                <w:rFonts w:ascii="宋体"/>
              </w:rPr>
            </w:pPr>
          </w:p>
        </w:tc>
        <w:tc>
          <w:tcPr>
            <w:tcW w:w="26" w:type="pct"/>
            <w:shd w:val="clear" w:color="auto" w:fill="auto"/>
          </w:tcPr>
          <w:p w14:paraId="0D8E0905" w14:textId="77777777" w:rsidR="004C2197" w:rsidRDefault="004C2197">
            <w:pPr>
              <w:rPr>
                <w:rFonts w:ascii="宋体"/>
              </w:rPr>
            </w:pPr>
          </w:p>
        </w:tc>
        <w:tc>
          <w:tcPr>
            <w:tcW w:w="5" w:type="pct"/>
            <w:shd w:val="clear" w:color="auto" w:fill="auto"/>
          </w:tcPr>
          <w:p w14:paraId="0D8E0906" w14:textId="77777777" w:rsidR="004C2197" w:rsidRDefault="004C2197">
            <w:pPr>
              <w:rPr>
                <w:rFonts w:ascii="宋体"/>
              </w:rPr>
            </w:pPr>
          </w:p>
        </w:tc>
        <w:tc>
          <w:tcPr>
            <w:tcW w:w="50" w:type="pct"/>
            <w:shd w:val="clear" w:color="auto" w:fill="auto"/>
          </w:tcPr>
          <w:p w14:paraId="0D8E0907" w14:textId="77777777" w:rsidR="004C2197" w:rsidRDefault="004C2197">
            <w:pPr>
              <w:rPr>
                <w:rFonts w:ascii="宋体"/>
              </w:rPr>
            </w:pPr>
          </w:p>
        </w:tc>
        <w:tc>
          <w:tcPr>
            <w:tcW w:w="347" w:type="pct"/>
            <w:shd w:val="clear" w:color="auto" w:fill="auto"/>
          </w:tcPr>
          <w:p w14:paraId="0D8E0908" w14:textId="77777777" w:rsidR="004C2197" w:rsidRDefault="004C2197">
            <w:pPr>
              <w:rPr>
                <w:rFonts w:ascii="宋体"/>
              </w:rPr>
            </w:pPr>
          </w:p>
        </w:tc>
        <w:tc>
          <w:tcPr>
            <w:tcW w:w="5" w:type="pct"/>
            <w:shd w:val="clear" w:color="auto" w:fill="auto"/>
          </w:tcPr>
          <w:p w14:paraId="0D8E0909" w14:textId="77777777" w:rsidR="004C2197" w:rsidRDefault="004C2197">
            <w:pPr>
              <w:rPr>
                <w:rFonts w:ascii="宋体"/>
              </w:rPr>
            </w:pPr>
          </w:p>
        </w:tc>
        <w:tc>
          <w:tcPr>
            <w:tcW w:w="5" w:type="pct"/>
            <w:shd w:val="clear" w:color="auto" w:fill="auto"/>
          </w:tcPr>
          <w:p w14:paraId="0D8E090A" w14:textId="77777777" w:rsidR="004C2197" w:rsidRDefault="004C2197">
            <w:pPr>
              <w:rPr>
                <w:rFonts w:ascii="宋体"/>
              </w:rPr>
            </w:pPr>
          </w:p>
        </w:tc>
        <w:tc>
          <w:tcPr>
            <w:tcW w:w="26" w:type="pct"/>
            <w:shd w:val="clear" w:color="auto" w:fill="auto"/>
          </w:tcPr>
          <w:p w14:paraId="0D8E090B" w14:textId="77777777" w:rsidR="004C2197" w:rsidRDefault="004C2197">
            <w:pPr>
              <w:rPr>
                <w:rFonts w:ascii="宋体"/>
              </w:rPr>
            </w:pPr>
          </w:p>
        </w:tc>
        <w:tc>
          <w:tcPr>
            <w:tcW w:w="5" w:type="pct"/>
            <w:shd w:val="clear" w:color="auto" w:fill="auto"/>
          </w:tcPr>
          <w:p w14:paraId="0D8E090C" w14:textId="77777777" w:rsidR="004C2197" w:rsidRDefault="004C2197">
            <w:pPr>
              <w:rPr>
                <w:rFonts w:ascii="宋体"/>
              </w:rPr>
            </w:pPr>
          </w:p>
        </w:tc>
        <w:tc>
          <w:tcPr>
            <w:tcW w:w="50" w:type="pct"/>
            <w:shd w:val="clear" w:color="auto" w:fill="auto"/>
          </w:tcPr>
          <w:p w14:paraId="0D8E090D" w14:textId="77777777" w:rsidR="004C2197" w:rsidRDefault="004C2197">
            <w:pPr>
              <w:rPr>
                <w:rFonts w:ascii="宋体"/>
              </w:rPr>
            </w:pPr>
          </w:p>
        </w:tc>
        <w:tc>
          <w:tcPr>
            <w:tcW w:w="500" w:type="pct"/>
            <w:shd w:val="clear" w:color="auto" w:fill="auto"/>
          </w:tcPr>
          <w:p w14:paraId="0D8E090E" w14:textId="77777777" w:rsidR="004C2197" w:rsidRDefault="004C2197">
            <w:pPr>
              <w:rPr>
                <w:rFonts w:ascii="宋体"/>
              </w:rPr>
            </w:pPr>
          </w:p>
        </w:tc>
        <w:tc>
          <w:tcPr>
            <w:tcW w:w="5" w:type="pct"/>
            <w:shd w:val="clear" w:color="auto" w:fill="auto"/>
          </w:tcPr>
          <w:p w14:paraId="0D8E090F" w14:textId="77777777" w:rsidR="004C2197" w:rsidRDefault="004C2197">
            <w:pPr>
              <w:rPr>
                <w:rFonts w:ascii="宋体"/>
              </w:rPr>
            </w:pPr>
          </w:p>
        </w:tc>
        <w:tc>
          <w:tcPr>
            <w:tcW w:w="5" w:type="pct"/>
            <w:shd w:val="clear" w:color="auto" w:fill="auto"/>
          </w:tcPr>
          <w:p w14:paraId="0D8E0910" w14:textId="77777777" w:rsidR="004C2197" w:rsidRDefault="004C2197">
            <w:pPr>
              <w:rPr>
                <w:rFonts w:ascii="宋体"/>
              </w:rPr>
            </w:pPr>
          </w:p>
        </w:tc>
        <w:tc>
          <w:tcPr>
            <w:tcW w:w="26" w:type="pct"/>
            <w:shd w:val="clear" w:color="auto" w:fill="auto"/>
          </w:tcPr>
          <w:p w14:paraId="0D8E0911" w14:textId="77777777" w:rsidR="004C2197" w:rsidRDefault="004C2197">
            <w:pPr>
              <w:rPr>
                <w:rFonts w:ascii="宋体"/>
              </w:rPr>
            </w:pPr>
          </w:p>
        </w:tc>
        <w:tc>
          <w:tcPr>
            <w:tcW w:w="5" w:type="pct"/>
            <w:shd w:val="clear" w:color="auto" w:fill="auto"/>
          </w:tcPr>
          <w:p w14:paraId="0D8E0912" w14:textId="77777777" w:rsidR="004C2197" w:rsidRDefault="004C2197">
            <w:pPr>
              <w:rPr>
                <w:rFonts w:ascii="宋体"/>
              </w:rPr>
            </w:pPr>
          </w:p>
        </w:tc>
        <w:tc>
          <w:tcPr>
            <w:tcW w:w="50" w:type="pct"/>
            <w:shd w:val="clear" w:color="auto" w:fill="auto"/>
          </w:tcPr>
          <w:p w14:paraId="0D8E0913" w14:textId="77777777" w:rsidR="004C2197" w:rsidRDefault="004C2197">
            <w:pPr>
              <w:rPr>
                <w:rFonts w:ascii="宋体"/>
              </w:rPr>
            </w:pPr>
          </w:p>
        </w:tc>
        <w:tc>
          <w:tcPr>
            <w:tcW w:w="493" w:type="pct"/>
            <w:shd w:val="clear" w:color="auto" w:fill="auto"/>
          </w:tcPr>
          <w:p w14:paraId="0D8E0914" w14:textId="77777777" w:rsidR="004C2197" w:rsidRDefault="004C2197">
            <w:pPr>
              <w:rPr>
                <w:rFonts w:ascii="宋体"/>
              </w:rPr>
            </w:pPr>
          </w:p>
        </w:tc>
        <w:tc>
          <w:tcPr>
            <w:tcW w:w="5" w:type="pct"/>
            <w:shd w:val="clear" w:color="auto" w:fill="auto"/>
          </w:tcPr>
          <w:p w14:paraId="0D8E0915" w14:textId="77777777" w:rsidR="004C2197" w:rsidRDefault="004C2197">
            <w:pPr>
              <w:rPr>
                <w:rFonts w:ascii="宋体"/>
              </w:rPr>
            </w:pPr>
          </w:p>
        </w:tc>
        <w:tc>
          <w:tcPr>
            <w:tcW w:w="5" w:type="pct"/>
            <w:shd w:val="clear" w:color="auto" w:fill="auto"/>
          </w:tcPr>
          <w:p w14:paraId="0D8E0916" w14:textId="77777777" w:rsidR="004C2197" w:rsidRDefault="004C2197">
            <w:pPr>
              <w:rPr>
                <w:rFonts w:ascii="宋体"/>
              </w:rPr>
            </w:pPr>
          </w:p>
        </w:tc>
        <w:tc>
          <w:tcPr>
            <w:tcW w:w="26" w:type="pct"/>
            <w:shd w:val="clear" w:color="auto" w:fill="auto"/>
          </w:tcPr>
          <w:p w14:paraId="0D8E0917" w14:textId="77777777" w:rsidR="004C2197" w:rsidRDefault="004C2197">
            <w:pPr>
              <w:rPr>
                <w:rFonts w:ascii="宋体"/>
              </w:rPr>
            </w:pPr>
          </w:p>
        </w:tc>
        <w:tc>
          <w:tcPr>
            <w:tcW w:w="5" w:type="pct"/>
            <w:shd w:val="clear" w:color="auto" w:fill="auto"/>
          </w:tcPr>
          <w:p w14:paraId="0D8E0918" w14:textId="77777777" w:rsidR="004C2197" w:rsidRDefault="004C2197">
            <w:pPr>
              <w:rPr>
                <w:rFonts w:ascii="宋体"/>
              </w:rPr>
            </w:pPr>
          </w:p>
        </w:tc>
        <w:tc>
          <w:tcPr>
            <w:tcW w:w="50" w:type="pct"/>
            <w:shd w:val="clear" w:color="auto" w:fill="auto"/>
          </w:tcPr>
          <w:p w14:paraId="0D8E0919" w14:textId="77777777" w:rsidR="004C2197" w:rsidRDefault="004C2197">
            <w:pPr>
              <w:rPr>
                <w:rFonts w:ascii="宋体"/>
              </w:rPr>
            </w:pPr>
          </w:p>
        </w:tc>
        <w:tc>
          <w:tcPr>
            <w:tcW w:w="325" w:type="pct"/>
            <w:shd w:val="clear" w:color="auto" w:fill="auto"/>
          </w:tcPr>
          <w:p w14:paraId="0D8E091A" w14:textId="77777777" w:rsidR="004C2197" w:rsidRDefault="004C2197">
            <w:pPr>
              <w:rPr>
                <w:rFonts w:ascii="宋体"/>
              </w:rPr>
            </w:pPr>
          </w:p>
        </w:tc>
        <w:tc>
          <w:tcPr>
            <w:tcW w:w="5" w:type="pct"/>
            <w:shd w:val="clear" w:color="auto" w:fill="auto"/>
          </w:tcPr>
          <w:p w14:paraId="0D8E091B" w14:textId="77777777" w:rsidR="004C2197" w:rsidRDefault="004C2197">
            <w:pPr>
              <w:rPr>
                <w:rFonts w:ascii="宋体"/>
              </w:rPr>
            </w:pPr>
          </w:p>
        </w:tc>
        <w:tc>
          <w:tcPr>
            <w:tcW w:w="5" w:type="pct"/>
            <w:shd w:val="clear" w:color="auto" w:fill="auto"/>
          </w:tcPr>
          <w:p w14:paraId="0D8E091C" w14:textId="77777777" w:rsidR="004C2197" w:rsidRDefault="004C2197">
            <w:pPr>
              <w:rPr>
                <w:rFonts w:ascii="宋体"/>
              </w:rPr>
            </w:pPr>
          </w:p>
        </w:tc>
        <w:tc>
          <w:tcPr>
            <w:tcW w:w="26" w:type="pct"/>
            <w:shd w:val="clear" w:color="auto" w:fill="auto"/>
          </w:tcPr>
          <w:p w14:paraId="0D8E091D" w14:textId="77777777" w:rsidR="004C2197" w:rsidRDefault="004C2197">
            <w:pPr>
              <w:rPr>
                <w:rFonts w:ascii="宋体"/>
              </w:rPr>
            </w:pPr>
          </w:p>
        </w:tc>
        <w:tc>
          <w:tcPr>
            <w:tcW w:w="5" w:type="pct"/>
            <w:shd w:val="clear" w:color="auto" w:fill="auto"/>
          </w:tcPr>
          <w:p w14:paraId="0D8E091E" w14:textId="77777777" w:rsidR="004C2197" w:rsidRDefault="004C2197">
            <w:pPr>
              <w:rPr>
                <w:rFonts w:ascii="宋体"/>
              </w:rPr>
            </w:pPr>
          </w:p>
        </w:tc>
        <w:tc>
          <w:tcPr>
            <w:tcW w:w="50" w:type="pct"/>
            <w:shd w:val="clear" w:color="auto" w:fill="auto"/>
          </w:tcPr>
          <w:p w14:paraId="0D8E091F" w14:textId="77777777" w:rsidR="004C2197" w:rsidRDefault="004C2197">
            <w:pPr>
              <w:rPr>
                <w:rFonts w:ascii="宋体"/>
              </w:rPr>
            </w:pPr>
          </w:p>
        </w:tc>
        <w:tc>
          <w:tcPr>
            <w:tcW w:w="325" w:type="pct"/>
            <w:shd w:val="clear" w:color="auto" w:fill="auto"/>
          </w:tcPr>
          <w:p w14:paraId="0D8E0920" w14:textId="77777777" w:rsidR="004C2197" w:rsidRDefault="004C2197">
            <w:pPr>
              <w:rPr>
                <w:rFonts w:ascii="宋体"/>
              </w:rPr>
            </w:pPr>
          </w:p>
        </w:tc>
        <w:tc>
          <w:tcPr>
            <w:tcW w:w="5" w:type="pct"/>
            <w:shd w:val="clear" w:color="auto" w:fill="auto"/>
          </w:tcPr>
          <w:p w14:paraId="0D8E0921" w14:textId="77777777" w:rsidR="004C2197" w:rsidRDefault="004C2197">
            <w:pPr>
              <w:rPr>
                <w:rFonts w:ascii="宋体"/>
              </w:rPr>
            </w:pPr>
          </w:p>
        </w:tc>
      </w:tr>
      <w:tr w:rsidR="004C2197" w14:paraId="0D8E092E" w14:textId="77777777">
        <w:tc>
          <w:tcPr>
            <w:tcW w:w="0" w:type="auto"/>
            <w:gridSpan w:val="3"/>
            <w:shd w:val="clear" w:color="auto" w:fill="auto"/>
            <w:tcMar>
              <w:top w:w="40" w:type="dxa"/>
              <w:left w:w="20" w:type="dxa"/>
              <w:bottom w:w="40" w:type="dxa"/>
              <w:right w:w="20" w:type="dxa"/>
            </w:tcMar>
            <w:vAlign w:val="center"/>
          </w:tcPr>
          <w:p w14:paraId="0D8E0923" w14:textId="77777777" w:rsidR="004C2197" w:rsidRDefault="00863B83">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0D8E0924" w14:textId="77777777" w:rsidR="004C2197" w:rsidRDefault="00863B83">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Pr>
          <w:p w14:paraId="0D8E0925" w14:textId="77777777" w:rsidR="004C2197" w:rsidRDefault="004C2197">
            <w:pPr>
              <w:rPr>
                <w:rFonts w:ascii="宋体"/>
                <w:vanish/>
              </w:rPr>
            </w:pPr>
          </w:p>
        </w:tc>
        <w:tc>
          <w:tcPr>
            <w:tcW w:w="0" w:type="auto"/>
            <w:gridSpan w:val="3"/>
            <w:shd w:val="clear" w:color="auto" w:fill="auto"/>
          </w:tcPr>
          <w:p w14:paraId="0D8E0926" w14:textId="77777777" w:rsidR="004C2197" w:rsidRDefault="004C2197">
            <w:pPr>
              <w:rPr>
                <w:rFonts w:ascii="宋体"/>
                <w:vanish/>
              </w:rPr>
            </w:pPr>
          </w:p>
        </w:tc>
        <w:tc>
          <w:tcPr>
            <w:tcW w:w="0" w:type="auto"/>
            <w:gridSpan w:val="3"/>
            <w:shd w:val="clear" w:color="auto" w:fill="auto"/>
          </w:tcPr>
          <w:p w14:paraId="0D8E0927" w14:textId="77777777" w:rsidR="004C2197" w:rsidRDefault="004C2197">
            <w:pPr>
              <w:rPr>
                <w:rFonts w:ascii="宋体"/>
                <w:vanish/>
              </w:rPr>
            </w:pPr>
          </w:p>
        </w:tc>
        <w:tc>
          <w:tcPr>
            <w:tcW w:w="0" w:type="auto"/>
            <w:gridSpan w:val="3"/>
            <w:shd w:val="clear" w:color="auto" w:fill="auto"/>
          </w:tcPr>
          <w:p w14:paraId="0D8E0928" w14:textId="77777777" w:rsidR="004C2197" w:rsidRDefault="004C2197">
            <w:pPr>
              <w:rPr>
                <w:rFonts w:ascii="宋体"/>
                <w:vanish/>
              </w:rPr>
            </w:pPr>
          </w:p>
        </w:tc>
        <w:tc>
          <w:tcPr>
            <w:tcW w:w="0" w:type="auto"/>
            <w:gridSpan w:val="3"/>
            <w:shd w:val="clear" w:color="auto" w:fill="auto"/>
          </w:tcPr>
          <w:p w14:paraId="0D8E0929" w14:textId="77777777" w:rsidR="004C2197" w:rsidRDefault="004C2197">
            <w:pPr>
              <w:rPr>
                <w:rFonts w:ascii="宋体"/>
                <w:vanish/>
              </w:rPr>
            </w:pPr>
          </w:p>
        </w:tc>
        <w:tc>
          <w:tcPr>
            <w:tcW w:w="0" w:type="auto"/>
            <w:gridSpan w:val="3"/>
            <w:shd w:val="clear" w:color="auto" w:fill="auto"/>
          </w:tcPr>
          <w:p w14:paraId="0D8E092A"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92B" w14:textId="77777777" w:rsidR="004C2197" w:rsidRDefault="004C2197">
            <w:pPr>
              <w:rPr>
                <w:rFonts w:ascii="宋体"/>
              </w:rPr>
            </w:pPr>
          </w:p>
        </w:tc>
        <w:tc>
          <w:tcPr>
            <w:tcW w:w="0" w:type="auto"/>
            <w:gridSpan w:val="17"/>
            <w:shd w:val="clear" w:color="auto" w:fill="auto"/>
            <w:tcMar>
              <w:top w:w="40" w:type="dxa"/>
              <w:left w:w="20" w:type="dxa"/>
              <w:bottom w:w="40" w:type="dxa"/>
              <w:right w:w="20" w:type="dxa"/>
            </w:tcMar>
            <w:vAlign w:val="center"/>
          </w:tcPr>
          <w:p w14:paraId="0D8E092C" w14:textId="77777777" w:rsidR="004C2197" w:rsidRDefault="00863B83">
            <w:pPr>
              <w:jc w:val="center"/>
              <w:textAlignment w:val="center"/>
            </w:pPr>
            <w:r>
              <w:rPr>
                <w:rFonts w:ascii="sans-serif" w:eastAsia="sans-serif" w:hAnsi="sans-serif" w:cs="sans-serif"/>
                <w:b/>
                <w:bCs/>
                <w:color w:val="000000"/>
                <w:sz w:val="20"/>
                <w:szCs w:val="20"/>
              </w:rPr>
              <w:t>Six Months Ended</w:t>
            </w:r>
          </w:p>
        </w:tc>
        <w:tc>
          <w:tcPr>
            <w:tcW w:w="0" w:type="auto"/>
            <w:shd w:val="clear" w:color="auto" w:fill="auto"/>
          </w:tcPr>
          <w:p w14:paraId="0D8E092D" w14:textId="77777777" w:rsidR="004C2197" w:rsidRDefault="004C2197">
            <w:pPr>
              <w:rPr>
                <w:rFonts w:ascii="宋体"/>
                <w:vanish/>
              </w:rPr>
            </w:pPr>
          </w:p>
        </w:tc>
      </w:tr>
      <w:tr w:rsidR="004C2197" w14:paraId="0D8E094E" w14:textId="77777777">
        <w:tc>
          <w:tcPr>
            <w:tcW w:w="0" w:type="auto"/>
            <w:gridSpan w:val="3"/>
            <w:shd w:val="clear" w:color="auto" w:fill="auto"/>
            <w:tcMar>
              <w:top w:w="40" w:type="dxa"/>
              <w:left w:w="20" w:type="dxa"/>
              <w:bottom w:w="40" w:type="dxa"/>
              <w:right w:w="20" w:type="dxa"/>
            </w:tcMar>
            <w:vAlign w:val="center"/>
          </w:tcPr>
          <w:p w14:paraId="0D8E092F" w14:textId="77777777" w:rsidR="004C2197" w:rsidRDefault="00863B83">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0" w14:textId="77777777" w:rsidR="004C2197" w:rsidRDefault="00863B83">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931"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2" w14:textId="77777777" w:rsidR="004C2197" w:rsidRDefault="00863B83">
            <w:pPr>
              <w:jc w:val="center"/>
              <w:textAlignment w:val="center"/>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0D8E0933"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4"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0D8E0935"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6"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left w:w="20" w:type="dxa"/>
              <w:right w:w="20" w:type="dxa"/>
            </w:tcMar>
            <w:vAlign w:val="bottom"/>
          </w:tcPr>
          <w:p w14:paraId="0D8E093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8" w14:textId="77777777" w:rsidR="004C2197" w:rsidRDefault="00863B83">
            <w:pPr>
              <w:jc w:val="center"/>
              <w:textAlignment w:val="center"/>
            </w:pPr>
            <w:r>
              <w:rPr>
                <w:rFonts w:ascii="sans-serif" w:eastAsia="sans-serif" w:hAnsi="sans-serif" w:cs="sans-serif"/>
                <w:b/>
                <w:bCs/>
                <w:color w:val="000000"/>
                <w:sz w:val="20"/>
                <w:szCs w:val="20"/>
              </w:rPr>
              <w:t>July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left w:w="20" w:type="dxa"/>
              <w:right w:w="20" w:type="dxa"/>
            </w:tcMar>
            <w:vAlign w:val="bottom"/>
          </w:tcPr>
          <w:p w14:paraId="0D8E0939"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A" w14:textId="77777777" w:rsidR="004C2197" w:rsidRDefault="00863B83">
            <w:pPr>
              <w:jc w:val="center"/>
              <w:textAlignment w:val="center"/>
            </w:pPr>
            <w:r>
              <w:rPr>
                <w:rFonts w:ascii="sans-serif" w:eastAsia="sans-serif" w:hAnsi="sans-serif" w:cs="sans-serif"/>
                <w:b/>
                <w:bCs/>
                <w:color w:val="000000"/>
                <w:sz w:val="20"/>
                <w:szCs w:val="20"/>
              </w:rPr>
              <w:t>July 28,</w:t>
            </w:r>
            <w:r>
              <w:rPr>
                <w:rFonts w:ascii="sans-serif" w:eastAsia="sans-serif" w:hAnsi="sans-serif" w:cs="sans-serif"/>
                <w:b/>
                <w:bCs/>
                <w:color w:val="000000"/>
                <w:sz w:val="20"/>
                <w:szCs w:val="20"/>
              </w:rPr>
              <w:br/>
              <w:t>2019</w:t>
            </w:r>
          </w:p>
        </w:tc>
        <w:tc>
          <w:tcPr>
            <w:tcW w:w="0" w:type="auto"/>
            <w:gridSpan w:val="3"/>
            <w:tcBorders>
              <w:top w:val="single" w:sz="8" w:space="0" w:color="000000"/>
            </w:tcBorders>
            <w:shd w:val="clear" w:color="auto" w:fill="auto"/>
            <w:tcMar>
              <w:left w:w="20" w:type="dxa"/>
              <w:right w:w="20" w:type="dxa"/>
            </w:tcMar>
            <w:vAlign w:val="bottom"/>
          </w:tcPr>
          <w:p w14:paraId="0D8E093B"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C"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left w:w="20" w:type="dxa"/>
              <w:right w:w="20" w:type="dxa"/>
            </w:tcMar>
            <w:vAlign w:val="bottom"/>
          </w:tcPr>
          <w:p w14:paraId="0D8E093D"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8E093E" w14:textId="77777777" w:rsidR="004C2197" w:rsidRDefault="00863B83">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shd w:val="clear" w:color="auto" w:fill="auto"/>
          </w:tcPr>
          <w:p w14:paraId="0D8E093F" w14:textId="77777777" w:rsidR="004C2197" w:rsidRDefault="004C2197">
            <w:pPr>
              <w:rPr>
                <w:rFonts w:ascii="宋体"/>
              </w:rPr>
            </w:pPr>
          </w:p>
        </w:tc>
        <w:tc>
          <w:tcPr>
            <w:tcW w:w="0" w:type="auto"/>
            <w:shd w:val="clear" w:color="auto" w:fill="auto"/>
          </w:tcPr>
          <w:p w14:paraId="0D8E0940" w14:textId="77777777" w:rsidR="004C2197" w:rsidRDefault="004C2197">
            <w:pPr>
              <w:rPr>
                <w:rFonts w:ascii="宋体"/>
              </w:rPr>
            </w:pPr>
          </w:p>
        </w:tc>
        <w:tc>
          <w:tcPr>
            <w:tcW w:w="0" w:type="auto"/>
            <w:shd w:val="clear" w:color="auto" w:fill="auto"/>
          </w:tcPr>
          <w:p w14:paraId="0D8E0941" w14:textId="77777777" w:rsidR="004C2197" w:rsidRDefault="004C2197">
            <w:pPr>
              <w:rPr>
                <w:rFonts w:ascii="宋体"/>
              </w:rPr>
            </w:pPr>
          </w:p>
        </w:tc>
        <w:tc>
          <w:tcPr>
            <w:tcW w:w="0" w:type="auto"/>
            <w:shd w:val="clear" w:color="auto" w:fill="auto"/>
          </w:tcPr>
          <w:p w14:paraId="0D8E0942" w14:textId="77777777" w:rsidR="004C2197" w:rsidRDefault="004C2197">
            <w:pPr>
              <w:rPr>
                <w:rFonts w:ascii="宋体"/>
              </w:rPr>
            </w:pPr>
          </w:p>
        </w:tc>
        <w:tc>
          <w:tcPr>
            <w:tcW w:w="0" w:type="auto"/>
            <w:shd w:val="clear" w:color="auto" w:fill="auto"/>
          </w:tcPr>
          <w:p w14:paraId="0D8E0943" w14:textId="77777777" w:rsidR="004C2197" w:rsidRDefault="004C2197">
            <w:pPr>
              <w:rPr>
                <w:rFonts w:ascii="宋体"/>
              </w:rPr>
            </w:pPr>
          </w:p>
        </w:tc>
        <w:tc>
          <w:tcPr>
            <w:tcW w:w="0" w:type="auto"/>
            <w:shd w:val="clear" w:color="auto" w:fill="auto"/>
          </w:tcPr>
          <w:p w14:paraId="0D8E0944" w14:textId="77777777" w:rsidR="004C2197" w:rsidRDefault="004C2197">
            <w:pPr>
              <w:rPr>
                <w:rFonts w:ascii="宋体"/>
              </w:rPr>
            </w:pPr>
          </w:p>
        </w:tc>
        <w:tc>
          <w:tcPr>
            <w:tcW w:w="0" w:type="auto"/>
            <w:shd w:val="clear" w:color="auto" w:fill="auto"/>
          </w:tcPr>
          <w:p w14:paraId="0D8E0945" w14:textId="77777777" w:rsidR="004C2197" w:rsidRDefault="004C2197">
            <w:pPr>
              <w:rPr>
                <w:rFonts w:ascii="宋体"/>
              </w:rPr>
            </w:pPr>
          </w:p>
        </w:tc>
        <w:tc>
          <w:tcPr>
            <w:tcW w:w="0" w:type="auto"/>
            <w:shd w:val="clear" w:color="auto" w:fill="auto"/>
          </w:tcPr>
          <w:p w14:paraId="0D8E0946" w14:textId="77777777" w:rsidR="004C2197" w:rsidRDefault="004C2197">
            <w:pPr>
              <w:rPr>
                <w:rFonts w:ascii="宋体"/>
              </w:rPr>
            </w:pPr>
          </w:p>
        </w:tc>
        <w:tc>
          <w:tcPr>
            <w:tcW w:w="0" w:type="auto"/>
            <w:shd w:val="clear" w:color="auto" w:fill="auto"/>
          </w:tcPr>
          <w:p w14:paraId="0D8E0947" w14:textId="77777777" w:rsidR="004C2197" w:rsidRDefault="004C2197">
            <w:pPr>
              <w:rPr>
                <w:rFonts w:ascii="宋体"/>
              </w:rPr>
            </w:pPr>
          </w:p>
        </w:tc>
        <w:tc>
          <w:tcPr>
            <w:tcW w:w="0" w:type="auto"/>
            <w:shd w:val="clear" w:color="auto" w:fill="auto"/>
          </w:tcPr>
          <w:p w14:paraId="0D8E0948" w14:textId="77777777" w:rsidR="004C2197" w:rsidRDefault="004C2197">
            <w:pPr>
              <w:rPr>
                <w:rFonts w:ascii="宋体"/>
              </w:rPr>
            </w:pPr>
          </w:p>
        </w:tc>
        <w:tc>
          <w:tcPr>
            <w:tcW w:w="0" w:type="auto"/>
            <w:shd w:val="clear" w:color="auto" w:fill="auto"/>
          </w:tcPr>
          <w:p w14:paraId="0D8E0949" w14:textId="77777777" w:rsidR="004C2197" w:rsidRDefault="004C2197">
            <w:pPr>
              <w:rPr>
                <w:rFonts w:ascii="宋体"/>
              </w:rPr>
            </w:pPr>
          </w:p>
        </w:tc>
        <w:tc>
          <w:tcPr>
            <w:tcW w:w="0" w:type="auto"/>
            <w:shd w:val="clear" w:color="auto" w:fill="auto"/>
          </w:tcPr>
          <w:p w14:paraId="0D8E094A" w14:textId="77777777" w:rsidR="004C2197" w:rsidRDefault="004C2197">
            <w:pPr>
              <w:rPr>
                <w:rFonts w:ascii="宋体"/>
              </w:rPr>
            </w:pPr>
          </w:p>
        </w:tc>
        <w:tc>
          <w:tcPr>
            <w:tcW w:w="0" w:type="auto"/>
            <w:shd w:val="clear" w:color="auto" w:fill="auto"/>
          </w:tcPr>
          <w:p w14:paraId="0D8E094B" w14:textId="77777777" w:rsidR="004C2197" w:rsidRDefault="004C2197">
            <w:pPr>
              <w:rPr>
                <w:rFonts w:ascii="宋体"/>
              </w:rPr>
            </w:pPr>
          </w:p>
        </w:tc>
        <w:tc>
          <w:tcPr>
            <w:tcW w:w="0" w:type="auto"/>
            <w:shd w:val="clear" w:color="auto" w:fill="auto"/>
          </w:tcPr>
          <w:p w14:paraId="0D8E094C" w14:textId="77777777" w:rsidR="004C2197" w:rsidRDefault="004C2197">
            <w:pPr>
              <w:rPr>
                <w:rFonts w:ascii="宋体"/>
              </w:rPr>
            </w:pPr>
          </w:p>
        </w:tc>
        <w:tc>
          <w:tcPr>
            <w:tcW w:w="0" w:type="auto"/>
            <w:shd w:val="clear" w:color="auto" w:fill="auto"/>
          </w:tcPr>
          <w:p w14:paraId="0D8E094D" w14:textId="77777777" w:rsidR="004C2197" w:rsidRDefault="004C2197">
            <w:pPr>
              <w:rPr>
                <w:rFonts w:ascii="宋体"/>
              </w:rPr>
            </w:pPr>
          </w:p>
        </w:tc>
      </w:tr>
      <w:tr w:rsidR="004C2197" w14:paraId="0D8E096E" w14:textId="77777777">
        <w:trPr>
          <w:trHeight w:val="60"/>
        </w:trPr>
        <w:tc>
          <w:tcPr>
            <w:tcW w:w="0" w:type="auto"/>
            <w:gridSpan w:val="3"/>
            <w:shd w:val="clear" w:color="auto" w:fill="auto"/>
            <w:tcMar>
              <w:left w:w="20" w:type="dxa"/>
              <w:right w:w="20" w:type="dxa"/>
            </w:tcMar>
            <w:vAlign w:val="bottom"/>
          </w:tcPr>
          <w:p w14:paraId="0D8E094F"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1"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3"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5"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7"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9"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B"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95D"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95E" w14:textId="77777777" w:rsidR="004C2197" w:rsidRDefault="004C2197">
            <w:pPr>
              <w:rPr>
                <w:rFonts w:ascii="宋体"/>
              </w:rPr>
            </w:pPr>
          </w:p>
        </w:tc>
        <w:tc>
          <w:tcPr>
            <w:tcW w:w="0" w:type="auto"/>
            <w:shd w:val="clear" w:color="auto" w:fill="auto"/>
          </w:tcPr>
          <w:p w14:paraId="0D8E095F" w14:textId="77777777" w:rsidR="004C2197" w:rsidRDefault="004C2197">
            <w:pPr>
              <w:rPr>
                <w:rFonts w:ascii="宋体"/>
              </w:rPr>
            </w:pPr>
          </w:p>
        </w:tc>
        <w:tc>
          <w:tcPr>
            <w:tcW w:w="0" w:type="auto"/>
            <w:shd w:val="clear" w:color="auto" w:fill="auto"/>
          </w:tcPr>
          <w:p w14:paraId="0D8E0960" w14:textId="77777777" w:rsidR="004C2197" w:rsidRDefault="004C2197">
            <w:pPr>
              <w:rPr>
                <w:rFonts w:ascii="宋体"/>
              </w:rPr>
            </w:pPr>
          </w:p>
        </w:tc>
        <w:tc>
          <w:tcPr>
            <w:tcW w:w="0" w:type="auto"/>
            <w:shd w:val="clear" w:color="auto" w:fill="auto"/>
          </w:tcPr>
          <w:p w14:paraId="0D8E0961" w14:textId="77777777" w:rsidR="004C2197" w:rsidRDefault="004C2197">
            <w:pPr>
              <w:rPr>
                <w:rFonts w:ascii="宋体"/>
              </w:rPr>
            </w:pPr>
          </w:p>
        </w:tc>
        <w:tc>
          <w:tcPr>
            <w:tcW w:w="0" w:type="auto"/>
            <w:shd w:val="clear" w:color="auto" w:fill="auto"/>
          </w:tcPr>
          <w:p w14:paraId="0D8E0962" w14:textId="77777777" w:rsidR="004C2197" w:rsidRDefault="004C2197">
            <w:pPr>
              <w:rPr>
                <w:rFonts w:ascii="宋体"/>
              </w:rPr>
            </w:pPr>
          </w:p>
        </w:tc>
        <w:tc>
          <w:tcPr>
            <w:tcW w:w="0" w:type="auto"/>
            <w:shd w:val="clear" w:color="auto" w:fill="auto"/>
          </w:tcPr>
          <w:p w14:paraId="0D8E0963" w14:textId="77777777" w:rsidR="004C2197" w:rsidRDefault="004C2197">
            <w:pPr>
              <w:rPr>
                <w:rFonts w:ascii="宋体"/>
              </w:rPr>
            </w:pPr>
          </w:p>
        </w:tc>
        <w:tc>
          <w:tcPr>
            <w:tcW w:w="0" w:type="auto"/>
            <w:shd w:val="clear" w:color="auto" w:fill="auto"/>
          </w:tcPr>
          <w:p w14:paraId="0D8E0964" w14:textId="77777777" w:rsidR="004C2197" w:rsidRDefault="004C2197">
            <w:pPr>
              <w:rPr>
                <w:rFonts w:ascii="宋体"/>
              </w:rPr>
            </w:pPr>
          </w:p>
        </w:tc>
        <w:tc>
          <w:tcPr>
            <w:tcW w:w="0" w:type="auto"/>
            <w:shd w:val="clear" w:color="auto" w:fill="auto"/>
          </w:tcPr>
          <w:p w14:paraId="0D8E0965" w14:textId="77777777" w:rsidR="004C2197" w:rsidRDefault="004C2197">
            <w:pPr>
              <w:rPr>
                <w:rFonts w:ascii="宋体"/>
              </w:rPr>
            </w:pPr>
          </w:p>
        </w:tc>
        <w:tc>
          <w:tcPr>
            <w:tcW w:w="0" w:type="auto"/>
            <w:shd w:val="clear" w:color="auto" w:fill="auto"/>
          </w:tcPr>
          <w:p w14:paraId="0D8E0966" w14:textId="77777777" w:rsidR="004C2197" w:rsidRDefault="004C2197">
            <w:pPr>
              <w:rPr>
                <w:rFonts w:ascii="宋体"/>
              </w:rPr>
            </w:pPr>
          </w:p>
        </w:tc>
        <w:tc>
          <w:tcPr>
            <w:tcW w:w="0" w:type="auto"/>
            <w:shd w:val="clear" w:color="auto" w:fill="auto"/>
          </w:tcPr>
          <w:p w14:paraId="0D8E0967" w14:textId="77777777" w:rsidR="004C2197" w:rsidRDefault="004C2197">
            <w:pPr>
              <w:rPr>
                <w:rFonts w:ascii="宋体"/>
              </w:rPr>
            </w:pPr>
          </w:p>
        </w:tc>
        <w:tc>
          <w:tcPr>
            <w:tcW w:w="0" w:type="auto"/>
            <w:shd w:val="clear" w:color="auto" w:fill="auto"/>
          </w:tcPr>
          <w:p w14:paraId="0D8E0968" w14:textId="77777777" w:rsidR="004C2197" w:rsidRDefault="004C2197">
            <w:pPr>
              <w:rPr>
                <w:rFonts w:ascii="宋体"/>
              </w:rPr>
            </w:pPr>
          </w:p>
        </w:tc>
        <w:tc>
          <w:tcPr>
            <w:tcW w:w="0" w:type="auto"/>
            <w:shd w:val="clear" w:color="auto" w:fill="auto"/>
          </w:tcPr>
          <w:p w14:paraId="0D8E0969" w14:textId="77777777" w:rsidR="004C2197" w:rsidRDefault="004C2197">
            <w:pPr>
              <w:rPr>
                <w:rFonts w:ascii="宋体"/>
              </w:rPr>
            </w:pPr>
          </w:p>
        </w:tc>
        <w:tc>
          <w:tcPr>
            <w:tcW w:w="0" w:type="auto"/>
            <w:shd w:val="clear" w:color="auto" w:fill="auto"/>
          </w:tcPr>
          <w:p w14:paraId="0D8E096A" w14:textId="77777777" w:rsidR="004C2197" w:rsidRDefault="004C2197">
            <w:pPr>
              <w:rPr>
                <w:rFonts w:ascii="宋体"/>
              </w:rPr>
            </w:pPr>
          </w:p>
        </w:tc>
        <w:tc>
          <w:tcPr>
            <w:tcW w:w="0" w:type="auto"/>
            <w:shd w:val="clear" w:color="auto" w:fill="auto"/>
          </w:tcPr>
          <w:p w14:paraId="0D8E096B" w14:textId="77777777" w:rsidR="004C2197" w:rsidRDefault="004C2197">
            <w:pPr>
              <w:rPr>
                <w:rFonts w:ascii="宋体"/>
              </w:rPr>
            </w:pPr>
          </w:p>
        </w:tc>
        <w:tc>
          <w:tcPr>
            <w:tcW w:w="0" w:type="auto"/>
            <w:shd w:val="clear" w:color="auto" w:fill="auto"/>
          </w:tcPr>
          <w:p w14:paraId="0D8E096C" w14:textId="77777777" w:rsidR="004C2197" w:rsidRDefault="004C2197">
            <w:pPr>
              <w:rPr>
                <w:rFonts w:ascii="宋体"/>
              </w:rPr>
            </w:pPr>
          </w:p>
        </w:tc>
        <w:tc>
          <w:tcPr>
            <w:tcW w:w="0" w:type="auto"/>
            <w:shd w:val="clear" w:color="auto" w:fill="auto"/>
          </w:tcPr>
          <w:p w14:paraId="0D8E096D" w14:textId="77777777" w:rsidR="004C2197" w:rsidRDefault="004C2197">
            <w:pPr>
              <w:rPr>
                <w:rFonts w:ascii="宋体"/>
              </w:rPr>
            </w:pPr>
          </w:p>
        </w:tc>
      </w:tr>
      <w:tr w:rsidR="004C2197" w14:paraId="0D8E097A" w14:textId="77777777">
        <w:tc>
          <w:tcPr>
            <w:tcW w:w="0" w:type="auto"/>
            <w:gridSpan w:val="3"/>
            <w:shd w:val="clear" w:color="auto" w:fill="auto"/>
            <w:tcMar>
              <w:top w:w="40" w:type="dxa"/>
              <w:left w:w="20" w:type="dxa"/>
              <w:bottom w:w="40" w:type="dxa"/>
              <w:right w:w="20" w:type="dxa"/>
            </w:tcMar>
            <w:vAlign w:val="bottom"/>
          </w:tcPr>
          <w:p w14:paraId="0D8E096F" w14:textId="77777777" w:rsidR="004C2197" w:rsidRDefault="00863B83">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D8E0970" w14:textId="77777777" w:rsidR="004C2197" w:rsidRDefault="00863B83">
            <w:pPr>
              <w:jc w:val="center"/>
              <w:textAlignment w:val="bottom"/>
            </w:pPr>
            <w:r>
              <w:rPr>
                <w:rFonts w:ascii="sans-serif" w:eastAsia="sans-serif" w:hAnsi="sans-serif" w:cs="sans-serif"/>
                <w:i/>
                <w:iCs/>
                <w:color w:val="000000"/>
                <w:sz w:val="20"/>
                <w:szCs w:val="20"/>
              </w:rPr>
              <w:t>($ in millions)</w:t>
            </w:r>
          </w:p>
        </w:tc>
        <w:tc>
          <w:tcPr>
            <w:tcW w:w="0" w:type="auto"/>
            <w:gridSpan w:val="3"/>
            <w:shd w:val="clear" w:color="auto" w:fill="auto"/>
          </w:tcPr>
          <w:p w14:paraId="0D8E0971" w14:textId="77777777" w:rsidR="004C2197" w:rsidRDefault="004C2197">
            <w:pPr>
              <w:rPr>
                <w:rFonts w:ascii="宋体"/>
                <w:vanish/>
              </w:rPr>
            </w:pPr>
          </w:p>
        </w:tc>
        <w:tc>
          <w:tcPr>
            <w:tcW w:w="0" w:type="auto"/>
            <w:gridSpan w:val="3"/>
            <w:shd w:val="clear" w:color="auto" w:fill="auto"/>
          </w:tcPr>
          <w:p w14:paraId="0D8E0972" w14:textId="77777777" w:rsidR="004C2197" w:rsidRDefault="004C2197">
            <w:pPr>
              <w:rPr>
                <w:rFonts w:ascii="宋体"/>
                <w:vanish/>
              </w:rPr>
            </w:pPr>
          </w:p>
        </w:tc>
        <w:tc>
          <w:tcPr>
            <w:tcW w:w="0" w:type="auto"/>
            <w:gridSpan w:val="3"/>
            <w:shd w:val="clear" w:color="auto" w:fill="auto"/>
          </w:tcPr>
          <w:p w14:paraId="0D8E0973" w14:textId="77777777" w:rsidR="004C2197" w:rsidRDefault="004C2197">
            <w:pPr>
              <w:rPr>
                <w:rFonts w:ascii="宋体"/>
                <w:vanish/>
              </w:rPr>
            </w:pPr>
          </w:p>
        </w:tc>
        <w:tc>
          <w:tcPr>
            <w:tcW w:w="0" w:type="auto"/>
            <w:gridSpan w:val="3"/>
            <w:shd w:val="clear" w:color="auto" w:fill="auto"/>
          </w:tcPr>
          <w:p w14:paraId="0D8E0974" w14:textId="77777777" w:rsidR="004C2197" w:rsidRDefault="004C2197">
            <w:pPr>
              <w:rPr>
                <w:rFonts w:ascii="宋体"/>
                <w:vanish/>
              </w:rPr>
            </w:pPr>
          </w:p>
        </w:tc>
        <w:tc>
          <w:tcPr>
            <w:tcW w:w="0" w:type="auto"/>
            <w:gridSpan w:val="3"/>
            <w:shd w:val="clear" w:color="auto" w:fill="auto"/>
          </w:tcPr>
          <w:p w14:paraId="0D8E0975" w14:textId="77777777" w:rsidR="004C2197" w:rsidRDefault="004C2197">
            <w:pPr>
              <w:rPr>
                <w:rFonts w:ascii="宋体"/>
                <w:vanish/>
              </w:rPr>
            </w:pPr>
          </w:p>
        </w:tc>
        <w:tc>
          <w:tcPr>
            <w:tcW w:w="0" w:type="auto"/>
            <w:gridSpan w:val="3"/>
            <w:shd w:val="clear" w:color="auto" w:fill="auto"/>
          </w:tcPr>
          <w:p w14:paraId="0D8E0976" w14:textId="77777777" w:rsidR="004C2197" w:rsidRDefault="004C2197">
            <w:pPr>
              <w:rPr>
                <w:rFonts w:ascii="宋体"/>
                <w:vanish/>
              </w:rPr>
            </w:pPr>
          </w:p>
        </w:tc>
        <w:tc>
          <w:tcPr>
            <w:tcW w:w="0" w:type="auto"/>
            <w:gridSpan w:val="3"/>
            <w:shd w:val="clear" w:color="auto" w:fill="auto"/>
            <w:tcMar>
              <w:left w:w="20" w:type="dxa"/>
              <w:right w:w="20" w:type="dxa"/>
            </w:tcMar>
            <w:vAlign w:val="bottom"/>
          </w:tcPr>
          <w:p w14:paraId="0D8E0977" w14:textId="77777777" w:rsidR="004C2197" w:rsidRDefault="004C2197">
            <w:pPr>
              <w:rPr>
                <w:rFonts w:ascii="宋体"/>
              </w:rPr>
            </w:pPr>
          </w:p>
        </w:tc>
        <w:tc>
          <w:tcPr>
            <w:tcW w:w="0" w:type="auto"/>
            <w:gridSpan w:val="17"/>
            <w:shd w:val="clear" w:color="auto" w:fill="auto"/>
            <w:tcMar>
              <w:top w:w="40" w:type="dxa"/>
              <w:left w:w="20" w:type="dxa"/>
              <w:bottom w:w="40" w:type="dxa"/>
              <w:right w:w="20" w:type="dxa"/>
            </w:tcMar>
            <w:vAlign w:val="bottom"/>
          </w:tcPr>
          <w:p w14:paraId="0D8E0978" w14:textId="77777777" w:rsidR="004C2197" w:rsidRDefault="00863B83">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tcPr>
          <w:p w14:paraId="0D8E0979" w14:textId="77777777" w:rsidR="004C2197" w:rsidRDefault="004C2197">
            <w:pPr>
              <w:rPr>
                <w:rFonts w:ascii="宋体"/>
                <w:vanish/>
              </w:rPr>
            </w:pPr>
          </w:p>
        </w:tc>
      </w:tr>
      <w:tr w:rsidR="00863B83" w14:paraId="0D8E09A8" w14:textId="77777777">
        <w:tc>
          <w:tcPr>
            <w:tcW w:w="0" w:type="auto"/>
            <w:gridSpan w:val="3"/>
            <w:shd w:val="clear" w:color="auto" w:fill="E2EFD9"/>
            <w:tcMar>
              <w:top w:w="40" w:type="dxa"/>
              <w:left w:w="20" w:type="dxa"/>
              <w:bottom w:w="40" w:type="dxa"/>
              <w:right w:w="20" w:type="dxa"/>
            </w:tcMar>
            <w:vAlign w:val="bottom"/>
          </w:tcPr>
          <w:p w14:paraId="0D8E097B" w14:textId="77777777" w:rsidR="004C2197" w:rsidRDefault="00863B83">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tcMar>
            <w:vAlign w:val="bottom"/>
          </w:tcPr>
          <w:p w14:paraId="0D8E097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7D" w14:textId="77777777" w:rsidR="004C2197" w:rsidRDefault="00863B83">
            <w:pPr>
              <w:jc w:val="right"/>
              <w:textAlignment w:val="bottom"/>
            </w:pPr>
            <w:r>
              <w:rPr>
                <w:rFonts w:ascii="sans-serif" w:eastAsia="sans-serif" w:hAnsi="sans-serif" w:cs="sans-serif"/>
                <w:color w:val="000000"/>
                <w:sz w:val="20"/>
                <w:szCs w:val="20"/>
              </w:rPr>
              <w:t>997 </w:t>
            </w:r>
          </w:p>
        </w:tc>
        <w:tc>
          <w:tcPr>
            <w:tcW w:w="0" w:type="auto"/>
            <w:shd w:val="clear" w:color="auto" w:fill="E2EFD9"/>
            <w:tcMar>
              <w:top w:w="40" w:type="dxa"/>
              <w:bottom w:w="40" w:type="dxa"/>
              <w:right w:w="20" w:type="dxa"/>
            </w:tcMar>
            <w:vAlign w:val="bottom"/>
          </w:tcPr>
          <w:p w14:paraId="0D8E097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7F"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98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81" w14:textId="77777777" w:rsidR="004C2197" w:rsidRDefault="00863B83">
            <w:pPr>
              <w:jc w:val="right"/>
              <w:textAlignment w:val="bottom"/>
            </w:pPr>
            <w:r>
              <w:rPr>
                <w:rFonts w:ascii="sans-serif" w:eastAsia="sans-serif" w:hAnsi="sans-serif" w:cs="sans-serif"/>
                <w:color w:val="000000"/>
                <w:sz w:val="20"/>
                <w:szCs w:val="20"/>
              </w:rPr>
              <w:t>704 </w:t>
            </w:r>
          </w:p>
        </w:tc>
        <w:tc>
          <w:tcPr>
            <w:tcW w:w="0" w:type="auto"/>
            <w:shd w:val="clear" w:color="auto" w:fill="E2EFD9"/>
            <w:tcMar>
              <w:top w:w="40" w:type="dxa"/>
              <w:bottom w:w="40" w:type="dxa"/>
              <w:right w:w="20" w:type="dxa"/>
            </w:tcMar>
            <w:vAlign w:val="bottom"/>
          </w:tcPr>
          <w:p w14:paraId="0D8E098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83"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98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85" w14:textId="77777777" w:rsidR="004C2197" w:rsidRDefault="00863B83">
            <w:pPr>
              <w:jc w:val="right"/>
              <w:textAlignment w:val="bottom"/>
            </w:pPr>
            <w:r>
              <w:rPr>
                <w:rFonts w:ascii="sans-serif" w:eastAsia="sans-serif" w:hAnsi="sans-serif" w:cs="sans-serif"/>
                <w:color w:val="000000"/>
                <w:sz w:val="20"/>
                <w:szCs w:val="20"/>
              </w:rPr>
              <w:t>293 </w:t>
            </w:r>
          </w:p>
        </w:tc>
        <w:tc>
          <w:tcPr>
            <w:tcW w:w="0" w:type="auto"/>
            <w:shd w:val="clear" w:color="auto" w:fill="E2EFD9"/>
            <w:tcMar>
              <w:top w:w="40" w:type="dxa"/>
              <w:bottom w:w="40" w:type="dxa"/>
              <w:right w:w="20" w:type="dxa"/>
            </w:tcMar>
            <w:vAlign w:val="bottom"/>
          </w:tcPr>
          <w:p w14:paraId="0D8E098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87"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88" w14:textId="77777777" w:rsidR="004C2197" w:rsidRDefault="00863B83">
            <w:pPr>
              <w:jc w:val="right"/>
              <w:textAlignment w:val="bottom"/>
            </w:pPr>
            <w:r>
              <w:rPr>
                <w:rFonts w:ascii="sans-serif" w:eastAsia="sans-serif" w:hAnsi="sans-serif" w:cs="sans-serif"/>
                <w:color w:val="000000"/>
                <w:sz w:val="20"/>
                <w:szCs w:val="20"/>
              </w:rPr>
              <w:t>42 </w:t>
            </w:r>
          </w:p>
        </w:tc>
        <w:tc>
          <w:tcPr>
            <w:tcW w:w="0" w:type="auto"/>
            <w:shd w:val="clear" w:color="auto" w:fill="E2EFD9"/>
            <w:tcMar>
              <w:top w:w="40" w:type="dxa"/>
              <w:bottom w:w="40" w:type="dxa"/>
              <w:right w:w="20" w:type="dxa"/>
            </w:tcMar>
            <w:vAlign w:val="bottom"/>
          </w:tcPr>
          <w:p w14:paraId="0D8E0989"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98A"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98B"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8C" w14:textId="77777777" w:rsidR="004C2197" w:rsidRDefault="00863B83">
            <w:pPr>
              <w:jc w:val="right"/>
              <w:textAlignment w:val="bottom"/>
            </w:pPr>
            <w:r>
              <w:rPr>
                <w:rFonts w:ascii="sans-serif" w:eastAsia="sans-serif" w:hAnsi="sans-serif" w:cs="sans-serif"/>
                <w:color w:val="000000"/>
                <w:sz w:val="20"/>
                <w:szCs w:val="20"/>
              </w:rPr>
              <w:t>1,732 </w:t>
            </w:r>
          </w:p>
        </w:tc>
        <w:tc>
          <w:tcPr>
            <w:tcW w:w="0" w:type="auto"/>
            <w:shd w:val="clear" w:color="auto" w:fill="E2EFD9"/>
            <w:tcMar>
              <w:top w:w="40" w:type="dxa"/>
              <w:bottom w:w="40" w:type="dxa"/>
              <w:right w:w="20" w:type="dxa"/>
            </w:tcMar>
            <w:vAlign w:val="bottom"/>
          </w:tcPr>
          <w:p w14:paraId="0D8E098D"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8E"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98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90" w14:textId="77777777" w:rsidR="004C2197" w:rsidRDefault="00863B83">
            <w:pPr>
              <w:jc w:val="right"/>
              <w:textAlignment w:val="bottom"/>
            </w:pPr>
            <w:r>
              <w:rPr>
                <w:rFonts w:ascii="sans-serif" w:eastAsia="sans-serif" w:hAnsi="sans-serif" w:cs="sans-serif"/>
                <w:color w:val="000000"/>
                <w:sz w:val="20"/>
                <w:szCs w:val="20"/>
              </w:rPr>
              <w:t>1,379 </w:t>
            </w:r>
          </w:p>
        </w:tc>
        <w:tc>
          <w:tcPr>
            <w:tcW w:w="0" w:type="auto"/>
            <w:shd w:val="clear" w:color="auto" w:fill="E2EFD9"/>
            <w:tcMar>
              <w:top w:w="40" w:type="dxa"/>
              <w:bottom w:w="40" w:type="dxa"/>
              <w:right w:w="20" w:type="dxa"/>
            </w:tcMar>
            <w:vAlign w:val="bottom"/>
          </w:tcPr>
          <w:p w14:paraId="0D8E099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9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99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994" w14:textId="77777777" w:rsidR="004C2197" w:rsidRDefault="00863B83">
            <w:pPr>
              <w:jc w:val="right"/>
              <w:textAlignment w:val="bottom"/>
            </w:pPr>
            <w:r>
              <w:rPr>
                <w:rFonts w:ascii="sans-serif" w:eastAsia="sans-serif" w:hAnsi="sans-serif" w:cs="sans-serif"/>
                <w:color w:val="000000"/>
                <w:sz w:val="20"/>
                <w:szCs w:val="20"/>
              </w:rPr>
              <w:t>353 </w:t>
            </w:r>
          </w:p>
        </w:tc>
        <w:tc>
          <w:tcPr>
            <w:tcW w:w="0" w:type="auto"/>
            <w:shd w:val="clear" w:color="auto" w:fill="E2EFD9"/>
            <w:tcMar>
              <w:top w:w="40" w:type="dxa"/>
              <w:bottom w:w="40" w:type="dxa"/>
              <w:right w:w="20" w:type="dxa"/>
            </w:tcMar>
            <w:vAlign w:val="bottom"/>
          </w:tcPr>
          <w:p w14:paraId="0D8E099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9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97" w14:textId="77777777" w:rsidR="004C2197" w:rsidRDefault="00863B83">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bottom w:w="40" w:type="dxa"/>
              <w:right w:w="20" w:type="dxa"/>
            </w:tcMar>
            <w:vAlign w:val="bottom"/>
          </w:tcPr>
          <w:p w14:paraId="0D8E0998"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999" w14:textId="77777777" w:rsidR="004C2197" w:rsidRDefault="004C2197">
            <w:pPr>
              <w:rPr>
                <w:rFonts w:ascii="宋体"/>
              </w:rPr>
            </w:pPr>
          </w:p>
        </w:tc>
        <w:tc>
          <w:tcPr>
            <w:tcW w:w="0" w:type="auto"/>
            <w:shd w:val="clear" w:color="auto" w:fill="auto"/>
          </w:tcPr>
          <w:p w14:paraId="0D8E099A" w14:textId="77777777" w:rsidR="004C2197" w:rsidRDefault="004C2197">
            <w:pPr>
              <w:rPr>
                <w:rFonts w:ascii="宋体"/>
              </w:rPr>
            </w:pPr>
          </w:p>
        </w:tc>
        <w:tc>
          <w:tcPr>
            <w:tcW w:w="0" w:type="auto"/>
            <w:shd w:val="clear" w:color="auto" w:fill="auto"/>
          </w:tcPr>
          <w:p w14:paraId="0D8E099B" w14:textId="77777777" w:rsidR="004C2197" w:rsidRDefault="004C2197">
            <w:pPr>
              <w:rPr>
                <w:rFonts w:ascii="宋体"/>
              </w:rPr>
            </w:pPr>
          </w:p>
        </w:tc>
        <w:tc>
          <w:tcPr>
            <w:tcW w:w="0" w:type="auto"/>
            <w:shd w:val="clear" w:color="auto" w:fill="auto"/>
          </w:tcPr>
          <w:p w14:paraId="0D8E099C" w14:textId="77777777" w:rsidR="004C2197" w:rsidRDefault="004C2197">
            <w:pPr>
              <w:rPr>
                <w:rFonts w:ascii="宋体"/>
              </w:rPr>
            </w:pPr>
          </w:p>
        </w:tc>
        <w:tc>
          <w:tcPr>
            <w:tcW w:w="0" w:type="auto"/>
            <w:shd w:val="clear" w:color="auto" w:fill="auto"/>
          </w:tcPr>
          <w:p w14:paraId="0D8E099D" w14:textId="77777777" w:rsidR="004C2197" w:rsidRDefault="004C2197">
            <w:pPr>
              <w:rPr>
                <w:rFonts w:ascii="宋体"/>
              </w:rPr>
            </w:pPr>
          </w:p>
        </w:tc>
        <w:tc>
          <w:tcPr>
            <w:tcW w:w="0" w:type="auto"/>
            <w:shd w:val="clear" w:color="auto" w:fill="auto"/>
          </w:tcPr>
          <w:p w14:paraId="0D8E099E" w14:textId="77777777" w:rsidR="004C2197" w:rsidRDefault="004C2197">
            <w:pPr>
              <w:rPr>
                <w:rFonts w:ascii="宋体"/>
              </w:rPr>
            </w:pPr>
          </w:p>
        </w:tc>
        <w:tc>
          <w:tcPr>
            <w:tcW w:w="0" w:type="auto"/>
            <w:shd w:val="clear" w:color="auto" w:fill="auto"/>
          </w:tcPr>
          <w:p w14:paraId="0D8E099F" w14:textId="77777777" w:rsidR="004C2197" w:rsidRDefault="004C2197">
            <w:pPr>
              <w:rPr>
                <w:rFonts w:ascii="宋体"/>
              </w:rPr>
            </w:pPr>
          </w:p>
        </w:tc>
        <w:tc>
          <w:tcPr>
            <w:tcW w:w="0" w:type="auto"/>
            <w:shd w:val="clear" w:color="auto" w:fill="auto"/>
          </w:tcPr>
          <w:p w14:paraId="0D8E09A0" w14:textId="77777777" w:rsidR="004C2197" w:rsidRDefault="004C2197">
            <w:pPr>
              <w:rPr>
                <w:rFonts w:ascii="宋体"/>
              </w:rPr>
            </w:pPr>
          </w:p>
        </w:tc>
        <w:tc>
          <w:tcPr>
            <w:tcW w:w="0" w:type="auto"/>
            <w:shd w:val="clear" w:color="auto" w:fill="auto"/>
          </w:tcPr>
          <w:p w14:paraId="0D8E09A1" w14:textId="77777777" w:rsidR="004C2197" w:rsidRDefault="004C2197">
            <w:pPr>
              <w:rPr>
                <w:rFonts w:ascii="宋体"/>
              </w:rPr>
            </w:pPr>
          </w:p>
        </w:tc>
        <w:tc>
          <w:tcPr>
            <w:tcW w:w="0" w:type="auto"/>
            <w:shd w:val="clear" w:color="auto" w:fill="auto"/>
          </w:tcPr>
          <w:p w14:paraId="0D8E09A2" w14:textId="77777777" w:rsidR="004C2197" w:rsidRDefault="004C2197">
            <w:pPr>
              <w:rPr>
                <w:rFonts w:ascii="宋体"/>
              </w:rPr>
            </w:pPr>
          </w:p>
        </w:tc>
        <w:tc>
          <w:tcPr>
            <w:tcW w:w="0" w:type="auto"/>
            <w:shd w:val="clear" w:color="auto" w:fill="auto"/>
          </w:tcPr>
          <w:p w14:paraId="0D8E09A3" w14:textId="77777777" w:rsidR="004C2197" w:rsidRDefault="004C2197">
            <w:pPr>
              <w:rPr>
                <w:rFonts w:ascii="宋体"/>
              </w:rPr>
            </w:pPr>
          </w:p>
        </w:tc>
        <w:tc>
          <w:tcPr>
            <w:tcW w:w="0" w:type="auto"/>
            <w:shd w:val="clear" w:color="auto" w:fill="auto"/>
          </w:tcPr>
          <w:p w14:paraId="0D8E09A4" w14:textId="77777777" w:rsidR="004C2197" w:rsidRDefault="004C2197">
            <w:pPr>
              <w:rPr>
                <w:rFonts w:ascii="宋体"/>
              </w:rPr>
            </w:pPr>
          </w:p>
        </w:tc>
        <w:tc>
          <w:tcPr>
            <w:tcW w:w="0" w:type="auto"/>
            <w:shd w:val="clear" w:color="auto" w:fill="auto"/>
          </w:tcPr>
          <w:p w14:paraId="0D8E09A5" w14:textId="77777777" w:rsidR="004C2197" w:rsidRDefault="004C2197">
            <w:pPr>
              <w:rPr>
                <w:rFonts w:ascii="宋体"/>
              </w:rPr>
            </w:pPr>
          </w:p>
        </w:tc>
        <w:tc>
          <w:tcPr>
            <w:tcW w:w="0" w:type="auto"/>
            <w:shd w:val="clear" w:color="auto" w:fill="auto"/>
          </w:tcPr>
          <w:p w14:paraId="0D8E09A6" w14:textId="77777777" w:rsidR="004C2197" w:rsidRDefault="004C2197">
            <w:pPr>
              <w:rPr>
                <w:rFonts w:ascii="宋体"/>
              </w:rPr>
            </w:pPr>
          </w:p>
        </w:tc>
        <w:tc>
          <w:tcPr>
            <w:tcW w:w="0" w:type="auto"/>
            <w:shd w:val="clear" w:color="auto" w:fill="auto"/>
          </w:tcPr>
          <w:p w14:paraId="0D8E09A7" w14:textId="77777777" w:rsidR="004C2197" w:rsidRDefault="004C2197">
            <w:pPr>
              <w:rPr>
                <w:rFonts w:ascii="宋体"/>
              </w:rPr>
            </w:pPr>
          </w:p>
        </w:tc>
      </w:tr>
      <w:tr w:rsidR="004C2197" w14:paraId="0D8E09CC" w14:textId="77777777">
        <w:tc>
          <w:tcPr>
            <w:tcW w:w="0" w:type="auto"/>
            <w:gridSpan w:val="3"/>
            <w:shd w:val="clear" w:color="auto" w:fill="FFFFFF"/>
            <w:tcMar>
              <w:top w:w="40" w:type="dxa"/>
              <w:left w:w="20" w:type="dxa"/>
              <w:bottom w:w="40" w:type="dxa"/>
              <w:right w:w="20" w:type="dxa"/>
            </w:tcMar>
            <w:vAlign w:val="bottom"/>
          </w:tcPr>
          <w:p w14:paraId="0D8E09A9" w14:textId="77777777" w:rsidR="004C2197" w:rsidRDefault="00863B83">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0D8E09AA" w14:textId="77777777" w:rsidR="004C2197" w:rsidRDefault="00863B83">
            <w:pPr>
              <w:jc w:val="right"/>
              <w:textAlignment w:val="bottom"/>
            </w:pPr>
            <w:r>
              <w:rPr>
                <w:rFonts w:ascii="sans-serif" w:eastAsia="sans-serif" w:hAnsi="sans-serif" w:cs="sans-serif"/>
                <w:i/>
                <w:iCs/>
                <w:color w:val="000000"/>
                <w:sz w:val="20"/>
                <w:szCs w:val="20"/>
              </w:rPr>
              <w:t>26 </w:t>
            </w:r>
          </w:p>
        </w:tc>
        <w:tc>
          <w:tcPr>
            <w:tcW w:w="0" w:type="auto"/>
            <w:shd w:val="clear" w:color="auto" w:fill="FFFFFF"/>
            <w:tcMar>
              <w:top w:w="40" w:type="dxa"/>
              <w:bottom w:w="40" w:type="dxa"/>
              <w:right w:w="20" w:type="dxa"/>
            </w:tcMar>
            <w:vAlign w:val="bottom"/>
          </w:tcPr>
          <w:p w14:paraId="0D8E09AB"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AC"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9AD" w14:textId="77777777" w:rsidR="004C2197" w:rsidRDefault="00863B83">
            <w:pPr>
              <w:jc w:val="right"/>
              <w:textAlignment w:val="bottom"/>
            </w:pPr>
            <w:r>
              <w:rPr>
                <w:rFonts w:ascii="sans-serif" w:eastAsia="sans-serif" w:hAnsi="sans-serif" w:cs="sans-serif"/>
                <w:i/>
                <w:iCs/>
                <w:color w:val="000000"/>
                <w:sz w:val="20"/>
                <w:szCs w:val="20"/>
              </w:rPr>
              <w:t>27 </w:t>
            </w:r>
          </w:p>
        </w:tc>
        <w:tc>
          <w:tcPr>
            <w:tcW w:w="0" w:type="auto"/>
            <w:shd w:val="clear" w:color="auto" w:fill="FFFFFF"/>
            <w:tcMar>
              <w:top w:w="40" w:type="dxa"/>
              <w:bottom w:w="40" w:type="dxa"/>
              <w:right w:w="20" w:type="dxa"/>
            </w:tcMar>
            <w:vAlign w:val="bottom"/>
          </w:tcPr>
          <w:p w14:paraId="0D8E09AE"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AF"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0"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1"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2"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3"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9B4" w14:textId="77777777" w:rsidR="004C2197" w:rsidRDefault="00863B83">
            <w:pPr>
              <w:jc w:val="right"/>
              <w:textAlignment w:val="bottom"/>
            </w:pPr>
            <w:r>
              <w:rPr>
                <w:rFonts w:ascii="sans-serif" w:eastAsia="sans-serif" w:hAnsi="sans-serif" w:cs="sans-serif"/>
                <w:i/>
                <w:iCs/>
                <w:color w:val="000000"/>
                <w:sz w:val="20"/>
                <w:szCs w:val="20"/>
              </w:rPr>
              <w:t>25 </w:t>
            </w:r>
          </w:p>
        </w:tc>
        <w:tc>
          <w:tcPr>
            <w:tcW w:w="0" w:type="auto"/>
            <w:shd w:val="clear" w:color="auto" w:fill="FFFFFF"/>
            <w:tcMar>
              <w:top w:w="40" w:type="dxa"/>
              <w:bottom w:w="40" w:type="dxa"/>
              <w:right w:w="20" w:type="dxa"/>
            </w:tcMar>
            <w:vAlign w:val="bottom"/>
          </w:tcPr>
          <w:p w14:paraId="0D8E09B5"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B6"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9B7" w14:textId="77777777" w:rsidR="004C2197" w:rsidRDefault="00863B83">
            <w:pPr>
              <w:jc w:val="right"/>
              <w:textAlignment w:val="bottom"/>
            </w:pPr>
            <w:r>
              <w:rPr>
                <w:rFonts w:ascii="sans-serif" w:eastAsia="sans-serif" w:hAnsi="sans-serif" w:cs="sans-serif"/>
                <w:i/>
                <w:iCs/>
                <w:color w:val="000000"/>
                <w:sz w:val="20"/>
                <w:szCs w:val="20"/>
              </w:rPr>
              <w:t>29 </w:t>
            </w:r>
          </w:p>
        </w:tc>
        <w:tc>
          <w:tcPr>
            <w:tcW w:w="0" w:type="auto"/>
            <w:shd w:val="clear" w:color="auto" w:fill="FFFFFF"/>
            <w:tcMar>
              <w:top w:w="40" w:type="dxa"/>
              <w:bottom w:w="40" w:type="dxa"/>
              <w:right w:w="20" w:type="dxa"/>
            </w:tcMar>
            <w:vAlign w:val="bottom"/>
          </w:tcPr>
          <w:p w14:paraId="0D8E09B8"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B9"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A"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BC" w14:textId="77777777" w:rsidR="004C2197" w:rsidRDefault="004C2197">
            <w:pPr>
              <w:rPr>
                <w:rFonts w:ascii="宋体"/>
              </w:rPr>
            </w:pPr>
          </w:p>
        </w:tc>
        <w:tc>
          <w:tcPr>
            <w:tcW w:w="0" w:type="auto"/>
            <w:shd w:val="clear" w:color="auto" w:fill="auto"/>
          </w:tcPr>
          <w:p w14:paraId="0D8E09BD" w14:textId="77777777" w:rsidR="004C2197" w:rsidRDefault="004C2197">
            <w:pPr>
              <w:rPr>
                <w:rFonts w:ascii="宋体"/>
              </w:rPr>
            </w:pPr>
          </w:p>
        </w:tc>
        <w:tc>
          <w:tcPr>
            <w:tcW w:w="0" w:type="auto"/>
            <w:shd w:val="clear" w:color="auto" w:fill="auto"/>
          </w:tcPr>
          <w:p w14:paraId="0D8E09BE" w14:textId="77777777" w:rsidR="004C2197" w:rsidRDefault="004C2197">
            <w:pPr>
              <w:rPr>
                <w:rFonts w:ascii="宋体"/>
              </w:rPr>
            </w:pPr>
          </w:p>
        </w:tc>
        <w:tc>
          <w:tcPr>
            <w:tcW w:w="0" w:type="auto"/>
            <w:shd w:val="clear" w:color="auto" w:fill="auto"/>
          </w:tcPr>
          <w:p w14:paraId="0D8E09BF" w14:textId="77777777" w:rsidR="004C2197" w:rsidRDefault="004C2197">
            <w:pPr>
              <w:rPr>
                <w:rFonts w:ascii="宋体"/>
              </w:rPr>
            </w:pPr>
          </w:p>
        </w:tc>
        <w:tc>
          <w:tcPr>
            <w:tcW w:w="0" w:type="auto"/>
            <w:shd w:val="clear" w:color="auto" w:fill="auto"/>
          </w:tcPr>
          <w:p w14:paraId="0D8E09C0" w14:textId="77777777" w:rsidR="004C2197" w:rsidRDefault="004C2197">
            <w:pPr>
              <w:rPr>
                <w:rFonts w:ascii="宋体"/>
              </w:rPr>
            </w:pPr>
          </w:p>
        </w:tc>
        <w:tc>
          <w:tcPr>
            <w:tcW w:w="0" w:type="auto"/>
            <w:shd w:val="clear" w:color="auto" w:fill="auto"/>
          </w:tcPr>
          <w:p w14:paraId="0D8E09C1" w14:textId="77777777" w:rsidR="004C2197" w:rsidRDefault="004C2197">
            <w:pPr>
              <w:rPr>
                <w:rFonts w:ascii="宋体"/>
              </w:rPr>
            </w:pPr>
          </w:p>
        </w:tc>
        <w:tc>
          <w:tcPr>
            <w:tcW w:w="0" w:type="auto"/>
            <w:shd w:val="clear" w:color="auto" w:fill="auto"/>
          </w:tcPr>
          <w:p w14:paraId="0D8E09C2" w14:textId="77777777" w:rsidR="004C2197" w:rsidRDefault="004C2197">
            <w:pPr>
              <w:rPr>
                <w:rFonts w:ascii="宋体"/>
              </w:rPr>
            </w:pPr>
          </w:p>
        </w:tc>
        <w:tc>
          <w:tcPr>
            <w:tcW w:w="0" w:type="auto"/>
            <w:shd w:val="clear" w:color="auto" w:fill="auto"/>
          </w:tcPr>
          <w:p w14:paraId="0D8E09C3" w14:textId="77777777" w:rsidR="004C2197" w:rsidRDefault="004C2197">
            <w:pPr>
              <w:rPr>
                <w:rFonts w:ascii="宋体"/>
              </w:rPr>
            </w:pPr>
          </w:p>
        </w:tc>
        <w:tc>
          <w:tcPr>
            <w:tcW w:w="0" w:type="auto"/>
            <w:shd w:val="clear" w:color="auto" w:fill="auto"/>
          </w:tcPr>
          <w:p w14:paraId="0D8E09C4" w14:textId="77777777" w:rsidR="004C2197" w:rsidRDefault="004C2197">
            <w:pPr>
              <w:rPr>
                <w:rFonts w:ascii="宋体"/>
              </w:rPr>
            </w:pPr>
          </w:p>
        </w:tc>
        <w:tc>
          <w:tcPr>
            <w:tcW w:w="0" w:type="auto"/>
            <w:shd w:val="clear" w:color="auto" w:fill="auto"/>
          </w:tcPr>
          <w:p w14:paraId="0D8E09C5" w14:textId="77777777" w:rsidR="004C2197" w:rsidRDefault="004C2197">
            <w:pPr>
              <w:rPr>
                <w:rFonts w:ascii="宋体"/>
              </w:rPr>
            </w:pPr>
          </w:p>
        </w:tc>
        <w:tc>
          <w:tcPr>
            <w:tcW w:w="0" w:type="auto"/>
            <w:shd w:val="clear" w:color="auto" w:fill="auto"/>
          </w:tcPr>
          <w:p w14:paraId="0D8E09C6" w14:textId="77777777" w:rsidR="004C2197" w:rsidRDefault="004C2197">
            <w:pPr>
              <w:rPr>
                <w:rFonts w:ascii="宋体"/>
              </w:rPr>
            </w:pPr>
          </w:p>
        </w:tc>
        <w:tc>
          <w:tcPr>
            <w:tcW w:w="0" w:type="auto"/>
            <w:shd w:val="clear" w:color="auto" w:fill="auto"/>
          </w:tcPr>
          <w:p w14:paraId="0D8E09C7" w14:textId="77777777" w:rsidR="004C2197" w:rsidRDefault="004C2197">
            <w:pPr>
              <w:rPr>
                <w:rFonts w:ascii="宋体"/>
              </w:rPr>
            </w:pPr>
          </w:p>
        </w:tc>
        <w:tc>
          <w:tcPr>
            <w:tcW w:w="0" w:type="auto"/>
            <w:shd w:val="clear" w:color="auto" w:fill="auto"/>
          </w:tcPr>
          <w:p w14:paraId="0D8E09C8" w14:textId="77777777" w:rsidR="004C2197" w:rsidRDefault="004C2197">
            <w:pPr>
              <w:rPr>
                <w:rFonts w:ascii="宋体"/>
              </w:rPr>
            </w:pPr>
          </w:p>
        </w:tc>
        <w:tc>
          <w:tcPr>
            <w:tcW w:w="0" w:type="auto"/>
            <w:shd w:val="clear" w:color="auto" w:fill="auto"/>
          </w:tcPr>
          <w:p w14:paraId="0D8E09C9" w14:textId="77777777" w:rsidR="004C2197" w:rsidRDefault="004C2197">
            <w:pPr>
              <w:rPr>
                <w:rFonts w:ascii="宋体"/>
              </w:rPr>
            </w:pPr>
          </w:p>
        </w:tc>
        <w:tc>
          <w:tcPr>
            <w:tcW w:w="0" w:type="auto"/>
            <w:shd w:val="clear" w:color="auto" w:fill="auto"/>
          </w:tcPr>
          <w:p w14:paraId="0D8E09CA" w14:textId="77777777" w:rsidR="004C2197" w:rsidRDefault="004C2197">
            <w:pPr>
              <w:rPr>
                <w:rFonts w:ascii="宋体"/>
              </w:rPr>
            </w:pPr>
          </w:p>
        </w:tc>
        <w:tc>
          <w:tcPr>
            <w:tcW w:w="0" w:type="auto"/>
            <w:shd w:val="clear" w:color="auto" w:fill="auto"/>
          </w:tcPr>
          <w:p w14:paraId="0D8E09CB" w14:textId="77777777" w:rsidR="004C2197" w:rsidRDefault="004C2197">
            <w:pPr>
              <w:rPr>
                <w:rFonts w:ascii="宋体"/>
              </w:rPr>
            </w:pPr>
          </w:p>
        </w:tc>
      </w:tr>
      <w:tr w:rsidR="004C2197" w14:paraId="0D8E09F4" w14:textId="77777777">
        <w:tc>
          <w:tcPr>
            <w:tcW w:w="0" w:type="auto"/>
            <w:gridSpan w:val="3"/>
            <w:shd w:val="clear" w:color="auto" w:fill="E2EFD9"/>
            <w:tcMar>
              <w:top w:w="40" w:type="dxa"/>
              <w:left w:w="20" w:type="dxa"/>
              <w:bottom w:w="40" w:type="dxa"/>
              <w:right w:w="20" w:type="dxa"/>
            </w:tcMar>
            <w:vAlign w:val="bottom"/>
          </w:tcPr>
          <w:p w14:paraId="0D8E09CD" w14:textId="77777777" w:rsidR="004C2197" w:rsidRDefault="00863B83">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0D8E09CE" w14:textId="77777777" w:rsidR="004C2197" w:rsidRDefault="00863B83">
            <w:pPr>
              <w:jc w:val="right"/>
              <w:textAlignment w:val="bottom"/>
            </w:pPr>
            <w:r>
              <w:rPr>
                <w:rFonts w:ascii="sans-serif" w:eastAsia="sans-serif" w:hAnsi="sans-serif" w:cs="sans-serif"/>
                <w:color w:val="000000"/>
                <w:sz w:val="20"/>
                <w:szCs w:val="20"/>
              </w:rPr>
              <w:t>627 </w:t>
            </w:r>
          </w:p>
        </w:tc>
        <w:tc>
          <w:tcPr>
            <w:tcW w:w="0" w:type="auto"/>
            <w:shd w:val="clear" w:color="auto" w:fill="E2EFD9"/>
            <w:tcMar>
              <w:top w:w="40" w:type="dxa"/>
              <w:bottom w:w="40" w:type="dxa"/>
              <w:right w:w="20" w:type="dxa"/>
            </w:tcMar>
            <w:vAlign w:val="bottom"/>
          </w:tcPr>
          <w:p w14:paraId="0D8E09C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D0"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D1" w14:textId="77777777" w:rsidR="004C2197" w:rsidRDefault="00863B83">
            <w:pPr>
              <w:jc w:val="right"/>
              <w:textAlignment w:val="bottom"/>
            </w:pPr>
            <w:r>
              <w:rPr>
                <w:rFonts w:ascii="sans-serif" w:eastAsia="sans-serif" w:hAnsi="sans-serif" w:cs="sans-serif"/>
                <w:color w:val="000000"/>
                <w:sz w:val="20"/>
                <w:szCs w:val="20"/>
              </w:rPr>
              <w:t>266 </w:t>
            </w:r>
          </w:p>
        </w:tc>
        <w:tc>
          <w:tcPr>
            <w:tcW w:w="0" w:type="auto"/>
            <w:shd w:val="clear" w:color="auto" w:fill="E2EFD9"/>
            <w:tcMar>
              <w:top w:w="40" w:type="dxa"/>
              <w:bottom w:w="40" w:type="dxa"/>
              <w:right w:w="20" w:type="dxa"/>
            </w:tcMar>
            <w:vAlign w:val="bottom"/>
          </w:tcPr>
          <w:p w14:paraId="0D8E09D2"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D3"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D4" w14:textId="77777777" w:rsidR="004C2197" w:rsidRDefault="00863B83">
            <w:pPr>
              <w:jc w:val="right"/>
              <w:textAlignment w:val="bottom"/>
            </w:pPr>
            <w:r>
              <w:rPr>
                <w:rFonts w:ascii="sans-serif" w:eastAsia="sans-serif" w:hAnsi="sans-serif" w:cs="sans-serif"/>
                <w:color w:val="000000"/>
                <w:sz w:val="20"/>
                <w:szCs w:val="20"/>
              </w:rPr>
              <w:t>361 </w:t>
            </w:r>
          </w:p>
        </w:tc>
        <w:tc>
          <w:tcPr>
            <w:tcW w:w="0" w:type="auto"/>
            <w:shd w:val="clear" w:color="auto" w:fill="E2EFD9"/>
            <w:tcMar>
              <w:top w:w="40" w:type="dxa"/>
              <w:bottom w:w="40" w:type="dxa"/>
              <w:right w:w="20" w:type="dxa"/>
            </w:tcMar>
            <w:vAlign w:val="bottom"/>
          </w:tcPr>
          <w:p w14:paraId="0D8E09D5"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D6"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D7" w14:textId="77777777" w:rsidR="004C2197" w:rsidRDefault="00863B83">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bottom w:w="40" w:type="dxa"/>
              <w:right w:w="20" w:type="dxa"/>
            </w:tcMar>
            <w:vAlign w:val="bottom"/>
          </w:tcPr>
          <w:p w14:paraId="0D8E09D8"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9D9"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DA" w14:textId="77777777" w:rsidR="004C2197" w:rsidRDefault="00863B83">
            <w:pPr>
              <w:jc w:val="right"/>
              <w:textAlignment w:val="bottom"/>
            </w:pPr>
            <w:r>
              <w:rPr>
                <w:rFonts w:ascii="sans-serif" w:eastAsia="sans-serif" w:hAnsi="sans-serif" w:cs="sans-serif"/>
                <w:color w:val="000000"/>
                <w:sz w:val="20"/>
                <w:szCs w:val="20"/>
              </w:rPr>
              <w:t>920 </w:t>
            </w:r>
          </w:p>
        </w:tc>
        <w:tc>
          <w:tcPr>
            <w:tcW w:w="0" w:type="auto"/>
            <w:shd w:val="clear" w:color="auto" w:fill="E2EFD9"/>
            <w:tcMar>
              <w:top w:w="40" w:type="dxa"/>
              <w:bottom w:w="40" w:type="dxa"/>
              <w:right w:w="20" w:type="dxa"/>
            </w:tcMar>
            <w:vAlign w:val="bottom"/>
          </w:tcPr>
          <w:p w14:paraId="0D8E09D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DC"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DD" w14:textId="77777777" w:rsidR="004C2197" w:rsidRDefault="00863B83">
            <w:pPr>
              <w:jc w:val="right"/>
              <w:textAlignment w:val="bottom"/>
            </w:pPr>
            <w:r>
              <w:rPr>
                <w:rFonts w:ascii="sans-serif" w:eastAsia="sans-serif" w:hAnsi="sans-serif" w:cs="sans-serif"/>
                <w:color w:val="000000"/>
                <w:sz w:val="20"/>
                <w:szCs w:val="20"/>
              </w:rPr>
              <w:t>529 </w:t>
            </w:r>
          </w:p>
        </w:tc>
        <w:tc>
          <w:tcPr>
            <w:tcW w:w="0" w:type="auto"/>
            <w:shd w:val="clear" w:color="auto" w:fill="E2EFD9"/>
            <w:tcMar>
              <w:top w:w="40" w:type="dxa"/>
              <w:bottom w:w="40" w:type="dxa"/>
              <w:right w:w="20" w:type="dxa"/>
            </w:tcMar>
            <w:vAlign w:val="bottom"/>
          </w:tcPr>
          <w:p w14:paraId="0D8E09DE"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DF"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E0" w14:textId="77777777" w:rsidR="004C2197" w:rsidRDefault="00863B83">
            <w:pPr>
              <w:jc w:val="right"/>
              <w:textAlignment w:val="bottom"/>
            </w:pPr>
            <w:r>
              <w:rPr>
                <w:rFonts w:ascii="sans-serif" w:eastAsia="sans-serif" w:hAnsi="sans-serif" w:cs="sans-serif"/>
                <w:color w:val="000000"/>
                <w:sz w:val="20"/>
                <w:szCs w:val="20"/>
              </w:rPr>
              <w:t>391 </w:t>
            </w:r>
          </w:p>
        </w:tc>
        <w:tc>
          <w:tcPr>
            <w:tcW w:w="0" w:type="auto"/>
            <w:shd w:val="clear" w:color="auto" w:fill="E2EFD9"/>
            <w:tcMar>
              <w:top w:w="40" w:type="dxa"/>
              <w:bottom w:w="40" w:type="dxa"/>
              <w:right w:w="20" w:type="dxa"/>
            </w:tcMar>
            <w:vAlign w:val="bottom"/>
          </w:tcPr>
          <w:p w14:paraId="0D8E09E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9E2" w14:textId="77777777" w:rsidR="004C2197" w:rsidRDefault="004C2197">
            <w:pPr>
              <w:rPr>
                <w:rFonts w:ascii="宋体"/>
              </w:rPr>
            </w:pPr>
          </w:p>
        </w:tc>
        <w:tc>
          <w:tcPr>
            <w:tcW w:w="0" w:type="auto"/>
            <w:gridSpan w:val="2"/>
            <w:shd w:val="clear" w:color="auto" w:fill="E2EFD9"/>
            <w:tcMar>
              <w:top w:w="40" w:type="dxa"/>
              <w:left w:w="20" w:type="dxa"/>
              <w:bottom w:w="40" w:type="dxa"/>
              <w:right w:w="0" w:type="dxa"/>
            </w:tcMar>
            <w:vAlign w:val="bottom"/>
          </w:tcPr>
          <w:p w14:paraId="0D8E09E3" w14:textId="77777777" w:rsidR="004C2197" w:rsidRDefault="00863B83">
            <w:pPr>
              <w:jc w:val="right"/>
              <w:textAlignment w:val="bottom"/>
            </w:pPr>
            <w:r>
              <w:rPr>
                <w:rFonts w:ascii="sans-serif" w:eastAsia="sans-serif" w:hAnsi="sans-serif" w:cs="sans-serif"/>
                <w:color w:val="000000"/>
                <w:sz w:val="20"/>
                <w:szCs w:val="20"/>
              </w:rPr>
              <w:t>74 </w:t>
            </w:r>
          </w:p>
        </w:tc>
        <w:tc>
          <w:tcPr>
            <w:tcW w:w="0" w:type="auto"/>
            <w:shd w:val="clear" w:color="auto" w:fill="E2EFD9"/>
            <w:tcMar>
              <w:top w:w="40" w:type="dxa"/>
              <w:bottom w:w="40" w:type="dxa"/>
              <w:right w:w="20" w:type="dxa"/>
            </w:tcMar>
            <w:vAlign w:val="bottom"/>
          </w:tcPr>
          <w:p w14:paraId="0D8E09E4"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9E5" w14:textId="77777777" w:rsidR="004C2197" w:rsidRDefault="004C2197">
            <w:pPr>
              <w:rPr>
                <w:rFonts w:ascii="宋体"/>
              </w:rPr>
            </w:pPr>
          </w:p>
        </w:tc>
        <w:tc>
          <w:tcPr>
            <w:tcW w:w="0" w:type="auto"/>
            <w:shd w:val="clear" w:color="auto" w:fill="auto"/>
          </w:tcPr>
          <w:p w14:paraId="0D8E09E6" w14:textId="77777777" w:rsidR="004C2197" w:rsidRDefault="004C2197">
            <w:pPr>
              <w:rPr>
                <w:rFonts w:ascii="宋体"/>
              </w:rPr>
            </w:pPr>
          </w:p>
        </w:tc>
        <w:tc>
          <w:tcPr>
            <w:tcW w:w="0" w:type="auto"/>
            <w:shd w:val="clear" w:color="auto" w:fill="auto"/>
          </w:tcPr>
          <w:p w14:paraId="0D8E09E7" w14:textId="77777777" w:rsidR="004C2197" w:rsidRDefault="004C2197">
            <w:pPr>
              <w:rPr>
                <w:rFonts w:ascii="宋体"/>
              </w:rPr>
            </w:pPr>
          </w:p>
        </w:tc>
        <w:tc>
          <w:tcPr>
            <w:tcW w:w="0" w:type="auto"/>
            <w:shd w:val="clear" w:color="auto" w:fill="auto"/>
          </w:tcPr>
          <w:p w14:paraId="0D8E09E8" w14:textId="77777777" w:rsidR="004C2197" w:rsidRDefault="004C2197">
            <w:pPr>
              <w:rPr>
                <w:rFonts w:ascii="宋体"/>
              </w:rPr>
            </w:pPr>
          </w:p>
        </w:tc>
        <w:tc>
          <w:tcPr>
            <w:tcW w:w="0" w:type="auto"/>
            <w:shd w:val="clear" w:color="auto" w:fill="auto"/>
          </w:tcPr>
          <w:p w14:paraId="0D8E09E9" w14:textId="77777777" w:rsidR="004C2197" w:rsidRDefault="004C2197">
            <w:pPr>
              <w:rPr>
                <w:rFonts w:ascii="宋体"/>
              </w:rPr>
            </w:pPr>
          </w:p>
        </w:tc>
        <w:tc>
          <w:tcPr>
            <w:tcW w:w="0" w:type="auto"/>
            <w:shd w:val="clear" w:color="auto" w:fill="auto"/>
          </w:tcPr>
          <w:p w14:paraId="0D8E09EA" w14:textId="77777777" w:rsidR="004C2197" w:rsidRDefault="004C2197">
            <w:pPr>
              <w:rPr>
                <w:rFonts w:ascii="宋体"/>
              </w:rPr>
            </w:pPr>
          </w:p>
        </w:tc>
        <w:tc>
          <w:tcPr>
            <w:tcW w:w="0" w:type="auto"/>
            <w:shd w:val="clear" w:color="auto" w:fill="auto"/>
          </w:tcPr>
          <w:p w14:paraId="0D8E09EB" w14:textId="77777777" w:rsidR="004C2197" w:rsidRDefault="004C2197">
            <w:pPr>
              <w:rPr>
                <w:rFonts w:ascii="宋体"/>
              </w:rPr>
            </w:pPr>
          </w:p>
        </w:tc>
        <w:tc>
          <w:tcPr>
            <w:tcW w:w="0" w:type="auto"/>
            <w:shd w:val="clear" w:color="auto" w:fill="auto"/>
          </w:tcPr>
          <w:p w14:paraId="0D8E09EC" w14:textId="77777777" w:rsidR="004C2197" w:rsidRDefault="004C2197">
            <w:pPr>
              <w:rPr>
                <w:rFonts w:ascii="宋体"/>
              </w:rPr>
            </w:pPr>
          </w:p>
        </w:tc>
        <w:tc>
          <w:tcPr>
            <w:tcW w:w="0" w:type="auto"/>
            <w:shd w:val="clear" w:color="auto" w:fill="auto"/>
          </w:tcPr>
          <w:p w14:paraId="0D8E09ED" w14:textId="77777777" w:rsidR="004C2197" w:rsidRDefault="004C2197">
            <w:pPr>
              <w:rPr>
                <w:rFonts w:ascii="宋体"/>
              </w:rPr>
            </w:pPr>
          </w:p>
        </w:tc>
        <w:tc>
          <w:tcPr>
            <w:tcW w:w="0" w:type="auto"/>
            <w:shd w:val="clear" w:color="auto" w:fill="auto"/>
          </w:tcPr>
          <w:p w14:paraId="0D8E09EE" w14:textId="77777777" w:rsidR="004C2197" w:rsidRDefault="004C2197">
            <w:pPr>
              <w:rPr>
                <w:rFonts w:ascii="宋体"/>
              </w:rPr>
            </w:pPr>
          </w:p>
        </w:tc>
        <w:tc>
          <w:tcPr>
            <w:tcW w:w="0" w:type="auto"/>
            <w:shd w:val="clear" w:color="auto" w:fill="auto"/>
          </w:tcPr>
          <w:p w14:paraId="0D8E09EF" w14:textId="77777777" w:rsidR="004C2197" w:rsidRDefault="004C2197">
            <w:pPr>
              <w:rPr>
                <w:rFonts w:ascii="宋体"/>
              </w:rPr>
            </w:pPr>
          </w:p>
        </w:tc>
        <w:tc>
          <w:tcPr>
            <w:tcW w:w="0" w:type="auto"/>
            <w:shd w:val="clear" w:color="auto" w:fill="auto"/>
          </w:tcPr>
          <w:p w14:paraId="0D8E09F0" w14:textId="77777777" w:rsidR="004C2197" w:rsidRDefault="004C2197">
            <w:pPr>
              <w:rPr>
                <w:rFonts w:ascii="宋体"/>
              </w:rPr>
            </w:pPr>
          </w:p>
        </w:tc>
        <w:tc>
          <w:tcPr>
            <w:tcW w:w="0" w:type="auto"/>
            <w:shd w:val="clear" w:color="auto" w:fill="auto"/>
          </w:tcPr>
          <w:p w14:paraId="0D8E09F1" w14:textId="77777777" w:rsidR="004C2197" w:rsidRDefault="004C2197">
            <w:pPr>
              <w:rPr>
                <w:rFonts w:ascii="宋体"/>
              </w:rPr>
            </w:pPr>
          </w:p>
        </w:tc>
        <w:tc>
          <w:tcPr>
            <w:tcW w:w="0" w:type="auto"/>
            <w:shd w:val="clear" w:color="auto" w:fill="auto"/>
          </w:tcPr>
          <w:p w14:paraId="0D8E09F2" w14:textId="77777777" w:rsidR="004C2197" w:rsidRDefault="004C2197">
            <w:pPr>
              <w:rPr>
                <w:rFonts w:ascii="宋体"/>
              </w:rPr>
            </w:pPr>
          </w:p>
        </w:tc>
        <w:tc>
          <w:tcPr>
            <w:tcW w:w="0" w:type="auto"/>
            <w:shd w:val="clear" w:color="auto" w:fill="auto"/>
          </w:tcPr>
          <w:p w14:paraId="0D8E09F3" w14:textId="77777777" w:rsidR="004C2197" w:rsidRDefault="004C2197">
            <w:pPr>
              <w:rPr>
                <w:rFonts w:ascii="宋体"/>
              </w:rPr>
            </w:pPr>
          </w:p>
        </w:tc>
      </w:tr>
      <w:tr w:rsidR="004C2197" w14:paraId="0D8E0A18" w14:textId="77777777">
        <w:tc>
          <w:tcPr>
            <w:tcW w:w="0" w:type="auto"/>
            <w:gridSpan w:val="3"/>
            <w:shd w:val="clear" w:color="auto" w:fill="FFFFFF"/>
            <w:tcMar>
              <w:top w:w="40" w:type="dxa"/>
              <w:left w:w="20" w:type="dxa"/>
              <w:bottom w:w="40" w:type="dxa"/>
              <w:right w:w="20" w:type="dxa"/>
            </w:tcMar>
            <w:vAlign w:val="bottom"/>
          </w:tcPr>
          <w:p w14:paraId="0D8E09F5" w14:textId="77777777" w:rsidR="004C2197" w:rsidRDefault="00863B83">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0D8E09F6" w14:textId="77777777" w:rsidR="004C2197" w:rsidRDefault="00863B83">
            <w:pPr>
              <w:jc w:val="right"/>
              <w:textAlignment w:val="bottom"/>
            </w:pPr>
            <w:r>
              <w:rPr>
                <w:rFonts w:ascii="sans-serif" w:eastAsia="sans-serif" w:hAnsi="sans-serif" w:cs="sans-serif"/>
                <w:i/>
                <w:iCs/>
                <w:color w:val="000000"/>
                <w:sz w:val="20"/>
                <w:szCs w:val="20"/>
              </w:rPr>
              <w:t>16 </w:t>
            </w:r>
          </w:p>
        </w:tc>
        <w:tc>
          <w:tcPr>
            <w:tcW w:w="0" w:type="auto"/>
            <w:shd w:val="clear" w:color="auto" w:fill="FFFFFF"/>
            <w:tcMar>
              <w:top w:w="40" w:type="dxa"/>
              <w:bottom w:w="40" w:type="dxa"/>
              <w:right w:w="20" w:type="dxa"/>
            </w:tcMar>
            <w:vAlign w:val="bottom"/>
          </w:tcPr>
          <w:p w14:paraId="0D8E09F7"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F8"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9F9" w14:textId="77777777" w:rsidR="004C2197" w:rsidRDefault="00863B83">
            <w:pPr>
              <w:jc w:val="right"/>
              <w:textAlignment w:val="bottom"/>
            </w:pPr>
            <w:r>
              <w:rPr>
                <w:rFonts w:ascii="sans-serif" w:eastAsia="sans-serif" w:hAnsi="sans-serif" w:cs="sans-serif"/>
                <w:i/>
                <w:iCs/>
                <w:color w:val="000000"/>
                <w:sz w:val="20"/>
                <w:szCs w:val="20"/>
              </w:rPr>
              <w:t>10 </w:t>
            </w:r>
          </w:p>
        </w:tc>
        <w:tc>
          <w:tcPr>
            <w:tcW w:w="0" w:type="auto"/>
            <w:shd w:val="clear" w:color="auto" w:fill="FFFFFF"/>
            <w:tcMar>
              <w:top w:w="40" w:type="dxa"/>
              <w:bottom w:w="40" w:type="dxa"/>
              <w:right w:w="20" w:type="dxa"/>
            </w:tcMar>
            <w:vAlign w:val="bottom"/>
          </w:tcPr>
          <w:p w14:paraId="0D8E09FA"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9FB"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FC"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FD"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FE"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9FF"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A00" w14:textId="77777777" w:rsidR="004C2197" w:rsidRDefault="00863B83">
            <w:pPr>
              <w:jc w:val="right"/>
              <w:textAlignment w:val="bottom"/>
            </w:pPr>
            <w:r>
              <w:rPr>
                <w:rFonts w:ascii="sans-serif" w:eastAsia="sans-serif" w:hAnsi="sans-serif" w:cs="sans-serif"/>
                <w:i/>
                <w:iCs/>
                <w:color w:val="000000"/>
                <w:sz w:val="20"/>
                <w:szCs w:val="20"/>
              </w:rPr>
              <w:t>13 </w:t>
            </w:r>
          </w:p>
        </w:tc>
        <w:tc>
          <w:tcPr>
            <w:tcW w:w="0" w:type="auto"/>
            <w:shd w:val="clear" w:color="auto" w:fill="FFFFFF"/>
            <w:tcMar>
              <w:top w:w="40" w:type="dxa"/>
              <w:bottom w:w="40" w:type="dxa"/>
              <w:right w:w="20" w:type="dxa"/>
            </w:tcMar>
            <w:vAlign w:val="bottom"/>
          </w:tcPr>
          <w:p w14:paraId="0D8E0A01"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A02"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A03" w14:textId="77777777" w:rsidR="004C2197" w:rsidRDefault="00863B83">
            <w:pPr>
              <w:jc w:val="right"/>
              <w:textAlignment w:val="bottom"/>
            </w:pPr>
            <w:r>
              <w:rPr>
                <w:rFonts w:ascii="sans-serif" w:eastAsia="sans-serif" w:hAnsi="sans-serif" w:cs="sans-serif"/>
                <w:i/>
                <w:iCs/>
                <w:color w:val="000000"/>
                <w:sz w:val="20"/>
                <w:szCs w:val="20"/>
              </w:rPr>
              <w:t>11 </w:t>
            </w:r>
          </w:p>
        </w:tc>
        <w:tc>
          <w:tcPr>
            <w:tcW w:w="0" w:type="auto"/>
            <w:shd w:val="clear" w:color="auto" w:fill="FFFFFF"/>
            <w:tcMar>
              <w:top w:w="40" w:type="dxa"/>
              <w:bottom w:w="40" w:type="dxa"/>
              <w:right w:w="20" w:type="dxa"/>
            </w:tcMar>
            <w:vAlign w:val="bottom"/>
          </w:tcPr>
          <w:p w14:paraId="0D8E0A04" w14:textId="77777777" w:rsidR="004C2197" w:rsidRDefault="00863B83">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left w:w="20" w:type="dxa"/>
              <w:right w:w="20" w:type="dxa"/>
            </w:tcMar>
            <w:vAlign w:val="bottom"/>
          </w:tcPr>
          <w:p w14:paraId="0D8E0A05"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A06"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A07" w14:textId="77777777" w:rsidR="004C2197" w:rsidRDefault="004C2197">
            <w:pPr>
              <w:rPr>
                <w:rFonts w:ascii="宋体"/>
              </w:rPr>
            </w:pPr>
          </w:p>
        </w:tc>
        <w:tc>
          <w:tcPr>
            <w:tcW w:w="0" w:type="auto"/>
            <w:gridSpan w:val="3"/>
            <w:shd w:val="clear" w:color="auto" w:fill="FFFFFF"/>
            <w:tcMar>
              <w:left w:w="20" w:type="dxa"/>
              <w:right w:w="20" w:type="dxa"/>
            </w:tcMar>
            <w:vAlign w:val="bottom"/>
          </w:tcPr>
          <w:p w14:paraId="0D8E0A08" w14:textId="77777777" w:rsidR="004C2197" w:rsidRDefault="004C2197">
            <w:pPr>
              <w:rPr>
                <w:rFonts w:ascii="宋体"/>
              </w:rPr>
            </w:pPr>
          </w:p>
        </w:tc>
        <w:tc>
          <w:tcPr>
            <w:tcW w:w="0" w:type="auto"/>
            <w:shd w:val="clear" w:color="auto" w:fill="auto"/>
          </w:tcPr>
          <w:p w14:paraId="0D8E0A09" w14:textId="77777777" w:rsidR="004C2197" w:rsidRDefault="004C2197">
            <w:pPr>
              <w:rPr>
                <w:rFonts w:ascii="宋体"/>
              </w:rPr>
            </w:pPr>
          </w:p>
        </w:tc>
        <w:tc>
          <w:tcPr>
            <w:tcW w:w="0" w:type="auto"/>
            <w:shd w:val="clear" w:color="auto" w:fill="auto"/>
          </w:tcPr>
          <w:p w14:paraId="0D8E0A0A" w14:textId="77777777" w:rsidR="004C2197" w:rsidRDefault="004C2197">
            <w:pPr>
              <w:rPr>
                <w:rFonts w:ascii="宋体"/>
              </w:rPr>
            </w:pPr>
          </w:p>
        </w:tc>
        <w:tc>
          <w:tcPr>
            <w:tcW w:w="0" w:type="auto"/>
            <w:shd w:val="clear" w:color="auto" w:fill="auto"/>
          </w:tcPr>
          <w:p w14:paraId="0D8E0A0B" w14:textId="77777777" w:rsidR="004C2197" w:rsidRDefault="004C2197">
            <w:pPr>
              <w:rPr>
                <w:rFonts w:ascii="宋体"/>
              </w:rPr>
            </w:pPr>
          </w:p>
        </w:tc>
        <w:tc>
          <w:tcPr>
            <w:tcW w:w="0" w:type="auto"/>
            <w:shd w:val="clear" w:color="auto" w:fill="auto"/>
          </w:tcPr>
          <w:p w14:paraId="0D8E0A0C" w14:textId="77777777" w:rsidR="004C2197" w:rsidRDefault="004C2197">
            <w:pPr>
              <w:rPr>
                <w:rFonts w:ascii="宋体"/>
              </w:rPr>
            </w:pPr>
          </w:p>
        </w:tc>
        <w:tc>
          <w:tcPr>
            <w:tcW w:w="0" w:type="auto"/>
            <w:shd w:val="clear" w:color="auto" w:fill="auto"/>
          </w:tcPr>
          <w:p w14:paraId="0D8E0A0D" w14:textId="77777777" w:rsidR="004C2197" w:rsidRDefault="004C2197">
            <w:pPr>
              <w:rPr>
                <w:rFonts w:ascii="宋体"/>
              </w:rPr>
            </w:pPr>
          </w:p>
        </w:tc>
        <w:tc>
          <w:tcPr>
            <w:tcW w:w="0" w:type="auto"/>
            <w:shd w:val="clear" w:color="auto" w:fill="auto"/>
          </w:tcPr>
          <w:p w14:paraId="0D8E0A0E" w14:textId="77777777" w:rsidR="004C2197" w:rsidRDefault="004C2197">
            <w:pPr>
              <w:rPr>
                <w:rFonts w:ascii="宋体"/>
              </w:rPr>
            </w:pPr>
          </w:p>
        </w:tc>
        <w:tc>
          <w:tcPr>
            <w:tcW w:w="0" w:type="auto"/>
            <w:shd w:val="clear" w:color="auto" w:fill="auto"/>
          </w:tcPr>
          <w:p w14:paraId="0D8E0A0F" w14:textId="77777777" w:rsidR="004C2197" w:rsidRDefault="004C2197">
            <w:pPr>
              <w:rPr>
                <w:rFonts w:ascii="宋体"/>
              </w:rPr>
            </w:pPr>
          </w:p>
        </w:tc>
        <w:tc>
          <w:tcPr>
            <w:tcW w:w="0" w:type="auto"/>
            <w:shd w:val="clear" w:color="auto" w:fill="auto"/>
          </w:tcPr>
          <w:p w14:paraId="0D8E0A10" w14:textId="77777777" w:rsidR="004C2197" w:rsidRDefault="004C2197">
            <w:pPr>
              <w:rPr>
                <w:rFonts w:ascii="宋体"/>
              </w:rPr>
            </w:pPr>
          </w:p>
        </w:tc>
        <w:tc>
          <w:tcPr>
            <w:tcW w:w="0" w:type="auto"/>
            <w:shd w:val="clear" w:color="auto" w:fill="auto"/>
          </w:tcPr>
          <w:p w14:paraId="0D8E0A11" w14:textId="77777777" w:rsidR="004C2197" w:rsidRDefault="004C2197">
            <w:pPr>
              <w:rPr>
                <w:rFonts w:ascii="宋体"/>
              </w:rPr>
            </w:pPr>
          </w:p>
        </w:tc>
        <w:tc>
          <w:tcPr>
            <w:tcW w:w="0" w:type="auto"/>
            <w:shd w:val="clear" w:color="auto" w:fill="auto"/>
          </w:tcPr>
          <w:p w14:paraId="0D8E0A12" w14:textId="77777777" w:rsidR="004C2197" w:rsidRDefault="004C2197">
            <w:pPr>
              <w:rPr>
                <w:rFonts w:ascii="宋体"/>
              </w:rPr>
            </w:pPr>
          </w:p>
        </w:tc>
        <w:tc>
          <w:tcPr>
            <w:tcW w:w="0" w:type="auto"/>
            <w:shd w:val="clear" w:color="auto" w:fill="auto"/>
          </w:tcPr>
          <w:p w14:paraId="0D8E0A13" w14:textId="77777777" w:rsidR="004C2197" w:rsidRDefault="004C2197">
            <w:pPr>
              <w:rPr>
                <w:rFonts w:ascii="宋体"/>
              </w:rPr>
            </w:pPr>
          </w:p>
        </w:tc>
        <w:tc>
          <w:tcPr>
            <w:tcW w:w="0" w:type="auto"/>
            <w:shd w:val="clear" w:color="auto" w:fill="auto"/>
          </w:tcPr>
          <w:p w14:paraId="0D8E0A14" w14:textId="77777777" w:rsidR="004C2197" w:rsidRDefault="004C2197">
            <w:pPr>
              <w:rPr>
                <w:rFonts w:ascii="宋体"/>
              </w:rPr>
            </w:pPr>
          </w:p>
        </w:tc>
        <w:tc>
          <w:tcPr>
            <w:tcW w:w="0" w:type="auto"/>
            <w:shd w:val="clear" w:color="auto" w:fill="auto"/>
          </w:tcPr>
          <w:p w14:paraId="0D8E0A15" w14:textId="77777777" w:rsidR="004C2197" w:rsidRDefault="004C2197">
            <w:pPr>
              <w:rPr>
                <w:rFonts w:ascii="宋体"/>
              </w:rPr>
            </w:pPr>
          </w:p>
        </w:tc>
        <w:tc>
          <w:tcPr>
            <w:tcW w:w="0" w:type="auto"/>
            <w:shd w:val="clear" w:color="auto" w:fill="auto"/>
          </w:tcPr>
          <w:p w14:paraId="0D8E0A16" w14:textId="77777777" w:rsidR="004C2197" w:rsidRDefault="004C2197">
            <w:pPr>
              <w:rPr>
                <w:rFonts w:ascii="宋体"/>
              </w:rPr>
            </w:pPr>
          </w:p>
        </w:tc>
        <w:tc>
          <w:tcPr>
            <w:tcW w:w="0" w:type="auto"/>
            <w:shd w:val="clear" w:color="auto" w:fill="auto"/>
          </w:tcPr>
          <w:p w14:paraId="0D8E0A17" w14:textId="77777777" w:rsidR="004C2197" w:rsidRDefault="004C2197">
            <w:pPr>
              <w:rPr>
                <w:rFonts w:ascii="宋体"/>
              </w:rPr>
            </w:pPr>
          </w:p>
        </w:tc>
      </w:tr>
      <w:tr w:rsidR="00863B83" w14:paraId="0D8E0A46" w14:textId="77777777">
        <w:tc>
          <w:tcPr>
            <w:tcW w:w="0" w:type="auto"/>
            <w:gridSpan w:val="3"/>
            <w:shd w:val="clear" w:color="auto" w:fill="E2EFD9"/>
            <w:tcMar>
              <w:top w:w="40" w:type="dxa"/>
              <w:left w:w="135" w:type="dxa"/>
              <w:bottom w:w="40" w:type="dxa"/>
              <w:right w:w="20" w:type="dxa"/>
            </w:tcMar>
            <w:vAlign w:val="bottom"/>
          </w:tcPr>
          <w:p w14:paraId="0D8E0A19" w14:textId="77777777" w:rsidR="004C2197" w:rsidRDefault="00863B83">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1A"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1B" w14:textId="77777777" w:rsidR="004C2197" w:rsidRDefault="00863B83">
            <w:pPr>
              <w:jc w:val="right"/>
              <w:textAlignment w:val="bottom"/>
            </w:pPr>
            <w:r>
              <w:rPr>
                <w:rFonts w:ascii="sans-serif" w:eastAsia="sans-serif" w:hAnsi="sans-serif" w:cs="sans-serif"/>
                <w:color w:val="000000"/>
                <w:sz w:val="20"/>
                <w:szCs w:val="20"/>
              </w:rPr>
              <w:t>1,624 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1C"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1D"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1E"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1F" w14:textId="77777777" w:rsidR="004C2197" w:rsidRDefault="00863B83">
            <w:pPr>
              <w:jc w:val="right"/>
              <w:textAlignment w:val="bottom"/>
            </w:pPr>
            <w:r>
              <w:rPr>
                <w:rFonts w:ascii="sans-serif" w:eastAsia="sans-serif" w:hAnsi="sans-serif" w:cs="sans-serif"/>
                <w:color w:val="000000"/>
                <w:sz w:val="20"/>
                <w:szCs w:val="20"/>
              </w:rPr>
              <w:t>970 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20"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21"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22"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23" w14:textId="77777777" w:rsidR="004C2197" w:rsidRDefault="00863B83">
            <w:pPr>
              <w:jc w:val="right"/>
              <w:textAlignment w:val="bottom"/>
            </w:pPr>
            <w:r>
              <w:rPr>
                <w:rFonts w:ascii="sans-serif" w:eastAsia="sans-serif" w:hAnsi="sans-serif" w:cs="sans-serif"/>
                <w:color w:val="000000"/>
                <w:sz w:val="20"/>
                <w:szCs w:val="20"/>
              </w:rPr>
              <w:t>654 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24"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25"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0D8E0A26" w14:textId="77777777" w:rsidR="004C2197" w:rsidRDefault="00863B83">
            <w:pPr>
              <w:jc w:val="right"/>
              <w:textAlignment w:val="bottom"/>
            </w:pPr>
            <w:r>
              <w:rPr>
                <w:rFonts w:ascii="sans-serif" w:eastAsia="sans-serif" w:hAnsi="sans-serif" w:cs="sans-serif"/>
                <w:color w:val="000000"/>
                <w:sz w:val="20"/>
                <w:szCs w:val="20"/>
              </w:rPr>
              <w:t>67 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27" w14:textId="77777777" w:rsidR="004C2197" w:rsidRDefault="00863B83">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left w:w="20" w:type="dxa"/>
              <w:right w:w="20" w:type="dxa"/>
            </w:tcMar>
            <w:vAlign w:val="bottom"/>
          </w:tcPr>
          <w:p w14:paraId="0D8E0A28"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29"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2A" w14:textId="77777777" w:rsidR="004C2197" w:rsidRDefault="00863B83">
            <w:pPr>
              <w:jc w:val="right"/>
              <w:textAlignment w:val="bottom"/>
            </w:pPr>
            <w:r>
              <w:rPr>
                <w:rFonts w:ascii="sans-serif" w:eastAsia="sans-serif" w:hAnsi="sans-serif" w:cs="sans-serif"/>
                <w:color w:val="000000"/>
                <w:sz w:val="20"/>
                <w:szCs w:val="20"/>
              </w:rPr>
              <w:t>2,652 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2B"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2C"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2D"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2E" w14:textId="77777777" w:rsidR="004C2197" w:rsidRDefault="00863B83">
            <w:pPr>
              <w:jc w:val="right"/>
              <w:textAlignment w:val="bottom"/>
            </w:pPr>
            <w:r>
              <w:rPr>
                <w:rFonts w:ascii="sans-serif" w:eastAsia="sans-serif" w:hAnsi="sans-serif" w:cs="sans-serif"/>
                <w:color w:val="000000"/>
                <w:sz w:val="20"/>
                <w:szCs w:val="20"/>
              </w:rPr>
              <w:t>1,908 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2F"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30"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31"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32" w14:textId="77777777" w:rsidR="004C2197" w:rsidRDefault="00863B83">
            <w:pPr>
              <w:jc w:val="right"/>
              <w:textAlignment w:val="bottom"/>
            </w:pPr>
            <w:r>
              <w:rPr>
                <w:rFonts w:ascii="sans-serif" w:eastAsia="sans-serif" w:hAnsi="sans-serif" w:cs="sans-serif"/>
                <w:color w:val="000000"/>
                <w:sz w:val="20"/>
                <w:szCs w:val="20"/>
              </w:rPr>
              <w:t>744 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3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34" w14:textId="77777777" w:rsidR="004C2197" w:rsidRDefault="004C2197">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0D8E0A35" w14:textId="77777777" w:rsidR="004C2197" w:rsidRDefault="00863B83">
            <w:pPr>
              <w:jc w:val="right"/>
              <w:textAlignment w:val="bottom"/>
            </w:pPr>
            <w:r>
              <w:rPr>
                <w:rFonts w:ascii="sans-serif" w:eastAsia="sans-serif" w:hAnsi="sans-serif" w:cs="sans-serif"/>
                <w:color w:val="000000"/>
                <w:sz w:val="20"/>
                <w:szCs w:val="20"/>
              </w:rPr>
              <w:t>39 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36" w14:textId="77777777" w:rsidR="004C2197" w:rsidRDefault="00863B83">
            <w:pPr>
              <w:jc w:val="right"/>
              <w:textAlignment w:val="bottom"/>
            </w:pPr>
            <w:r>
              <w:rPr>
                <w:rFonts w:ascii="sans-serif" w:eastAsia="sans-serif" w:hAnsi="sans-serif" w:cs="sans-serif"/>
                <w:color w:val="000000"/>
                <w:sz w:val="20"/>
                <w:szCs w:val="20"/>
              </w:rPr>
              <w:t>%</w:t>
            </w:r>
          </w:p>
        </w:tc>
        <w:tc>
          <w:tcPr>
            <w:tcW w:w="0" w:type="auto"/>
            <w:shd w:val="clear" w:color="auto" w:fill="auto"/>
          </w:tcPr>
          <w:p w14:paraId="0D8E0A37" w14:textId="77777777" w:rsidR="004C2197" w:rsidRDefault="004C2197">
            <w:pPr>
              <w:rPr>
                <w:rFonts w:ascii="宋体"/>
              </w:rPr>
            </w:pPr>
          </w:p>
        </w:tc>
        <w:tc>
          <w:tcPr>
            <w:tcW w:w="0" w:type="auto"/>
            <w:shd w:val="clear" w:color="auto" w:fill="auto"/>
          </w:tcPr>
          <w:p w14:paraId="0D8E0A38" w14:textId="77777777" w:rsidR="004C2197" w:rsidRDefault="004C2197">
            <w:pPr>
              <w:rPr>
                <w:rFonts w:ascii="宋体"/>
              </w:rPr>
            </w:pPr>
          </w:p>
        </w:tc>
        <w:tc>
          <w:tcPr>
            <w:tcW w:w="0" w:type="auto"/>
            <w:shd w:val="clear" w:color="auto" w:fill="auto"/>
          </w:tcPr>
          <w:p w14:paraId="0D8E0A39" w14:textId="77777777" w:rsidR="004C2197" w:rsidRDefault="004C2197">
            <w:pPr>
              <w:rPr>
                <w:rFonts w:ascii="宋体"/>
              </w:rPr>
            </w:pPr>
          </w:p>
        </w:tc>
        <w:tc>
          <w:tcPr>
            <w:tcW w:w="0" w:type="auto"/>
            <w:shd w:val="clear" w:color="auto" w:fill="auto"/>
          </w:tcPr>
          <w:p w14:paraId="0D8E0A3A" w14:textId="77777777" w:rsidR="004C2197" w:rsidRDefault="004C2197">
            <w:pPr>
              <w:rPr>
                <w:rFonts w:ascii="宋体"/>
              </w:rPr>
            </w:pPr>
          </w:p>
        </w:tc>
        <w:tc>
          <w:tcPr>
            <w:tcW w:w="0" w:type="auto"/>
            <w:shd w:val="clear" w:color="auto" w:fill="auto"/>
          </w:tcPr>
          <w:p w14:paraId="0D8E0A3B" w14:textId="77777777" w:rsidR="004C2197" w:rsidRDefault="004C2197">
            <w:pPr>
              <w:rPr>
                <w:rFonts w:ascii="宋体"/>
              </w:rPr>
            </w:pPr>
          </w:p>
        </w:tc>
        <w:tc>
          <w:tcPr>
            <w:tcW w:w="0" w:type="auto"/>
            <w:shd w:val="clear" w:color="auto" w:fill="auto"/>
          </w:tcPr>
          <w:p w14:paraId="0D8E0A3C" w14:textId="77777777" w:rsidR="004C2197" w:rsidRDefault="004C2197">
            <w:pPr>
              <w:rPr>
                <w:rFonts w:ascii="宋体"/>
              </w:rPr>
            </w:pPr>
          </w:p>
        </w:tc>
        <w:tc>
          <w:tcPr>
            <w:tcW w:w="0" w:type="auto"/>
            <w:shd w:val="clear" w:color="auto" w:fill="auto"/>
          </w:tcPr>
          <w:p w14:paraId="0D8E0A3D" w14:textId="77777777" w:rsidR="004C2197" w:rsidRDefault="004C2197">
            <w:pPr>
              <w:rPr>
                <w:rFonts w:ascii="宋体"/>
              </w:rPr>
            </w:pPr>
          </w:p>
        </w:tc>
        <w:tc>
          <w:tcPr>
            <w:tcW w:w="0" w:type="auto"/>
            <w:shd w:val="clear" w:color="auto" w:fill="auto"/>
          </w:tcPr>
          <w:p w14:paraId="0D8E0A3E" w14:textId="77777777" w:rsidR="004C2197" w:rsidRDefault="004C2197">
            <w:pPr>
              <w:rPr>
                <w:rFonts w:ascii="宋体"/>
              </w:rPr>
            </w:pPr>
          </w:p>
        </w:tc>
        <w:tc>
          <w:tcPr>
            <w:tcW w:w="0" w:type="auto"/>
            <w:shd w:val="clear" w:color="auto" w:fill="auto"/>
          </w:tcPr>
          <w:p w14:paraId="0D8E0A3F" w14:textId="77777777" w:rsidR="004C2197" w:rsidRDefault="004C2197">
            <w:pPr>
              <w:rPr>
                <w:rFonts w:ascii="宋体"/>
              </w:rPr>
            </w:pPr>
          </w:p>
        </w:tc>
        <w:tc>
          <w:tcPr>
            <w:tcW w:w="0" w:type="auto"/>
            <w:shd w:val="clear" w:color="auto" w:fill="auto"/>
          </w:tcPr>
          <w:p w14:paraId="0D8E0A40" w14:textId="77777777" w:rsidR="004C2197" w:rsidRDefault="004C2197">
            <w:pPr>
              <w:rPr>
                <w:rFonts w:ascii="宋体"/>
              </w:rPr>
            </w:pPr>
          </w:p>
        </w:tc>
        <w:tc>
          <w:tcPr>
            <w:tcW w:w="0" w:type="auto"/>
            <w:shd w:val="clear" w:color="auto" w:fill="auto"/>
          </w:tcPr>
          <w:p w14:paraId="0D8E0A41" w14:textId="77777777" w:rsidR="004C2197" w:rsidRDefault="004C2197">
            <w:pPr>
              <w:rPr>
                <w:rFonts w:ascii="宋体"/>
              </w:rPr>
            </w:pPr>
          </w:p>
        </w:tc>
        <w:tc>
          <w:tcPr>
            <w:tcW w:w="0" w:type="auto"/>
            <w:shd w:val="clear" w:color="auto" w:fill="auto"/>
          </w:tcPr>
          <w:p w14:paraId="0D8E0A42" w14:textId="77777777" w:rsidR="004C2197" w:rsidRDefault="004C2197">
            <w:pPr>
              <w:rPr>
                <w:rFonts w:ascii="宋体"/>
              </w:rPr>
            </w:pPr>
          </w:p>
        </w:tc>
        <w:tc>
          <w:tcPr>
            <w:tcW w:w="0" w:type="auto"/>
            <w:shd w:val="clear" w:color="auto" w:fill="auto"/>
          </w:tcPr>
          <w:p w14:paraId="0D8E0A43" w14:textId="77777777" w:rsidR="004C2197" w:rsidRDefault="004C2197">
            <w:pPr>
              <w:rPr>
                <w:rFonts w:ascii="宋体"/>
              </w:rPr>
            </w:pPr>
          </w:p>
        </w:tc>
        <w:tc>
          <w:tcPr>
            <w:tcW w:w="0" w:type="auto"/>
            <w:shd w:val="clear" w:color="auto" w:fill="auto"/>
          </w:tcPr>
          <w:p w14:paraId="0D8E0A44" w14:textId="77777777" w:rsidR="004C2197" w:rsidRDefault="004C2197">
            <w:pPr>
              <w:rPr>
                <w:rFonts w:ascii="宋体"/>
              </w:rPr>
            </w:pPr>
          </w:p>
        </w:tc>
        <w:tc>
          <w:tcPr>
            <w:tcW w:w="0" w:type="auto"/>
            <w:shd w:val="clear" w:color="auto" w:fill="auto"/>
          </w:tcPr>
          <w:p w14:paraId="0D8E0A45" w14:textId="77777777" w:rsidR="004C2197" w:rsidRDefault="004C2197">
            <w:pPr>
              <w:rPr>
                <w:rFonts w:ascii="宋体"/>
              </w:rPr>
            </w:pPr>
          </w:p>
        </w:tc>
      </w:tr>
    </w:tbl>
    <w:p w14:paraId="0D8E0A47" w14:textId="77777777" w:rsidR="004C2197" w:rsidRDefault="00863B83">
      <w:pPr>
        <w:spacing w:before="360" w:after="120"/>
        <w:jc w:val="both"/>
      </w:pPr>
      <w:r>
        <w:rPr>
          <w:rFonts w:ascii="sans-serif" w:eastAsia="sans-serif" w:hAnsi="sans-serif" w:cs="sans-serif"/>
          <w:b/>
          <w:bCs/>
          <w:color w:val="000000"/>
          <w:sz w:val="20"/>
          <w:szCs w:val="20"/>
        </w:rPr>
        <w:t>Research and Development</w:t>
      </w:r>
    </w:p>
    <w:p w14:paraId="0D8E0A48" w14:textId="77777777" w:rsidR="004C2197" w:rsidRDefault="00863B83">
      <w:pPr>
        <w:spacing w:after="180"/>
        <w:jc w:val="both"/>
      </w:pPr>
      <w:r>
        <w:rPr>
          <w:rFonts w:ascii="sans-serif" w:eastAsia="sans-serif" w:hAnsi="sans-serif" w:cs="sans-serif"/>
          <w:color w:val="000000"/>
          <w:sz w:val="20"/>
          <w:szCs w:val="20"/>
        </w:rPr>
        <w:t>Research and developm</w:t>
      </w:r>
      <w:r>
        <w:rPr>
          <w:rFonts w:ascii="sans-serif" w:eastAsia="sans-serif" w:hAnsi="sans-serif" w:cs="sans-serif"/>
          <w:color w:val="000000"/>
          <w:sz w:val="20"/>
          <w:szCs w:val="20"/>
        </w:rPr>
        <w:t xml:space="preserve">ent expenses increased by 42% and 26% during the second quarter and first half of fiscal year 2021, compared to the second quarter and first half of fiscal year 2020, respectively, primarily driven by expenses and </w:t>
      </w:r>
    </w:p>
    <w:p w14:paraId="0D8E0A49" w14:textId="77777777" w:rsidR="004C2197" w:rsidRDefault="00863B83">
      <w:pPr>
        <w:spacing w:after="180"/>
        <w:jc w:val="center"/>
      </w:pPr>
      <w:r>
        <w:rPr>
          <w:rFonts w:ascii="sans-serif" w:eastAsia="sans-serif" w:hAnsi="sans-serif" w:cs="sans-serif"/>
          <w:color w:val="000000"/>
          <w:sz w:val="20"/>
          <w:szCs w:val="20"/>
        </w:rPr>
        <w:t>32</w:t>
      </w:r>
    </w:p>
    <w:p w14:paraId="0D8E0A4A" w14:textId="77777777" w:rsidR="004C2197" w:rsidRDefault="00863B83">
      <w:r>
        <w:pict w14:anchorId="0D8E0CC4">
          <v:rect id="_x0000_i1056" style="width:415.3pt;height:1.5pt" o:hralign="center" o:hrstd="t" o:hr="t" fillcolor="#a0a0a0" stroked="f"/>
        </w:pict>
      </w:r>
    </w:p>
    <w:p w14:paraId="0D8E0A4B" w14:textId="77777777" w:rsidR="004C2197" w:rsidRDefault="004C2197">
      <w:pPr>
        <w:spacing w:after="180"/>
        <w:jc w:val="both"/>
      </w:pPr>
    </w:p>
    <w:p w14:paraId="0D8E0A4C" w14:textId="77777777" w:rsidR="004C2197" w:rsidRDefault="004C2197">
      <w:pPr>
        <w:spacing w:after="180"/>
        <w:jc w:val="both"/>
      </w:pPr>
    </w:p>
    <w:p w14:paraId="0D8E0A4D" w14:textId="77777777" w:rsidR="004C2197" w:rsidRDefault="004C2197">
      <w:pPr>
        <w:spacing w:after="180"/>
        <w:jc w:val="both"/>
      </w:pPr>
    </w:p>
    <w:p w14:paraId="0D8E0A4E" w14:textId="77777777" w:rsidR="004C2197" w:rsidRDefault="00863B83">
      <w:pPr>
        <w:spacing w:after="180"/>
        <w:jc w:val="both"/>
      </w:pPr>
      <w:r>
        <w:rPr>
          <w:rFonts w:ascii="sans-serif" w:eastAsia="sans-serif" w:hAnsi="sans-serif" w:cs="sans-serif"/>
          <w:color w:val="000000"/>
          <w:sz w:val="20"/>
          <w:szCs w:val="20"/>
        </w:rPr>
        <w:t xml:space="preserve">stock-based compensation related </w:t>
      </w:r>
      <w:r>
        <w:rPr>
          <w:rFonts w:ascii="sans-serif" w:eastAsia="sans-serif" w:hAnsi="sans-serif" w:cs="sans-serif"/>
          <w:color w:val="000000"/>
          <w:sz w:val="20"/>
          <w:szCs w:val="20"/>
        </w:rPr>
        <w:t>to the Mellanox acquisition. In addition to Mellanox, increases reflect employee compensation and related costs, including stock-based compensation and infrastructure costs.</w:t>
      </w:r>
    </w:p>
    <w:p w14:paraId="0D8E0A4F" w14:textId="77777777" w:rsidR="004C2197" w:rsidRDefault="00863B83">
      <w:pPr>
        <w:spacing w:before="120" w:after="120"/>
        <w:jc w:val="both"/>
      </w:pPr>
      <w:r>
        <w:rPr>
          <w:rFonts w:ascii="sans-serif" w:eastAsia="sans-serif" w:hAnsi="sans-serif" w:cs="sans-serif"/>
          <w:b/>
          <w:bCs/>
          <w:color w:val="000000"/>
          <w:sz w:val="20"/>
          <w:szCs w:val="20"/>
        </w:rPr>
        <w:t>Sales, General and Administrative</w:t>
      </w:r>
    </w:p>
    <w:p w14:paraId="0D8E0A50" w14:textId="77777777" w:rsidR="004C2197" w:rsidRDefault="00863B83">
      <w:pPr>
        <w:spacing w:after="180"/>
        <w:jc w:val="both"/>
      </w:pPr>
      <w:r>
        <w:rPr>
          <w:rFonts w:ascii="sans-serif" w:eastAsia="sans-serif" w:hAnsi="sans-serif" w:cs="sans-serif"/>
          <w:color w:val="000000"/>
          <w:sz w:val="20"/>
          <w:szCs w:val="20"/>
        </w:rPr>
        <w:t>Sales, general and administrative expenses incre</w:t>
      </w:r>
      <w:r>
        <w:rPr>
          <w:rFonts w:ascii="sans-serif" w:eastAsia="sans-serif" w:hAnsi="sans-serif" w:cs="sans-serif"/>
          <w:color w:val="000000"/>
          <w:sz w:val="20"/>
          <w:szCs w:val="20"/>
        </w:rPr>
        <w:t>ased by 136% and 74% during the second quarter and first half of fiscal year 2021, compared to the second quarter of fiscal year 2020, respectively, primarily driven by Mellanox acquisition-related expenses. In addition to Mellanox, increases reflect emplo</w:t>
      </w:r>
      <w:r>
        <w:rPr>
          <w:rFonts w:ascii="sans-serif" w:eastAsia="sans-serif" w:hAnsi="sans-serif" w:cs="sans-serif"/>
          <w:color w:val="000000"/>
          <w:sz w:val="20"/>
          <w:szCs w:val="20"/>
        </w:rPr>
        <w:t>yee compensation and related costs, including stock-based compensation and infrastructure costs.</w:t>
      </w:r>
    </w:p>
    <w:p w14:paraId="0D8E0A51" w14:textId="77777777" w:rsidR="004C2197" w:rsidRDefault="00863B83">
      <w:pPr>
        <w:spacing w:before="240"/>
      </w:pPr>
      <w:r>
        <w:rPr>
          <w:rFonts w:ascii="sans-serif" w:eastAsia="sans-serif" w:hAnsi="sans-serif" w:cs="sans-serif"/>
          <w:b/>
          <w:bCs/>
          <w:color w:val="76B900"/>
          <w:sz w:val="20"/>
          <w:szCs w:val="20"/>
        </w:rPr>
        <w:t>Other Income (Expense), Net</w:t>
      </w:r>
    </w:p>
    <w:p w14:paraId="0D8E0A52" w14:textId="77777777" w:rsidR="004C2197" w:rsidRDefault="00863B83">
      <w:pPr>
        <w:spacing w:before="120" w:after="120"/>
        <w:jc w:val="both"/>
      </w:pPr>
      <w:r>
        <w:rPr>
          <w:rFonts w:ascii="sans-serif" w:eastAsia="sans-serif" w:hAnsi="sans-serif" w:cs="sans-serif"/>
          <w:b/>
          <w:bCs/>
          <w:color w:val="000000"/>
          <w:sz w:val="20"/>
          <w:szCs w:val="20"/>
        </w:rPr>
        <w:t>Interest Income and Interest Expense</w:t>
      </w:r>
    </w:p>
    <w:p w14:paraId="0D8E0A53" w14:textId="77777777" w:rsidR="004C2197" w:rsidRDefault="00863B83">
      <w:pPr>
        <w:spacing w:before="120" w:after="120"/>
        <w:jc w:val="both"/>
      </w:pPr>
      <w:r>
        <w:rPr>
          <w:rFonts w:ascii="sans-serif" w:eastAsia="sans-serif" w:hAnsi="sans-serif" w:cs="sans-serif"/>
          <w:color w:val="000000"/>
          <w:sz w:val="20"/>
          <w:szCs w:val="20"/>
        </w:rPr>
        <w:t xml:space="preserve">Interest income consists of interest earned on cash, cash equivalents and marketable </w:t>
      </w:r>
      <w:r>
        <w:rPr>
          <w:rFonts w:ascii="sans-serif" w:eastAsia="sans-serif" w:hAnsi="sans-serif" w:cs="sans-serif"/>
          <w:color w:val="000000"/>
          <w:sz w:val="20"/>
          <w:szCs w:val="20"/>
        </w:rPr>
        <w:t>securities. Interest income was $13 million and $47 million during the second quarter of fiscal years 2021 and 2020, respectively, and $44 million and $92 million during the first half of fiscal years 2021 and 2020, respectively. The decrease in interest i</w:t>
      </w:r>
      <w:r>
        <w:rPr>
          <w:rFonts w:ascii="sans-serif" w:eastAsia="sans-serif" w:hAnsi="sans-serif" w:cs="sans-serif"/>
          <w:color w:val="000000"/>
          <w:sz w:val="20"/>
          <w:szCs w:val="20"/>
        </w:rPr>
        <w:t>ncome was primarily due to lower interest earned on our investments.</w:t>
      </w:r>
    </w:p>
    <w:p w14:paraId="0D8E0A54" w14:textId="77777777" w:rsidR="004C2197" w:rsidRDefault="00863B83">
      <w:pPr>
        <w:spacing w:before="120" w:after="120"/>
        <w:jc w:val="both"/>
      </w:pPr>
      <w:r>
        <w:rPr>
          <w:rFonts w:ascii="sans-serif" w:eastAsia="sans-serif" w:hAnsi="sans-serif" w:cs="sans-serif"/>
          <w:color w:val="000000"/>
          <w:sz w:val="20"/>
          <w:szCs w:val="20"/>
        </w:rPr>
        <w:t>Interest expense is primarily comprised of coupon interest and debt discount amortization related to our September 2016 Notes and March 2020 Notes. Interest expense was $54 million and $1</w:t>
      </w:r>
      <w:r>
        <w:rPr>
          <w:rFonts w:ascii="sans-serif" w:eastAsia="sans-serif" w:hAnsi="sans-serif" w:cs="sans-serif"/>
          <w:color w:val="000000"/>
          <w:sz w:val="20"/>
          <w:szCs w:val="20"/>
        </w:rPr>
        <w:t>3 million during the second quarter of fiscal years 2021 and 2020, respectively, and $78 million and $27 million during the first half of fiscal years 2021 and 2020, respectively.</w:t>
      </w:r>
    </w:p>
    <w:p w14:paraId="0D8E0A55" w14:textId="77777777" w:rsidR="004C2197" w:rsidRDefault="00863B83">
      <w:pPr>
        <w:spacing w:before="240" w:after="60"/>
        <w:jc w:val="both"/>
      </w:pPr>
      <w:r>
        <w:rPr>
          <w:rFonts w:ascii="sans-serif" w:eastAsia="sans-serif" w:hAnsi="sans-serif" w:cs="sans-serif"/>
          <w:b/>
          <w:bCs/>
          <w:color w:val="76B900"/>
          <w:sz w:val="20"/>
          <w:szCs w:val="20"/>
        </w:rPr>
        <w:t>Income Taxes</w:t>
      </w:r>
    </w:p>
    <w:p w14:paraId="0D8E0A56" w14:textId="77777777" w:rsidR="004C2197" w:rsidRDefault="00863B83">
      <w:pPr>
        <w:spacing w:after="180"/>
        <w:jc w:val="both"/>
      </w:pPr>
      <w:r>
        <w:rPr>
          <w:rFonts w:ascii="sans-serif" w:eastAsia="sans-serif" w:hAnsi="sans-serif" w:cs="sans-serif"/>
          <w:color w:val="000000"/>
          <w:sz w:val="20"/>
          <w:szCs w:val="20"/>
        </w:rPr>
        <w:t>We recognized an income tax benefit of $13 million and an incom</w:t>
      </w:r>
      <w:r>
        <w:rPr>
          <w:rFonts w:ascii="sans-serif" w:eastAsia="sans-serif" w:hAnsi="sans-serif" w:cs="sans-serif"/>
          <w:color w:val="000000"/>
          <w:sz w:val="20"/>
          <w:szCs w:val="20"/>
        </w:rPr>
        <w:t>e tax expense of $52 million for the second quarter and first half of fiscal year 2021, respectively, and an income tax expense of $54 million and $48 million for the second quarter and first half of fiscal year 2020, respectively. The income tax benefit a</w:t>
      </w:r>
      <w:r>
        <w:rPr>
          <w:rFonts w:ascii="sans-serif" w:eastAsia="sans-serif" w:hAnsi="sans-serif" w:cs="sans-serif"/>
          <w:color w:val="000000"/>
          <w:sz w:val="20"/>
          <w:szCs w:val="20"/>
        </w:rPr>
        <w:t>s a percentage of income before income tax was 2.0% for the second quarter of fiscal year 2021. The income tax expense as a percentage of income before income tax was 3.3% for the first half of fiscal year 2021, and 8.8% and 4.9% for the second quarter and</w:t>
      </w:r>
      <w:r>
        <w:rPr>
          <w:rFonts w:ascii="sans-serif" w:eastAsia="sans-serif" w:hAnsi="sans-serif" w:cs="sans-serif"/>
          <w:color w:val="000000"/>
          <w:sz w:val="20"/>
          <w:szCs w:val="20"/>
        </w:rPr>
        <w:t xml:space="preserve"> first half of fiscal year 2020, respectively.</w:t>
      </w:r>
    </w:p>
    <w:p w14:paraId="0D8E0A57" w14:textId="77777777" w:rsidR="004C2197" w:rsidRDefault="00863B83">
      <w:pPr>
        <w:spacing w:after="180"/>
        <w:jc w:val="both"/>
      </w:pPr>
      <w:r>
        <w:rPr>
          <w:rFonts w:ascii="sans-serif" w:eastAsia="sans-serif" w:hAnsi="sans-serif" w:cs="sans-serif"/>
          <w:color w:val="000000"/>
          <w:sz w:val="20"/>
          <w:szCs w:val="20"/>
        </w:rPr>
        <w:t>The decrease in our effective tax rate for the second quarter and first half of fiscal year 2021 as compared to the same periods of fiscal year 2020 was primarily due to a decrease in the proportional amount o</w:t>
      </w:r>
      <w:r>
        <w:rPr>
          <w:rFonts w:ascii="sans-serif" w:eastAsia="sans-serif" w:hAnsi="sans-serif" w:cs="sans-serif"/>
          <w:color w:val="000000"/>
          <w:sz w:val="20"/>
          <w:szCs w:val="20"/>
        </w:rPr>
        <w:t xml:space="preserve">f earnings subject to U.S. tax and an increase of tax benefits from stock-based compensation and the U.S. federal research tax credit. </w:t>
      </w:r>
    </w:p>
    <w:p w14:paraId="0D8E0A58" w14:textId="77777777" w:rsidR="004C2197" w:rsidRDefault="00863B83">
      <w:pPr>
        <w:spacing w:after="180"/>
        <w:jc w:val="both"/>
      </w:pPr>
      <w:r>
        <w:rPr>
          <w:rFonts w:ascii="sans-serif" w:eastAsia="sans-serif" w:hAnsi="sans-serif" w:cs="sans-serif"/>
          <w:color w:val="000000"/>
          <w:sz w:val="20"/>
          <w:szCs w:val="20"/>
        </w:rPr>
        <w:t>Refer to Note 6 of the Notes to Condensed Consolidated Financial Statements for further information.</w:t>
      </w:r>
    </w:p>
    <w:p w14:paraId="0D8E0A59" w14:textId="77777777" w:rsidR="004C2197" w:rsidRDefault="004C2197">
      <w:pPr>
        <w:spacing w:after="180"/>
        <w:jc w:val="both"/>
      </w:pPr>
    </w:p>
    <w:p w14:paraId="0D8E0A5A" w14:textId="77777777" w:rsidR="004C2197" w:rsidRDefault="00863B83">
      <w:pPr>
        <w:spacing w:before="240" w:after="120"/>
        <w:jc w:val="both"/>
      </w:pPr>
      <w:r>
        <w:rPr>
          <w:rFonts w:ascii="sans-serif" w:eastAsia="sans-serif" w:hAnsi="sans-serif" w:cs="sans-serif"/>
          <w:b/>
          <w:bCs/>
          <w:color w:val="76B900"/>
          <w:sz w:val="22"/>
          <w:szCs w:val="22"/>
        </w:rPr>
        <w:t xml:space="preserve">Liquidity and </w:t>
      </w:r>
      <w:r>
        <w:rPr>
          <w:rFonts w:ascii="sans-serif" w:eastAsia="sans-serif" w:hAnsi="sans-serif" w:cs="sans-serif"/>
          <w:b/>
          <w:bCs/>
          <w:color w:val="76B900"/>
          <w:sz w:val="22"/>
          <w:szCs w:val="22"/>
        </w:rPr>
        <w:t>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37"/>
        <w:gridCol w:w="5109"/>
        <w:gridCol w:w="36"/>
        <w:gridCol w:w="137"/>
        <w:gridCol w:w="1247"/>
        <w:gridCol w:w="41"/>
        <w:gridCol w:w="36"/>
        <w:gridCol w:w="36"/>
        <w:gridCol w:w="36"/>
        <w:gridCol w:w="137"/>
        <w:gridCol w:w="1202"/>
        <w:gridCol w:w="41"/>
        <w:gridCol w:w="36"/>
        <w:gridCol w:w="36"/>
        <w:gridCol w:w="36"/>
        <w:gridCol w:w="36"/>
        <w:gridCol w:w="36"/>
        <w:gridCol w:w="36"/>
      </w:tblGrid>
      <w:tr w:rsidR="004C2197" w14:paraId="0D8E0A67" w14:textId="77777777">
        <w:trPr>
          <w:gridAfter w:val="6"/>
        </w:trPr>
        <w:tc>
          <w:tcPr>
            <w:tcW w:w="50" w:type="pct"/>
            <w:shd w:val="clear" w:color="auto" w:fill="auto"/>
          </w:tcPr>
          <w:p w14:paraId="0D8E0A5B" w14:textId="77777777" w:rsidR="004C2197" w:rsidRDefault="004C2197">
            <w:pPr>
              <w:rPr>
                <w:rFonts w:ascii="宋体"/>
              </w:rPr>
            </w:pPr>
          </w:p>
        </w:tc>
        <w:tc>
          <w:tcPr>
            <w:tcW w:w="3192" w:type="pct"/>
            <w:shd w:val="clear" w:color="auto" w:fill="auto"/>
          </w:tcPr>
          <w:p w14:paraId="0D8E0A5C" w14:textId="77777777" w:rsidR="004C2197" w:rsidRDefault="004C2197">
            <w:pPr>
              <w:rPr>
                <w:rFonts w:ascii="宋体"/>
              </w:rPr>
            </w:pPr>
          </w:p>
        </w:tc>
        <w:tc>
          <w:tcPr>
            <w:tcW w:w="5" w:type="pct"/>
            <w:shd w:val="clear" w:color="auto" w:fill="auto"/>
          </w:tcPr>
          <w:p w14:paraId="0D8E0A5D" w14:textId="77777777" w:rsidR="004C2197" w:rsidRDefault="004C2197">
            <w:pPr>
              <w:rPr>
                <w:rFonts w:ascii="宋体"/>
              </w:rPr>
            </w:pPr>
          </w:p>
        </w:tc>
        <w:tc>
          <w:tcPr>
            <w:tcW w:w="50" w:type="pct"/>
            <w:shd w:val="clear" w:color="auto" w:fill="auto"/>
          </w:tcPr>
          <w:p w14:paraId="0D8E0A5E" w14:textId="77777777" w:rsidR="004C2197" w:rsidRDefault="004C2197">
            <w:pPr>
              <w:rPr>
                <w:rFonts w:ascii="宋体"/>
              </w:rPr>
            </w:pPr>
          </w:p>
        </w:tc>
        <w:tc>
          <w:tcPr>
            <w:tcW w:w="802" w:type="pct"/>
            <w:shd w:val="clear" w:color="auto" w:fill="auto"/>
          </w:tcPr>
          <w:p w14:paraId="0D8E0A5F" w14:textId="77777777" w:rsidR="004C2197" w:rsidRDefault="004C2197">
            <w:pPr>
              <w:rPr>
                <w:rFonts w:ascii="宋体"/>
              </w:rPr>
            </w:pPr>
          </w:p>
        </w:tc>
        <w:tc>
          <w:tcPr>
            <w:tcW w:w="5" w:type="pct"/>
            <w:shd w:val="clear" w:color="auto" w:fill="auto"/>
          </w:tcPr>
          <w:p w14:paraId="0D8E0A60" w14:textId="77777777" w:rsidR="004C2197" w:rsidRDefault="004C2197">
            <w:pPr>
              <w:rPr>
                <w:rFonts w:ascii="宋体"/>
              </w:rPr>
            </w:pPr>
          </w:p>
        </w:tc>
        <w:tc>
          <w:tcPr>
            <w:tcW w:w="5" w:type="pct"/>
            <w:shd w:val="clear" w:color="auto" w:fill="auto"/>
          </w:tcPr>
          <w:p w14:paraId="0D8E0A61" w14:textId="77777777" w:rsidR="004C2197" w:rsidRDefault="004C2197">
            <w:pPr>
              <w:rPr>
                <w:rFonts w:ascii="宋体"/>
              </w:rPr>
            </w:pPr>
          </w:p>
        </w:tc>
        <w:tc>
          <w:tcPr>
            <w:tcW w:w="26" w:type="pct"/>
            <w:shd w:val="clear" w:color="auto" w:fill="auto"/>
          </w:tcPr>
          <w:p w14:paraId="0D8E0A62" w14:textId="77777777" w:rsidR="004C2197" w:rsidRDefault="004C2197">
            <w:pPr>
              <w:rPr>
                <w:rFonts w:ascii="宋体"/>
              </w:rPr>
            </w:pPr>
          </w:p>
        </w:tc>
        <w:tc>
          <w:tcPr>
            <w:tcW w:w="5" w:type="pct"/>
            <w:shd w:val="clear" w:color="auto" w:fill="auto"/>
          </w:tcPr>
          <w:p w14:paraId="0D8E0A63" w14:textId="77777777" w:rsidR="004C2197" w:rsidRDefault="004C2197">
            <w:pPr>
              <w:rPr>
                <w:rFonts w:ascii="宋体"/>
              </w:rPr>
            </w:pPr>
          </w:p>
        </w:tc>
        <w:tc>
          <w:tcPr>
            <w:tcW w:w="50" w:type="pct"/>
            <w:shd w:val="clear" w:color="auto" w:fill="auto"/>
          </w:tcPr>
          <w:p w14:paraId="0D8E0A64" w14:textId="77777777" w:rsidR="004C2197" w:rsidRDefault="004C2197">
            <w:pPr>
              <w:rPr>
                <w:rFonts w:ascii="宋体"/>
              </w:rPr>
            </w:pPr>
          </w:p>
        </w:tc>
        <w:tc>
          <w:tcPr>
            <w:tcW w:w="802" w:type="pct"/>
            <w:shd w:val="clear" w:color="auto" w:fill="auto"/>
          </w:tcPr>
          <w:p w14:paraId="0D8E0A65" w14:textId="77777777" w:rsidR="004C2197" w:rsidRDefault="004C2197">
            <w:pPr>
              <w:rPr>
                <w:rFonts w:ascii="宋体"/>
              </w:rPr>
            </w:pPr>
          </w:p>
        </w:tc>
        <w:tc>
          <w:tcPr>
            <w:tcW w:w="5" w:type="pct"/>
            <w:shd w:val="clear" w:color="auto" w:fill="auto"/>
          </w:tcPr>
          <w:p w14:paraId="0D8E0A66" w14:textId="77777777" w:rsidR="004C2197" w:rsidRDefault="004C2197">
            <w:pPr>
              <w:rPr>
                <w:rFonts w:ascii="宋体"/>
              </w:rPr>
            </w:pPr>
          </w:p>
        </w:tc>
      </w:tr>
      <w:tr w:rsidR="004C2197" w14:paraId="0D8E0A6C" w14:textId="77777777">
        <w:trPr>
          <w:gridAfter w:val="6"/>
        </w:trPr>
        <w:tc>
          <w:tcPr>
            <w:tcW w:w="0" w:type="auto"/>
            <w:gridSpan w:val="3"/>
            <w:shd w:val="clear" w:color="auto" w:fill="auto"/>
            <w:tcMar>
              <w:top w:w="40" w:type="dxa"/>
              <w:left w:w="20" w:type="dxa"/>
              <w:bottom w:w="40" w:type="dxa"/>
              <w:right w:w="20" w:type="dxa"/>
            </w:tcMar>
            <w:vAlign w:val="bottom"/>
          </w:tcPr>
          <w:p w14:paraId="0D8E0A68" w14:textId="77777777" w:rsidR="004C2197" w:rsidRDefault="00863B83">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0D8E0A69"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shd w:val="clear" w:color="auto" w:fill="auto"/>
            <w:tcMar>
              <w:left w:w="20" w:type="dxa"/>
              <w:right w:w="20" w:type="dxa"/>
            </w:tcMar>
            <w:vAlign w:val="bottom"/>
          </w:tcPr>
          <w:p w14:paraId="0D8E0A6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A6B" w14:textId="77777777" w:rsidR="004C2197" w:rsidRDefault="00863B83">
            <w:pPr>
              <w:jc w:val="center"/>
              <w:textAlignment w:val="bottom"/>
            </w:pPr>
            <w:r>
              <w:rPr>
                <w:rFonts w:ascii="sans-serif" w:eastAsia="sans-serif" w:hAnsi="sans-serif" w:cs="sans-serif"/>
                <w:b/>
                <w:bCs/>
                <w:color w:val="000000"/>
                <w:sz w:val="20"/>
                <w:szCs w:val="20"/>
              </w:rPr>
              <w:t>January 26, 2020</w:t>
            </w:r>
          </w:p>
        </w:tc>
      </w:tr>
      <w:tr w:rsidR="004C2197" w14:paraId="0D8E0A71" w14:textId="77777777">
        <w:trPr>
          <w:gridAfter w:val="6"/>
          <w:trHeight w:val="60"/>
        </w:trPr>
        <w:tc>
          <w:tcPr>
            <w:tcW w:w="0" w:type="auto"/>
            <w:gridSpan w:val="3"/>
            <w:shd w:val="clear" w:color="auto" w:fill="auto"/>
            <w:tcMar>
              <w:left w:w="20" w:type="dxa"/>
              <w:right w:w="20" w:type="dxa"/>
            </w:tcMar>
            <w:vAlign w:val="bottom"/>
          </w:tcPr>
          <w:p w14:paraId="0D8E0A6D"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A6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A6F"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A70" w14:textId="77777777" w:rsidR="004C2197" w:rsidRDefault="004C2197">
            <w:pPr>
              <w:rPr>
                <w:rFonts w:ascii="宋体"/>
              </w:rPr>
            </w:pPr>
          </w:p>
        </w:tc>
      </w:tr>
      <w:tr w:rsidR="004C2197" w14:paraId="0D8E0A76" w14:textId="77777777">
        <w:tc>
          <w:tcPr>
            <w:tcW w:w="0" w:type="auto"/>
            <w:gridSpan w:val="3"/>
            <w:shd w:val="clear" w:color="auto" w:fill="auto"/>
            <w:tcMar>
              <w:top w:w="40" w:type="dxa"/>
              <w:left w:w="20" w:type="dxa"/>
              <w:bottom w:w="40" w:type="dxa"/>
              <w:right w:w="20" w:type="dxa"/>
            </w:tcMar>
            <w:vAlign w:val="bottom"/>
          </w:tcPr>
          <w:p w14:paraId="0D8E0A72" w14:textId="77777777" w:rsidR="004C2197" w:rsidRDefault="00863B83">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0D8E0A73"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E0A74" w14:textId="77777777" w:rsidR="004C2197" w:rsidRDefault="004C2197">
            <w:pPr>
              <w:rPr>
                <w:rFonts w:ascii="宋体"/>
                <w:vanish/>
              </w:rPr>
            </w:pPr>
          </w:p>
        </w:tc>
        <w:tc>
          <w:tcPr>
            <w:tcW w:w="0" w:type="auto"/>
            <w:gridSpan w:val="3"/>
            <w:shd w:val="clear" w:color="auto" w:fill="auto"/>
          </w:tcPr>
          <w:p w14:paraId="0D8E0A75" w14:textId="77777777" w:rsidR="004C2197" w:rsidRDefault="004C2197">
            <w:pPr>
              <w:rPr>
                <w:rFonts w:ascii="宋体"/>
                <w:vanish/>
              </w:rPr>
            </w:pPr>
          </w:p>
        </w:tc>
      </w:tr>
      <w:tr w:rsidR="004C2197" w14:paraId="0D8E0A85" w14:textId="77777777">
        <w:tc>
          <w:tcPr>
            <w:tcW w:w="0" w:type="auto"/>
            <w:gridSpan w:val="3"/>
            <w:shd w:val="clear" w:color="auto" w:fill="E2EFD9"/>
            <w:tcMar>
              <w:top w:w="40" w:type="dxa"/>
              <w:left w:w="20" w:type="dxa"/>
              <w:bottom w:w="40" w:type="dxa"/>
              <w:right w:w="20" w:type="dxa"/>
            </w:tcMar>
            <w:vAlign w:val="bottom"/>
          </w:tcPr>
          <w:p w14:paraId="0D8E0A77" w14:textId="77777777" w:rsidR="004C2197" w:rsidRDefault="00863B83">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tcMar>
            <w:vAlign w:val="bottom"/>
          </w:tcPr>
          <w:p w14:paraId="0D8E0A78"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79" w14:textId="77777777" w:rsidR="004C2197" w:rsidRDefault="00863B83">
            <w:pPr>
              <w:jc w:val="right"/>
              <w:textAlignment w:val="bottom"/>
            </w:pPr>
            <w:r>
              <w:rPr>
                <w:rFonts w:ascii="sans-serif" w:eastAsia="sans-serif" w:hAnsi="sans-serif" w:cs="sans-serif"/>
                <w:color w:val="000000"/>
                <w:sz w:val="20"/>
                <w:szCs w:val="20"/>
              </w:rPr>
              <w:t>3,274 </w:t>
            </w:r>
          </w:p>
        </w:tc>
        <w:tc>
          <w:tcPr>
            <w:tcW w:w="0" w:type="auto"/>
            <w:shd w:val="clear" w:color="auto" w:fill="E2EFD9"/>
            <w:tcMar>
              <w:top w:w="40" w:type="dxa"/>
              <w:bottom w:w="40" w:type="dxa"/>
              <w:right w:w="20" w:type="dxa"/>
            </w:tcMar>
            <w:vAlign w:val="bottom"/>
          </w:tcPr>
          <w:p w14:paraId="0D8E0A7A"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7B"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A7C"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7D" w14:textId="77777777" w:rsidR="004C2197" w:rsidRDefault="00863B83">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bottom w:w="40" w:type="dxa"/>
              <w:right w:w="20" w:type="dxa"/>
            </w:tcMar>
            <w:vAlign w:val="bottom"/>
          </w:tcPr>
          <w:p w14:paraId="0D8E0A7E" w14:textId="77777777" w:rsidR="004C2197" w:rsidRDefault="004C2197">
            <w:pPr>
              <w:jc w:val="right"/>
              <w:rPr>
                <w:rFonts w:ascii="宋体"/>
              </w:rPr>
            </w:pPr>
          </w:p>
        </w:tc>
        <w:tc>
          <w:tcPr>
            <w:tcW w:w="0" w:type="auto"/>
            <w:shd w:val="clear" w:color="auto" w:fill="auto"/>
          </w:tcPr>
          <w:p w14:paraId="0D8E0A7F" w14:textId="77777777" w:rsidR="004C2197" w:rsidRDefault="004C2197">
            <w:pPr>
              <w:rPr>
                <w:rFonts w:ascii="宋体"/>
              </w:rPr>
            </w:pPr>
          </w:p>
        </w:tc>
        <w:tc>
          <w:tcPr>
            <w:tcW w:w="0" w:type="auto"/>
            <w:shd w:val="clear" w:color="auto" w:fill="auto"/>
          </w:tcPr>
          <w:p w14:paraId="0D8E0A80" w14:textId="77777777" w:rsidR="004C2197" w:rsidRDefault="004C2197">
            <w:pPr>
              <w:rPr>
                <w:rFonts w:ascii="宋体"/>
              </w:rPr>
            </w:pPr>
          </w:p>
        </w:tc>
        <w:tc>
          <w:tcPr>
            <w:tcW w:w="0" w:type="auto"/>
            <w:shd w:val="clear" w:color="auto" w:fill="auto"/>
          </w:tcPr>
          <w:p w14:paraId="0D8E0A81" w14:textId="77777777" w:rsidR="004C2197" w:rsidRDefault="004C2197">
            <w:pPr>
              <w:rPr>
                <w:rFonts w:ascii="宋体"/>
              </w:rPr>
            </w:pPr>
          </w:p>
        </w:tc>
        <w:tc>
          <w:tcPr>
            <w:tcW w:w="0" w:type="auto"/>
            <w:shd w:val="clear" w:color="auto" w:fill="auto"/>
          </w:tcPr>
          <w:p w14:paraId="0D8E0A82" w14:textId="77777777" w:rsidR="004C2197" w:rsidRDefault="004C2197">
            <w:pPr>
              <w:rPr>
                <w:rFonts w:ascii="宋体"/>
              </w:rPr>
            </w:pPr>
          </w:p>
        </w:tc>
        <w:tc>
          <w:tcPr>
            <w:tcW w:w="0" w:type="auto"/>
            <w:shd w:val="clear" w:color="auto" w:fill="auto"/>
          </w:tcPr>
          <w:p w14:paraId="0D8E0A83" w14:textId="77777777" w:rsidR="004C2197" w:rsidRDefault="004C2197">
            <w:pPr>
              <w:rPr>
                <w:rFonts w:ascii="宋体"/>
              </w:rPr>
            </w:pPr>
          </w:p>
        </w:tc>
        <w:tc>
          <w:tcPr>
            <w:tcW w:w="0" w:type="auto"/>
            <w:shd w:val="clear" w:color="auto" w:fill="auto"/>
          </w:tcPr>
          <w:p w14:paraId="0D8E0A84" w14:textId="77777777" w:rsidR="004C2197" w:rsidRDefault="004C2197">
            <w:pPr>
              <w:rPr>
                <w:rFonts w:ascii="宋体"/>
              </w:rPr>
            </w:pPr>
          </w:p>
        </w:tc>
      </w:tr>
      <w:tr w:rsidR="004C2197" w14:paraId="0D8E0A92" w14:textId="77777777">
        <w:tc>
          <w:tcPr>
            <w:tcW w:w="0" w:type="auto"/>
            <w:gridSpan w:val="3"/>
            <w:shd w:val="clear" w:color="auto" w:fill="FFFFFF"/>
            <w:tcMar>
              <w:top w:w="40" w:type="dxa"/>
              <w:left w:w="20" w:type="dxa"/>
              <w:bottom w:w="40" w:type="dxa"/>
              <w:right w:w="20" w:type="dxa"/>
            </w:tcMar>
            <w:vAlign w:val="bottom"/>
          </w:tcPr>
          <w:p w14:paraId="0D8E0A86" w14:textId="77777777" w:rsidR="004C2197" w:rsidRDefault="00863B83">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0D8E0A87" w14:textId="77777777" w:rsidR="004C2197" w:rsidRDefault="00863B83">
            <w:pPr>
              <w:jc w:val="right"/>
              <w:textAlignment w:val="bottom"/>
            </w:pPr>
            <w:r>
              <w:rPr>
                <w:rFonts w:ascii="sans-serif" w:eastAsia="sans-serif" w:hAnsi="sans-serif" w:cs="sans-serif"/>
                <w:color w:val="000000"/>
                <w:sz w:val="20"/>
                <w:szCs w:val="20"/>
              </w:rPr>
              <w:t>7,707 </w:t>
            </w:r>
          </w:p>
        </w:tc>
        <w:tc>
          <w:tcPr>
            <w:tcW w:w="0" w:type="auto"/>
            <w:shd w:val="clear" w:color="auto" w:fill="FFFFFF"/>
            <w:tcMar>
              <w:top w:w="40" w:type="dxa"/>
              <w:bottom w:w="40" w:type="dxa"/>
              <w:right w:w="20" w:type="dxa"/>
            </w:tcMar>
            <w:vAlign w:val="bottom"/>
          </w:tcPr>
          <w:p w14:paraId="0D8E0A88"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A89" w14:textId="77777777" w:rsidR="004C2197" w:rsidRDefault="004C2197">
            <w:pPr>
              <w:rPr>
                <w:rFonts w:ascii="宋体"/>
              </w:rPr>
            </w:pPr>
          </w:p>
        </w:tc>
        <w:tc>
          <w:tcPr>
            <w:tcW w:w="0" w:type="auto"/>
            <w:gridSpan w:val="2"/>
            <w:shd w:val="clear" w:color="auto" w:fill="FFFFFF"/>
            <w:tcMar>
              <w:top w:w="40" w:type="dxa"/>
              <w:left w:w="20" w:type="dxa"/>
              <w:bottom w:w="40" w:type="dxa"/>
              <w:right w:w="0" w:type="dxa"/>
            </w:tcMar>
            <w:vAlign w:val="bottom"/>
          </w:tcPr>
          <w:p w14:paraId="0D8E0A8A" w14:textId="77777777" w:rsidR="004C2197" w:rsidRDefault="00863B83">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bottom w:w="40" w:type="dxa"/>
              <w:right w:w="20" w:type="dxa"/>
            </w:tcMar>
            <w:vAlign w:val="bottom"/>
          </w:tcPr>
          <w:p w14:paraId="0D8E0A8B" w14:textId="77777777" w:rsidR="004C2197" w:rsidRDefault="004C2197">
            <w:pPr>
              <w:jc w:val="right"/>
              <w:rPr>
                <w:rFonts w:ascii="宋体"/>
              </w:rPr>
            </w:pPr>
          </w:p>
        </w:tc>
        <w:tc>
          <w:tcPr>
            <w:tcW w:w="0" w:type="auto"/>
            <w:shd w:val="clear" w:color="auto" w:fill="auto"/>
          </w:tcPr>
          <w:p w14:paraId="0D8E0A8C" w14:textId="77777777" w:rsidR="004C2197" w:rsidRDefault="004C2197">
            <w:pPr>
              <w:rPr>
                <w:rFonts w:ascii="宋体"/>
              </w:rPr>
            </w:pPr>
          </w:p>
        </w:tc>
        <w:tc>
          <w:tcPr>
            <w:tcW w:w="0" w:type="auto"/>
            <w:shd w:val="clear" w:color="auto" w:fill="auto"/>
          </w:tcPr>
          <w:p w14:paraId="0D8E0A8D" w14:textId="77777777" w:rsidR="004C2197" w:rsidRDefault="004C2197">
            <w:pPr>
              <w:rPr>
                <w:rFonts w:ascii="宋体"/>
              </w:rPr>
            </w:pPr>
          </w:p>
        </w:tc>
        <w:tc>
          <w:tcPr>
            <w:tcW w:w="0" w:type="auto"/>
            <w:shd w:val="clear" w:color="auto" w:fill="auto"/>
          </w:tcPr>
          <w:p w14:paraId="0D8E0A8E" w14:textId="77777777" w:rsidR="004C2197" w:rsidRDefault="004C2197">
            <w:pPr>
              <w:rPr>
                <w:rFonts w:ascii="宋体"/>
              </w:rPr>
            </w:pPr>
          </w:p>
        </w:tc>
        <w:tc>
          <w:tcPr>
            <w:tcW w:w="0" w:type="auto"/>
            <w:shd w:val="clear" w:color="auto" w:fill="auto"/>
          </w:tcPr>
          <w:p w14:paraId="0D8E0A8F" w14:textId="77777777" w:rsidR="004C2197" w:rsidRDefault="004C2197">
            <w:pPr>
              <w:rPr>
                <w:rFonts w:ascii="宋体"/>
              </w:rPr>
            </w:pPr>
          </w:p>
        </w:tc>
        <w:tc>
          <w:tcPr>
            <w:tcW w:w="0" w:type="auto"/>
            <w:shd w:val="clear" w:color="auto" w:fill="auto"/>
          </w:tcPr>
          <w:p w14:paraId="0D8E0A90" w14:textId="77777777" w:rsidR="004C2197" w:rsidRDefault="004C2197">
            <w:pPr>
              <w:rPr>
                <w:rFonts w:ascii="宋体"/>
              </w:rPr>
            </w:pPr>
          </w:p>
        </w:tc>
        <w:tc>
          <w:tcPr>
            <w:tcW w:w="0" w:type="auto"/>
            <w:shd w:val="clear" w:color="auto" w:fill="auto"/>
          </w:tcPr>
          <w:p w14:paraId="0D8E0A91" w14:textId="77777777" w:rsidR="004C2197" w:rsidRDefault="004C2197">
            <w:pPr>
              <w:rPr>
                <w:rFonts w:ascii="宋体"/>
              </w:rPr>
            </w:pPr>
          </w:p>
        </w:tc>
      </w:tr>
      <w:tr w:rsidR="004C2197" w14:paraId="0D8E0AA1" w14:textId="77777777">
        <w:tc>
          <w:tcPr>
            <w:tcW w:w="0" w:type="auto"/>
            <w:gridSpan w:val="3"/>
            <w:shd w:val="clear" w:color="auto" w:fill="E2EFD9"/>
            <w:tcMar>
              <w:top w:w="40" w:type="dxa"/>
              <w:left w:w="20" w:type="dxa"/>
              <w:bottom w:w="40" w:type="dxa"/>
              <w:right w:w="20" w:type="dxa"/>
            </w:tcMar>
            <w:vAlign w:val="bottom"/>
          </w:tcPr>
          <w:p w14:paraId="0D8E0A93" w14:textId="77777777" w:rsidR="004C2197" w:rsidRDefault="00863B83">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94"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95" w14:textId="77777777" w:rsidR="004C2197" w:rsidRDefault="00863B83">
            <w:pPr>
              <w:jc w:val="right"/>
              <w:textAlignment w:val="bottom"/>
            </w:pPr>
            <w:r>
              <w:rPr>
                <w:rFonts w:ascii="sans-serif" w:eastAsia="sans-serif" w:hAnsi="sans-serif" w:cs="sans-serif"/>
                <w:color w:val="000000"/>
                <w:sz w:val="20"/>
                <w:szCs w:val="20"/>
              </w:rPr>
              <w:t>10,981 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96"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97" w14:textId="77777777" w:rsidR="004C2197" w:rsidRDefault="004C2197">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tcMar>
            <w:vAlign w:val="bottom"/>
          </w:tcPr>
          <w:p w14:paraId="0D8E0A98" w14:textId="77777777" w:rsidR="004C2197" w:rsidRDefault="00863B83">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bottom w:w="40" w:type="dxa"/>
              <w:right w:w="0" w:type="dxa"/>
            </w:tcMar>
            <w:vAlign w:val="bottom"/>
          </w:tcPr>
          <w:p w14:paraId="0D8E0A99" w14:textId="77777777" w:rsidR="004C2197" w:rsidRDefault="00863B83">
            <w:pPr>
              <w:jc w:val="right"/>
              <w:textAlignment w:val="bottom"/>
            </w:pPr>
            <w:r>
              <w:rPr>
                <w:rFonts w:ascii="sans-serif" w:eastAsia="sans-serif" w:hAnsi="sans-serif" w:cs="sans-serif"/>
                <w:color w:val="000000"/>
                <w:sz w:val="20"/>
                <w:szCs w:val="20"/>
              </w:rPr>
              <w:t>10,897 </w:t>
            </w:r>
          </w:p>
        </w:tc>
        <w:tc>
          <w:tcPr>
            <w:tcW w:w="0" w:type="auto"/>
            <w:tcBorders>
              <w:top w:val="single" w:sz="8" w:space="0" w:color="000000"/>
              <w:bottom w:val="double" w:sz="6" w:space="0" w:color="000000"/>
            </w:tcBorders>
            <w:shd w:val="clear" w:color="auto" w:fill="E2EFD9"/>
            <w:tcMar>
              <w:top w:w="40" w:type="dxa"/>
              <w:bottom w:w="40" w:type="dxa"/>
              <w:right w:w="20" w:type="dxa"/>
            </w:tcMar>
            <w:vAlign w:val="bottom"/>
          </w:tcPr>
          <w:p w14:paraId="0D8E0A9A" w14:textId="77777777" w:rsidR="004C2197" w:rsidRDefault="004C2197">
            <w:pPr>
              <w:jc w:val="right"/>
              <w:rPr>
                <w:rFonts w:ascii="宋体"/>
              </w:rPr>
            </w:pPr>
          </w:p>
        </w:tc>
        <w:tc>
          <w:tcPr>
            <w:tcW w:w="0" w:type="auto"/>
            <w:shd w:val="clear" w:color="auto" w:fill="auto"/>
          </w:tcPr>
          <w:p w14:paraId="0D8E0A9B" w14:textId="77777777" w:rsidR="004C2197" w:rsidRDefault="004C2197">
            <w:pPr>
              <w:rPr>
                <w:rFonts w:ascii="宋体"/>
              </w:rPr>
            </w:pPr>
          </w:p>
        </w:tc>
        <w:tc>
          <w:tcPr>
            <w:tcW w:w="0" w:type="auto"/>
            <w:shd w:val="clear" w:color="auto" w:fill="auto"/>
          </w:tcPr>
          <w:p w14:paraId="0D8E0A9C" w14:textId="77777777" w:rsidR="004C2197" w:rsidRDefault="004C2197">
            <w:pPr>
              <w:rPr>
                <w:rFonts w:ascii="宋体"/>
              </w:rPr>
            </w:pPr>
          </w:p>
        </w:tc>
        <w:tc>
          <w:tcPr>
            <w:tcW w:w="0" w:type="auto"/>
            <w:shd w:val="clear" w:color="auto" w:fill="auto"/>
          </w:tcPr>
          <w:p w14:paraId="0D8E0A9D" w14:textId="77777777" w:rsidR="004C2197" w:rsidRDefault="004C2197">
            <w:pPr>
              <w:rPr>
                <w:rFonts w:ascii="宋体"/>
              </w:rPr>
            </w:pPr>
          </w:p>
        </w:tc>
        <w:tc>
          <w:tcPr>
            <w:tcW w:w="0" w:type="auto"/>
            <w:shd w:val="clear" w:color="auto" w:fill="auto"/>
          </w:tcPr>
          <w:p w14:paraId="0D8E0A9E" w14:textId="77777777" w:rsidR="004C2197" w:rsidRDefault="004C2197">
            <w:pPr>
              <w:rPr>
                <w:rFonts w:ascii="宋体"/>
              </w:rPr>
            </w:pPr>
          </w:p>
        </w:tc>
        <w:tc>
          <w:tcPr>
            <w:tcW w:w="0" w:type="auto"/>
            <w:shd w:val="clear" w:color="auto" w:fill="auto"/>
          </w:tcPr>
          <w:p w14:paraId="0D8E0A9F" w14:textId="77777777" w:rsidR="004C2197" w:rsidRDefault="004C2197">
            <w:pPr>
              <w:rPr>
                <w:rFonts w:ascii="宋体"/>
              </w:rPr>
            </w:pPr>
          </w:p>
        </w:tc>
        <w:tc>
          <w:tcPr>
            <w:tcW w:w="0" w:type="auto"/>
            <w:shd w:val="clear" w:color="auto" w:fill="auto"/>
          </w:tcPr>
          <w:p w14:paraId="0D8E0AA0" w14:textId="77777777" w:rsidR="004C2197" w:rsidRDefault="004C2197">
            <w:pPr>
              <w:rPr>
                <w:rFonts w:ascii="宋体"/>
              </w:rPr>
            </w:pPr>
          </w:p>
        </w:tc>
      </w:tr>
    </w:tbl>
    <w:p w14:paraId="0D8E0AA2" w14:textId="77777777" w:rsidR="004C2197" w:rsidRDefault="004C2197">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37"/>
        <w:gridCol w:w="5171"/>
        <w:gridCol w:w="36"/>
        <w:gridCol w:w="137"/>
        <w:gridCol w:w="1223"/>
        <w:gridCol w:w="41"/>
        <w:gridCol w:w="36"/>
        <w:gridCol w:w="36"/>
        <w:gridCol w:w="36"/>
        <w:gridCol w:w="137"/>
        <w:gridCol w:w="1177"/>
        <w:gridCol w:w="41"/>
        <w:gridCol w:w="36"/>
        <w:gridCol w:w="36"/>
        <w:gridCol w:w="36"/>
        <w:gridCol w:w="36"/>
        <w:gridCol w:w="36"/>
        <w:gridCol w:w="36"/>
      </w:tblGrid>
      <w:tr w:rsidR="004C2197" w14:paraId="0D8E0AAF" w14:textId="77777777">
        <w:trPr>
          <w:gridAfter w:val="6"/>
        </w:trPr>
        <w:tc>
          <w:tcPr>
            <w:tcW w:w="50" w:type="pct"/>
            <w:shd w:val="clear" w:color="auto" w:fill="auto"/>
          </w:tcPr>
          <w:p w14:paraId="0D8E0AA3" w14:textId="77777777" w:rsidR="004C2197" w:rsidRDefault="004C2197">
            <w:pPr>
              <w:rPr>
                <w:rFonts w:ascii="宋体"/>
              </w:rPr>
            </w:pPr>
          </w:p>
        </w:tc>
        <w:tc>
          <w:tcPr>
            <w:tcW w:w="3224" w:type="pct"/>
            <w:shd w:val="clear" w:color="auto" w:fill="auto"/>
          </w:tcPr>
          <w:p w14:paraId="0D8E0AA4" w14:textId="77777777" w:rsidR="004C2197" w:rsidRDefault="004C2197">
            <w:pPr>
              <w:rPr>
                <w:rFonts w:ascii="宋体"/>
              </w:rPr>
            </w:pPr>
          </w:p>
        </w:tc>
        <w:tc>
          <w:tcPr>
            <w:tcW w:w="5" w:type="pct"/>
            <w:shd w:val="clear" w:color="auto" w:fill="auto"/>
          </w:tcPr>
          <w:p w14:paraId="0D8E0AA5" w14:textId="77777777" w:rsidR="004C2197" w:rsidRDefault="004C2197">
            <w:pPr>
              <w:rPr>
                <w:rFonts w:ascii="宋体"/>
              </w:rPr>
            </w:pPr>
          </w:p>
        </w:tc>
        <w:tc>
          <w:tcPr>
            <w:tcW w:w="50" w:type="pct"/>
            <w:shd w:val="clear" w:color="auto" w:fill="auto"/>
          </w:tcPr>
          <w:p w14:paraId="0D8E0AA6" w14:textId="77777777" w:rsidR="004C2197" w:rsidRDefault="004C2197">
            <w:pPr>
              <w:rPr>
                <w:rFonts w:ascii="宋体"/>
              </w:rPr>
            </w:pPr>
          </w:p>
        </w:tc>
        <w:tc>
          <w:tcPr>
            <w:tcW w:w="786" w:type="pct"/>
            <w:shd w:val="clear" w:color="auto" w:fill="auto"/>
          </w:tcPr>
          <w:p w14:paraId="0D8E0AA7" w14:textId="77777777" w:rsidR="004C2197" w:rsidRDefault="004C2197">
            <w:pPr>
              <w:rPr>
                <w:rFonts w:ascii="宋体"/>
              </w:rPr>
            </w:pPr>
          </w:p>
        </w:tc>
        <w:tc>
          <w:tcPr>
            <w:tcW w:w="5" w:type="pct"/>
            <w:shd w:val="clear" w:color="auto" w:fill="auto"/>
          </w:tcPr>
          <w:p w14:paraId="0D8E0AA8" w14:textId="77777777" w:rsidR="004C2197" w:rsidRDefault="004C2197">
            <w:pPr>
              <w:rPr>
                <w:rFonts w:ascii="宋体"/>
              </w:rPr>
            </w:pPr>
          </w:p>
        </w:tc>
        <w:tc>
          <w:tcPr>
            <w:tcW w:w="5" w:type="pct"/>
            <w:shd w:val="clear" w:color="auto" w:fill="auto"/>
          </w:tcPr>
          <w:p w14:paraId="0D8E0AA9" w14:textId="77777777" w:rsidR="004C2197" w:rsidRDefault="004C2197">
            <w:pPr>
              <w:rPr>
                <w:rFonts w:ascii="宋体"/>
              </w:rPr>
            </w:pPr>
          </w:p>
        </w:tc>
        <w:tc>
          <w:tcPr>
            <w:tcW w:w="26" w:type="pct"/>
            <w:shd w:val="clear" w:color="auto" w:fill="auto"/>
          </w:tcPr>
          <w:p w14:paraId="0D8E0AAA" w14:textId="77777777" w:rsidR="004C2197" w:rsidRDefault="004C2197">
            <w:pPr>
              <w:rPr>
                <w:rFonts w:ascii="宋体"/>
              </w:rPr>
            </w:pPr>
          </w:p>
        </w:tc>
        <w:tc>
          <w:tcPr>
            <w:tcW w:w="5" w:type="pct"/>
            <w:shd w:val="clear" w:color="auto" w:fill="auto"/>
          </w:tcPr>
          <w:p w14:paraId="0D8E0AAB" w14:textId="77777777" w:rsidR="004C2197" w:rsidRDefault="004C2197">
            <w:pPr>
              <w:rPr>
                <w:rFonts w:ascii="宋体"/>
              </w:rPr>
            </w:pPr>
          </w:p>
        </w:tc>
        <w:tc>
          <w:tcPr>
            <w:tcW w:w="50" w:type="pct"/>
            <w:shd w:val="clear" w:color="auto" w:fill="auto"/>
          </w:tcPr>
          <w:p w14:paraId="0D8E0AAC" w14:textId="77777777" w:rsidR="004C2197" w:rsidRDefault="004C2197">
            <w:pPr>
              <w:rPr>
                <w:rFonts w:ascii="宋体"/>
              </w:rPr>
            </w:pPr>
          </w:p>
        </w:tc>
        <w:tc>
          <w:tcPr>
            <w:tcW w:w="786" w:type="pct"/>
            <w:shd w:val="clear" w:color="auto" w:fill="auto"/>
          </w:tcPr>
          <w:p w14:paraId="0D8E0AAD" w14:textId="77777777" w:rsidR="004C2197" w:rsidRDefault="004C2197">
            <w:pPr>
              <w:rPr>
                <w:rFonts w:ascii="宋体"/>
              </w:rPr>
            </w:pPr>
          </w:p>
        </w:tc>
        <w:tc>
          <w:tcPr>
            <w:tcW w:w="5" w:type="pct"/>
            <w:shd w:val="clear" w:color="auto" w:fill="auto"/>
          </w:tcPr>
          <w:p w14:paraId="0D8E0AAE" w14:textId="77777777" w:rsidR="004C2197" w:rsidRDefault="004C2197">
            <w:pPr>
              <w:rPr>
                <w:rFonts w:ascii="宋体"/>
              </w:rPr>
            </w:pPr>
          </w:p>
        </w:tc>
      </w:tr>
      <w:tr w:rsidR="004C2197" w14:paraId="0D8E0AB4" w14:textId="77777777">
        <w:tc>
          <w:tcPr>
            <w:tcW w:w="0" w:type="auto"/>
            <w:gridSpan w:val="3"/>
            <w:shd w:val="clear" w:color="auto" w:fill="auto"/>
            <w:tcMar>
              <w:top w:w="40" w:type="dxa"/>
              <w:left w:w="20" w:type="dxa"/>
              <w:bottom w:w="40" w:type="dxa"/>
              <w:right w:w="20" w:type="dxa"/>
            </w:tcMar>
            <w:vAlign w:val="bottom"/>
          </w:tcPr>
          <w:p w14:paraId="0D8E0AB0" w14:textId="77777777" w:rsidR="004C2197" w:rsidRDefault="00863B83">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0D8E0AB1" w14:textId="77777777" w:rsidR="004C2197" w:rsidRDefault="00863B83">
            <w:pPr>
              <w:jc w:val="center"/>
              <w:textAlignment w:val="bottom"/>
            </w:pPr>
            <w:r>
              <w:rPr>
                <w:rFonts w:ascii="sans-serif" w:eastAsia="sans-serif" w:hAnsi="sans-serif" w:cs="sans-serif"/>
                <w:b/>
                <w:bCs/>
                <w:color w:val="000000"/>
                <w:sz w:val="20"/>
                <w:szCs w:val="20"/>
              </w:rPr>
              <w:t>Six Months Ended</w:t>
            </w:r>
          </w:p>
        </w:tc>
        <w:tc>
          <w:tcPr>
            <w:tcW w:w="0" w:type="auto"/>
            <w:gridSpan w:val="3"/>
            <w:shd w:val="clear" w:color="auto" w:fill="auto"/>
          </w:tcPr>
          <w:p w14:paraId="0D8E0AB2" w14:textId="77777777" w:rsidR="004C2197" w:rsidRDefault="004C2197">
            <w:pPr>
              <w:rPr>
                <w:rFonts w:ascii="宋体"/>
                <w:vanish/>
              </w:rPr>
            </w:pPr>
          </w:p>
        </w:tc>
        <w:tc>
          <w:tcPr>
            <w:tcW w:w="0" w:type="auto"/>
            <w:gridSpan w:val="3"/>
            <w:shd w:val="clear" w:color="auto" w:fill="auto"/>
          </w:tcPr>
          <w:p w14:paraId="0D8E0AB3" w14:textId="77777777" w:rsidR="004C2197" w:rsidRDefault="004C2197">
            <w:pPr>
              <w:rPr>
                <w:rFonts w:ascii="宋体"/>
                <w:vanish/>
              </w:rPr>
            </w:pPr>
          </w:p>
        </w:tc>
      </w:tr>
      <w:tr w:rsidR="004C2197" w14:paraId="0D8E0ABF" w14:textId="77777777">
        <w:tc>
          <w:tcPr>
            <w:tcW w:w="0" w:type="auto"/>
            <w:gridSpan w:val="3"/>
            <w:shd w:val="clear" w:color="auto" w:fill="auto"/>
            <w:tcMar>
              <w:left w:w="20" w:type="dxa"/>
              <w:right w:w="20" w:type="dxa"/>
            </w:tcMar>
            <w:vAlign w:val="bottom"/>
          </w:tcPr>
          <w:p w14:paraId="0D8E0AB5"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AB6" w14:textId="77777777" w:rsidR="004C2197" w:rsidRDefault="00863B83">
            <w:pPr>
              <w:jc w:val="center"/>
              <w:textAlignment w:val="bottom"/>
            </w:pPr>
            <w:r>
              <w:rPr>
                <w:rFonts w:ascii="sans-serif" w:eastAsia="sans-serif" w:hAnsi="sans-serif" w:cs="sans-serif"/>
                <w:b/>
                <w:bCs/>
                <w:color w:val="000000"/>
                <w:sz w:val="20"/>
                <w:szCs w:val="20"/>
              </w:rPr>
              <w:t>July 26, 2020</w:t>
            </w:r>
          </w:p>
        </w:tc>
        <w:tc>
          <w:tcPr>
            <w:tcW w:w="0" w:type="auto"/>
            <w:gridSpan w:val="3"/>
            <w:tcBorders>
              <w:top w:val="single" w:sz="8" w:space="0" w:color="000000"/>
            </w:tcBorders>
            <w:shd w:val="clear" w:color="auto" w:fill="auto"/>
            <w:tcMar>
              <w:left w:w="20" w:type="dxa"/>
              <w:right w:w="20" w:type="dxa"/>
            </w:tcMar>
            <w:vAlign w:val="bottom"/>
          </w:tcPr>
          <w:p w14:paraId="0D8E0AB7" w14:textId="77777777" w:rsidR="004C2197" w:rsidRDefault="004C219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8E0AB8" w14:textId="77777777" w:rsidR="004C2197" w:rsidRDefault="00863B83">
            <w:pPr>
              <w:jc w:val="center"/>
              <w:textAlignment w:val="bottom"/>
            </w:pPr>
            <w:r>
              <w:rPr>
                <w:rFonts w:ascii="sans-serif" w:eastAsia="sans-serif" w:hAnsi="sans-serif" w:cs="sans-serif"/>
                <w:b/>
                <w:bCs/>
                <w:color w:val="000000"/>
                <w:sz w:val="20"/>
                <w:szCs w:val="20"/>
              </w:rPr>
              <w:t>July 28, 2019</w:t>
            </w:r>
          </w:p>
        </w:tc>
        <w:tc>
          <w:tcPr>
            <w:tcW w:w="0" w:type="auto"/>
            <w:shd w:val="clear" w:color="auto" w:fill="auto"/>
          </w:tcPr>
          <w:p w14:paraId="0D8E0AB9" w14:textId="77777777" w:rsidR="004C2197" w:rsidRDefault="004C2197">
            <w:pPr>
              <w:rPr>
                <w:rFonts w:ascii="宋体"/>
              </w:rPr>
            </w:pPr>
          </w:p>
        </w:tc>
        <w:tc>
          <w:tcPr>
            <w:tcW w:w="0" w:type="auto"/>
            <w:shd w:val="clear" w:color="auto" w:fill="auto"/>
          </w:tcPr>
          <w:p w14:paraId="0D8E0ABA" w14:textId="77777777" w:rsidR="004C2197" w:rsidRDefault="004C2197">
            <w:pPr>
              <w:rPr>
                <w:rFonts w:ascii="宋体"/>
              </w:rPr>
            </w:pPr>
          </w:p>
        </w:tc>
        <w:tc>
          <w:tcPr>
            <w:tcW w:w="0" w:type="auto"/>
            <w:shd w:val="clear" w:color="auto" w:fill="auto"/>
          </w:tcPr>
          <w:p w14:paraId="0D8E0ABB" w14:textId="77777777" w:rsidR="004C2197" w:rsidRDefault="004C2197">
            <w:pPr>
              <w:rPr>
                <w:rFonts w:ascii="宋体"/>
              </w:rPr>
            </w:pPr>
          </w:p>
        </w:tc>
        <w:tc>
          <w:tcPr>
            <w:tcW w:w="0" w:type="auto"/>
            <w:shd w:val="clear" w:color="auto" w:fill="auto"/>
          </w:tcPr>
          <w:p w14:paraId="0D8E0ABC" w14:textId="77777777" w:rsidR="004C2197" w:rsidRDefault="004C2197">
            <w:pPr>
              <w:rPr>
                <w:rFonts w:ascii="宋体"/>
              </w:rPr>
            </w:pPr>
          </w:p>
        </w:tc>
        <w:tc>
          <w:tcPr>
            <w:tcW w:w="0" w:type="auto"/>
            <w:shd w:val="clear" w:color="auto" w:fill="auto"/>
          </w:tcPr>
          <w:p w14:paraId="0D8E0ABD" w14:textId="77777777" w:rsidR="004C2197" w:rsidRDefault="004C2197">
            <w:pPr>
              <w:rPr>
                <w:rFonts w:ascii="宋体"/>
              </w:rPr>
            </w:pPr>
          </w:p>
        </w:tc>
        <w:tc>
          <w:tcPr>
            <w:tcW w:w="0" w:type="auto"/>
            <w:shd w:val="clear" w:color="auto" w:fill="auto"/>
          </w:tcPr>
          <w:p w14:paraId="0D8E0ABE" w14:textId="77777777" w:rsidR="004C2197" w:rsidRDefault="004C2197">
            <w:pPr>
              <w:rPr>
                <w:rFonts w:ascii="宋体"/>
              </w:rPr>
            </w:pPr>
          </w:p>
        </w:tc>
      </w:tr>
      <w:tr w:rsidR="004C2197" w14:paraId="0D8E0ACA" w14:textId="77777777">
        <w:trPr>
          <w:trHeight w:val="60"/>
        </w:trPr>
        <w:tc>
          <w:tcPr>
            <w:tcW w:w="0" w:type="auto"/>
            <w:gridSpan w:val="3"/>
            <w:shd w:val="clear" w:color="auto" w:fill="auto"/>
            <w:tcMar>
              <w:left w:w="20" w:type="dxa"/>
              <w:right w:w="20" w:type="dxa"/>
            </w:tcMar>
            <w:vAlign w:val="bottom"/>
          </w:tcPr>
          <w:p w14:paraId="0D8E0AC0"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AC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AC2"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AC3" w14:textId="77777777" w:rsidR="004C2197" w:rsidRDefault="004C2197">
            <w:pPr>
              <w:rPr>
                <w:rFonts w:ascii="宋体"/>
              </w:rPr>
            </w:pPr>
          </w:p>
        </w:tc>
        <w:tc>
          <w:tcPr>
            <w:tcW w:w="0" w:type="auto"/>
            <w:shd w:val="clear" w:color="auto" w:fill="auto"/>
          </w:tcPr>
          <w:p w14:paraId="0D8E0AC4" w14:textId="77777777" w:rsidR="004C2197" w:rsidRDefault="004C2197">
            <w:pPr>
              <w:rPr>
                <w:rFonts w:ascii="宋体"/>
              </w:rPr>
            </w:pPr>
          </w:p>
        </w:tc>
        <w:tc>
          <w:tcPr>
            <w:tcW w:w="0" w:type="auto"/>
            <w:shd w:val="clear" w:color="auto" w:fill="auto"/>
          </w:tcPr>
          <w:p w14:paraId="0D8E0AC5" w14:textId="77777777" w:rsidR="004C2197" w:rsidRDefault="004C2197">
            <w:pPr>
              <w:rPr>
                <w:rFonts w:ascii="宋体"/>
              </w:rPr>
            </w:pPr>
          </w:p>
        </w:tc>
        <w:tc>
          <w:tcPr>
            <w:tcW w:w="0" w:type="auto"/>
            <w:shd w:val="clear" w:color="auto" w:fill="auto"/>
          </w:tcPr>
          <w:p w14:paraId="0D8E0AC6" w14:textId="77777777" w:rsidR="004C2197" w:rsidRDefault="004C2197">
            <w:pPr>
              <w:rPr>
                <w:rFonts w:ascii="宋体"/>
              </w:rPr>
            </w:pPr>
          </w:p>
        </w:tc>
        <w:tc>
          <w:tcPr>
            <w:tcW w:w="0" w:type="auto"/>
            <w:shd w:val="clear" w:color="auto" w:fill="auto"/>
          </w:tcPr>
          <w:p w14:paraId="0D8E0AC7" w14:textId="77777777" w:rsidR="004C2197" w:rsidRDefault="004C2197">
            <w:pPr>
              <w:rPr>
                <w:rFonts w:ascii="宋体"/>
              </w:rPr>
            </w:pPr>
          </w:p>
        </w:tc>
        <w:tc>
          <w:tcPr>
            <w:tcW w:w="0" w:type="auto"/>
            <w:shd w:val="clear" w:color="auto" w:fill="auto"/>
          </w:tcPr>
          <w:p w14:paraId="0D8E0AC8" w14:textId="77777777" w:rsidR="004C2197" w:rsidRDefault="004C2197">
            <w:pPr>
              <w:rPr>
                <w:rFonts w:ascii="宋体"/>
              </w:rPr>
            </w:pPr>
          </w:p>
        </w:tc>
        <w:tc>
          <w:tcPr>
            <w:tcW w:w="0" w:type="auto"/>
            <w:shd w:val="clear" w:color="auto" w:fill="auto"/>
          </w:tcPr>
          <w:p w14:paraId="0D8E0AC9" w14:textId="77777777" w:rsidR="004C2197" w:rsidRDefault="004C2197">
            <w:pPr>
              <w:rPr>
                <w:rFonts w:ascii="宋体"/>
              </w:rPr>
            </w:pPr>
          </w:p>
        </w:tc>
      </w:tr>
      <w:tr w:rsidR="004C2197" w14:paraId="0D8E0ACF" w14:textId="77777777">
        <w:tc>
          <w:tcPr>
            <w:tcW w:w="0" w:type="auto"/>
            <w:gridSpan w:val="3"/>
            <w:shd w:val="clear" w:color="auto" w:fill="auto"/>
            <w:tcMar>
              <w:top w:w="40" w:type="dxa"/>
              <w:left w:w="20" w:type="dxa"/>
              <w:bottom w:w="40" w:type="dxa"/>
              <w:right w:w="20" w:type="dxa"/>
            </w:tcMar>
            <w:vAlign w:val="bottom"/>
          </w:tcPr>
          <w:p w14:paraId="0D8E0ACB" w14:textId="77777777" w:rsidR="004C2197" w:rsidRDefault="00863B83">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0D8E0ACC" w14:textId="77777777" w:rsidR="004C2197" w:rsidRDefault="00863B83">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Pr>
          <w:p w14:paraId="0D8E0ACD" w14:textId="77777777" w:rsidR="004C2197" w:rsidRDefault="004C2197">
            <w:pPr>
              <w:rPr>
                <w:rFonts w:ascii="宋体"/>
                <w:vanish/>
              </w:rPr>
            </w:pPr>
          </w:p>
        </w:tc>
        <w:tc>
          <w:tcPr>
            <w:tcW w:w="0" w:type="auto"/>
            <w:gridSpan w:val="3"/>
            <w:shd w:val="clear" w:color="auto" w:fill="auto"/>
          </w:tcPr>
          <w:p w14:paraId="0D8E0ACE" w14:textId="77777777" w:rsidR="004C2197" w:rsidRDefault="004C2197">
            <w:pPr>
              <w:rPr>
                <w:rFonts w:ascii="宋体"/>
                <w:vanish/>
              </w:rPr>
            </w:pPr>
          </w:p>
        </w:tc>
      </w:tr>
      <w:tr w:rsidR="004C2197" w14:paraId="0D8E0ADE" w14:textId="77777777">
        <w:tc>
          <w:tcPr>
            <w:tcW w:w="0" w:type="auto"/>
            <w:gridSpan w:val="3"/>
            <w:shd w:val="clear" w:color="auto" w:fill="E2EFD9"/>
            <w:tcMar>
              <w:top w:w="40" w:type="dxa"/>
              <w:left w:w="20" w:type="dxa"/>
              <w:bottom w:w="40" w:type="dxa"/>
              <w:right w:w="20" w:type="dxa"/>
            </w:tcMar>
            <w:vAlign w:val="bottom"/>
          </w:tcPr>
          <w:p w14:paraId="0D8E0AD0" w14:textId="77777777" w:rsidR="004C2197" w:rsidRDefault="00863B83">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tcMar>
            <w:vAlign w:val="bottom"/>
          </w:tcPr>
          <w:p w14:paraId="0D8E0AD1"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D2" w14:textId="77777777" w:rsidR="004C2197" w:rsidRDefault="00863B83">
            <w:pPr>
              <w:jc w:val="right"/>
              <w:textAlignment w:val="bottom"/>
            </w:pPr>
            <w:r>
              <w:rPr>
                <w:rFonts w:ascii="sans-serif" w:eastAsia="sans-serif" w:hAnsi="sans-serif" w:cs="sans-serif"/>
                <w:color w:val="000000"/>
                <w:sz w:val="20"/>
                <w:szCs w:val="20"/>
              </w:rPr>
              <w:t>2,476 </w:t>
            </w:r>
          </w:p>
        </w:tc>
        <w:tc>
          <w:tcPr>
            <w:tcW w:w="0" w:type="auto"/>
            <w:shd w:val="clear" w:color="auto" w:fill="E2EFD9"/>
            <w:tcMar>
              <w:top w:w="40" w:type="dxa"/>
              <w:bottom w:w="40" w:type="dxa"/>
              <w:right w:w="20" w:type="dxa"/>
            </w:tcMar>
            <w:vAlign w:val="bottom"/>
          </w:tcPr>
          <w:p w14:paraId="0D8E0AD3"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D4"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AD5"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D6" w14:textId="77777777" w:rsidR="004C2197" w:rsidRDefault="00863B83">
            <w:pPr>
              <w:jc w:val="right"/>
              <w:textAlignment w:val="bottom"/>
            </w:pPr>
            <w:r>
              <w:rPr>
                <w:rFonts w:ascii="sans-serif" w:eastAsia="sans-serif" w:hAnsi="sans-serif" w:cs="sans-serif"/>
                <w:color w:val="000000"/>
                <w:sz w:val="20"/>
                <w:szCs w:val="20"/>
              </w:rPr>
              <w:t>1,656 </w:t>
            </w:r>
          </w:p>
        </w:tc>
        <w:tc>
          <w:tcPr>
            <w:tcW w:w="0" w:type="auto"/>
            <w:shd w:val="clear" w:color="auto" w:fill="E2EFD9"/>
            <w:tcMar>
              <w:top w:w="40" w:type="dxa"/>
              <w:bottom w:w="40" w:type="dxa"/>
              <w:right w:w="20" w:type="dxa"/>
            </w:tcMar>
            <w:vAlign w:val="bottom"/>
          </w:tcPr>
          <w:p w14:paraId="0D8E0AD7" w14:textId="77777777" w:rsidR="004C2197" w:rsidRDefault="004C2197">
            <w:pPr>
              <w:jc w:val="right"/>
              <w:rPr>
                <w:rFonts w:ascii="宋体"/>
              </w:rPr>
            </w:pPr>
          </w:p>
        </w:tc>
        <w:tc>
          <w:tcPr>
            <w:tcW w:w="0" w:type="auto"/>
            <w:shd w:val="clear" w:color="auto" w:fill="auto"/>
          </w:tcPr>
          <w:p w14:paraId="0D8E0AD8" w14:textId="77777777" w:rsidR="004C2197" w:rsidRDefault="004C2197">
            <w:pPr>
              <w:rPr>
                <w:rFonts w:ascii="宋体"/>
              </w:rPr>
            </w:pPr>
          </w:p>
        </w:tc>
        <w:tc>
          <w:tcPr>
            <w:tcW w:w="0" w:type="auto"/>
            <w:shd w:val="clear" w:color="auto" w:fill="auto"/>
          </w:tcPr>
          <w:p w14:paraId="0D8E0AD9" w14:textId="77777777" w:rsidR="004C2197" w:rsidRDefault="004C2197">
            <w:pPr>
              <w:rPr>
                <w:rFonts w:ascii="宋体"/>
              </w:rPr>
            </w:pPr>
          </w:p>
        </w:tc>
        <w:tc>
          <w:tcPr>
            <w:tcW w:w="0" w:type="auto"/>
            <w:shd w:val="clear" w:color="auto" w:fill="auto"/>
          </w:tcPr>
          <w:p w14:paraId="0D8E0ADA" w14:textId="77777777" w:rsidR="004C2197" w:rsidRDefault="004C2197">
            <w:pPr>
              <w:rPr>
                <w:rFonts w:ascii="宋体"/>
              </w:rPr>
            </w:pPr>
          </w:p>
        </w:tc>
        <w:tc>
          <w:tcPr>
            <w:tcW w:w="0" w:type="auto"/>
            <w:shd w:val="clear" w:color="auto" w:fill="auto"/>
          </w:tcPr>
          <w:p w14:paraId="0D8E0ADB" w14:textId="77777777" w:rsidR="004C2197" w:rsidRDefault="004C2197">
            <w:pPr>
              <w:rPr>
                <w:rFonts w:ascii="宋体"/>
              </w:rPr>
            </w:pPr>
          </w:p>
        </w:tc>
        <w:tc>
          <w:tcPr>
            <w:tcW w:w="0" w:type="auto"/>
            <w:shd w:val="clear" w:color="auto" w:fill="auto"/>
          </w:tcPr>
          <w:p w14:paraId="0D8E0ADC" w14:textId="77777777" w:rsidR="004C2197" w:rsidRDefault="004C2197">
            <w:pPr>
              <w:rPr>
                <w:rFonts w:ascii="宋体"/>
              </w:rPr>
            </w:pPr>
          </w:p>
        </w:tc>
        <w:tc>
          <w:tcPr>
            <w:tcW w:w="0" w:type="auto"/>
            <w:shd w:val="clear" w:color="auto" w:fill="auto"/>
          </w:tcPr>
          <w:p w14:paraId="0D8E0ADD" w14:textId="77777777" w:rsidR="004C2197" w:rsidRDefault="004C2197">
            <w:pPr>
              <w:rPr>
                <w:rFonts w:ascii="宋体"/>
              </w:rPr>
            </w:pPr>
          </w:p>
        </w:tc>
      </w:tr>
      <w:tr w:rsidR="004C2197" w14:paraId="0D8E0AED" w14:textId="77777777">
        <w:tc>
          <w:tcPr>
            <w:tcW w:w="0" w:type="auto"/>
            <w:gridSpan w:val="3"/>
            <w:shd w:val="clear" w:color="auto" w:fill="FFFFFF"/>
            <w:tcMar>
              <w:top w:w="40" w:type="dxa"/>
              <w:left w:w="20" w:type="dxa"/>
              <w:bottom w:w="40" w:type="dxa"/>
              <w:right w:w="20" w:type="dxa"/>
            </w:tcMar>
            <w:vAlign w:val="bottom"/>
          </w:tcPr>
          <w:p w14:paraId="0D8E0ADF" w14:textId="77777777" w:rsidR="004C2197" w:rsidRDefault="00863B83">
            <w:pPr>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tcMar>
            <w:vAlign w:val="bottom"/>
          </w:tcPr>
          <w:p w14:paraId="0D8E0AE0"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AE1" w14:textId="77777777" w:rsidR="004C2197" w:rsidRDefault="00863B83">
            <w:pPr>
              <w:jc w:val="right"/>
              <w:textAlignment w:val="bottom"/>
            </w:pPr>
            <w:r>
              <w:rPr>
                <w:rFonts w:ascii="sans-serif" w:eastAsia="sans-serif" w:hAnsi="sans-serif" w:cs="sans-serif"/>
                <w:color w:val="000000"/>
                <w:sz w:val="20"/>
                <w:szCs w:val="20"/>
              </w:rPr>
              <w:t>(14,545)</w:t>
            </w:r>
          </w:p>
        </w:tc>
        <w:tc>
          <w:tcPr>
            <w:tcW w:w="0" w:type="auto"/>
            <w:shd w:val="clear" w:color="auto" w:fill="FFFFFF"/>
            <w:tcMar>
              <w:top w:w="40" w:type="dxa"/>
              <w:bottom w:w="40" w:type="dxa"/>
              <w:right w:w="20" w:type="dxa"/>
            </w:tcMar>
            <w:vAlign w:val="bottom"/>
          </w:tcPr>
          <w:p w14:paraId="0D8E0AE2" w14:textId="77777777" w:rsidR="004C2197" w:rsidRDefault="004C2197">
            <w:pPr>
              <w:jc w:val="right"/>
              <w:rPr>
                <w:rFonts w:ascii="宋体"/>
              </w:rPr>
            </w:pPr>
          </w:p>
        </w:tc>
        <w:tc>
          <w:tcPr>
            <w:tcW w:w="0" w:type="auto"/>
            <w:gridSpan w:val="3"/>
            <w:shd w:val="clear" w:color="auto" w:fill="FFFFFF"/>
            <w:tcMar>
              <w:left w:w="20" w:type="dxa"/>
              <w:right w:w="20" w:type="dxa"/>
            </w:tcMar>
            <w:vAlign w:val="bottom"/>
          </w:tcPr>
          <w:p w14:paraId="0D8E0AE3" w14:textId="77777777" w:rsidR="004C2197" w:rsidRDefault="004C2197">
            <w:pPr>
              <w:rPr>
                <w:rFonts w:ascii="宋体"/>
              </w:rPr>
            </w:pPr>
          </w:p>
        </w:tc>
        <w:tc>
          <w:tcPr>
            <w:tcW w:w="0" w:type="auto"/>
            <w:shd w:val="clear" w:color="auto" w:fill="FFFFFF"/>
            <w:tcMar>
              <w:top w:w="40" w:type="dxa"/>
              <w:left w:w="20" w:type="dxa"/>
              <w:bottom w:w="40" w:type="dxa"/>
            </w:tcMar>
            <w:vAlign w:val="bottom"/>
          </w:tcPr>
          <w:p w14:paraId="0D8E0AE4"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FFFFFF"/>
            <w:tcMar>
              <w:top w:w="40" w:type="dxa"/>
              <w:bottom w:w="40" w:type="dxa"/>
              <w:right w:w="0" w:type="dxa"/>
            </w:tcMar>
            <w:vAlign w:val="bottom"/>
          </w:tcPr>
          <w:p w14:paraId="0D8E0AE5" w14:textId="77777777" w:rsidR="004C2197" w:rsidRDefault="00863B83">
            <w:pPr>
              <w:jc w:val="right"/>
              <w:textAlignment w:val="bottom"/>
            </w:pPr>
            <w:r>
              <w:rPr>
                <w:rFonts w:ascii="sans-serif" w:eastAsia="sans-serif" w:hAnsi="sans-serif" w:cs="sans-serif"/>
                <w:color w:val="000000"/>
                <w:sz w:val="20"/>
                <w:szCs w:val="20"/>
              </w:rPr>
              <w:t>5,040 </w:t>
            </w:r>
          </w:p>
        </w:tc>
        <w:tc>
          <w:tcPr>
            <w:tcW w:w="0" w:type="auto"/>
            <w:shd w:val="clear" w:color="auto" w:fill="FFFFFF"/>
            <w:tcMar>
              <w:top w:w="40" w:type="dxa"/>
              <w:bottom w:w="40" w:type="dxa"/>
              <w:right w:w="20" w:type="dxa"/>
            </w:tcMar>
            <w:vAlign w:val="bottom"/>
          </w:tcPr>
          <w:p w14:paraId="0D8E0AE6" w14:textId="77777777" w:rsidR="004C2197" w:rsidRDefault="004C2197">
            <w:pPr>
              <w:jc w:val="right"/>
              <w:rPr>
                <w:rFonts w:ascii="宋体"/>
              </w:rPr>
            </w:pPr>
          </w:p>
        </w:tc>
        <w:tc>
          <w:tcPr>
            <w:tcW w:w="0" w:type="auto"/>
            <w:shd w:val="clear" w:color="auto" w:fill="auto"/>
          </w:tcPr>
          <w:p w14:paraId="0D8E0AE7" w14:textId="77777777" w:rsidR="004C2197" w:rsidRDefault="004C2197">
            <w:pPr>
              <w:rPr>
                <w:rFonts w:ascii="宋体"/>
              </w:rPr>
            </w:pPr>
          </w:p>
        </w:tc>
        <w:tc>
          <w:tcPr>
            <w:tcW w:w="0" w:type="auto"/>
            <w:shd w:val="clear" w:color="auto" w:fill="auto"/>
          </w:tcPr>
          <w:p w14:paraId="0D8E0AE8" w14:textId="77777777" w:rsidR="004C2197" w:rsidRDefault="004C2197">
            <w:pPr>
              <w:rPr>
                <w:rFonts w:ascii="宋体"/>
              </w:rPr>
            </w:pPr>
          </w:p>
        </w:tc>
        <w:tc>
          <w:tcPr>
            <w:tcW w:w="0" w:type="auto"/>
            <w:shd w:val="clear" w:color="auto" w:fill="auto"/>
          </w:tcPr>
          <w:p w14:paraId="0D8E0AE9" w14:textId="77777777" w:rsidR="004C2197" w:rsidRDefault="004C2197">
            <w:pPr>
              <w:rPr>
                <w:rFonts w:ascii="宋体"/>
              </w:rPr>
            </w:pPr>
          </w:p>
        </w:tc>
        <w:tc>
          <w:tcPr>
            <w:tcW w:w="0" w:type="auto"/>
            <w:shd w:val="clear" w:color="auto" w:fill="auto"/>
          </w:tcPr>
          <w:p w14:paraId="0D8E0AEA" w14:textId="77777777" w:rsidR="004C2197" w:rsidRDefault="004C2197">
            <w:pPr>
              <w:rPr>
                <w:rFonts w:ascii="宋体"/>
              </w:rPr>
            </w:pPr>
          </w:p>
        </w:tc>
        <w:tc>
          <w:tcPr>
            <w:tcW w:w="0" w:type="auto"/>
            <w:shd w:val="clear" w:color="auto" w:fill="auto"/>
          </w:tcPr>
          <w:p w14:paraId="0D8E0AEB" w14:textId="77777777" w:rsidR="004C2197" w:rsidRDefault="004C2197">
            <w:pPr>
              <w:rPr>
                <w:rFonts w:ascii="宋体"/>
              </w:rPr>
            </w:pPr>
          </w:p>
        </w:tc>
        <w:tc>
          <w:tcPr>
            <w:tcW w:w="0" w:type="auto"/>
            <w:shd w:val="clear" w:color="auto" w:fill="auto"/>
          </w:tcPr>
          <w:p w14:paraId="0D8E0AEC" w14:textId="77777777" w:rsidR="004C2197" w:rsidRDefault="004C2197">
            <w:pPr>
              <w:rPr>
                <w:rFonts w:ascii="宋体"/>
              </w:rPr>
            </w:pPr>
          </w:p>
        </w:tc>
      </w:tr>
      <w:tr w:rsidR="004C2197" w14:paraId="0D8E0AFC" w14:textId="77777777">
        <w:tc>
          <w:tcPr>
            <w:tcW w:w="0" w:type="auto"/>
            <w:gridSpan w:val="3"/>
            <w:shd w:val="clear" w:color="auto" w:fill="E2EFD9"/>
            <w:tcMar>
              <w:top w:w="40" w:type="dxa"/>
              <w:left w:w="20" w:type="dxa"/>
              <w:bottom w:w="40" w:type="dxa"/>
              <w:right w:w="20" w:type="dxa"/>
            </w:tcMar>
            <w:vAlign w:val="bottom"/>
          </w:tcPr>
          <w:p w14:paraId="0D8E0AEE" w14:textId="77777777" w:rsidR="004C2197" w:rsidRDefault="00863B83">
            <w:pPr>
              <w:textAlignment w:val="bottom"/>
            </w:pPr>
            <w:r>
              <w:rPr>
                <w:rFonts w:ascii="sans-serif" w:eastAsia="sans-serif" w:hAnsi="sans-serif" w:cs="sans-serif"/>
                <w:color w:val="000000"/>
                <w:sz w:val="20"/>
                <w:szCs w:val="20"/>
              </w:rPr>
              <w:t>Net cash provided by (used in) financing activities</w:t>
            </w:r>
          </w:p>
        </w:tc>
        <w:tc>
          <w:tcPr>
            <w:tcW w:w="0" w:type="auto"/>
            <w:shd w:val="clear" w:color="auto" w:fill="E2EFD9"/>
            <w:tcMar>
              <w:top w:w="40" w:type="dxa"/>
              <w:left w:w="20" w:type="dxa"/>
              <w:bottom w:w="40" w:type="dxa"/>
            </w:tcMar>
            <w:vAlign w:val="bottom"/>
          </w:tcPr>
          <w:p w14:paraId="0D8E0AEF"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F0" w14:textId="77777777" w:rsidR="004C2197" w:rsidRDefault="00863B83">
            <w:pPr>
              <w:jc w:val="right"/>
              <w:textAlignment w:val="bottom"/>
            </w:pPr>
            <w:r>
              <w:rPr>
                <w:rFonts w:ascii="sans-serif" w:eastAsia="sans-serif" w:hAnsi="sans-serif" w:cs="sans-serif"/>
                <w:color w:val="000000"/>
                <w:sz w:val="20"/>
                <w:szCs w:val="20"/>
              </w:rPr>
              <w:t>4,447 </w:t>
            </w:r>
          </w:p>
        </w:tc>
        <w:tc>
          <w:tcPr>
            <w:tcW w:w="0" w:type="auto"/>
            <w:shd w:val="clear" w:color="auto" w:fill="E2EFD9"/>
            <w:tcMar>
              <w:top w:w="40" w:type="dxa"/>
              <w:bottom w:w="40" w:type="dxa"/>
              <w:right w:w="20" w:type="dxa"/>
            </w:tcMar>
            <w:vAlign w:val="bottom"/>
          </w:tcPr>
          <w:p w14:paraId="0D8E0AF1" w14:textId="77777777" w:rsidR="004C2197" w:rsidRDefault="004C2197">
            <w:pPr>
              <w:jc w:val="right"/>
              <w:rPr>
                <w:rFonts w:ascii="宋体"/>
              </w:rPr>
            </w:pPr>
          </w:p>
        </w:tc>
        <w:tc>
          <w:tcPr>
            <w:tcW w:w="0" w:type="auto"/>
            <w:gridSpan w:val="3"/>
            <w:shd w:val="clear" w:color="auto" w:fill="E2EFD9"/>
            <w:tcMar>
              <w:left w:w="20" w:type="dxa"/>
              <w:right w:w="20" w:type="dxa"/>
            </w:tcMar>
            <w:vAlign w:val="bottom"/>
          </w:tcPr>
          <w:p w14:paraId="0D8E0AF2" w14:textId="77777777" w:rsidR="004C2197" w:rsidRDefault="004C2197">
            <w:pPr>
              <w:rPr>
                <w:rFonts w:ascii="宋体"/>
              </w:rPr>
            </w:pPr>
          </w:p>
        </w:tc>
        <w:tc>
          <w:tcPr>
            <w:tcW w:w="0" w:type="auto"/>
            <w:shd w:val="clear" w:color="auto" w:fill="E2EFD9"/>
            <w:tcMar>
              <w:top w:w="40" w:type="dxa"/>
              <w:left w:w="20" w:type="dxa"/>
              <w:bottom w:w="40" w:type="dxa"/>
            </w:tcMar>
            <w:vAlign w:val="bottom"/>
          </w:tcPr>
          <w:p w14:paraId="0D8E0AF3" w14:textId="77777777" w:rsidR="004C2197" w:rsidRDefault="00863B83">
            <w:pPr>
              <w:textAlignment w:val="bottom"/>
            </w:pPr>
            <w:r>
              <w:rPr>
                <w:rFonts w:ascii="sans-serif" w:eastAsia="sans-serif" w:hAnsi="sans-serif" w:cs="sans-serif"/>
                <w:color w:val="000000"/>
                <w:sz w:val="20"/>
                <w:szCs w:val="20"/>
              </w:rPr>
              <w:t>$</w:t>
            </w:r>
          </w:p>
        </w:tc>
        <w:tc>
          <w:tcPr>
            <w:tcW w:w="0" w:type="auto"/>
            <w:shd w:val="clear" w:color="auto" w:fill="E2EFD9"/>
            <w:tcMar>
              <w:top w:w="40" w:type="dxa"/>
              <w:bottom w:w="40" w:type="dxa"/>
              <w:right w:w="0" w:type="dxa"/>
            </w:tcMar>
            <w:vAlign w:val="bottom"/>
          </w:tcPr>
          <w:p w14:paraId="0D8E0AF4" w14:textId="77777777" w:rsidR="004C2197" w:rsidRDefault="00863B83">
            <w:pPr>
              <w:jc w:val="right"/>
              <w:textAlignment w:val="bottom"/>
            </w:pPr>
            <w:r>
              <w:rPr>
                <w:rFonts w:ascii="sans-serif" w:eastAsia="sans-serif" w:hAnsi="sans-serif" w:cs="sans-serif"/>
                <w:color w:val="000000"/>
                <w:sz w:val="20"/>
                <w:szCs w:val="20"/>
              </w:rPr>
              <w:t>(373)</w:t>
            </w:r>
          </w:p>
        </w:tc>
        <w:tc>
          <w:tcPr>
            <w:tcW w:w="0" w:type="auto"/>
            <w:shd w:val="clear" w:color="auto" w:fill="E2EFD9"/>
            <w:tcMar>
              <w:top w:w="40" w:type="dxa"/>
              <w:bottom w:w="40" w:type="dxa"/>
              <w:right w:w="20" w:type="dxa"/>
            </w:tcMar>
            <w:vAlign w:val="bottom"/>
          </w:tcPr>
          <w:p w14:paraId="0D8E0AF5" w14:textId="77777777" w:rsidR="004C2197" w:rsidRDefault="004C2197">
            <w:pPr>
              <w:jc w:val="right"/>
              <w:rPr>
                <w:rFonts w:ascii="宋体"/>
              </w:rPr>
            </w:pPr>
          </w:p>
        </w:tc>
        <w:tc>
          <w:tcPr>
            <w:tcW w:w="0" w:type="auto"/>
            <w:shd w:val="clear" w:color="auto" w:fill="auto"/>
          </w:tcPr>
          <w:p w14:paraId="0D8E0AF6" w14:textId="77777777" w:rsidR="004C2197" w:rsidRDefault="004C2197">
            <w:pPr>
              <w:rPr>
                <w:rFonts w:ascii="宋体"/>
              </w:rPr>
            </w:pPr>
          </w:p>
        </w:tc>
        <w:tc>
          <w:tcPr>
            <w:tcW w:w="0" w:type="auto"/>
            <w:shd w:val="clear" w:color="auto" w:fill="auto"/>
          </w:tcPr>
          <w:p w14:paraId="0D8E0AF7" w14:textId="77777777" w:rsidR="004C2197" w:rsidRDefault="004C2197">
            <w:pPr>
              <w:rPr>
                <w:rFonts w:ascii="宋体"/>
              </w:rPr>
            </w:pPr>
          </w:p>
        </w:tc>
        <w:tc>
          <w:tcPr>
            <w:tcW w:w="0" w:type="auto"/>
            <w:shd w:val="clear" w:color="auto" w:fill="auto"/>
          </w:tcPr>
          <w:p w14:paraId="0D8E0AF8" w14:textId="77777777" w:rsidR="004C2197" w:rsidRDefault="004C2197">
            <w:pPr>
              <w:rPr>
                <w:rFonts w:ascii="宋体"/>
              </w:rPr>
            </w:pPr>
          </w:p>
        </w:tc>
        <w:tc>
          <w:tcPr>
            <w:tcW w:w="0" w:type="auto"/>
            <w:shd w:val="clear" w:color="auto" w:fill="auto"/>
          </w:tcPr>
          <w:p w14:paraId="0D8E0AF9" w14:textId="77777777" w:rsidR="004C2197" w:rsidRDefault="004C2197">
            <w:pPr>
              <w:rPr>
                <w:rFonts w:ascii="宋体"/>
              </w:rPr>
            </w:pPr>
          </w:p>
        </w:tc>
        <w:tc>
          <w:tcPr>
            <w:tcW w:w="0" w:type="auto"/>
            <w:shd w:val="clear" w:color="auto" w:fill="auto"/>
          </w:tcPr>
          <w:p w14:paraId="0D8E0AFA" w14:textId="77777777" w:rsidR="004C2197" w:rsidRDefault="004C2197">
            <w:pPr>
              <w:rPr>
                <w:rFonts w:ascii="宋体"/>
              </w:rPr>
            </w:pPr>
          </w:p>
        </w:tc>
        <w:tc>
          <w:tcPr>
            <w:tcW w:w="0" w:type="auto"/>
            <w:shd w:val="clear" w:color="auto" w:fill="auto"/>
          </w:tcPr>
          <w:p w14:paraId="0D8E0AFB" w14:textId="77777777" w:rsidR="004C2197" w:rsidRDefault="004C2197">
            <w:pPr>
              <w:rPr>
                <w:rFonts w:ascii="宋体"/>
              </w:rPr>
            </w:pPr>
          </w:p>
        </w:tc>
      </w:tr>
    </w:tbl>
    <w:p w14:paraId="0D8E0AFD" w14:textId="77777777" w:rsidR="004C2197" w:rsidRDefault="00863B83">
      <w:pPr>
        <w:spacing w:after="180"/>
        <w:jc w:val="center"/>
      </w:pPr>
      <w:r>
        <w:rPr>
          <w:rFonts w:ascii="sans-serif" w:eastAsia="sans-serif" w:hAnsi="sans-serif" w:cs="sans-serif"/>
          <w:color w:val="000000"/>
          <w:sz w:val="20"/>
          <w:szCs w:val="20"/>
        </w:rPr>
        <w:t>33</w:t>
      </w:r>
    </w:p>
    <w:p w14:paraId="0D8E0AFE" w14:textId="77777777" w:rsidR="004C2197" w:rsidRDefault="00863B83">
      <w:r>
        <w:pict w14:anchorId="0D8E0CC5">
          <v:rect id="_x0000_i1057" style="width:415.3pt;height:1.5pt" o:hralign="center" o:hrstd="t" o:hr="t" fillcolor="#a0a0a0" stroked="f"/>
        </w:pict>
      </w:r>
    </w:p>
    <w:p w14:paraId="0D8E0AFF" w14:textId="77777777" w:rsidR="004C2197" w:rsidRDefault="004C2197">
      <w:pPr>
        <w:spacing w:after="180"/>
        <w:jc w:val="both"/>
      </w:pPr>
    </w:p>
    <w:p w14:paraId="0D8E0B00" w14:textId="77777777" w:rsidR="004C2197" w:rsidRDefault="004C2197">
      <w:pPr>
        <w:spacing w:after="180"/>
        <w:jc w:val="both"/>
      </w:pPr>
    </w:p>
    <w:p w14:paraId="0D8E0B01" w14:textId="77777777" w:rsidR="004C2197" w:rsidRDefault="004C2197">
      <w:pPr>
        <w:spacing w:after="180"/>
        <w:jc w:val="both"/>
      </w:pPr>
    </w:p>
    <w:p w14:paraId="0D8E0B02" w14:textId="77777777" w:rsidR="004C2197" w:rsidRDefault="00863B83">
      <w:pPr>
        <w:spacing w:before="360" w:after="180"/>
        <w:jc w:val="both"/>
      </w:pPr>
      <w:r>
        <w:rPr>
          <w:rFonts w:ascii="sans-serif" w:eastAsia="sans-serif" w:hAnsi="sans-serif" w:cs="sans-serif"/>
          <w:color w:val="000000"/>
          <w:sz w:val="20"/>
          <w:szCs w:val="20"/>
        </w:rPr>
        <w:t xml:space="preserve">As of July 26, 2020, we had $10.98 billion in cash, cash equivalents and marketable securities, a decrease of $84 million from the end of </w:t>
      </w:r>
      <w:r>
        <w:rPr>
          <w:rFonts w:ascii="sans-serif" w:eastAsia="sans-serif" w:hAnsi="sans-serif" w:cs="sans-serif"/>
          <w:color w:val="000000"/>
          <w:sz w:val="20"/>
          <w:szCs w:val="20"/>
        </w:rPr>
        <w:t>fiscal year 2020. Our investment policy requires the purchase of highly rated fixed income securities, the diversification of investment types and credit exposures, and certain maturity limits on our portfolio.</w:t>
      </w:r>
    </w:p>
    <w:p w14:paraId="0D8E0B03" w14:textId="77777777" w:rsidR="004C2197" w:rsidRDefault="00863B83">
      <w:pPr>
        <w:spacing w:before="120" w:after="120"/>
        <w:jc w:val="both"/>
      </w:pPr>
      <w:r>
        <w:rPr>
          <w:rFonts w:ascii="sans-serif" w:eastAsia="sans-serif" w:hAnsi="sans-serif" w:cs="sans-serif"/>
          <w:color w:val="000000"/>
          <w:sz w:val="20"/>
          <w:szCs w:val="20"/>
        </w:rPr>
        <w:t>Cash provided by operating activities increas</w:t>
      </w:r>
      <w:r>
        <w:rPr>
          <w:rFonts w:ascii="sans-serif" w:eastAsia="sans-serif" w:hAnsi="sans-serif" w:cs="sans-serif"/>
          <w:color w:val="000000"/>
          <w:sz w:val="20"/>
          <w:szCs w:val="20"/>
        </w:rPr>
        <w:t xml:space="preserve">ed in the first half of fiscal year 2021 compared to the first half of fiscal year 2020, due to higher net income, partially offset by changes in working capital. Change in working capital was driven by an increase in inventory offset by inventory step-up </w:t>
      </w:r>
      <w:r>
        <w:rPr>
          <w:rFonts w:ascii="sans-serif" w:eastAsia="sans-serif" w:hAnsi="sans-serif" w:cs="sans-serif"/>
          <w:color w:val="000000"/>
          <w:sz w:val="20"/>
          <w:szCs w:val="20"/>
        </w:rPr>
        <w:t>expense from the Mellanox acquisition and changes in operating liabilities.</w:t>
      </w:r>
    </w:p>
    <w:p w14:paraId="0D8E0B04" w14:textId="77777777" w:rsidR="004C2197" w:rsidRDefault="00863B83">
      <w:pPr>
        <w:spacing w:before="120" w:after="120"/>
        <w:jc w:val="both"/>
      </w:pPr>
      <w:r>
        <w:rPr>
          <w:rFonts w:ascii="sans-serif" w:eastAsia="sans-serif" w:hAnsi="sans-serif" w:cs="sans-serif"/>
          <w:color w:val="000000"/>
          <w:sz w:val="20"/>
          <w:szCs w:val="20"/>
        </w:rPr>
        <w:t xml:space="preserve">Cash used in investing activities increased in the first half of fiscal year 2021 compared to cash provided in the first half of fiscal year 2020, primarily reflects cash used for </w:t>
      </w:r>
      <w:r>
        <w:rPr>
          <w:rFonts w:ascii="sans-serif" w:eastAsia="sans-serif" w:hAnsi="sans-serif" w:cs="sans-serif"/>
          <w:color w:val="000000"/>
          <w:sz w:val="20"/>
          <w:szCs w:val="20"/>
        </w:rPr>
        <w:t>the acquisition of Mellanox, higher purchases of marketable securities, and lower maturities and sales of marketable securities.</w:t>
      </w:r>
    </w:p>
    <w:p w14:paraId="0D8E0B05" w14:textId="77777777" w:rsidR="004C2197" w:rsidRDefault="00863B83">
      <w:pPr>
        <w:spacing w:before="120" w:after="120"/>
        <w:jc w:val="both"/>
      </w:pPr>
      <w:r>
        <w:rPr>
          <w:rFonts w:ascii="sans-serif" w:eastAsia="sans-serif" w:hAnsi="sans-serif" w:cs="sans-serif"/>
          <w:color w:val="000000"/>
          <w:sz w:val="20"/>
          <w:szCs w:val="20"/>
        </w:rPr>
        <w:t>Cash provided by financing activities increased in the first half of fiscal year 2021 compared to cash used in the first half o</w:t>
      </w:r>
      <w:r>
        <w:rPr>
          <w:rFonts w:ascii="sans-serif" w:eastAsia="sans-serif" w:hAnsi="sans-serif" w:cs="sans-serif"/>
          <w:color w:val="000000"/>
          <w:sz w:val="20"/>
          <w:szCs w:val="20"/>
        </w:rPr>
        <w:t>f fiscal year 2020, primarily reflects the debt issued in the first quarter of fiscal year 2021.</w:t>
      </w:r>
    </w:p>
    <w:p w14:paraId="0D8E0B06" w14:textId="77777777" w:rsidR="004C2197" w:rsidRDefault="00863B83">
      <w:pPr>
        <w:spacing w:after="180"/>
        <w:jc w:val="both"/>
      </w:pPr>
      <w:r>
        <w:rPr>
          <w:rFonts w:ascii="sans-serif" w:eastAsia="sans-serif" w:hAnsi="sans-serif" w:cs="sans-serif"/>
          <w:b/>
          <w:bCs/>
          <w:color w:val="000000"/>
          <w:sz w:val="20"/>
          <w:szCs w:val="20"/>
        </w:rPr>
        <w:t>Liquidity</w:t>
      </w:r>
    </w:p>
    <w:p w14:paraId="0D8E0B07" w14:textId="77777777" w:rsidR="004C2197" w:rsidRDefault="00863B83">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July 2</w:t>
      </w:r>
      <w:r>
        <w:rPr>
          <w:rFonts w:ascii="sans-serif" w:eastAsia="sans-serif" w:hAnsi="sans-serif" w:cs="sans-serif"/>
          <w:color w:val="000000"/>
          <w:sz w:val="20"/>
          <w:szCs w:val="20"/>
        </w:rPr>
        <w:t xml:space="preserve">6, 2020, we had $10.98 billion in cash, cash equivalents and marketable securities. Our marketable securities consist of debt securities issued by the U.S. government and its agencies, highly rated corporations and financial institutions, and certificates </w:t>
      </w:r>
      <w:r>
        <w:rPr>
          <w:rFonts w:ascii="sans-serif" w:eastAsia="sans-serif" w:hAnsi="sans-serif" w:cs="sans-serif"/>
          <w:color w:val="000000"/>
          <w:sz w:val="20"/>
          <w:szCs w:val="20"/>
        </w:rPr>
        <w:t>of deposits. These marketable securities are denominated in U.S. dollars. Refer to Note 7 of the Notes to Condensed Consolidated Financial Statements for additional information. We believe that we have sufficient liquidity to meet our operating requirement</w:t>
      </w:r>
      <w:r>
        <w:rPr>
          <w:rFonts w:ascii="sans-serif" w:eastAsia="sans-serif" w:hAnsi="sans-serif" w:cs="sans-serif"/>
          <w:color w:val="000000"/>
          <w:sz w:val="20"/>
          <w:szCs w:val="20"/>
        </w:rPr>
        <w:t xml:space="preserve">s and capital expenditures for at least the next twelve months. </w:t>
      </w:r>
    </w:p>
    <w:p w14:paraId="0D8E0B08" w14:textId="77777777" w:rsidR="004C2197" w:rsidRDefault="00863B83">
      <w:pPr>
        <w:spacing w:after="180"/>
        <w:jc w:val="both"/>
      </w:pPr>
      <w:r>
        <w:rPr>
          <w:rFonts w:ascii="sans-serif" w:eastAsia="sans-serif" w:hAnsi="sans-serif" w:cs="sans-serif"/>
          <w:color w:val="000000"/>
          <w:sz w:val="20"/>
          <w:szCs w:val="20"/>
        </w:rPr>
        <w:t>We have approximately $857 million of cash, cash equivalents, and marketable securities that we have not accrued any related foreign or state taxes if we repatriate these amounts to the Unite</w:t>
      </w:r>
      <w:r>
        <w:rPr>
          <w:rFonts w:ascii="sans-serif" w:eastAsia="sans-serif" w:hAnsi="sans-serif" w:cs="sans-serif"/>
          <w:color w:val="000000"/>
          <w:sz w:val="20"/>
          <w:szCs w:val="20"/>
        </w:rPr>
        <w:t>d States. Other than that, as a result of the Tax Cuts and Jobs Act, or TCJA, substantially all of our cash, cash equivalents and marketable securities held outside of the United States as of July 26, 2020 are available for use in the United States without</w:t>
      </w:r>
      <w:r>
        <w:rPr>
          <w:rFonts w:ascii="sans-serif" w:eastAsia="sans-serif" w:hAnsi="sans-serif" w:cs="sans-serif"/>
          <w:color w:val="000000"/>
          <w:sz w:val="20"/>
          <w:szCs w:val="20"/>
        </w:rPr>
        <w:t xml:space="preserve"> incurring additional U.S. federal income taxes.</w:t>
      </w:r>
    </w:p>
    <w:p w14:paraId="0D8E0B09" w14:textId="77777777" w:rsidR="004C2197" w:rsidRDefault="00863B83">
      <w:pPr>
        <w:spacing w:before="120" w:after="120"/>
        <w:jc w:val="both"/>
      </w:pPr>
      <w:r>
        <w:rPr>
          <w:rFonts w:ascii="sans-serif" w:eastAsia="sans-serif" w:hAnsi="sans-serif" w:cs="sans-serif"/>
          <w:b/>
          <w:bCs/>
          <w:color w:val="000000"/>
          <w:sz w:val="20"/>
          <w:szCs w:val="20"/>
        </w:rPr>
        <w:t>Capital Return to Shareholders</w:t>
      </w:r>
    </w:p>
    <w:p w14:paraId="0D8E0B0A" w14:textId="77777777" w:rsidR="004C2197" w:rsidRDefault="00863B83">
      <w:pPr>
        <w:spacing w:before="120" w:after="120"/>
        <w:jc w:val="both"/>
      </w:pPr>
      <w:r>
        <w:rPr>
          <w:rFonts w:ascii="sans-serif" w:eastAsia="sans-serif" w:hAnsi="sans-serif" w:cs="sans-serif"/>
          <w:color w:val="000000"/>
          <w:sz w:val="20"/>
          <w:szCs w:val="20"/>
        </w:rPr>
        <w:t>In the first half of fiscal year 2021, we paid $197 million in quarterly cash dividends. Our cash dividend program and the payment of future cash dividends under that program a</w:t>
      </w:r>
      <w:r>
        <w:rPr>
          <w:rFonts w:ascii="sans-serif" w:eastAsia="sans-serif" w:hAnsi="sans-serif" w:cs="sans-serif"/>
          <w:color w:val="000000"/>
          <w:sz w:val="20"/>
          <w:szCs w:val="20"/>
        </w:rPr>
        <w:t xml:space="preserve">re subject to our Board's continuing determination that the dividend program and the declaration of dividends thereunder are in the best interests of our shareholders. </w:t>
      </w:r>
    </w:p>
    <w:p w14:paraId="0D8E0B0B" w14:textId="77777777" w:rsidR="004C2197" w:rsidRDefault="00863B83">
      <w:pPr>
        <w:spacing w:after="180"/>
        <w:jc w:val="both"/>
      </w:pPr>
      <w:r>
        <w:rPr>
          <w:rFonts w:ascii="sans-serif" w:eastAsia="sans-serif" w:hAnsi="sans-serif" w:cs="sans-serif"/>
          <w:color w:val="000000"/>
          <w:sz w:val="20"/>
          <w:szCs w:val="20"/>
        </w:rPr>
        <w:t>As of July 26, 2020, we were authorized, subject to certain specifications, to repurcha</w:t>
      </w:r>
      <w:r>
        <w:rPr>
          <w:rFonts w:ascii="sans-serif" w:eastAsia="sans-serif" w:hAnsi="sans-serif" w:cs="sans-serif"/>
          <w:color w:val="000000"/>
          <w:sz w:val="20"/>
          <w:szCs w:val="20"/>
        </w:rPr>
        <w:t>se additional shares of our common stock up to $7.24 billion through December 2022. We did not repurchase any shares during the first half of fiscal year 2021.</w:t>
      </w:r>
    </w:p>
    <w:p w14:paraId="0D8E0B0C" w14:textId="77777777" w:rsidR="004C2197" w:rsidRDefault="00863B83">
      <w:pPr>
        <w:spacing w:after="180"/>
        <w:jc w:val="both"/>
      </w:pPr>
      <w:r>
        <w:rPr>
          <w:rFonts w:ascii="sans-serif" w:eastAsia="sans-serif" w:hAnsi="sans-serif" w:cs="sans-serif"/>
          <w:b/>
          <w:bCs/>
          <w:color w:val="000000"/>
          <w:sz w:val="20"/>
          <w:szCs w:val="20"/>
        </w:rPr>
        <w:t>Outstanding Indebtedness and Credit Facilities</w:t>
      </w:r>
    </w:p>
    <w:p w14:paraId="0D8E0B0D" w14:textId="77777777" w:rsidR="004C2197" w:rsidRDefault="00863B83">
      <w:pPr>
        <w:spacing w:after="180"/>
        <w:jc w:val="both"/>
      </w:pPr>
      <w:r>
        <w:rPr>
          <w:rFonts w:ascii="sans-serif" w:eastAsia="sans-serif" w:hAnsi="sans-serif" w:cs="sans-serif"/>
          <w:color w:val="000000"/>
          <w:sz w:val="20"/>
          <w:szCs w:val="20"/>
        </w:rPr>
        <w:t>In March 2020, we issued $1.50 billion of the 2.8</w:t>
      </w:r>
      <w:r>
        <w:rPr>
          <w:rFonts w:ascii="sans-serif" w:eastAsia="sans-serif" w:hAnsi="sans-serif" w:cs="sans-serif"/>
          <w:color w:val="000000"/>
          <w:sz w:val="20"/>
          <w:szCs w:val="20"/>
        </w:rPr>
        <w:t>5% Notes Due 2030, $1.00 billion of the 3.50% Notes Due 2040, $2.00 billion of the 3.50% Notes Due 2050, and $500 million of the 3.70% Notes Due 2060, or collectively, the March 2020 Notes. The net proceeds from the March 2020 Notes were $4.97 billion, aft</w:t>
      </w:r>
      <w:r>
        <w:rPr>
          <w:rFonts w:ascii="sans-serif" w:eastAsia="sans-serif" w:hAnsi="sans-serif" w:cs="sans-serif"/>
          <w:color w:val="000000"/>
          <w:sz w:val="20"/>
          <w:szCs w:val="20"/>
        </w:rPr>
        <w:t>er deducting debt discounts and estimated issuance costs.</w:t>
      </w:r>
    </w:p>
    <w:p w14:paraId="0D8E0B0E" w14:textId="77777777" w:rsidR="004C2197" w:rsidRDefault="00863B83">
      <w:pPr>
        <w:spacing w:before="120" w:after="120"/>
        <w:jc w:val="both"/>
      </w:pPr>
      <w:r>
        <w:rPr>
          <w:rFonts w:ascii="sans-serif" w:eastAsia="sans-serif" w:hAnsi="sans-serif" w:cs="sans-serif"/>
          <w:color w:val="000000"/>
          <w:sz w:val="20"/>
          <w:szCs w:val="20"/>
        </w:rPr>
        <w:t>In September 2016, we issued $1.00 billion of the 2.20% Notes Due 2021 and $1.00 billion of the 3.20% Notes Due 2026, or collectively, the September 2016 Notes. The net proceeds from the September 2</w:t>
      </w:r>
      <w:r>
        <w:rPr>
          <w:rFonts w:ascii="sans-serif" w:eastAsia="sans-serif" w:hAnsi="sans-serif" w:cs="sans-serif"/>
          <w:color w:val="000000"/>
          <w:sz w:val="20"/>
          <w:szCs w:val="20"/>
        </w:rPr>
        <w:t>016 Notes were $1.98 billion, after deducting debt discounts and issuance costs.</w:t>
      </w:r>
    </w:p>
    <w:p w14:paraId="0D8E0B0F" w14:textId="77777777" w:rsidR="004C2197" w:rsidRDefault="00863B83">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revolving loan commitments up to $425 million. As of July</w:t>
      </w:r>
      <w:r>
        <w:rPr>
          <w:rFonts w:ascii="sans-serif" w:eastAsia="sans-serif" w:hAnsi="sans-serif" w:cs="sans-serif"/>
          <w:color w:val="000000"/>
          <w:sz w:val="20"/>
          <w:szCs w:val="20"/>
        </w:rPr>
        <w:t> 26, 2020, we had not borrowed any amounts under this agreement.</w:t>
      </w:r>
    </w:p>
    <w:p w14:paraId="0D8E0B10" w14:textId="77777777" w:rsidR="004C2197" w:rsidRDefault="00863B83">
      <w:pPr>
        <w:spacing w:before="120" w:after="120"/>
        <w:jc w:val="both"/>
      </w:pPr>
      <w:r>
        <w:rPr>
          <w:rFonts w:ascii="sans-serif" w:eastAsia="sans-serif" w:hAnsi="sans-serif" w:cs="sans-serif"/>
          <w:color w:val="000000"/>
          <w:sz w:val="20"/>
          <w:szCs w:val="20"/>
        </w:rPr>
        <w:t>We have a $575 million commercial paper program to support general corporate purposes. As of July 26, 2020, we had not issued any commercial paper.</w:t>
      </w:r>
    </w:p>
    <w:p w14:paraId="0D8E0B11" w14:textId="77777777" w:rsidR="004C2197" w:rsidRDefault="00863B83">
      <w:pPr>
        <w:spacing w:after="180"/>
        <w:jc w:val="both"/>
      </w:pPr>
      <w:r>
        <w:rPr>
          <w:rFonts w:ascii="sans-serif" w:eastAsia="sans-serif" w:hAnsi="sans-serif" w:cs="sans-serif"/>
          <w:b/>
          <w:bCs/>
          <w:color w:val="000000"/>
          <w:sz w:val="20"/>
          <w:szCs w:val="20"/>
        </w:rPr>
        <w:t>Off-Balance Sheet Arrangements</w:t>
      </w:r>
    </w:p>
    <w:p w14:paraId="0D8E0B12" w14:textId="77777777" w:rsidR="004C2197" w:rsidRDefault="00863B83">
      <w:pPr>
        <w:spacing w:after="180"/>
        <w:jc w:val="both"/>
      </w:pPr>
      <w:r>
        <w:rPr>
          <w:rFonts w:ascii="sans-serif" w:eastAsia="sans-serif" w:hAnsi="sans-serif" w:cs="sans-serif"/>
          <w:color w:val="000000"/>
          <w:sz w:val="20"/>
          <w:szCs w:val="20"/>
        </w:rPr>
        <w:t>As of July 2</w:t>
      </w:r>
      <w:r>
        <w:rPr>
          <w:rFonts w:ascii="sans-serif" w:eastAsia="sans-serif" w:hAnsi="sans-serif" w:cs="sans-serif"/>
          <w:color w:val="000000"/>
          <w:sz w:val="20"/>
          <w:szCs w:val="20"/>
        </w:rPr>
        <w:t>6, 2020, we had no material off-balance sheet arrangements as defined by applicable SEC regulations.</w:t>
      </w:r>
    </w:p>
    <w:p w14:paraId="0D8E0B13" w14:textId="77777777" w:rsidR="004C2197" w:rsidRDefault="00863B83">
      <w:pPr>
        <w:spacing w:after="180"/>
        <w:jc w:val="center"/>
      </w:pPr>
      <w:r>
        <w:rPr>
          <w:rFonts w:ascii="sans-serif" w:eastAsia="sans-serif" w:hAnsi="sans-serif" w:cs="sans-serif"/>
          <w:color w:val="000000"/>
          <w:sz w:val="20"/>
          <w:szCs w:val="20"/>
        </w:rPr>
        <w:t>34</w:t>
      </w:r>
    </w:p>
    <w:p w14:paraId="0D8E0B14" w14:textId="77777777" w:rsidR="004C2197" w:rsidRDefault="00863B83">
      <w:r>
        <w:pict w14:anchorId="0D8E0CC6">
          <v:rect id="_x0000_i1058" style="width:415.3pt;height:1.5pt" o:hralign="center" o:hrstd="t" o:hr="t" fillcolor="#a0a0a0" stroked="f"/>
        </w:pict>
      </w:r>
    </w:p>
    <w:p w14:paraId="0D8E0B15" w14:textId="77777777" w:rsidR="004C2197" w:rsidRDefault="004C2197">
      <w:pPr>
        <w:spacing w:after="180"/>
        <w:jc w:val="both"/>
      </w:pPr>
    </w:p>
    <w:p w14:paraId="0D8E0B16" w14:textId="77777777" w:rsidR="004C2197" w:rsidRDefault="004C2197">
      <w:pPr>
        <w:spacing w:after="180"/>
        <w:jc w:val="both"/>
      </w:pPr>
    </w:p>
    <w:p w14:paraId="0D8E0B17" w14:textId="77777777" w:rsidR="004C2197" w:rsidRDefault="004C2197">
      <w:pPr>
        <w:spacing w:after="180"/>
        <w:jc w:val="both"/>
      </w:pPr>
    </w:p>
    <w:p w14:paraId="0D8E0B18" w14:textId="77777777" w:rsidR="004C2197" w:rsidRDefault="00863B83">
      <w:pPr>
        <w:spacing w:after="180"/>
        <w:jc w:val="both"/>
      </w:pPr>
      <w:r>
        <w:rPr>
          <w:rFonts w:ascii="sans-serif" w:eastAsia="sans-serif" w:hAnsi="sans-serif" w:cs="sans-serif"/>
          <w:b/>
          <w:bCs/>
          <w:color w:val="000000"/>
          <w:sz w:val="20"/>
          <w:szCs w:val="20"/>
        </w:rPr>
        <w:t>Contractual Obligations</w:t>
      </w:r>
    </w:p>
    <w:p w14:paraId="0D8E0B19" w14:textId="77777777" w:rsidR="004C2197" w:rsidRDefault="00863B83">
      <w:pPr>
        <w:spacing w:after="180"/>
        <w:jc w:val="both"/>
      </w:pPr>
      <w:r>
        <w:rPr>
          <w:rFonts w:ascii="sans-serif" w:eastAsia="sans-serif" w:hAnsi="sans-serif" w:cs="sans-serif"/>
          <w:color w:val="000000"/>
          <w:sz w:val="20"/>
          <w:szCs w:val="20"/>
        </w:rPr>
        <w:t xml:space="preserve">There are $153 million of long-term tax liabilities related to tax basis differences in Mellanox and </w:t>
      </w:r>
      <w:r>
        <w:rPr>
          <w:rFonts w:ascii="sans-serif" w:eastAsia="sans-serif" w:hAnsi="sans-serif" w:cs="sans-serif"/>
          <w:color w:val="000000"/>
          <w:sz w:val="20"/>
          <w:szCs w:val="20"/>
        </w:rPr>
        <w:t>unrecognized tax benefits of $286 million, which includes related interest and penalties of $41 million recorded in non-current income tax payable as of July 26, 2020. We are unable to reasonably estimate the timing of any potential tax liability, interest</w:t>
      </w:r>
      <w:r>
        <w:rPr>
          <w:rFonts w:ascii="sans-serif" w:eastAsia="sans-serif" w:hAnsi="sans-serif" w:cs="sans-serif"/>
          <w:color w:val="000000"/>
          <w:sz w:val="20"/>
          <w:szCs w:val="20"/>
        </w:rPr>
        <w:t xml:space="preserve"> payments, or penalties in individual years due to uncertainties in the underlying income tax positions and the timing of the effective settlement of such tax positions. We are currently under examination by the Internal Revenue Service for our fiscal year</w:t>
      </w:r>
      <w:r>
        <w:rPr>
          <w:rFonts w:ascii="sans-serif" w:eastAsia="sans-serif" w:hAnsi="sans-serif" w:cs="sans-serif"/>
          <w:color w:val="000000"/>
          <w:sz w:val="20"/>
          <w:szCs w:val="20"/>
        </w:rPr>
        <w:t>s 2018 and 2019. Refer to Note 6 of the Notes to Condensed Consolidated Financial Statements for further information.</w:t>
      </w:r>
    </w:p>
    <w:p w14:paraId="0D8E0B1A" w14:textId="77777777" w:rsidR="004C2197" w:rsidRDefault="00863B83">
      <w:pPr>
        <w:spacing w:after="180"/>
        <w:jc w:val="both"/>
      </w:pPr>
      <w:r>
        <w:rPr>
          <w:rFonts w:ascii="sans-serif" w:eastAsia="sans-serif" w:hAnsi="sans-serif" w:cs="sans-serif"/>
          <w:color w:val="000000"/>
          <w:sz w:val="20"/>
          <w:szCs w:val="20"/>
        </w:rPr>
        <w:t>Other than the contractual obligations described above, there were no material changes outside the ordinary course of business in our cont</w:t>
      </w:r>
      <w:r>
        <w:rPr>
          <w:rFonts w:ascii="sans-serif" w:eastAsia="sans-serif" w:hAnsi="sans-serif" w:cs="sans-serif"/>
          <w:color w:val="000000"/>
          <w:sz w:val="20"/>
          <w:szCs w:val="20"/>
        </w:rPr>
        <w:t>ractual obligations from those disclosed in our Annual Report on Form 10-K for the fiscal year ended January 26, 2020. Refer to Item 7, “Management’s Discussion and Analysis of Financial Condition and Results of Operations - Liquidity and Capital Resources</w:t>
      </w:r>
      <w:r>
        <w:rPr>
          <w:rFonts w:ascii="sans-serif" w:eastAsia="sans-serif" w:hAnsi="sans-serif" w:cs="sans-serif"/>
          <w:color w:val="000000"/>
          <w:sz w:val="20"/>
          <w:szCs w:val="20"/>
        </w:rPr>
        <w:t xml:space="preserve">” in our Annual Report on Form 10-K for the fiscal year ended January 26, 2020 for a description of our contractual obligations. For a description of our long-term debt, purchase obligations, and operating lease obligations, refer to Note 12, Note 13, and </w:t>
      </w:r>
      <w:r>
        <w:rPr>
          <w:rFonts w:ascii="sans-serif" w:eastAsia="sans-serif" w:hAnsi="sans-serif" w:cs="sans-serif"/>
          <w:color w:val="000000"/>
          <w:sz w:val="20"/>
          <w:szCs w:val="20"/>
        </w:rPr>
        <w:t>Note 3 of the Notes to Condensed Consolidated Financial Statements, respectively.</w:t>
      </w:r>
    </w:p>
    <w:p w14:paraId="0D8E0B1B" w14:textId="77777777" w:rsidR="004C2197" w:rsidRDefault="00863B83">
      <w:pPr>
        <w:spacing w:before="240" w:after="120"/>
        <w:jc w:val="both"/>
      </w:pPr>
      <w:r>
        <w:rPr>
          <w:rFonts w:ascii="sans-serif" w:eastAsia="sans-serif" w:hAnsi="sans-serif" w:cs="sans-serif"/>
          <w:b/>
          <w:bCs/>
          <w:color w:val="76B900"/>
          <w:sz w:val="22"/>
          <w:szCs w:val="22"/>
        </w:rPr>
        <w:t>Adoption of New and Recently Issued Accounting Pronouncements</w:t>
      </w:r>
    </w:p>
    <w:p w14:paraId="0D8E0B1C" w14:textId="77777777" w:rsidR="004C2197" w:rsidRDefault="00863B83">
      <w:pPr>
        <w:spacing w:after="180"/>
        <w:jc w:val="both"/>
      </w:pPr>
      <w:r>
        <w:rPr>
          <w:rFonts w:ascii="sans-serif" w:eastAsia="sans-serif" w:hAnsi="sans-serif" w:cs="sans-serif"/>
          <w:color w:val="000000"/>
          <w:sz w:val="20"/>
          <w:szCs w:val="20"/>
        </w:rPr>
        <w:t xml:space="preserve">Refer to Note 1 of the Notes to Condensed Consolidated Financial Statements for a discussion of adoption of new </w:t>
      </w:r>
      <w:r>
        <w:rPr>
          <w:rFonts w:ascii="sans-serif" w:eastAsia="sans-serif" w:hAnsi="sans-serif" w:cs="sans-serif"/>
          <w:color w:val="000000"/>
          <w:sz w:val="20"/>
          <w:szCs w:val="20"/>
        </w:rPr>
        <w:t>and recently issued accounting pronouncements.</w:t>
      </w:r>
    </w:p>
    <w:p w14:paraId="0D8E0B1D" w14:textId="77777777" w:rsidR="004C2197" w:rsidRDefault="004C2197">
      <w:pPr>
        <w:spacing w:after="180"/>
        <w:jc w:val="both"/>
      </w:pPr>
    </w:p>
    <w:p w14:paraId="0D8E0B1E" w14:textId="77777777" w:rsidR="004C2197" w:rsidRDefault="00863B83">
      <w:pPr>
        <w:spacing w:before="240" w:after="120"/>
        <w:jc w:val="both"/>
      </w:pPr>
      <w:r>
        <w:rPr>
          <w:rFonts w:ascii="sans-serif" w:eastAsia="sans-serif" w:hAnsi="sans-serif" w:cs="sans-serif"/>
          <w:b/>
          <w:bCs/>
          <w:color w:val="76B900"/>
          <w:sz w:val="22"/>
          <w:szCs w:val="22"/>
        </w:rPr>
        <w:t>ITEM 3. QUANTITATIVE AND QUALITATIVE DISCLOSURES ABOUT MARKET RISK</w:t>
      </w:r>
    </w:p>
    <w:p w14:paraId="0D8E0B1F" w14:textId="77777777" w:rsidR="004C2197" w:rsidRDefault="00863B83">
      <w:pPr>
        <w:spacing w:before="240" w:after="60"/>
        <w:jc w:val="both"/>
      </w:pPr>
      <w:r>
        <w:rPr>
          <w:rFonts w:ascii="sans-serif" w:eastAsia="sans-serif" w:hAnsi="sans-serif" w:cs="sans-serif"/>
          <w:b/>
          <w:bCs/>
          <w:color w:val="76B900"/>
          <w:sz w:val="20"/>
          <w:szCs w:val="20"/>
        </w:rPr>
        <w:t>Investment and Interest Rate Risk</w:t>
      </w:r>
    </w:p>
    <w:p w14:paraId="0D8E0B20" w14:textId="77777777" w:rsidR="004C2197" w:rsidRDefault="00863B83">
      <w:pPr>
        <w:spacing w:after="180"/>
        <w:jc w:val="both"/>
      </w:pPr>
      <w:r>
        <w:rPr>
          <w:rFonts w:ascii="sans-serif" w:eastAsia="sans-serif" w:hAnsi="sans-serif" w:cs="sans-serif"/>
          <w:color w:val="000000"/>
          <w:sz w:val="20"/>
          <w:szCs w:val="20"/>
        </w:rPr>
        <w:t>Financial market risks related to investment and interest rate risk are described in our Annual Report on F</w:t>
      </w:r>
      <w:r>
        <w:rPr>
          <w:rFonts w:ascii="sans-serif" w:eastAsia="sans-serif" w:hAnsi="sans-serif" w:cs="sans-serif"/>
          <w:color w:val="000000"/>
          <w:sz w:val="20"/>
          <w:szCs w:val="20"/>
        </w:rPr>
        <w:t>orm 10-K for the fiscal year ended January 26, 2020. As of July 26, 2020, there have been no material changes, including the impact of the COVID-19 pandemic, to the financial market risks described as of January 26, 2020.</w:t>
      </w:r>
    </w:p>
    <w:p w14:paraId="0D8E0B21" w14:textId="77777777" w:rsidR="004C2197" w:rsidRDefault="00863B83">
      <w:pPr>
        <w:spacing w:before="240" w:after="60"/>
        <w:jc w:val="both"/>
      </w:pPr>
      <w:r>
        <w:rPr>
          <w:rFonts w:ascii="sans-serif" w:eastAsia="sans-serif" w:hAnsi="sans-serif" w:cs="sans-serif"/>
          <w:b/>
          <w:bCs/>
          <w:color w:val="76B900"/>
          <w:sz w:val="20"/>
          <w:szCs w:val="20"/>
        </w:rPr>
        <w:t xml:space="preserve">Foreign Exchange Rate Risk </w:t>
      </w:r>
    </w:p>
    <w:p w14:paraId="0D8E0B22" w14:textId="77777777" w:rsidR="004C2197" w:rsidRDefault="00863B83">
      <w:pPr>
        <w:spacing w:after="180"/>
        <w:jc w:val="both"/>
      </w:pPr>
      <w:r>
        <w:rPr>
          <w:rFonts w:ascii="sans-serif" w:eastAsia="sans-serif" w:hAnsi="sans-serif" w:cs="sans-serif"/>
          <w:color w:val="000000"/>
          <w:sz w:val="20"/>
          <w:szCs w:val="20"/>
        </w:rPr>
        <w:t>The im</w:t>
      </w:r>
      <w:r>
        <w:rPr>
          <w:rFonts w:ascii="sans-serif" w:eastAsia="sans-serif" w:hAnsi="sans-serif" w:cs="sans-serif"/>
          <w:color w:val="000000"/>
          <w:sz w:val="20"/>
          <w:szCs w:val="20"/>
        </w:rPr>
        <w:t>pact of foreign currency transactions related to foreign exchange rate risk is described in our Annual Report on Form 10-K for the fiscal year ended January 26, 2020. As of July 26, 2020, there have been no material changes, including the impact of the COV</w:t>
      </w:r>
      <w:r>
        <w:rPr>
          <w:rFonts w:ascii="sans-serif" w:eastAsia="sans-serif" w:hAnsi="sans-serif" w:cs="sans-serif"/>
          <w:color w:val="000000"/>
          <w:sz w:val="20"/>
          <w:szCs w:val="20"/>
        </w:rPr>
        <w:t>ID-19 pandemic, to the foreign exchange rate risks described as of January 26, 2020.</w:t>
      </w:r>
    </w:p>
    <w:p w14:paraId="0D8E0B23" w14:textId="77777777" w:rsidR="004C2197" w:rsidRDefault="00863B83">
      <w:pPr>
        <w:spacing w:after="180"/>
        <w:jc w:val="both"/>
      </w:pPr>
      <w:r>
        <w:rPr>
          <w:rFonts w:ascii="sans-serif" w:eastAsia="sans-serif" w:hAnsi="sans-serif" w:cs="sans-serif"/>
          <w:color w:val="000000"/>
          <w:sz w:val="20"/>
          <w:szCs w:val="20"/>
        </w:rPr>
        <w:t>Refer to Note 11 of the Notes to Condensed Consolidated Financial Statements for additional information.</w:t>
      </w:r>
    </w:p>
    <w:p w14:paraId="0D8E0B24" w14:textId="77777777" w:rsidR="004C2197" w:rsidRDefault="004C2197">
      <w:pPr>
        <w:spacing w:after="180"/>
        <w:jc w:val="both"/>
      </w:pPr>
    </w:p>
    <w:p w14:paraId="0D8E0B25" w14:textId="77777777" w:rsidR="004C2197" w:rsidRDefault="00863B83">
      <w:pPr>
        <w:spacing w:before="240" w:after="120"/>
        <w:jc w:val="both"/>
      </w:pPr>
      <w:r>
        <w:rPr>
          <w:rFonts w:ascii="sans-serif" w:eastAsia="sans-serif" w:hAnsi="sans-serif" w:cs="sans-serif"/>
          <w:b/>
          <w:bCs/>
          <w:color w:val="76B900"/>
          <w:sz w:val="22"/>
          <w:szCs w:val="22"/>
        </w:rPr>
        <w:t>ITEM 4. CONTROLS AND PROCEDURES</w:t>
      </w:r>
    </w:p>
    <w:p w14:paraId="0D8E0B26" w14:textId="77777777" w:rsidR="004C2197" w:rsidRDefault="00863B83">
      <w:pPr>
        <w:spacing w:before="240" w:after="60"/>
        <w:jc w:val="both"/>
      </w:pPr>
      <w:r>
        <w:rPr>
          <w:rFonts w:ascii="sans-serif" w:eastAsia="sans-serif" w:hAnsi="sans-serif" w:cs="sans-serif"/>
          <w:b/>
          <w:bCs/>
          <w:color w:val="76B900"/>
          <w:sz w:val="20"/>
          <w:szCs w:val="20"/>
        </w:rPr>
        <w:t>Controls and Procedures</w:t>
      </w:r>
    </w:p>
    <w:p w14:paraId="0D8E0B27" w14:textId="77777777" w:rsidR="004C2197" w:rsidRDefault="00863B83">
      <w:pPr>
        <w:spacing w:before="120" w:after="120"/>
        <w:jc w:val="both"/>
      </w:pPr>
      <w:r>
        <w:rPr>
          <w:rFonts w:ascii="sans-serif" w:eastAsia="sans-serif" w:hAnsi="sans-serif" w:cs="sans-serif"/>
          <w:b/>
          <w:bCs/>
          <w:color w:val="000000"/>
          <w:sz w:val="20"/>
          <w:szCs w:val="20"/>
        </w:rPr>
        <w:t>Disclosure Controls and Procedures</w:t>
      </w:r>
    </w:p>
    <w:p w14:paraId="0D8E0B28" w14:textId="77777777" w:rsidR="004C2197" w:rsidRDefault="00863B83">
      <w:pPr>
        <w:spacing w:after="180"/>
        <w:jc w:val="both"/>
      </w:pPr>
      <w:r>
        <w:rPr>
          <w:rFonts w:ascii="sans-serif" w:eastAsia="sans-serif" w:hAnsi="sans-serif" w:cs="sans-serif"/>
          <w:color w:val="000000"/>
          <w:sz w:val="20"/>
          <w:szCs w:val="20"/>
        </w:rPr>
        <w:t>Based on their evaluation as of July 26, 2020, our management, including our Chief Executive Officer and Chief Financial Officer, has concluded that our disclosure controls and procedures (as defined in Rule 13a-15(e) und</w:t>
      </w:r>
      <w:r>
        <w:rPr>
          <w:rFonts w:ascii="sans-serif" w:eastAsia="sans-serif" w:hAnsi="sans-serif" w:cs="sans-serif"/>
          <w:color w:val="000000"/>
          <w:sz w:val="20"/>
          <w:szCs w:val="20"/>
        </w:rPr>
        <w:t>er the Securities Exchange Act of 1934, as amended) were effective to provide reasonable assurance.</w:t>
      </w:r>
    </w:p>
    <w:p w14:paraId="0D8E0B29" w14:textId="77777777" w:rsidR="004C2197" w:rsidRDefault="00863B83">
      <w:pPr>
        <w:spacing w:before="120" w:after="120"/>
        <w:jc w:val="both"/>
      </w:pPr>
      <w:r>
        <w:rPr>
          <w:rFonts w:ascii="sans-serif" w:eastAsia="sans-serif" w:hAnsi="sans-serif" w:cs="sans-serif"/>
          <w:b/>
          <w:bCs/>
          <w:color w:val="000000"/>
          <w:sz w:val="20"/>
          <w:szCs w:val="20"/>
        </w:rPr>
        <w:t>Changes in Internal Control Over Financial Reporting</w:t>
      </w:r>
    </w:p>
    <w:p w14:paraId="0D8E0B2A" w14:textId="77777777" w:rsidR="004C2197" w:rsidRDefault="00863B83">
      <w:pPr>
        <w:spacing w:after="180"/>
        <w:jc w:val="both"/>
      </w:pPr>
      <w:r>
        <w:rPr>
          <w:rFonts w:ascii="sans-serif" w:eastAsia="sans-serif" w:hAnsi="sans-serif" w:cs="sans-serif"/>
          <w:color w:val="000000"/>
          <w:sz w:val="20"/>
          <w:szCs w:val="20"/>
        </w:rPr>
        <w:t>Other than the acquisition of Mellanox, there were no changes in our internal control over financial re</w:t>
      </w:r>
      <w:r>
        <w:rPr>
          <w:rFonts w:ascii="sans-serif" w:eastAsia="sans-serif" w:hAnsi="sans-serif" w:cs="sans-serif"/>
          <w:color w:val="000000"/>
          <w:sz w:val="20"/>
          <w:szCs w:val="20"/>
        </w:rPr>
        <w:t xml:space="preserve">porting during the second quarter of fiscal year 2021 that have materially affected, or are reasonably likely to materially affect, our internal control over financial reporting despite the fact that virtually all of our employees are working remotely due </w:t>
      </w:r>
      <w:r>
        <w:rPr>
          <w:rFonts w:ascii="sans-serif" w:eastAsia="sans-serif" w:hAnsi="sans-serif" w:cs="sans-serif"/>
          <w:color w:val="000000"/>
          <w:sz w:val="20"/>
          <w:szCs w:val="20"/>
        </w:rPr>
        <w:t>to the COVID-19 pandemic. We are continually monitoring and assessing the COVID-19 situation on our internal controls to minimize the impact on their operating effectiveness. We are in the process of integrating Mellanox into our systems and control enviro</w:t>
      </w:r>
      <w:r>
        <w:rPr>
          <w:rFonts w:ascii="sans-serif" w:eastAsia="sans-serif" w:hAnsi="sans-serif" w:cs="sans-serif"/>
          <w:color w:val="000000"/>
          <w:sz w:val="20"/>
          <w:szCs w:val="20"/>
        </w:rPr>
        <w:t>nment. We believe that we have taken the necessary steps to monitor and maintain appropriate internal control over financial reporting during this integration.</w:t>
      </w:r>
    </w:p>
    <w:p w14:paraId="0D8E0B2B" w14:textId="77777777" w:rsidR="004C2197" w:rsidRDefault="00863B83">
      <w:pPr>
        <w:spacing w:after="180"/>
        <w:jc w:val="center"/>
      </w:pPr>
      <w:r>
        <w:rPr>
          <w:rFonts w:ascii="sans-serif" w:eastAsia="sans-serif" w:hAnsi="sans-serif" w:cs="sans-serif"/>
          <w:color w:val="000000"/>
          <w:sz w:val="20"/>
          <w:szCs w:val="20"/>
        </w:rPr>
        <w:t>35</w:t>
      </w:r>
    </w:p>
    <w:p w14:paraId="0D8E0B2C" w14:textId="77777777" w:rsidR="004C2197" w:rsidRDefault="00863B83">
      <w:r>
        <w:pict w14:anchorId="0D8E0CC7">
          <v:rect id="_x0000_i1059" style="width:415.3pt;height:1.5pt" o:hralign="center" o:hrstd="t" o:hr="t" fillcolor="#a0a0a0" stroked="f"/>
        </w:pict>
      </w:r>
    </w:p>
    <w:p w14:paraId="0D8E0B2D" w14:textId="77777777" w:rsidR="004C2197" w:rsidRDefault="004C2197">
      <w:pPr>
        <w:spacing w:after="180"/>
        <w:jc w:val="both"/>
      </w:pPr>
    </w:p>
    <w:p w14:paraId="0D8E0B2E" w14:textId="77777777" w:rsidR="004C2197" w:rsidRDefault="004C2197">
      <w:pPr>
        <w:spacing w:after="180"/>
        <w:jc w:val="both"/>
      </w:pPr>
    </w:p>
    <w:p w14:paraId="0D8E0B2F" w14:textId="77777777" w:rsidR="004C2197" w:rsidRDefault="004C2197">
      <w:pPr>
        <w:spacing w:after="180"/>
        <w:jc w:val="both"/>
      </w:pPr>
    </w:p>
    <w:p w14:paraId="0D8E0B30" w14:textId="77777777" w:rsidR="004C2197" w:rsidRDefault="00863B83">
      <w:pPr>
        <w:spacing w:before="120" w:after="120"/>
        <w:jc w:val="both"/>
      </w:pPr>
      <w:r>
        <w:rPr>
          <w:rFonts w:ascii="sans-serif" w:eastAsia="sans-serif" w:hAnsi="sans-serif" w:cs="sans-serif"/>
          <w:b/>
          <w:bCs/>
          <w:color w:val="000000"/>
          <w:sz w:val="20"/>
          <w:szCs w:val="20"/>
        </w:rPr>
        <w:t>Inherent Limitations on Effectiveness of Controls</w:t>
      </w:r>
    </w:p>
    <w:p w14:paraId="0D8E0B31" w14:textId="77777777" w:rsidR="004C2197" w:rsidRDefault="00863B83">
      <w:pPr>
        <w:spacing w:after="180"/>
        <w:jc w:val="both"/>
      </w:pPr>
      <w:r>
        <w:rPr>
          <w:rFonts w:ascii="sans-serif" w:eastAsia="sans-serif" w:hAnsi="sans-serif" w:cs="sans-serif"/>
          <w:color w:val="000000"/>
          <w:sz w:val="20"/>
          <w:szCs w:val="20"/>
        </w:rPr>
        <w:t xml:space="preserve">Our management, including our </w:t>
      </w:r>
      <w:r>
        <w:rPr>
          <w:rFonts w:ascii="sans-serif" w:eastAsia="sans-serif" w:hAnsi="sans-serif" w:cs="sans-serif"/>
          <w:color w:val="000000"/>
          <w:sz w:val="20"/>
          <w:szCs w:val="20"/>
        </w:rPr>
        <w:t>Chief Executive Officer and Chief Financial Officer, does not expect that our disclosure controls and procedures or our internal controls, will prevent all error and all fraud. A control system, no matter how well conceived and operated, can provide only r</w:t>
      </w:r>
      <w:r>
        <w:rPr>
          <w:rFonts w:ascii="sans-serif" w:eastAsia="sans-serif" w:hAnsi="sans-serif" w:cs="sans-serif"/>
          <w:color w:val="000000"/>
          <w:sz w:val="20"/>
          <w:szCs w:val="20"/>
        </w:rPr>
        <w:t>easonable, not absolute, assurance that the objectives of the control system are met. Further, the design of a control system must reflect the fact that there are resource constraints, and the benefits of controls must be considered relative to their costs</w:t>
      </w:r>
      <w:r>
        <w:rPr>
          <w:rFonts w:ascii="sans-serif" w:eastAsia="sans-serif" w:hAnsi="sans-serif" w:cs="sans-serif"/>
          <w:color w:val="000000"/>
          <w:sz w:val="20"/>
          <w:szCs w:val="20"/>
        </w:rPr>
        <w:t>. Because of the inherent limitations in all control systems, no evaluation of controls can provide absolute assurance that all control issues and instances of fraud, if any, within NVIDIA have been detected.</w:t>
      </w:r>
    </w:p>
    <w:p w14:paraId="0D8E0B32" w14:textId="77777777" w:rsidR="004C2197" w:rsidRDefault="00863B83">
      <w:pPr>
        <w:spacing w:before="240" w:after="120"/>
        <w:jc w:val="both"/>
      </w:pPr>
      <w:r>
        <w:rPr>
          <w:rFonts w:ascii="sans-serif" w:eastAsia="sans-serif" w:hAnsi="sans-serif" w:cs="sans-serif"/>
          <w:b/>
          <w:bCs/>
          <w:color w:val="76B900"/>
          <w:sz w:val="22"/>
          <w:szCs w:val="22"/>
        </w:rPr>
        <w:t>PART II. OTHER INFORMATION</w:t>
      </w:r>
    </w:p>
    <w:p w14:paraId="0D8E0B33" w14:textId="77777777" w:rsidR="004C2197" w:rsidRDefault="004C2197">
      <w:pPr>
        <w:spacing w:after="180"/>
        <w:jc w:val="both"/>
      </w:pPr>
    </w:p>
    <w:p w14:paraId="0D8E0B34" w14:textId="77777777" w:rsidR="004C2197" w:rsidRDefault="00863B83">
      <w:pPr>
        <w:spacing w:before="240" w:after="120"/>
        <w:jc w:val="both"/>
      </w:pPr>
      <w:r>
        <w:rPr>
          <w:rFonts w:ascii="sans-serif" w:eastAsia="sans-serif" w:hAnsi="sans-serif" w:cs="sans-serif"/>
          <w:b/>
          <w:bCs/>
          <w:color w:val="76B900"/>
          <w:sz w:val="22"/>
          <w:szCs w:val="22"/>
        </w:rPr>
        <w:t>ITEM 1. LEGAL PROCE</w:t>
      </w:r>
      <w:r>
        <w:rPr>
          <w:rFonts w:ascii="sans-serif" w:eastAsia="sans-serif" w:hAnsi="sans-serif" w:cs="sans-serif"/>
          <w:b/>
          <w:bCs/>
          <w:color w:val="76B900"/>
          <w:sz w:val="22"/>
          <w:szCs w:val="22"/>
        </w:rPr>
        <w:t>EDINGS</w:t>
      </w:r>
    </w:p>
    <w:p w14:paraId="0D8E0B35" w14:textId="77777777" w:rsidR="004C2197" w:rsidRDefault="00863B83">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significant developments in our legal proceedings since January 26, 2020. Also refer to Item 3, “Legal Proceedings” in our Annual Report</w:t>
      </w:r>
      <w:r>
        <w:rPr>
          <w:rFonts w:ascii="sans-serif" w:eastAsia="sans-serif" w:hAnsi="sans-serif" w:cs="sans-serif"/>
          <w:color w:val="000000"/>
          <w:sz w:val="20"/>
          <w:szCs w:val="20"/>
        </w:rPr>
        <w:t xml:space="preserve"> on Form 10-K for the fiscal year ended January 26, 2020 for a prior discussion of our legal proceedings.</w:t>
      </w:r>
    </w:p>
    <w:p w14:paraId="0D8E0B36" w14:textId="77777777" w:rsidR="004C2197" w:rsidRDefault="00863B83">
      <w:pPr>
        <w:spacing w:before="240" w:after="120"/>
        <w:jc w:val="both"/>
      </w:pPr>
      <w:r>
        <w:rPr>
          <w:rFonts w:ascii="sans-serif" w:eastAsia="sans-serif" w:hAnsi="sans-serif" w:cs="sans-serif"/>
          <w:b/>
          <w:bCs/>
          <w:color w:val="76B900"/>
          <w:sz w:val="22"/>
          <w:szCs w:val="22"/>
        </w:rPr>
        <w:t>ITEM 1A. RISK FACTORS</w:t>
      </w:r>
    </w:p>
    <w:p w14:paraId="0D8E0B37" w14:textId="77777777" w:rsidR="004C2197" w:rsidRDefault="00863B83">
      <w:pPr>
        <w:spacing w:after="180"/>
        <w:jc w:val="both"/>
      </w:pPr>
      <w:r>
        <w:rPr>
          <w:rFonts w:ascii="sans-serif" w:eastAsia="sans-serif" w:hAnsi="sans-serif" w:cs="sans-serif"/>
          <w:color w:val="000000"/>
          <w:sz w:val="20"/>
          <w:szCs w:val="20"/>
        </w:rPr>
        <w:t>Other than the risk factors listed below, there have been no material changes from the risk factors previously described under I</w:t>
      </w:r>
      <w:r>
        <w:rPr>
          <w:rFonts w:ascii="sans-serif" w:eastAsia="sans-serif" w:hAnsi="sans-serif" w:cs="sans-serif"/>
          <w:color w:val="000000"/>
          <w:sz w:val="20"/>
          <w:szCs w:val="20"/>
        </w:rPr>
        <w:t>tem 1A of our Annual Report on Form 10-K for the fiscal year ended January 26, 2020 and Item 1A of our Quarterly Report on Form 10-Q for the fiscal quarter ended April 26, 2020.</w:t>
      </w:r>
    </w:p>
    <w:p w14:paraId="0D8E0B38" w14:textId="77777777" w:rsidR="004C2197" w:rsidRDefault="00863B83">
      <w:pPr>
        <w:spacing w:after="180"/>
        <w:jc w:val="both"/>
      </w:pPr>
      <w:r>
        <w:rPr>
          <w:rFonts w:ascii="sans-serif" w:eastAsia="sans-serif" w:hAnsi="sans-serif" w:cs="sans-serif"/>
          <w:color w:val="000000"/>
          <w:sz w:val="20"/>
          <w:szCs w:val="20"/>
        </w:rPr>
        <w:t>Before you buy our common stock, you should know that making such an investmen</w:t>
      </w:r>
      <w:r>
        <w:rPr>
          <w:rFonts w:ascii="sans-serif" w:eastAsia="sans-serif" w:hAnsi="sans-serif" w:cs="sans-serif"/>
          <w:color w:val="000000"/>
          <w:sz w:val="20"/>
          <w:szCs w:val="20"/>
        </w:rPr>
        <w:t>t involves some risks including, but not limited to, the risks described in Item 1A of our Annual Report on Form 10-K for the fiscal year ended January 26, 2020 and Item 1A of our Quarterly Report on Form 10-Q for the fiscal quarter ended April 26, 2020. A</w:t>
      </w:r>
      <w:r>
        <w:rPr>
          <w:rFonts w:ascii="sans-serif" w:eastAsia="sans-serif" w:hAnsi="sans-serif" w:cs="sans-serif"/>
          <w:color w:val="000000"/>
          <w:sz w:val="20"/>
          <w:szCs w:val="20"/>
        </w:rPr>
        <w:t xml:space="preserve">dditionally, any one of those risks could harm our business, financial condition and results of operations, which could cause our stock price to decline. Additional risks and uncertainties not presently known to us or that we currently deem immaterial may </w:t>
      </w:r>
      <w:r>
        <w:rPr>
          <w:rFonts w:ascii="sans-serif" w:eastAsia="sans-serif" w:hAnsi="sans-serif" w:cs="sans-serif"/>
          <w:color w:val="000000"/>
          <w:sz w:val="20"/>
          <w:szCs w:val="20"/>
        </w:rPr>
        <w:t>also impair our business operations.</w:t>
      </w:r>
    </w:p>
    <w:p w14:paraId="0D8E0B39" w14:textId="77777777" w:rsidR="004C2197" w:rsidRDefault="00863B83">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0D8E0B3A" w14:textId="77777777" w:rsidR="004C2197" w:rsidRDefault="00863B83">
      <w:pPr>
        <w:spacing w:after="180"/>
        <w:jc w:val="both"/>
      </w:pPr>
      <w:r>
        <w:rPr>
          <w:rFonts w:ascii="sans-serif" w:eastAsia="sans-serif" w:hAnsi="sans-serif" w:cs="sans-serif"/>
          <w:color w:val="000000"/>
          <w:sz w:val="20"/>
          <w:szCs w:val="20"/>
        </w:rPr>
        <w:t xml:space="preserve">COVID-19 has spread worldwide, resulting in shutdowns of manufacturing and </w:t>
      </w:r>
      <w:r>
        <w:rPr>
          <w:rFonts w:ascii="sans-serif" w:eastAsia="sans-serif" w:hAnsi="sans-serif" w:cs="sans-serif"/>
          <w:color w:val="000000"/>
          <w:sz w:val="20"/>
          <w:szCs w:val="20"/>
        </w:rPr>
        <w:t xml:space="preserve">commerce. COVID-19 has resulted in government authorities implementing numerous measures to try to contain the disease, such as travel bans and restrictions, quarantines, shelter-in-place orders and shutdowns. These measures have impacted, and may further </w:t>
      </w:r>
      <w:r>
        <w:rPr>
          <w:rFonts w:ascii="sans-serif" w:eastAsia="sans-serif" w:hAnsi="sans-serif" w:cs="sans-serif"/>
          <w:color w:val="000000"/>
          <w:sz w:val="20"/>
          <w:szCs w:val="20"/>
        </w:rPr>
        <w:t>impact, our workforce and operations, the operations of our customers and our partners, and those of our respective vendors and suppliers (including our subcontractors and third-party contract manufacturers). Our critical business operations, including our</w:t>
      </w:r>
      <w:r>
        <w:rPr>
          <w:rFonts w:ascii="sans-serif" w:eastAsia="sans-serif" w:hAnsi="sans-serif" w:cs="sans-serif"/>
          <w:color w:val="000000"/>
          <w:sz w:val="20"/>
          <w:szCs w:val="20"/>
        </w:rPr>
        <w:t xml:space="preserve"> headquarters, most of our finished goods inventory and many of our key suppliers, are located in regions which have been impacted by COVID-19. Our customers and suppliers worldwide have also been affected and may continue to be affected by COVID-19 relate</w:t>
      </w:r>
      <w:r>
        <w:rPr>
          <w:rFonts w:ascii="sans-serif" w:eastAsia="sans-serif" w:hAnsi="sans-serif" w:cs="sans-serif"/>
          <w:color w:val="000000"/>
          <w:sz w:val="20"/>
          <w:szCs w:val="20"/>
        </w:rPr>
        <w:t xml:space="preserve">d restrictions and closures. For example, in the second quarter of fiscal year 2021 many industries we serve were adversely impacted by COVID-19, including higher education, research, energy, manufacturing, automotive, architecture, engineering and media. </w:t>
      </w:r>
      <w:r>
        <w:rPr>
          <w:rFonts w:ascii="sans-serif" w:eastAsia="sans-serif" w:hAnsi="sans-serif" w:cs="sans-serif"/>
          <w:color w:val="000000"/>
          <w:sz w:val="20"/>
          <w:szCs w:val="20"/>
        </w:rPr>
        <w:t xml:space="preserve">These industries may continue to be adversely impacted by COVID-19 and may recover at different rates. Our Professional Visualization revenue was negatively affected in the second quarter as corporate customers delayed spending on workstations. Automotive </w:t>
      </w:r>
      <w:r>
        <w:rPr>
          <w:rFonts w:ascii="sans-serif" w:eastAsia="sans-serif" w:hAnsi="sans-serif" w:cs="sans-serif"/>
          <w:color w:val="000000"/>
          <w:sz w:val="20"/>
          <w:szCs w:val="20"/>
        </w:rPr>
        <w:t>production was and remains well below pre-COVID-19 levels. In some regions, the shelter-in-place orders have driven a temporary increase in demand for our products that may not be sustainable.</w:t>
      </w:r>
    </w:p>
    <w:p w14:paraId="0D8E0B3B" w14:textId="77777777" w:rsidR="004C2197" w:rsidRDefault="00863B83">
      <w:pPr>
        <w:spacing w:after="180"/>
        <w:jc w:val="both"/>
      </w:pPr>
      <w:r>
        <w:rPr>
          <w:rFonts w:ascii="sans-serif" w:eastAsia="sans-serif" w:hAnsi="sans-serif" w:cs="sans-serif"/>
          <w:color w:val="000000"/>
          <w:sz w:val="20"/>
          <w:szCs w:val="20"/>
        </w:rPr>
        <w:t>The manufacture of product components, the final assembly of ou</w:t>
      </w:r>
      <w:r>
        <w:rPr>
          <w:rFonts w:ascii="sans-serif" w:eastAsia="sans-serif" w:hAnsi="sans-serif" w:cs="sans-serif"/>
          <w:color w:val="000000"/>
          <w:sz w:val="20"/>
          <w:szCs w:val="20"/>
        </w:rPr>
        <w:t xml:space="preserve">r products and other critical operations are concentrated in certain geographic locations, including Taiwan, China, Hong Kong and Korea. Additionally, a significant portion of our finished goods product distribution occurs through Hong Kong. Each of these </w:t>
      </w:r>
      <w:r>
        <w:rPr>
          <w:rFonts w:ascii="sans-serif" w:eastAsia="sans-serif" w:hAnsi="sans-serif" w:cs="sans-serif"/>
          <w:color w:val="000000"/>
          <w:sz w:val="20"/>
          <w:szCs w:val="20"/>
        </w:rPr>
        <w:t>countries has been affected by the pandemic and has taken measures to try to contain it. There is considerable uncertainty regarding the impact of such measures and potential future measures, including restrictions on manufacturing facilities, on our suppo</w:t>
      </w:r>
      <w:r>
        <w:rPr>
          <w:rFonts w:ascii="sans-serif" w:eastAsia="sans-serif" w:hAnsi="sans-serif" w:cs="sans-serif"/>
          <w:color w:val="000000"/>
          <w:sz w:val="20"/>
          <w:szCs w:val="20"/>
        </w:rPr>
        <w:t>rt operations or workforce, or on our customers, partners, vendors and suppliers. Such measures, as well as restrictions or disruptions of transportation, such as reduced availability or increased cost of air transport, port closures and increased border c</w:t>
      </w:r>
      <w:r>
        <w:rPr>
          <w:rFonts w:ascii="sans-serif" w:eastAsia="sans-serif" w:hAnsi="sans-serif" w:cs="sans-serif"/>
          <w:color w:val="000000"/>
          <w:sz w:val="20"/>
          <w:szCs w:val="20"/>
        </w:rPr>
        <w:t>ontrols or closures, could limit our capacity to meet customer demand and have a material adverse effect on our financial condition and results of operations.</w:t>
      </w:r>
    </w:p>
    <w:p w14:paraId="0D8E0B3C" w14:textId="77777777" w:rsidR="004C2197" w:rsidRDefault="00863B83">
      <w:pPr>
        <w:spacing w:after="180"/>
        <w:jc w:val="center"/>
      </w:pPr>
      <w:r>
        <w:rPr>
          <w:rFonts w:ascii="sans-serif" w:eastAsia="sans-serif" w:hAnsi="sans-serif" w:cs="sans-serif"/>
          <w:color w:val="000000"/>
          <w:sz w:val="20"/>
          <w:szCs w:val="20"/>
        </w:rPr>
        <w:t>36</w:t>
      </w:r>
    </w:p>
    <w:p w14:paraId="0D8E0B3D" w14:textId="77777777" w:rsidR="004C2197" w:rsidRDefault="00863B83">
      <w:r>
        <w:pict w14:anchorId="0D8E0CC8">
          <v:rect id="_x0000_i1060" style="width:415.3pt;height:1.5pt" o:hralign="center" o:hrstd="t" o:hr="t" fillcolor="#a0a0a0" stroked="f"/>
        </w:pict>
      </w:r>
    </w:p>
    <w:p w14:paraId="0D8E0B3E" w14:textId="77777777" w:rsidR="004C2197" w:rsidRDefault="004C2197">
      <w:pPr>
        <w:spacing w:after="180"/>
        <w:jc w:val="both"/>
      </w:pPr>
    </w:p>
    <w:p w14:paraId="0D8E0B3F" w14:textId="77777777" w:rsidR="004C2197" w:rsidRDefault="004C2197">
      <w:pPr>
        <w:spacing w:after="180"/>
        <w:jc w:val="both"/>
      </w:pPr>
    </w:p>
    <w:p w14:paraId="0D8E0B40" w14:textId="77777777" w:rsidR="004C2197" w:rsidRDefault="004C2197">
      <w:pPr>
        <w:spacing w:after="180"/>
        <w:jc w:val="both"/>
      </w:pPr>
    </w:p>
    <w:p w14:paraId="0D8E0B41" w14:textId="77777777" w:rsidR="004C2197" w:rsidRDefault="00863B83">
      <w:pPr>
        <w:spacing w:after="180"/>
        <w:jc w:val="both"/>
      </w:pPr>
      <w:r>
        <w:rPr>
          <w:rFonts w:ascii="sans-serif" w:eastAsia="sans-serif" w:hAnsi="sans-serif" w:cs="sans-serif"/>
          <w:color w:val="000000"/>
          <w:sz w:val="20"/>
          <w:szCs w:val="20"/>
        </w:rPr>
        <w:t>The spread of COVID-19 has caused us to modify our business practices (including employee</w:t>
      </w:r>
      <w:r>
        <w:rPr>
          <w:rFonts w:ascii="sans-serif" w:eastAsia="sans-serif" w:hAnsi="sans-serif" w:cs="sans-serif"/>
          <w:color w:val="000000"/>
          <w:sz w:val="20"/>
          <w:szCs w:val="20"/>
        </w:rPr>
        <w:t xml:space="preserve"> travel, mandatory work-from-home policies and cancellation of physical participation in meetings, events and conferences), and we may take further actions as required by government authorities or that we determine are in the best interests of our employee</w:t>
      </w:r>
      <w:r>
        <w:rPr>
          <w:rFonts w:ascii="sans-serif" w:eastAsia="sans-serif" w:hAnsi="sans-serif" w:cs="sans-serif"/>
          <w:color w:val="000000"/>
          <w:sz w:val="20"/>
          <w:szCs w:val="20"/>
        </w:rPr>
        <w:t>s, customers, partners and suppliers. Most of our employees in the second quarter continued to work remotely. There is no certainty that such measures will be sufficient to mitigate the risks posed by the disease, and our ability to perform critical functi</w:t>
      </w:r>
      <w:r>
        <w:rPr>
          <w:rFonts w:ascii="sans-serif" w:eastAsia="sans-serif" w:hAnsi="sans-serif" w:cs="sans-serif"/>
          <w:color w:val="000000"/>
          <w:sz w:val="20"/>
          <w:szCs w:val="20"/>
        </w:rPr>
        <w:t>ons could be harmed.</w:t>
      </w:r>
    </w:p>
    <w:p w14:paraId="0D8E0B42" w14:textId="77777777" w:rsidR="004C2197" w:rsidRDefault="00863B83">
      <w:pPr>
        <w:spacing w:after="180"/>
        <w:jc w:val="both"/>
      </w:pPr>
      <w:r>
        <w:rPr>
          <w:rFonts w:ascii="sans-serif" w:eastAsia="sans-serif" w:hAnsi="sans-serif" w:cs="sans-serif"/>
          <w:color w:val="000000"/>
          <w:sz w:val="20"/>
          <w:szCs w:val="20"/>
        </w:rPr>
        <w:t>In addition, while the extent and duration of the COVID-19 pandemic on the global economy and our business in particular is difficult to assess or predict, the pandemic has resulted in, and may continue to result in, significant disrup</w:t>
      </w:r>
      <w:r>
        <w:rPr>
          <w:rFonts w:ascii="sans-serif" w:eastAsia="sans-serif" w:hAnsi="sans-serif" w:cs="sans-serif"/>
          <w:color w:val="000000"/>
          <w:sz w:val="20"/>
          <w:szCs w:val="20"/>
        </w:rPr>
        <w:t>tion of global financial markets, which may reduce our ability to access capital or our customers’ ability to pay us for past or future purchases, which could negatively affect our liquidity. Factors related to the COVID-19 pandemic have reduced demand for</w:t>
      </w:r>
      <w:r>
        <w:rPr>
          <w:rFonts w:ascii="sans-serif" w:eastAsia="sans-serif" w:hAnsi="sans-serif" w:cs="sans-serif"/>
          <w:color w:val="000000"/>
          <w:sz w:val="20"/>
          <w:szCs w:val="20"/>
        </w:rPr>
        <w:t xml:space="preserve"> some of our products and may continue to do so. In addition, a recession or financial market correction resulting from the lack of containment and spread of COVID-19 has and could continue to impact overall technology spending, adversely affecting demand </w:t>
      </w:r>
      <w:r>
        <w:rPr>
          <w:rFonts w:ascii="sans-serif" w:eastAsia="sans-serif" w:hAnsi="sans-serif" w:cs="sans-serif"/>
          <w:color w:val="000000"/>
          <w:sz w:val="20"/>
          <w:szCs w:val="20"/>
        </w:rPr>
        <w:t>for our products, our business and the value of our common stock.</w:t>
      </w:r>
    </w:p>
    <w:p w14:paraId="0D8E0B43" w14:textId="77777777" w:rsidR="004C2197" w:rsidRDefault="00863B83">
      <w:pPr>
        <w:spacing w:after="180"/>
        <w:jc w:val="both"/>
      </w:pPr>
      <w:r>
        <w:rPr>
          <w:rFonts w:ascii="sans-serif" w:eastAsia="sans-serif" w:hAnsi="sans-serif" w:cs="sans-serif"/>
          <w:color w:val="000000"/>
          <w:sz w:val="20"/>
          <w:szCs w:val="20"/>
        </w:rPr>
        <w:t xml:space="preserve">The ultimate impact of the COVID-19 pandemic or a similar health epidemic is highly uncertain and subject to change. The extent of the impact of the COVID-19 pandemic on our operational and </w:t>
      </w:r>
      <w:r>
        <w:rPr>
          <w:rFonts w:ascii="sans-serif" w:eastAsia="sans-serif" w:hAnsi="sans-serif" w:cs="sans-serif"/>
          <w:color w:val="000000"/>
          <w:sz w:val="20"/>
          <w:szCs w:val="20"/>
        </w:rPr>
        <w:t xml:space="preserve">financial performance, including our ability to execute our business strategies and initiatives in the expected time frame, will depend on future developments, including, but not limited to, the duration and continued spread of the pandemic, its severity, </w:t>
      </w:r>
      <w:r>
        <w:rPr>
          <w:rFonts w:ascii="sans-serif" w:eastAsia="sans-serif" w:hAnsi="sans-serif" w:cs="sans-serif"/>
          <w:color w:val="000000"/>
          <w:sz w:val="20"/>
          <w:szCs w:val="20"/>
        </w:rPr>
        <w:t>the actions to contain the disease or treat its impact, further related restrictions on travel, and the duration, timing and severity of the impact on customer spending, including any recession resulting from the pandemic, all of which are uncertain and ca</w:t>
      </w:r>
      <w:r>
        <w:rPr>
          <w:rFonts w:ascii="sans-serif" w:eastAsia="sans-serif" w:hAnsi="sans-serif" w:cs="sans-serif"/>
          <w:color w:val="000000"/>
          <w:sz w:val="20"/>
          <w:szCs w:val="20"/>
        </w:rPr>
        <w:t xml:space="preserve">nnot be predicted. An extended period of global supply chain and economic disruption as a result of the COVID-19 pandemic could have a material negative impact on our business, results of operations, access to sources of liquidity and financial condition, </w:t>
      </w:r>
      <w:r>
        <w:rPr>
          <w:rFonts w:ascii="sans-serif" w:eastAsia="sans-serif" w:hAnsi="sans-serif" w:cs="sans-serif"/>
          <w:color w:val="000000"/>
          <w:sz w:val="20"/>
          <w:szCs w:val="20"/>
        </w:rPr>
        <w:t>though the full extent and duration is uncertain.</w:t>
      </w:r>
    </w:p>
    <w:p w14:paraId="0D8E0B44" w14:textId="77777777" w:rsidR="004C2197" w:rsidRDefault="00863B83">
      <w:pPr>
        <w:spacing w:before="120" w:after="120"/>
        <w:jc w:val="both"/>
      </w:pPr>
      <w:r>
        <w:rPr>
          <w:rFonts w:ascii="sans-serif" w:eastAsia="sans-serif" w:hAnsi="sans-serif" w:cs="sans-serif"/>
          <w:b/>
          <w:bCs/>
          <w:color w:val="000000"/>
          <w:sz w:val="20"/>
          <w:szCs w:val="20"/>
        </w:rPr>
        <w:t>We may have exposure to additional tax liabilities and our operating results may be adversely impacted by higher than expected tax rates.</w:t>
      </w:r>
    </w:p>
    <w:p w14:paraId="0D8E0B45" w14:textId="77777777" w:rsidR="004C2197" w:rsidRDefault="00863B83">
      <w:pPr>
        <w:jc w:val="both"/>
      </w:pPr>
      <w:r>
        <w:rPr>
          <w:rFonts w:ascii="sans-serif" w:eastAsia="sans-serif" w:hAnsi="sans-serif" w:cs="sans-serif"/>
          <w:color w:val="000000"/>
          <w:sz w:val="20"/>
          <w:szCs w:val="20"/>
        </w:rPr>
        <w:t>As a multinational corporation, we are subject to income taxes as we</w:t>
      </w:r>
      <w:r>
        <w:rPr>
          <w:rFonts w:ascii="sans-serif" w:eastAsia="sans-serif" w:hAnsi="sans-serif" w:cs="sans-serif"/>
          <w:color w:val="000000"/>
          <w:sz w:val="20"/>
          <w:szCs w:val="20"/>
        </w:rPr>
        <w:t>ll as non-income based taxes, such as payroll, sales, use, value-added, net worth, property and goods and services taxes, in both the United States and various foreign jurisdictions. Our domestic and international tax liabilities are subject to the allocat</w:t>
      </w:r>
      <w:r>
        <w:rPr>
          <w:rFonts w:ascii="sans-serif" w:eastAsia="sans-serif" w:hAnsi="sans-serif" w:cs="sans-serif"/>
          <w:color w:val="000000"/>
          <w:sz w:val="20"/>
          <w:szCs w:val="20"/>
        </w:rPr>
        <w:t>ion of revenue and expenses in different jurisdictions. Significant judgment is required in determining our worldwide provision for income taxes and other tax liabilities. We are regularly under audit by tax authorities in different jurisdictions. For exam</w:t>
      </w:r>
      <w:r>
        <w:rPr>
          <w:rFonts w:ascii="sans-serif" w:eastAsia="sans-serif" w:hAnsi="sans-serif" w:cs="sans-serif"/>
          <w:color w:val="000000"/>
          <w:sz w:val="20"/>
          <w:szCs w:val="20"/>
        </w:rPr>
        <w:t xml:space="preserve">ple, we are currently under examination by the Internal Revenue Service for our fiscal years 2018 and 2019. Although we believe our tax estimates are reasonable, tax authorities may disagree with certain positions we have taken, and any adverse outcome of </w:t>
      </w:r>
      <w:r>
        <w:rPr>
          <w:rFonts w:ascii="sans-serif" w:eastAsia="sans-serif" w:hAnsi="sans-serif" w:cs="sans-serif"/>
          <w:color w:val="000000"/>
          <w:sz w:val="20"/>
          <w:szCs w:val="20"/>
        </w:rPr>
        <w:t xml:space="preserve">such a review or audit could increase our worldwide effective tax rate, increase the amount of non-income taxes imposed on our business, and harm our financial position, results of operations, and cash flows. Further, changes in United States federal, and </w:t>
      </w:r>
      <w:r>
        <w:rPr>
          <w:rFonts w:ascii="sans-serif" w:eastAsia="sans-serif" w:hAnsi="sans-serif" w:cs="sans-serif"/>
          <w:color w:val="000000"/>
          <w:sz w:val="20"/>
          <w:szCs w:val="20"/>
        </w:rPr>
        <w:t>state or international tax laws applicable to multinational corporations or other fundamental law changes may materially impact our tax expense and cash flows, as we experienced in fiscal year 2018 with the passage of the TCJA.</w:t>
      </w:r>
    </w:p>
    <w:p w14:paraId="0D8E0B46" w14:textId="77777777" w:rsidR="004C2197" w:rsidRDefault="00863B83">
      <w:pPr>
        <w:spacing w:before="180" w:after="180"/>
        <w:jc w:val="both"/>
      </w:pPr>
      <w:r>
        <w:rPr>
          <w:rFonts w:ascii="sans-serif" w:eastAsia="sans-serif" w:hAnsi="sans-serif" w:cs="sans-serif"/>
          <w:color w:val="000000"/>
          <w:sz w:val="20"/>
          <w:szCs w:val="20"/>
        </w:rPr>
        <w:t>Our future effective tax rat</w:t>
      </w:r>
      <w:r>
        <w:rPr>
          <w:rFonts w:ascii="sans-serif" w:eastAsia="sans-serif" w:hAnsi="sans-serif" w:cs="sans-serif"/>
          <w:color w:val="000000"/>
          <w:sz w:val="20"/>
          <w:szCs w:val="20"/>
        </w:rPr>
        <w:t>e may be affected by such factors as changes in tax laws, changes in our business or statutory rates, changes in jurisdictions in which our profits are determined to be earned and taxed, changes in available tax credits, the resolution of issues arising fr</w:t>
      </w:r>
      <w:r>
        <w:rPr>
          <w:rFonts w:ascii="sans-serif" w:eastAsia="sans-serif" w:hAnsi="sans-serif" w:cs="sans-serif"/>
          <w:color w:val="000000"/>
          <w:sz w:val="20"/>
          <w:szCs w:val="20"/>
        </w:rPr>
        <w:t>om tax audits, changes in United States generally accepted accounting principles, adjustments to income taxes upon finalization of tax returns, increases in expenses not deductible for tax purposes, changes in the valuation of our deferred tax assets and l</w:t>
      </w:r>
      <w:r>
        <w:rPr>
          <w:rFonts w:ascii="sans-serif" w:eastAsia="sans-serif" w:hAnsi="sans-serif" w:cs="sans-serif"/>
          <w:color w:val="000000"/>
          <w:sz w:val="20"/>
          <w:szCs w:val="20"/>
        </w:rPr>
        <w:t>iabilities and in deferred tax valuation allowances, changing interpretation of existing laws or regulations, the impact of accounting for stock-based compensation and the recognition of excess tax benefits and tax deficiencies within the income tax provis</w:t>
      </w:r>
      <w:r>
        <w:rPr>
          <w:rFonts w:ascii="sans-serif" w:eastAsia="sans-serif" w:hAnsi="sans-serif" w:cs="sans-serif"/>
          <w:color w:val="000000"/>
          <w:sz w:val="20"/>
          <w:szCs w:val="20"/>
        </w:rPr>
        <w:t xml:space="preserve">ion in the period in which they occur, the impact of accounting for business combinations, shifts in the amount of earnings in the United States compared with other regions in the world and overall levels of income before tax, changes in our international </w:t>
      </w:r>
      <w:r>
        <w:rPr>
          <w:rFonts w:ascii="sans-serif" w:eastAsia="sans-serif" w:hAnsi="sans-serif" w:cs="sans-serif"/>
          <w:color w:val="000000"/>
          <w:sz w:val="20"/>
          <w:szCs w:val="20"/>
        </w:rPr>
        <w:t>organization, as well as the expiration of statute of limitations and settlements of audits. Any changes in our effective tax rate may reduce our net income.</w:t>
      </w:r>
    </w:p>
    <w:p w14:paraId="0D8E0B47" w14:textId="77777777" w:rsidR="004C2197" w:rsidRDefault="004C2197">
      <w:pPr>
        <w:spacing w:before="240" w:after="120"/>
        <w:jc w:val="both"/>
      </w:pPr>
    </w:p>
    <w:p w14:paraId="0D8E0B48" w14:textId="77777777" w:rsidR="004C2197" w:rsidRDefault="00863B83">
      <w:pPr>
        <w:spacing w:before="240" w:after="120"/>
        <w:jc w:val="both"/>
      </w:pPr>
      <w:r>
        <w:rPr>
          <w:rFonts w:ascii="sans-serif" w:eastAsia="sans-serif" w:hAnsi="sans-serif" w:cs="sans-serif"/>
          <w:b/>
          <w:bCs/>
          <w:color w:val="76B900"/>
          <w:sz w:val="22"/>
          <w:szCs w:val="22"/>
        </w:rPr>
        <w:t>ITEM 2. UNREGISTERED SALES OF EQUITY SECURITIES AND USE OF PROCEEDS</w:t>
      </w:r>
    </w:p>
    <w:p w14:paraId="0D8E0B49" w14:textId="77777777" w:rsidR="004C2197" w:rsidRDefault="00863B83">
      <w:pPr>
        <w:spacing w:before="240" w:after="60"/>
        <w:jc w:val="both"/>
      </w:pPr>
      <w:r>
        <w:rPr>
          <w:rFonts w:ascii="sans-serif" w:eastAsia="sans-serif" w:hAnsi="sans-serif" w:cs="sans-serif"/>
          <w:b/>
          <w:bCs/>
          <w:color w:val="76B900"/>
          <w:sz w:val="20"/>
          <w:szCs w:val="20"/>
        </w:rPr>
        <w:t xml:space="preserve">Issuer Purchases of </w:t>
      </w:r>
      <w:r>
        <w:rPr>
          <w:rFonts w:ascii="sans-serif" w:eastAsia="sans-serif" w:hAnsi="sans-serif" w:cs="sans-serif"/>
          <w:b/>
          <w:bCs/>
          <w:color w:val="76B900"/>
          <w:sz w:val="20"/>
          <w:szCs w:val="20"/>
        </w:rPr>
        <w:t>Equity Securities</w:t>
      </w:r>
    </w:p>
    <w:p w14:paraId="0D8E0B4A" w14:textId="77777777" w:rsidR="004C2197" w:rsidRDefault="00863B83">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0D8E0B4B" w14:textId="77777777" w:rsidR="004C2197" w:rsidRDefault="00863B83">
      <w:pPr>
        <w:spacing w:after="180"/>
        <w:jc w:val="center"/>
      </w:pPr>
      <w:r>
        <w:rPr>
          <w:rFonts w:ascii="sans-serif" w:eastAsia="sans-serif" w:hAnsi="sans-serif" w:cs="sans-serif"/>
          <w:color w:val="000000"/>
          <w:sz w:val="20"/>
          <w:szCs w:val="20"/>
        </w:rPr>
        <w:t>37</w:t>
      </w:r>
    </w:p>
    <w:p w14:paraId="0D8E0B4C" w14:textId="77777777" w:rsidR="004C2197" w:rsidRDefault="00863B83">
      <w:r>
        <w:pict w14:anchorId="0D8E0CC9">
          <v:rect id="_x0000_i1061" style="width:415.3pt;height:1.5pt" o:hralign="center" o:hrstd="t" o:hr="t" fillcolor="#a0a0a0" stroked="f"/>
        </w:pict>
      </w:r>
    </w:p>
    <w:p w14:paraId="0D8E0B4D" w14:textId="77777777" w:rsidR="004C2197" w:rsidRDefault="004C2197">
      <w:pPr>
        <w:spacing w:after="180"/>
        <w:jc w:val="both"/>
      </w:pPr>
    </w:p>
    <w:p w14:paraId="0D8E0B4E" w14:textId="77777777" w:rsidR="004C2197" w:rsidRDefault="004C2197">
      <w:pPr>
        <w:spacing w:after="180"/>
        <w:jc w:val="both"/>
      </w:pPr>
    </w:p>
    <w:p w14:paraId="0D8E0B4F" w14:textId="77777777" w:rsidR="004C2197" w:rsidRDefault="004C2197">
      <w:pPr>
        <w:spacing w:after="180"/>
        <w:jc w:val="both"/>
      </w:pPr>
    </w:p>
    <w:p w14:paraId="0D8E0B50" w14:textId="77777777" w:rsidR="004C2197" w:rsidRDefault="00863B83">
      <w:pPr>
        <w:spacing w:after="180"/>
        <w:jc w:val="both"/>
      </w:pPr>
      <w:r>
        <w:rPr>
          <w:rFonts w:ascii="sans-serif" w:eastAsia="sans-serif" w:hAnsi="sans-serif" w:cs="sans-serif"/>
          <w:color w:val="000000"/>
          <w:sz w:val="20"/>
          <w:szCs w:val="20"/>
        </w:rPr>
        <w:t xml:space="preserve">Since the inception of our share repurchase program, we have repurchased an aggregate of 260 million shares for a total cost of $7.08 </w:t>
      </w:r>
      <w:r>
        <w:rPr>
          <w:rFonts w:ascii="sans-serif" w:eastAsia="sans-serif" w:hAnsi="sans-serif" w:cs="sans-serif"/>
          <w:color w:val="000000"/>
          <w:sz w:val="20"/>
          <w:szCs w:val="20"/>
        </w:rPr>
        <w:t>billion through July 26, 2020. All shares delivered from these repurchases have been placed into treasury stock.</w:t>
      </w:r>
    </w:p>
    <w:p w14:paraId="0D8E0B51" w14:textId="77777777" w:rsidR="004C2197" w:rsidRDefault="00863B83">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w:t>
      </w:r>
      <w:r>
        <w:rPr>
          <w:rFonts w:ascii="sans-serif" w:eastAsia="sans-serif" w:hAnsi="sans-serif" w:cs="sans-serif"/>
          <w:color w:val="000000"/>
          <w:sz w:val="20"/>
          <w:szCs w:val="20"/>
        </w:rPr>
        <w:t>de in one or more larger repurchases. The program does not obligate NVIDIA to acquire any particular amount of common stock and the program may be suspended at any time at our discretion.</w:t>
      </w:r>
    </w:p>
    <w:p w14:paraId="0D8E0B52" w14:textId="77777777" w:rsidR="004C2197" w:rsidRDefault="00863B83">
      <w:pPr>
        <w:spacing w:after="180"/>
        <w:jc w:val="both"/>
      </w:pPr>
      <w:r>
        <w:rPr>
          <w:rFonts w:ascii="sans-serif" w:eastAsia="sans-serif" w:hAnsi="sans-serif" w:cs="sans-serif"/>
          <w:color w:val="000000"/>
          <w:sz w:val="20"/>
          <w:szCs w:val="20"/>
        </w:rPr>
        <w:t>In the first half of fiscal year 2021, we paid $197 million in quart</w:t>
      </w:r>
      <w:r>
        <w:rPr>
          <w:rFonts w:ascii="sans-serif" w:eastAsia="sans-serif" w:hAnsi="sans-serif" w:cs="sans-serif"/>
          <w:color w:val="000000"/>
          <w:sz w:val="20"/>
          <w:szCs w:val="20"/>
        </w:rPr>
        <w:t>erly cash dividends. As of July 26, 2020, we were authorized, subject to certain specifications, to repurchase additional shares of our common stock up to $7.24 billion through December 2022. We did not repurchase any shares during the first half of fiscal</w:t>
      </w:r>
      <w:r>
        <w:rPr>
          <w:rFonts w:ascii="sans-serif" w:eastAsia="sans-serif" w:hAnsi="sans-serif" w:cs="sans-serif"/>
          <w:color w:val="000000"/>
          <w:sz w:val="20"/>
          <w:szCs w:val="20"/>
        </w:rPr>
        <w:t xml:space="preserve"> year 2021.</w:t>
      </w:r>
    </w:p>
    <w:p w14:paraId="0D8E0B53" w14:textId="77777777" w:rsidR="004C2197" w:rsidRDefault="00863B83">
      <w:pPr>
        <w:spacing w:before="120" w:after="120"/>
        <w:jc w:val="both"/>
      </w:pPr>
      <w:r>
        <w:rPr>
          <w:rFonts w:ascii="sans-serif" w:eastAsia="sans-serif" w:hAnsi="sans-serif" w:cs="sans-serif"/>
          <w:b/>
          <w:bCs/>
          <w:color w:val="000000"/>
          <w:sz w:val="20"/>
          <w:szCs w:val="20"/>
        </w:rPr>
        <w:t>Restricted Stock Unit Share Withholding</w:t>
      </w:r>
    </w:p>
    <w:p w14:paraId="0D8E0B54" w14:textId="77777777" w:rsidR="004C2197" w:rsidRDefault="00863B83">
      <w:pPr>
        <w:spacing w:after="180"/>
        <w:jc w:val="both"/>
      </w:pPr>
      <w:r>
        <w:rPr>
          <w:rFonts w:ascii="sans-serif" w:eastAsia="sans-serif" w:hAnsi="sans-serif" w:cs="sans-serif"/>
          <w:color w:val="000000"/>
          <w:sz w:val="20"/>
          <w:szCs w:val="20"/>
        </w:rPr>
        <w:t>We also withhold common stock shares associated with net share settlements to cover tax withholding obligations upon the vesting of restricted stock unit awards under our employee equity incentive program</w:t>
      </w:r>
      <w:r>
        <w:rPr>
          <w:rFonts w:ascii="sans-serif" w:eastAsia="sans-serif" w:hAnsi="sans-serif" w:cs="sans-serif"/>
          <w:color w:val="000000"/>
          <w:sz w:val="20"/>
          <w:szCs w:val="20"/>
        </w:rPr>
        <w:t>. During the second quarter of fiscal year 2021, we withheld approximately 1 million shares at a total cost of $196 million through net share settlements. During the first half of fiscal year 2021, we withheld approximately 2 million shares at a total cost</w:t>
      </w:r>
      <w:r>
        <w:rPr>
          <w:rFonts w:ascii="sans-serif" w:eastAsia="sans-serif" w:hAnsi="sans-serif" w:cs="sans-serif"/>
          <w:color w:val="000000"/>
          <w:sz w:val="20"/>
          <w:szCs w:val="20"/>
        </w:rPr>
        <w:t xml:space="preserve"> of $418 million through net share settlements. Refer to Note 4 of the Notes to Condensed Consolidated Financial Statements for further discussion regarding our equity incentive plans.</w:t>
      </w:r>
    </w:p>
    <w:p w14:paraId="0D8E0B55" w14:textId="77777777" w:rsidR="004C2197" w:rsidRDefault="00863B83">
      <w:pPr>
        <w:spacing w:after="180"/>
        <w:jc w:val="center"/>
      </w:pPr>
      <w:r>
        <w:rPr>
          <w:rFonts w:ascii="sans-serif" w:eastAsia="sans-serif" w:hAnsi="sans-serif" w:cs="sans-serif"/>
          <w:color w:val="000000"/>
          <w:sz w:val="20"/>
          <w:szCs w:val="20"/>
        </w:rPr>
        <w:t>38</w:t>
      </w:r>
    </w:p>
    <w:p w14:paraId="0D8E0B56" w14:textId="77777777" w:rsidR="004C2197" w:rsidRDefault="00863B83">
      <w:r>
        <w:pict w14:anchorId="0D8E0CCA">
          <v:rect id="_x0000_i1062" style="width:415.3pt;height:1.5pt" o:hralign="center" o:hrstd="t" o:hr="t" fillcolor="#a0a0a0" stroked="f"/>
        </w:pict>
      </w:r>
    </w:p>
    <w:p w14:paraId="0D8E0B57" w14:textId="77777777" w:rsidR="004C2197" w:rsidRDefault="004C2197">
      <w:pPr>
        <w:spacing w:after="180"/>
        <w:jc w:val="both"/>
      </w:pPr>
    </w:p>
    <w:p w14:paraId="0D8E0B58" w14:textId="77777777" w:rsidR="004C2197" w:rsidRDefault="004C2197">
      <w:pPr>
        <w:spacing w:after="180"/>
        <w:jc w:val="both"/>
      </w:pPr>
    </w:p>
    <w:p w14:paraId="0D8E0B59" w14:textId="77777777" w:rsidR="004C2197" w:rsidRDefault="004C2197">
      <w:pPr>
        <w:spacing w:after="180"/>
        <w:jc w:val="both"/>
      </w:pPr>
    </w:p>
    <w:p w14:paraId="0D8E0B5A" w14:textId="77777777" w:rsidR="004C2197" w:rsidRDefault="00863B83">
      <w:pPr>
        <w:spacing w:before="240" w:after="120"/>
        <w:jc w:val="both"/>
      </w:pPr>
      <w:r>
        <w:rPr>
          <w:rFonts w:ascii="sans-serif" w:eastAsia="sans-serif" w:hAnsi="sans-serif" w:cs="sans-serif"/>
          <w:b/>
          <w:bCs/>
          <w:color w:val="76B900"/>
          <w:sz w:val="22"/>
          <w:szCs w:val="22"/>
        </w:rPr>
        <w:t>ITEM 6. EXHIBITS</w:t>
      </w: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727"/>
        <w:gridCol w:w="38"/>
        <w:gridCol w:w="36"/>
        <w:gridCol w:w="52"/>
        <w:gridCol w:w="36"/>
        <w:gridCol w:w="45"/>
        <w:gridCol w:w="2736"/>
        <w:gridCol w:w="37"/>
        <w:gridCol w:w="36"/>
        <w:gridCol w:w="42"/>
        <w:gridCol w:w="36"/>
        <w:gridCol w:w="71"/>
        <w:gridCol w:w="784"/>
        <w:gridCol w:w="36"/>
        <w:gridCol w:w="36"/>
        <w:gridCol w:w="53"/>
        <w:gridCol w:w="36"/>
        <w:gridCol w:w="88"/>
        <w:gridCol w:w="817"/>
        <w:gridCol w:w="37"/>
        <w:gridCol w:w="36"/>
        <w:gridCol w:w="53"/>
        <w:gridCol w:w="36"/>
        <w:gridCol w:w="50"/>
        <w:gridCol w:w="903"/>
        <w:gridCol w:w="36"/>
        <w:gridCol w:w="36"/>
        <w:gridCol w:w="53"/>
        <w:gridCol w:w="36"/>
        <w:gridCol w:w="60"/>
        <w:gridCol w:w="1112"/>
        <w:gridCol w:w="37"/>
      </w:tblGrid>
      <w:tr w:rsidR="004C2197" w14:paraId="0D8E0B7C" w14:textId="77777777">
        <w:trPr>
          <w:jc w:val="center"/>
        </w:trPr>
        <w:tc>
          <w:tcPr>
            <w:tcW w:w="50" w:type="pct"/>
            <w:shd w:val="clear" w:color="auto" w:fill="auto"/>
          </w:tcPr>
          <w:p w14:paraId="0D8E0B5B" w14:textId="77777777" w:rsidR="004C2197" w:rsidRDefault="004C2197">
            <w:pPr>
              <w:rPr>
                <w:rFonts w:ascii="宋体"/>
              </w:rPr>
            </w:pPr>
          </w:p>
        </w:tc>
        <w:tc>
          <w:tcPr>
            <w:tcW w:w="436" w:type="pct"/>
            <w:shd w:val="clear" w:color="auto" w:fill="auto"/>
          </w:tcPr>
          <w:p w14:paraId="0D8E0B5C" w14:textId="77777777" w:rsidR="004C2197" w:rsidRDefault="004C2197">
            <w:pPr>
              <w:rPr>
                <w:rFonts w:ascii="宋体"/>
              </w:rPr>
            </w:pPr>
          </w:p>
        </w:tc>
        <w:tc>
          <w:tcPr>
            <w:tcW w:w="5" w:type="pct"/>
            <w:shd w:val="clear" w:color="auto" w:fill="auto"/>
          </w:tcPr>
          <w:p w14:paraId="0D8E0B5D" w14:textId="77777777" w:rsidR="004C2197" w:rsidRDefault="004C2197">
            <w:pPr>
              <w:rPr>
                <w:rFonts w:ascii="宋体"/>
              </w:rPr>
            </w:pPr>
          </w:p>
        </w:tc>
        <w:tc>
          <w:tcPr>
            <w:tcW w:w="5" w:type="pct"/>
            <w:shd w:val="clear" w:color="auto" w:fill="auto"/>
          </w:tcPr>
          <w:p w14:paraId="0D8E0B5E" w14:textId="77777777" w:rsidR="004C2197" w:rsidRDefault="004C2197">
            <w:pPr>
              <w:rPr>
                <w:rFonts w:ascii="宋体"/>
              </w:rPr>
            </w:pPr>
          </w:p>
        </w:tc>
        <w:tc>
          <w:tcPr>
            <w:tcW w:w="55" w:type="pct"/>
            <w:shd w:val="clear" w:color="auto" w:fill="auto"/>
          </w:tcPr>
          <w:p w14:paraId="0D8E0B5F" w14:textId="77777777" w:rsidR="004C2197" w:rsidRDefault="004C2197">
            <w:pPr>
              <w:rPr>
                <w:rFonts w:ascii="宋体"/>
              </w:rPr>
            </w:pPr>
          </w:p>
        </w:tc>
        <w:tc>
          <w:tcPr>
            <w:tcW w:w="5" w:type="pct"/>
            <w:shd w:val="clear" w:color="auto" w:fill="auto"/>
          </w:tcPr>
          <w:p w14:paraId="0D8E0B60" w14:textId="77777777" w:rsidR="004C2197" w:rsidRDefault="004C2197">
            <w:pPr>
              <w:rPr>
                <w:rFonts w:ascii="宋体"/>
              </w:rPr>
            </w:pPr>
          </w:p>
        </w:tc>
        <w:tc>
          <w:tcPr>
            <w:tcW w:w="50" w:type="pct"/>
            <w:shd w:val="clear" w:color="auto" w:fill="auto"/>
          </w:tcPr>
          <w:p w14:paraId="0D8E0B61" w14:textId="77777777" w:rsidR="004C2197" w:rsidRDefault="004C2197">
            <w:pPr>
              <w:rPr>
                <w:rFonts w:ascii="宋体"/>
              </w:rPr>
            </w:pPr>
          </w:p>
        </w:tc>
        <w:tc>
          <w:tcPr>
            <w:tcW w:w="1667" w:type="pct"/>
            <w:shd w:val="clear" w:color="auto" w:fill="auto"/>
          </w:tcPr>
          <w:p w14:paraId="0D8E0B62" w14:textId="77777777" w:rsidR="004C2197" w:rsidRDefault="004C2197">
            <w:pPr>
              <w:rPr>
                <w:rFonts w:ascii="宋体"/>
              </w:rPr>
            </w:pPr>
          </w:p>
        </w:tc>
        <w:tc>
          <w:tcPr>
            <w:tcW w:w="5" w:type="pct"/>
            <w:shd w:val="clear" w:color="auto" w:fill="auto"/>
          </w:tcPr>
          <w:p w14:paraId="0D8E0B63" w14:textId="77777777" w:rsidR="004C2197" w:rsidRDefault="004C2197">
            <w:pPr>
              <w:rPr>
                <w:rFonts w:ascii="宋体"/>
              </w:rPr>
            </w:pPr>
          </w:p>
        </w:tc>
        <w:tc>
          <w:tcPr>
            <w:tcW w:w="5" w:type="pct"/>
            <w:shd w:val="clear" w:color="auto" w:fill="auto"/>
          </w:tcPr>
          <w:p w14:paraId="0D8E0B64" w14:textId="77777777" w:rsidR="004C2197" w:rsidRDefault="004C2197">
            <w:pPr>
              <w:rPr>
                <w:rFonts w:ascii="宋体"/>
              </w:rPr>
            </w:pPr>
          </w:p>
        </w:tc>
        <w:tc>
          <w:tcPr>
            <w:tcW w:w="48" w:type="pct"/>
            <w:shd w:val="clear" w:color="auto" w:fill="auto"/>
          </w:tcPr>
          <w:p w14:paraId="0D8E0B65" w14:textId="77777777" w:rsidR="004C2197" w:rsidRDefault="004C2197">
            <w:pPr>
              <w:rPr>
                <w:rFonts w:ascii="宋体"/>
              </w:rPr>
            </w:pPr>
          </w:p>
        </w:tc>
        <w:tc>
          <w:tcPr>
            <w:tcW w:w="5" w:type="pct"/>
            <w:shd w:val="clear" w:color="auto" w:fill="auto"/>
          </w:tcPr>
          <w:p w14:paraId="0D8E0B66" w14:textId="77777777" w:rsidR="004C2197" w:rsidRDefault="004C2197">
            <w:pPr>
              <w:rPr>
                <w:rFonts w:ascii="宋体"/>
              </w:rPr>
            </w:pPr>
          </w:p>
        </w:tc>
        <w:tc>
          <w:tcPr>
            <w:tcW w:w="50" w:type="pct"/>
            <w:shd w:val="clear" w:color="auto" w:fill="auto"/>
          </w:tcPr>
          <w:p w14:paraId="0D8E0B67" w14:textId="77777777" w:rsidR="004C2197" w:rsidRDefault="004C2197">
            <w:pPr>
              <w:rPr>
                <w:rFonts w:ascii="宋体"/>
              </w:rPr>
            </w:pPr>
          </w:p>
        </w:tc>
        <w:tc>
          <w:tcPr>
            <w:tcW w:w="509" w:type="pct"/>
            <w:shd w:val="clear" w:color="auto" w:fill="auto"/>
          </w:tcPr>
          <w:p w14:paraId="0D8E0B68" w14:textId="77777777" w:rsidR="004C2197" w:rsidRDefault="004C2197">
            <w:pPr>
              <w:rPr>
                <w:rFonts w:ascii="宋体"/>
              </w:rPr>
            </w:pPr>
          </w:p>
        </w:tc>
        <w:tc>
          <w:tcPr>
            <w:tcW w:w="5" w:type="pct"/>
            <w:shd w:val="clear" w:color="auto" w:fill="auto"/>
          </w:tcPr>
          <w:p w14:paraId="0D8E0B69" w14:textId="77777777" w:rsidR="004C2197" w:rsidRDefault="004C2197">
            <w:pPr>
              <w:rPr>
                <w:rFonts w:ascii="宋体"/>
              </w:rPr>
            </w:pPr>
          </w:p>
        </w:tc>
        <w:tc>
          <w:tcPr>
            <w:tcW w:w="5" w:type="pct"/>
            <w:shd w:val="clear" w:color="auto" w:fill="auto"/>
          </w:tcPr>
          <w:p w14:paraId="0D8E0B6A" w14:textId="77777777" w:rsidR="004C2197" w:rsidRDefault="004C2197">
            <w:pPr>
              <w:rPr>
                <w:rFonts w:ascii="宋体"/>
              </w:rPr>
            </w:pPr>
          </w:p>
        </w:tc>
        <w:tc>
          <w:tcPr>
            <w:tcW w:w="55" w:type="pct"/>
            <w:shd w:val="clear" w:color="auto" w:fill="auto"/>
          </w:tcPr>
          <w:p w14:paraId="0D8E0B6B" w14:textId="77777777" w:rsidR="004C2197" w:rsidRDefault="004C2197">
            <w:pPr>
              <w:rPr>
                <w:rFonts w:ascii="宋体"/>
              </w:rPr>
            </w:pPr>
          </w:p>
        </w:tc>
        <w:tc>
          <w:tcPr>
            <w:tcW w:w="5" w:type="pct"/>
            <w:shd w:val="clear" w:color="auto" w:fill="auto"/>
          </w:tcPr>
          <w:p w14:paraId="0D8E0B6C" w14:textId="77777777" w:rsidR="004C2197" w:rsidRDefault="004C2197">
            <w:pPr>
              <w:rPr>
                <w:rFonts w:ascii="宋体"/>
              </w:rPr>
            </w:pPr>
          </w:p>
        </w:tc>
        <w:tc>
          <w:tcPr>
            <w:tcW w:w="50" w:type="pct"/>
            <w:shd w:val="clear" w:color="auto" w:fill="auto"/>
          </w:tcPr>
          <w:p w14:paraId="0D8E0B6D" w14:textId="77777777" w:rsidR="004C2197" w:rsidRDefault="004C2197">
            <w:pPr>
              <w:rPr>
                <w:rFonts w:ascii="宋体"/>
              </w:rPr>
            </w:pPr>
          </w:p>
        </w:tc>
        <w:tc>
          <w:tcPr>
            <w:tcW w:w="465" w:type="pct"/>
            <w:shd w:val="clear" w:color="auto" w:fill="auto"/>
          </w:tcPr>
          <w:p w14:paraId="0D8E0B6E" w14:textId="77777777" w:rsidR="004C2197" w:rsidRDefault="004C2197">
            <w:pPr>
              <w:rPr>
                <w:rFonts w:ascii="宋体"/>
              </w:rPr>
            </w:pPr>
          </w:p>
        </w:tc>
        <w:tc>
          <w:tcPr>
            <w:tcW w:w="5" w:type="pct"/>
            <w:shd w:val="clear" w:color="auto" w:fill="auto"/>
          </w:tcPr>
          <w:p w14:paraId="0D8E0B6F" w14:textId="77777777" w:rsidR="004C2197" w:rsidRDefault="004C2197">
            <w:pPr>
              <w:rPr>
                <w:rFonts w:ascii="宋体"/>
              </w:rPr>
            </w:pPr>
          </w:p>
        </w:tc>
        <w:tc>
          <w:tcPr>
            <w:tcW w:w="5" w:type="pct"/>
            <w:shd w:val="clear" w:color="auto" w:fill="auto"/>
          </w:tcPr>
          <w:p w14:paraId="0D8E0B70" w14:textId="77777777" w:rsidR="004C2197" w:rsidRDefault="004C2197">
            <w:pPr>
              <w:rPr>
                <w:rFonts w:ascii="宋体"/>
              </w:rPr>
            </w:pPr>
          </w:p>
        </w:tc>
        <w:tc>
          <w:tcPr>
            <w:tcW w:w="55" w:type="pct"/>
            <w:shd w:val="clear" w:color="auto" w:fill="auto"/>
          </w:tcPr>
          <w:p w14:paraId="0D8E0B71" w14:textId="77777777" w:rsidR="004C2197" w:rsidRDefault="004C2197">
            <w:pPr>
              <w:rPr>
                <w:rFonts w:ascii="宋体"/>
              </w:rPr>
            </w:pPr>
          </w:p>
        </w:tc>
        <w:tc>
          <w:tcPr>
            <w:tcW w:w="5" w:type="pct"/>
            <w:shd w:val="clear" w:color="auto" w:fill="auto"/>
          </w:tcPr>
          <w:p w14:paraId="0D8E0B72" w14:textId="77777777" w:rsidR="004C2197" w:rsidRDefault="004C2197">
            <w:pPr>
              <w:rPr>
                <w:rFonts w:ascii="宋体"/>
              </w:rPr>
            </w:pPr>
          </w:p>
        </w:tc>
        <w:tc>
          <w:tcPr>
            <w:tcW w:w="50" w:type="pct"/>
            <w:shd w:val="clear" w:color="auto" w:fill="auto"/>
          </w:tcPr>
          <w:p w14:paraId="0D8E0B73" w14:textId="77777777" w:rsidR="004C2197" w:rsidRDefault="004C2197">
            <w:pPr>
              <w:rPr>
                <w:rFonts w:ascii="宋体"/>
              </w:rPr>
            </w:pPr>
          </w:p>
        </w:tc>
        <w:tc>
          <w:tcPr>
            <w:tcW w:w="568" w:type="pct"/>
            <w:shd w:val="clear" w:color="auto" w:fill="auto"/>
          </w:tcPr>
          <w:p w14:paraId="0D8E0B74" w14:textId="77777777" w:rsidR="004C2197" w:rsidRDefault="004C2197">
            <w:pPr>
              <w:rPr>
                <w:rFonts w:ascii="宋体"/>
              </w:rPr>
            </w:pPr>
          </w:p>
        </w:tc>
        <w:tc>
          <w:tcPr>
            <w:tcW w:w="5" w:type="pct"/>
            <w:shd w:val="clear" w:color="auto" w:fill="auto"/>
          </w:tcPr>
          <w:p w14:paraId="0D8E0B75" w14:textId="77777777" w:rsidR="004C2197" w:rsidRDefault="004C2197">
            <w:pPr>
              <w:rPr>
                <w:rFonts w:ascii="宋体"/>
              </w:rPr>
            </w:pPr>
          </w:p>
        </w:tc>
        <w:tc>
          <w:tcPr>
            <w:tcW w:w="5" w:type="pct"/>
            <w:shd w:val="clear" w:color="auto" w:fill="auto"/>
          </w:tcPr>
          <w:p w14:paraId="0D8E0B76" w14:textId="77777777" w:rsidR="004C2197" w:rsidRDefault="004C2197">
            <w:pPr>
              <w:rPr>
                <w:rFonts w:ascii="宋体"/>
              </w:rPr>
            </w:pPr>
          </w:p>
        </w:tc>
        <w:tc>
          <w:tcPr>
            <w:tcW w:w="55" w:type="pct"/>
            <w:shd w:val="clear" w:color="auto" w:fill="auto"/>
          </w:tcPr>
          <w:p w14:paraId="0D8E0B77" w14:textId="77777777" w:rsidR="004C2197" w:rsidRDefault="004C2197">
            <w:pPr>
              <w:rPr>
                <w:rFonts w:ascii="宋体"/>
              </w:rPr>
            </w:pPr>
          </w:p>
        </w:tc>
        <w:tc>
          <w:tcPr>
            <w:tcW w:w="5" w:type="pct"/>
            <w:shd w:val="clear" w:color="auto" w:fill="auto"/>
          </w:tcPr>
          <w:p w14:paraId="0D8E0B78" w14:textId="77777777" w:rsidR="004C2197" w:rsidRDefault="004C2197">
            <w:pPr>
              <w:rPr>
                <w:rFonts w:ascii="宋体"/>
              </w:rPr>
            </w:pPr>
          </w:p>
        </w:tc>
        <w:tc>
          <w:tcPr>
            <w:tcW w:w="50" w:type="pct"/>
            <w:shd w:val="clear" w:color="auto" w:fill="auto"/>
          </w:tcPr>
          <w:p w14:paraId="0D8E0B79" w14:textId="77777777" w:rsidR="004C2197" w:rsidRDefault="004C2197">
            <w:pPr>
              <w:rPr>
                <w:rFonts w:ascii="宋体"/>
              </w:rPr>
            </w:pPr>
          </w:p>
        </w:tc>
        <w:tc>
          <w:tcPr>
            <w:tcW w:w="700" w:type="pct"/>
            <w:shd w:val="clear" w:color="auto" w:fill="auto"/>
          </w:tcPr>
          <w:p w14:paraId="0D8E0B7A" w14:textId="77777777" w:rsidR="004C2197" w:rsidRDefault="004C2197">
            <w:pPr>
              <w:rPr>
                <w:rFonts w:ascii="宋体"/>
              </w:rPr>
            </w:pPr>
          </w:p>
        </w:tc>
        <w:tc>
          <w:tcPr>
            <w:tcW w:w="5" w:type="pct"/>
            <w:shd w:val="clear" w:color="auto" w:fill="auto"/>
          </w:tcPr>
          <w:p w14:paraId="0D8E0B7B" w14:textId="77777777" w:rsidR="004C2197" w:rsidRDefault="004C2197">
            <w:pPr>
              <w:rPr>
                <w:rFonts w:ascii="宋体"/>
              </w:rPr>
            </w:pPr>
          </w:p>
        </w:tc>
      </w:tr>
      <w:tr w:rsidR="004C2197" w14:paraId="0D8E0B88" w14:textId="77777777">
        <w:trPr>
          <w:jc w:val="center"/>
        </w:trPr>
        <w:tc>
          <w:tcPr>
            <w:tcW w:w="0" w:type="auto"/>
            <w:gridSpan w:val="3"/>
            <w:shd w:val="clear" w:color="auto" w:fill="auto"/>
            <w:tcMar>
              <w:top w:w="40" w:type="dxa"/>
              <w:left w:w="20" w:type="dxa"/>
              <w:bottom w:w="40" w:type="dxa"/>
              <w:right w:w="20" w:type="dxa"/>
            </w:tcMar>
            <w:vAlign w:val="bottom"/>
          </w:tcPr>
          <w:p w14:paraId="0D8E0B7D" w14:textId="77777777" w:rsidR="004C2197" w:rsidRDefault="00863B83">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left w:w="20" w:type="dxa"/>
              <w:right w:w="20" w:type="dxa"/>
            </w:tcMar>
            <w:vAlign w:val="bottom"/>
          </w:tcPr>
          <w:p w14:paraId="0D8E0B7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7F" w14:textId="77777777" w:rsidR="004C2197" w:rsidRDefault="00863B83">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left w:w="20" w:type="dxa"/>
              <w:right w:w="20" w:type="dxa"/>
            </w:tcMar>
            <w:vAlign w:val="bottom"/>
          </w:tcPr>
          <w:p w14:paraId="0D8E0B8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1" w14:textId="77777777" w:rsidR="004C2197" w:rsidRDefault="00863B83">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left w:w="20" w:type="dxa"/>
              <w:right w:w="20" w:type="dxa"/>
            </w:tcMar>
            <w:vAlign w:val="bottom"/>
          </w:tcPr>
          <w:p w14:paraId="0D8E0B8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3" w14:textId="77777777" w:rsidR="004C2197" w:rsidRDefault="00863B83">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left w:w="20" w:type="dxa"/>
              <w:right w:w="20" w:type="dxa"/>
            </w:tcMar>
            <w:vAlign w:val="bottom"/>
          </w:tcPr>
          <w:p w14:paraId="0D8E0B84"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5" w14:textId="77777777" w:rsidR="004C2197" w:rsidRDefault="00863B83">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left w:w="20" w:type="dxa"/>
              <w:right w:w="20" w:type="dxa"/>
            </w:tcMar>
            <w:vAlign w:val="bottom"/>
          </w:tcPr>
          <w:p w14:paraId="0D8E0B8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7" w14:textId="77777777" w:rsidR="004C2197" w:rsidRDefault="00863B83">
            <w:pPr>
              <w:jc w:val="center"/>
              <w:textAlignment w:val="bottom"/>
            </w:pPr>
            <w:r>
              <w:rPr>
                <w:rFonts w:ascii="sans-serif" w:eastAsia="sans-serif" w:hAnsi="sans-serif" w:cs="sans-serif"/>
                <w:b/>
                <w:bCs/>
                <w:color w:val="000000"/>
                <w:sz w:val="20"/>
                <w:szCs w:val="20"/>
              </w:rPr>
              <w:t>Filing Date</w:t>
            </w:r>
          </w:p>
        </w:tc>
      </w:tr>
      <w:tr w:rsidR="004C2197" w14:paraId="0D8E0B94" w14:textId="77777777">
        <w:trPr>
          <w:jc w:val="center"/>
        </w:trPr>
        <w:tc>
          <w:tcPr>
            <w:tcW w:w="0" w:type="auto"/>
            <w:gridSpan w:val="3"/>
            <w:shd w:val="clear" w:color="auto" w:fill="auto"/>
            <w:tcMar>
              <w:top w:w="40" w:type="dxa"/>
              <w:left w:w="20" w:type="dxa"/>
              <w:bottom w:w="40" w:type="dxa"/>
              <w:right w:w="20" w:type="dxa"/>
            </w:tcMar>
          </w:tcPr>
          <w:p w14:paraId="0D8E0B89" w14:textId="77777777" w:rsidR="004C2197" w:rsidRDefault="00863B83">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left w:w="20" w:type="dxa"/>
              <w:right w:w="20" w:type="dxa"/>
            </w:tcMar>
            <w:vAlign w:val="bottom"/>
          </w:tcPr>
          <w:p w14:paraId="0D8E0B8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B" w14:textId="77777777" w:rsidR="004C2197" w:rsidRDefault="00863B83">
            <w:pPr>
              <w:textAlignment w:val="bottom"/>
            </w:pPr>
            <w:hyperlink r:id="rId32" w:history="1">
              <w:r>
                <w:rPr>
                  <w:rStyle w:val="a5"/>
                  <w:rFonts w:ascii="sans-serif" w:eastAsia="sans-serif" w:hAnsi="sans-serif" w:cs="sans-serif"/>
                  <w:sz w:val="20"/>
                  <w:szCs w:val="20"/>
                </w:rPr>
                <w:t>Amended and Restated 2007 Equity Incentive Plan</w:t>
              </w:r>
            </w:hyperlink>
          </w:p>
        </w:tc>
        <w:tc>
          <w:tcPr>
            <w:tcW w:w="0" w:type="auto"/>
            <w:gridSpan w:val="3"/>
            <w:shd w:val="clear" w:color="auto" w:fill="auto"/>
            <w:tcMar>
              <w:left w:w="20" w:type="dxa"/>
              <w:right w:w="20" w:type="dxa"/>
            </w:tcMar>
            <w:vAlign w:val="bottom"/>
          </w:tcPr>
          <w:p w14:paraId="0D8E0B8C"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D" w14:textId="77777777" w:rsidR="004C2197" w:rsidRDefault="00863B83">
            <w:pPr>
              <w:jc w:val="center"/>
              <w:textAlignment w:val="bottom"/>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vAlign w:val="bottom"/>
          </w:tcPr>
          <w:p w14:paraId="0D8E0B8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8F" w14:textId="77777777" w:rsidR="004C2197" w:rsidRDefault="00863B83">
            <w:pPr>
              <w:jc w:val="center"/>
              <w:textAlignment w:val="bottom"/>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vAlign w:val="bottom"/>
          </w:tcPr>
          <w:p w14:paraId="0D8E0B90"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91" w14:textId="77777777" w:rsidR="004C2197" w:rsidRDefault="00863B83">
            <w:pPr>
              <w:jc w:val="center"/>
              <w:textAlignment w:val="bottom"/>
            </w:pPr>
            <w:r>
              <w:rPr>
                <w:rFonts w:ascii="sans-serif" w:eastAsia="sans-serif" w:hAnsi="sans-serif" w:cs="sans-serif"/>
                <w:color w:val="000000"/>
                <w:sz w:val="20"/>
                <w:szCs w:val="20"/>
              </w:rPr>
              <w:t>10.1</w:t>
            </w:r>
          </w:p>
        </w:tc>
        <w:tc>
          <w:tcPr>
            <w:tcW w:w="0" w:type="auto"/>
            <w:gridSpan w:val="3"/>
            <w:shd w:val="clear" w:color="auto" w:fill="auto"/>
            <w:tcMar>
              <w:left w:w="20" w:type="dxa"/>
              <w:right w:w="20" w:type="dxa"/>
            </w:tcMar>
            <w:vAlign w:val="bottom"/>
          </w:tcPr>
          <w:p w14:paraId="0D8E0B92" w14:textId="77777777" w:rsidR="004C2197" w:rsidRDefault="004C2197">
            <w:pPr>
              <w:jc w:val="center"/>
              <w:rPr>
                <w:rFonts w:ascii="宋体"/>
              </w:rPr>
            </w:pPr>
          </w:p>
        </w:tc>
        <w:tc>
          <w:tcPr>
            <w:tcW w:w="0" w:type="auto"/>
            <w:gridSpan w:val="3"/>
            <w:shd w:val="clear" w:color="auto" w:fill="auto"/>
            <w:tcMar>
              <w:top w:w="40" w:type="dxa"/>
              <w:left w:w="20" w:type="dxa"/>
              <w:bottom w:w="40" w:type="dxa"/>
              <w:right w:w="20" w:type="dxa"/>
            </w:tcMar>
            <w:vAlign w:val="bottom"/>
          </w:tcPr>
          <w:p w14:paraId="0D8E0B93" w14:textId="77777777" w:rsidR="004C2197" w:rsidRDefault="00863B83">
            <w:pPr>
              <w:jc w:val="center"/>
              <w:textAlignment w:val="bottom"/>
            </w:pPr>
            <w:r>
              <w:rPr>
                <w:rFonts w:ascii="sans-serif" w:eastAsia="sans-serif" w:hAnsi="sans-serif" w:cs="sans-serif"/>
                <w:color w:val="000000"/>
                <w:sz w:val="20"/>
                <w:szCs w:val="20"/>
              </w:rPr>
              <w:t>6/15/2020</w:t>
            </w:r>
          </w:p>
        </w:tc>
      </w:tr>
      <w:tr w:rsidR="004C2197" w14:paraId="0D8E0BA0" w14:textId="77777777">
        <w:trPr>
          <w:jc w:val="center"/>
        </w:trPr>
        <w:tc>
          <w:tcPr>
            <w:tcW w:w="0" w:type="auto"/>
            <w:gridSpan w:val="3"/>
            <w:shd w:val="clear" w:color="auto" w:fill="auto"/>
            <w:tcMar>
              <w:top w:w="40" w:type="dxa"/>
              <w:left w:w="20" w:type="dxa"/>
              <w:bottom w:w="40" w:type="dxa"/>
              <w:right w:w="20" w:type="dxa"/>
            </w:tcMar>
          </w:tcPr>
          <w:p w14:paraId="0D8E0B95" w14:textId="77777777" w:rsidR="004C2197" w:rsidRDefault="00863B83">
            <w:pPr>
              <w:jc w:val="center"/>
              <w:textAlignment w:val="top"/>
            </w:pPr>
            <w:r>
              <w:rPr>
                <w:rFonts w:ascii="sans-serif" w:eastAsia="sans-serif" w:hAnsi="sans-serif" w:cs="sans-serif"/>
                <w:color w:val="000000"/>
                <w:sz w:val="20"/>
                <w:szCs w:val="20"/>
              </w:rPr>
              <w:t>10.2+</w:t>
            </w:r>
          </w:p>
        </w:tc>
        <w:tc>
          <w:tcPr>
            <w:tcW w:w="0" w:type="auto"/>
            <w:gridSpan w:val="3"/>
            <w:shd w:val="clear" w:color="auto" w:fill="auto"/>
            <w:tcMar>
              <w:left w:w="20" w:type="dxa"/>
              <w:right w:w="20" w:type="dxa"/>
            </w:tcMar>
            <w:vAlign w:val="bottom"/>
          </w:tcPr>
          <w:p w14:paraId="0D8E0B9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97" w14:textId="77777777" w:rsidR="004C2197" w:rsidRDefault="00863B83">
            <w:pPr>
              <w:textAlignment w:val="bottom"/>
            </w:pPr>
            <w:hyperlink r:id="rId33" w:history="1">
              <w:r>
                <w:rPr>
                  <w:rStyle w:val="a5"/>
                  <w:rFonts w:ascii="sans-serif" w:eastAsia="sans-serif" w:hAnsi="sans-serif" w:cs="sans-serif"/>
                  <w:sz w:val="20"/>
                  <w:szCs w:val="20"/>
                </w:rPr>
                <w:t>Amended and Restated 2012 Employee Stock Purchase Plan</w:t>
              </w:r>
            </w:hyperlink>
          </w:p>
        </w:tc>
        <w:tc>
          <w:tcPr>
            <w:tcW w:w="0" w:type="auto"/>
            <w:gridSpan w:val="3"/>
            <w:shd w:val="clear" w:color="auto" w:fill="auto"/>
            <w:tcMar>
              <w:left w:w="20" w:type="dxa"/>
              <w:right w:w="20" w:type="dxa"/>
            </w:tcMar>
            <w:vAlign w:val="bottom"/>
          </w:tcPr>
          <w:p w14:paraId="0D8E0B98"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99" w14:textId="77777777" w:rsidR="004C2197" w:rsidRDefault="00863B83">
            <w:pPr>
              <w:jc w:val="center"/>
              <w:textAlignment w:val="bottom"/>
            </w:pPr>
            <w:r>
              <w:rPr>
                <w:rFonts w:ascii="sans-serif" w:eastAsia="sans-serif" w:hAnsi="sans-serif" w:cs="sans-serif"/>
                <w:color w:val="000000"/>
                <w:sz w:val="20"/>
                <w:szCs w:val="20"/>
              </w:rPr>
              <w:t>8-K</w:t>
            </w:r>
          </w:p>
        </w:tc>
        <w:tc>
          <w:tcPr>
            <w:tcW w:w="0" w:type="auto"/>
            <w:gridSpan w:val="3"/>
            <w:shd w:val="clear" w:color="auto" w:fill="auto"/>
            <w:tcMar>
              <w:left w:w="20" w:type="dxa"/>
              <w:right w:w="20" w:type="dxa"/>
            </w:tcMar>
            <w:vAlign w:val="bottom"/>
          </w:tcPr>
          <w:p w14:paraId="0D8E0B9A" w14:textId="77777777" w:rsidR="004C2197" w:rsidRDefault="004C2197">
            <w:pPr>
              <w:jc w:val="center"/>
              <w:rPr>
                <w:rFonts w:ascii="宋体"/>
              </w:rPr>
            </w:pPr>
          </w:p>
        </w:tc>
        <w:tc>
          <w:tcPr>
            <w:tcW w:w="0" w:type="auto"/>
            <w:gridSpan w:val="3"/>
            <w:shd w:val="clear" w:color="auto" w:fill="auto"/>
            <w:tcMar>
              <w:top w:w="40" w:type="dxa"/>
              <w:left w:w="20" w:type="dxa"/>
              <w:bottom w:w="40" w:type="dxa"/>
              <w:right w:w="20" w:type="dxa"/>
            </w:tcMar>
            <w:vAlign w:val="bottom"/>
          </w:tcPr>
          <w:p w14:paraId="0D8E0B9B" w14:textId="77777777" w:rsidR="004C2197" w:rsidRDefault="00863B83">
            <w:pPr>
              <w:jc w:val="center"/>
              <w:textAlignment w:val="bottom"/>
            </w:pPr>
            <w:r>
              <w:rPr>
                <w:rFonts w:ascii="sans-serif" w:eastAsia="sans-serif" w:hAnsi="sans-serif" w:cs="sans-serif"/>
                <w:color w:val="000000"/>
                <w:sz w:val="20"/>
                <w:szCs w:val="20"/>
              </w:rPr>
              <w:t>000-23985</w:t>
            </w:r>
          </w:p>
        </w:tc>
        <w:tc>
          <w:tcPr>
            <w:tcW w:w="0" w:type="auto"/>
            <w:gridSpan w:val="3"/>
            <w:shd w:val="clear" w:color="auto" w:fill="auto"/>
            <w:tcMar>
              <w:left w:w="20" w:type="dxa"/>
              <w:right w:w="20" w:type="dxa"/>
            </w:tcMar>
            <w:vAlign w:val="bottom"/>
          </w:tcPr>
          <w:p w14:paraId="0D8E0B9C" w14:textId="77777777" w:rsidR="004C2197" w:rsidRDefault="004C2197">
            <w:pPr>
              <w:jc w:val="center"/>
              <w:rPr>
                <w:rFonts w:ascii="宋体"/>
              </w:rPr>
            </w:pPr>
          </w:p>
        </w:tc>
        <w:tc>
          <w:tcPr>
            <w:tcW w:w="0" w:type="auto"/>
            <w:gridSpan w:val="3"/>
            <w:shd w:val="clear" w:color="auto" w:fill="auto"/>
            <w:tcMar>
              <w:top w:w="40" w:type="dxa"/>
              <w:left w:w="20" w:type="dxa"/>
              <w:bottom w:w="40" w:type="dxa"/>
              <w:right w:w="20" w:type="dxa"/>
            </w:tcMar>
            <w:vAlign w:val="bottom"/>
          </w:tcPr>
          <w:p w14:paraId="0D8E0B9D" w14:textId="77777777" w:rsidR="004C2197" w:rsidRDefault="00863B83">
            <w:pPr>
              <w:jc w:val="center"/>
              <w:textAlignment w:val="bottom"/>
            </w:pPr>
            <w:r>
              <w:rPr>
                <w:rFonts w:ascii="sans-serif" w:eastAsia="sans-serif" w:hAnsi="sans-serif" w:cs="sans-serif"/>
                <w:color w:val="000000"/>
                <w:sz w:val="20"/>
                <w:szCs w:val="20"/>
              </w:rPr>
              <w:t>10.2</w:t>
            </w:r>
          </w:p>
        </w:tc>
        <w:tc>
          <w:tcPr>
            <w:tcW w:w="0" w:type="auto"/>
            <w:gridSpan w:val="3"/>
            <w:shd w:val="clear" w:color="auto" w:fill="auto"/>
            <w:tcMar>
              <w:left w:w="20" w:type="dxa"/>
              <w:right w:w="20" w:type="dxa"/>
            </w:tcMar>
            <w:vAlign w:val="bottom"/>
          </w:tcPr>
          <w:p w14:paraId="0D8E0B9E" w14:textId="77777777" w:rsidR="004C2197" w:rsidRDefault="004C2197">
            <w:pPr>
              <w:jc w:val="center"/>
              <w:rPr>
                <w:rFonts w:ascii="宋体"/>
              </w:rPr>
            </w:pPr>
          </w:p>
        </w:tc>
        <w:tc>
          <w:tcPr>
            <w:tcW w:w="0" w:type="auto"/>
            <w:gridSpan w:val="3"/>
            <w:shd w:val="clear" w:color="auto" w:fill="auto"/>
            <w:tcMar>
              <w:top w:w="40" w:type="dxa"/>
              <w:left w:w="20" w:type="dxa"/>
              <w:bottom w:w="40" w:type="dxa"/>
              <w:right w:w="20" w:type="dxa"/>
            </w:tcMar>
            <w:vAlign w:val="bottom"/>
          </w:tcPr>
          <w:p w14:paraId="0D8E0B9F" w14:textId="77777777" w:rsidR="004C2197" w:rsidRDefault="00863B83">
            <w:pPr>
              <w:jc w:val="center"/>
              <w:textAlignment w:val="bottom"/>
            </w:pPr>
            <w:r>
              <w:rPr>
                <w:rFonts w:ascii="sans-serif" w:eastAsia="sans-serif" w:hAnsi="sans-serif" w:cs="sans-serif"/>
                <w:color w:val="000000"/>
                <w:sz w:val="20"/>
                <w:szCs w:val="20"/>
              </w:rPr>
              <w:t>6/15/2020</w:t>
            </w:r>
          </w:p>
        </w:tc>
      </w:tr>
      <w:tr w:rsidR="004C2197" w14:paraId="0D8E0BAC" w14:textId="77777777">
        <w:trPr>
          <w:jc w:val="center"/>
        </w:trPr>
        <w:tc>
          <w:tcPr>
            <w:tcW w:w="0" w:type="auto"/>
            <w:gridSpan w:val="3"/>
            <w:shd w:val="clear" w:color="auto" w:fill="auto"/>
            <w:tcMar>
              <w:top w:w="40" w:type="dxa"/>
              <w:left w:w="20" w:type="dxa"/>
              <w:bottom w:w="40" w:type="dxa"/>
              <w:right w:w="20" w:type="dxa"/>
            </w:tcMar>
          </w:tcPr>
          <w:p w14:paraId="0D8E0BA1" w14:textId="77777777" w:rsidR="004C2197" w:rsidRDefault="00863B83">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left w:w="20" w:type="dxa"/>
              <w:right w:w="20" w:type="dxa"/>
            </w:tcMar>
            <w:vAlign w:val="bottom"/>
          </w:tcPr>
          <w:p w14:paraId="0D8E0BA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A3" w14:textId="77777777" w:rsidR="004C2197" w:rsidRDefault="00863B83">
            <w:pPr>
              <w:textAlignment w:val="bottom"/>
            </w:pPr>
            <w:hyperlink r:id="rId34"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left w:w="20" w:type="dxa"/>
              <w:right w:w="20" w:type="dxa"/>
            </w:tcMar>
            <w:vAlign w:val="bottom"/>
          </w:tcPr>
          <w:p w14:paraId="0D8E0BA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AB" w14:textId="77777777" w:rsidR="004C2197" w:rsidRDefault="004C2197">
            <w:pPr>
              <w:rPr>
                <w:rFonts w:ascii="宋体"/>
              </w:rPr>
            </w:pPr>
          </w:p>
        </w:tc>
      </w:tr>
      <w:tr w:rsidR="004C2197" w14:paraId="0D8E0BB8" w14:textId="77777777">
        <w:trPr>
          <w:jc w:val="center"/>
        </w:trPr>
        <w:tc>
          <w:tcPr>
            <w:tcW w:w="0" w:type="auto"/>
            <w:gridSpan w:val="3"/>
            <w:shd w:val="clear" w:color="auto" w:fill="auto"/>
            <w:tcMar>
              <w:top w:w="40" w:type="dxa"/>
              <w:left w:w="20" w:type="dxa"/>
              <w:bottom w:w="40" w:type="dxa"/>
              <w:right w:w="20" w:type="dxa"/>
            </w:tcMar>
          </w:tcPr>
          <w:p w14:paraId="0D8E0BAD" w14:textId="77777777" w:rsidR="004C2197" w:rsidRDefault="00863B83">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left w:w="20" w:type="dxa"/>
              <w:right w:w="20" w:type="dxa"/>
            </w:tcMar>
            <w:vAlign w:val="bottom"/>
          </w:tcPr>
          <w:p w14:paraId="0D8E0BA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AF" w14:textId="77777777" w:rsidR="004C2197" w:rsidRDefault="00863B83">
            <w:pPr>
              <w:textAlignment w:val="bottom"/>
            </w:pPr>
            <w:hyperlink r:id="rId35"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left w:w="20" w:type="dxa"/>
              <w:right w:w="20" w:type="dxa"/>
            </w:tcMar>
            <w:vAlign w:val="bottom"/>
          </w:tcPr>
          <w:p w14:paraId="0D8E0BB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7" w14:textId="77777777" w:rsidR="004C2197" w:rsidRDefault="004C2197">
            <w:pPr>
              <w:rPr>
                <w:rFonts w:ascii="宋体"/>
              </w:rPr>
            </w:pPr>
          </w:p>
        </w:tc>
      </w:tr>
      <w:tr w:rsidR="004C2197" w14:paraId="0D8E0BC4" w14:textId="77777777">
        <w:trPr>
          <w:jc w:val="center"/>
        </w:trPr>
        <w:tc>
          <w:tcPr>
            <w:tcW w:w="0" w:type="auto"/>
            <w:gridSpan w:val="3"/>
            <w:shd w:val="clear" w:color="auto" w:fill="auto"/>
            <w:tcMar>
              <w:top w:w="40" w:type="dxa"/>
              <w:left w:w="20" w:type="dxa"/>
              <w:bottom w:w="40" w:type="dxa"/>
              <w:right w:w="20" w:type="dxa"/>
            </w:tcMar>
          </w:tcPr>
          <w:p w14:paraId="0D8E0BB9" w14:textId="77777777" w:rsidR="004C2197" w:rsidRDefault="00863B83">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left w:w="20" w:type="dxa"/>
              <w:right w:w="20" w:type="dxa"/>
            </w:tcMar>
            <w:vAlign w:val="bottom"/>
          </w:tcPr>
          <w:p w14:paraId="0D8E0BB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BB" w14:textId="77777777" w:rsidR="004C2197" w:rsidRDefault="00863B83">
            <w:pPr>
              <w:textAlignment w:val="bottom"/>
            </w:pPr>
            <w:hyperlink r:id="rId36"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left w:w="20" w:type="dxa"/>
              <w:right w:w="20" w:type="dxa"/>
            </w:tcMar>
            <w:vAlign w:val="bottom"/>
          </w:tcPr>
          <w:p w14:paraId="0D8E0BB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B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3" w14:textId="77777777" w:rsidR="004C2197" w:rsidRDefault="004C2197">
            <w:pPr>
              <w:rPr>
                <w:rFonts w:ascii="宋体"/>
              </w:rPr>
            </w:pPr>
          </w:p>
        </w:tc>
      </w:tr>
      <w:tr w:rsidR="004C2197" w14:paraId="0D8E0BD0" w14:textId="77777777">
        <w:trPr>
          <w:jc w:val="center"/>
        </w:trPr>
        <w:tc>
          <w:tcPr>
            <w:tcW w:w="0" w:type="auto"/>
            <w:gridSpan w:val="3"/>
            <w:shd w:val="clear" w:color="auto" w:fill="auto"/>
            <w:tcMar>
              <w:top w:w="40" w:type="dxa"/>
              <w:left w:w="20" w:type="dxa"/>
              <w:bottom w:w="40" w:type="dxa"/>
              <w:right w:w="20" w:type="dxa"/>
            </w:tcMar>
          </w:tcPr>
          <w:p w14:paraId="0D8E0BC5" w14:textId="77777777" w:rsidR="004C2197" w:rsidRDefault="00863B83">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left w:w="20" w:type="dxa"/>
              <w:right w:w="20" w:type="dxa"/>
            </w:tcMar>
            <w:vAlign w:val="bottom"/>
          </w:tcPr>
          <w:p w14:paraId="0D8E0BC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C7" w14:textId="77777777" w:rsidR="004C2197" w:rsidRDefault="00863B83">
            <w:pPr>
              <w:textAlignment w:val="bottom"/>
            </w:pPr>
            <w:hyperlink r:id="rId37"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left w:w="20" w:type="dxa"/>
              <w:right w:w="20" w:type="dxa"/>
            </w:tcMar>
            <w:vAlign w:val="bottom"/>
          </w:tcPr>
          <w:p w14:paraId="0D8E0BC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CF" w14:textId="77777777" w:rsidR="004C2197" w:rsidRDefault="004C2197">
            <w:pPr>
              <w:rPr>
                <w:rFonts w:ascii="宋体"/>
              </w:rPr>
            </w:pPr>
          </w:p>
        </w:tc>
      </w:tr>
      <w:tr w:rsidR="004C2197" w14:paraId="0D8E0BDC" w14:textId="77777777">
        <w:trPr>
          <w:jc w:val="center"/>
        </w:trPr>
        <w:tc>
          <w:tcPr>
            <w:tcW w:w="0" w:type="auto"/>
            <w:gridSpan w:val="3"/>
            <w:shd w:val="clear" w:color="auto" w:fill="auto"/>
            <w:tcMar>
              <w:top w:w="40" w:type="dxa"/>
              <w:left w:w="20" w:type="dxa"/>
              <w:bottom w:w="40" w:type="dxa"/>
              <w:right w:w="20" w:type="dxa"/>
            </w:tcMar>
          </w:tcPr>
          <w:p w14:paraId="0D8E0BD1" w14:textId="77777777" w:rsidR="004C2197" w:rsidRDefault="00863B83">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left w:w="20" w:type="dxa"/>
              <w:right w:w="20" w:type="dxa"/>
            </w:tcMar>
            <w:vAlign w:val="bottom"/>
          </w:tcPr>
          <w:p w14:paraId="0D8E0BD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D3" w14:textId="77777777" w:rsidR="004C2197" w:rsidRDefault="00863B83">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left w:w="20" w:type="dxa"/>
              <w:right w:w="20" w:type="dxa"/>
            </w:tcMar>
            <w:vAlign w:val="bottom"/>
          </w:tcPr>
          <w:p w14:paraId="0D8E0BD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DB" w14:textId="77777777" w:rsidR="004C2197" w:rsidRDefault="004C2197">
            <w:pPr>
              <w:rPr>
                <w:rFonts w:ascii="宋体"/>
              </w:rPr>
            </w:pPr>
          </w:p>
        </w:tc>
      </w:tr>
      <w:tr w:rsidR="004C2197" w14:paraId="0D8E0BE8" w14:textId="77777777">
        <w:trPr>
          <w:jc w:val="center"/>
        </w:trPr>
        <w:tc>
          <w:tcPr>
            <w:tcW w:w="0" w:type="auto"/>
            <w:gridSpan w:val="3"/>
            <w:shd w:val="clear" w:color="auto" w:fill="auto"/>
            <w:tcMar>
              <w:top w:w="40" w:type="dxa"/>
              <w:left w:w="20" w:type="dxa"/>
              <w:bottom w:w="40" w:type="dxa"/>
              <w:right w:w="20" w:type="dxa"/>
            </w:tcMar>
          </w:tcPr>
          <w:p w14:paraId="0D8E0BDD" w14:textId="77777777" w:rsidR="004C2197" w:rsidRDefault="00863B83">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left w:w="20" w:type="dxa"/>
              <w:right w:w="20" w:type="dxa"/>
            </w:tcMar>
            <w:vAlign w:val="bottom"/>
          </w:tcPr>
          <w:p w14:paraId="0D8E0BD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DF" w14:textId="77777777" w:rsidR="004C2197" w:rsidRDefault="00863B83">
            <w:pPr>
              <w:textAlignment w:val="bottom"/>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left w:w="20" w:type="dxa"/>
              <w:right w:w="20" w:type="dxa"/>
            </w:tcMar>
            <w:vAlign w:val="bottom"/>
          </w:tcPr>
          <w:p w14:paraId="0D8E0BE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7" w14:textId="77777777" w:rsidR="004C2197" w:rsidRDefault="004C2197">
            <w:pPr>
              <w:rPr>
                <w:rFonts w:ascii="宋体"/>
              </w:rPr>
            </w:pPr>
          </w:p>
        </w:tc>
      </w:tr>
      <w:tr w:rsidR="004C2197" w14:paraId="0D8E0BF4" w14:textId="77777777">
        <w:trPr>
          <w:jc w:val="center"/>
        </w:trPr>
        <w:tc>
          <w:tcPr>
            <w:tcW w:w="0" w:type="auto"/>
            <w:gridSpan w:val="3"/>
            <w:shd w:val="clear" w:color="auto" w:fill="auto"/>
            <w:tcMar>
              <w:top w:w="40" w:type="dxa"/>
              <w:left w:w="20" w:type="dxa"/>
              <w:bottom w:w="40" w:type="dxa"/>
              <w:right w:w="20" w:type="dxa"/>
            </w:tcMar>
          </w:tcPr>
          <w:p w14:paraId="0D8E0BE9" w14:textId="77777777" w:rsidR="004C2197" w:rsidRDefault="00863B83">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left w:w="20" w:type="dxa"/>
              <w:right w:w="20" w:type="dxa"/>
            </w:tcMar>
            <w:vAlign w:val="bottom"/>
          </w:tcPr>
          <w:p w14:paraId="0D8E0BE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EB" w14:textId="77777777" w:rsidR="004C2197" w:rsidRDefault="00863B83">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Calculation Linkbase Document</w:t>
            </w:r>
          </w:p>
        </w:tc>
        <w:tc>
          <w:tcPr>
            <w:tcW w:w="0" w:type="auto"/>
            <w:gridSpan w:val="3"/>
            <w:shd w:val="clear" w:color="auto" w:fill="auto"/>
            <w:tcMar>
              <w:left w:w="20" w:type="dxa"/>
              <w:right w:w="20" w:type="dxa"/>
            </w:tcMar>
            <w:vAlign w:val="bottom"/>
          </w:tcPr>
          <w:p w14:paraId="0D8E0BE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E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3" w14:textId="77777777" w:rsidR="004C2197" w:rsidRDefault="004C2197">
            <w:pPr>
              <w:rPr>
                <w:rFonts w:ascii="宋体"/>
              </w:rPr>
            </w:pPr>
          </w:p>
        </w:tc>
      </w:tr>
      <w:tr w:rsidR="004C2197" w14:paraId="0D8E0C00" w14:textId="77777777">
        <w:trPr>
          <w:jc w:val="center"/>
        </w:trPr>
        <w:tc>
          <w:tcPr>
            <w:tcW w:w="0" w:type="auto"/>
            <w:gridSpan w:val="3"/>
            <w:shd w:val="clear" w:color="auto" w:fill="auto"/>
            <w:tcMar>
              <w:top w:w="40" w:type="dxa"/>
              <w:left w:w="20" w:type="dxa"/>
              <w:bottom w:w="40" w:type="dxa"/>
              <w:right w:w="20" w:type="dxa"/>
            </w:tcMar>
          </w:tcPr>
          <w:p w14:paraId="0D8E0BF5" w14:textId="77777777" w:rsidR="004C2197" w:rsidRDefault="00863B83">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left w:w="20" w:type="dxa"/>
              <w:right w:w="20" w:type="dxa"/>
            </w:tcMar>
            <w:vAlign w:val="bottom"/>
          </w:tcPr>
          <w:p w14:paraId="0D8E0BF6"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BF7" w14:textId="77777777" w:rsidR="004C2197" w:rsidRDefault="00863B83">
            <w:pPr>
              <w:textAlignment w:val="bottom"/>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left w:w="20" w:type="dxa"/>
              <w:right w:w="20" w:type="dxa"/>
            </w:tcMar>
            <w:vAlign w:val="bottom"/>
          </w:tcPr>
          <w:p w14:paraId="0D8E0BF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B"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BFF" w14:textId="77777777" w:rsidR="004C2197" w:rsidRDefault="004C2197">
            <w:pPr>
              <w:rPr>
                <w:rFonts w:ascii="宋体"/>
              </w:rPr>
            </w:pPr>
          </w:p>
        </w:tc>
      </w:tr>
      <w:tr w:rsidR="004C2197" w14:paraId="0D8E0C0C" w14:textId="77777777">
        <w:trPr>
          <w:jc w:val="center"/>
        </w:trPr>
        <w:tc>
          <w:tcPr>
            <w:tcW w:w="0" w:type="auto"/>
            <w:gridSpan w:val="3"/>
            <w:shd w:val="clear" w:color="auto" w:fill="auto"/>
            <w:tcMar>
              <w:top w:w="40" w:type="dxa"/>
              <w:left w:w="20" w:type="dxa"/>
              <w:bottom w:w="40" w:type="dxa"/>
              <w:right w:w="20" w:type="dxa"/>
            </w:tcMar>
          </w:tcPr>
          <w:p w14:paraId="0D8E0C01" w14:textId="77777777" w:rsidR="004C2197" w:rsidRDefault="00863B83">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left w:w="20" w:type="dxa"/>
              <w:right w:w="20" w:type="dxa"/>
            </w:tcMar>
            <w:vAlign w:val="bottom"/>
          </w:tcPr>
          <w:p w14:paraId="0D8E0C02"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C03" w14:textId="77777777" w:rsidR="004C2197" w:rsidRDefault="00863B83">
            <w:pPr>
              <w:textAlignment w:val="bottom"/>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left w:w="20" w:type="dxa"/>
              <w:right w:w="20" w:type="dxa"/>
            </w:tcMar>
            <w:vAlign w:val="bottom"/>
          </w:tcPr>
          <w:p w14:paraId="0D8E0C0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7"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8"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9"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A"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0B" w14:textId="77777777" w:rsidR="004C2197" w:rsidRDefault="004C2197">
            <w:pPr>
              <w:rPr>
                <w:rFonts w:ascii="宋体"/>
              </w:rPr>
            </w:pPr>
          </w:p>
        </w:tc>
      </w:tr>
      <w:tr w:rsidR="004C2197" w14:paraId="0D8E0C18" w14:textId="77777777">
        <w:trPr>
          <w:jc w:val="center"/>
        </w:trPr>
        <w:tc>
          <w:tcPr>
            <w:tcW w:w="0" w:type="auto"/>
            <w:gridSpan w:val="3"/>
            <w:shd w:val="clear" w:color="auto" w:fill="auto"/>
            <w:tcMar>
              <w:top w:w="40" w:type="dxa"/>
              <w:left w:w="20" w:type="dxa"/>
              <w:bottom w:w="40" w:type="dxa"/>
              <w:right w:w="20" w:type="dxa"/>
            </w:tcMar>
          </w:tcPr>
          <w:p w14:paraId="0D8E0C0D" w14:textId="77777777" w:rsidR="004C2197" w:rsidRDefault="00863B83">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left w:w="20" w:type="dxa"/>
              <w:right w:w="20" w:type="dxa"/>
            </w:tcMar>
            <w:vAlign w:val="bottom"/>
          </w:tcPr>
          <w:p w14:paraId="0D8E0C0E"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C0F" w14:textId="77777777" w:rsidR="004C2197" w:rsidRDefault="00863B83">
            <w:pPr>
              <w:textAlignment w:val="bottom"/>
            </w:pPr>
            <w:r>
              <w:rPr>
                <w:rFonts w:ascii="sans-serif" w:eastAsia="sans-serif" w:hAnsi="sans-serif" w:cs="sans-serif"/>
                <w:color w:val="000000"/>
                <w:sz w:val="20"/>
                <w:szCs w:val="20"/>
              </w:rPr>
              <w:t xml:space="preserve">Inline XBRL Taxonomy </w:t>
            </w:r>
            <w:r>
              <w:rPr>
                <w:rFonts w:ascii="sans-serif" w:eastAsia="sans-serif" w:hAnsi="sans-serif" w:cs="sans-serif"/>
                <w:color w:val="000000"/>
                <w:sz w:val="20"/>
                <w:szCs w:val="20"/>
              </w:rPr>
              <w:t>Extension Presentation Linkbase Document</w:t>
            </w:r>
          </w:p>
        </w:tc>
        <w:tc>
          <w:tcPr>
            <w:tcW w:w="0" w:type="auto"/>
            <w:gridSpan w:val="3"/>
            <w:shd w:val="clear" w:color="auto" w:fill="auto"/>
            <w:tcMar>
              <w:left w:w="20" w:type="dxa"/>
              <w:right w:w="20" w:type="dxa"/>
            </w:tcMar>
            <w:vAlign w:val="bottom"/>
          </w:tcPr>
          <w:p w14:paraId="0D8E0C1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3"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4"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5"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6"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7" w14:textId="77777777" w:rsidR="004C2197" w:rsidRDefault="004C2197">
            <w:pPr>
              <w:rPr>
                <w:rFonts w:ascii="宋体"/>
              </w:rPr>
            </w:pPr>
          </w:p>
        </w:tc>
      </w:tr>
      <w:tr w:rsidR="004C2197" w14:paraId="0D8E0C24" w14:textId="77777777">
        <w:trPr>
          <w:jc w:val="center"/>
        </w:trPr>
        <w:tc>
          <w:tcPr>
            <w:tcW w:w="0" w:type="auto"/>
            <w:gridSpan w:val="3"/>
            <w:shd w:val="clear" w:color="auto" w:fill="auto"/>
            <w:tcMar>
              <w:top w:w="40" w:type="dxa"/>
              <w:left w:w="20" w:type="dxa"/>
              <w:bottom w:w="40" w:type="dxa"/>
              <w:right w:w="20" w:type="dxa"/>
            </w:tcMar>
          </w:tcPr>
          <w:p w14:paraId="0D8E0C19" w14:textId="77777777" w:rsidR="004C2197" w:rsidRDefault="00863B83">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left w:w="20" w:type="dxa"/>
              <w:right w:w="20" w:type="dxa"/>
            </w:tcMar>
            <w:vAlign w:val="bottom"/>
          </w:tcPr>
          <w:p w14:paraId="0D8E0C1A" w14:textId="77777777" w:rsidR="004C2197" w:rsidRDefault="004C2197">
            <w:pPr>
              <w:rPr>
                <w:rFonts w:ascii="宋体"/>
              </w:rPr>
            </w:pPr>
          </w:p>
        </w:tc>
        <w:tc>
          <w:tcPr>
            <w:tcW w:w="0" w:type="auto"/>
            <w:gridSpan w:val="3"/>
            <w:shd w:val="clear" w:color="auto" w:fill="auto"/>
            <w:tcMar>
              <w:top w:w="40" w:type="dxa"/>
              <w:left w:w="20" w:type="dxa"/>
              <w:bottom w:w="40" w:type="dxa"/>
              <w:right w:w="20" w:type="dxa"/>
            </w:tcMar>
            <w:vAlign w:val="bottom"/>
          </w:tcPr>
          <w:p w14:paraId="0D8E0C1B" w14:textId="77777777" w:rsidR="004C2197" w:rsidRDefault="00863B83">
            <w:pPr>
              <w:textAlignment w:val="bottom"/>
            </w:pPr>
            <w:r>
              <w:rPr>
                <w:rFonts w:ascii="sans-serif" w:eastAsia="sans-serif" w:hAnsi="sans-serif" w:cs="sans-serif"/>
                <w:color w:val="000000"/>
                <w:sz w:val="20"/>
                <w:szCs w:val="20"/>
              </w:rPr>
              <w:t>Cover Page Interactive Data File - the cover page interactive data file does not appear in the Interactive Data File because its XBRL tags are embedded within the Inline XBRL document.</w:t>
            </w:r>
          </w:p>
        </w:tc>
        <w:tc>
          <w:tcPr>
            <w:tcW w:w="0" w:type="auto"/>
            <w:gridSpan w:val="3"/>
            <w:shd w:val="clear" w:color="auto" w:fill="auto"/>
            <w:tcMar>
              <w:left w:w="20" w:type="dxa"/>
              <w:right w:w="20" w:type="dxa"/>
            </w:tcMar>
            <w:vAlign w:val="bottom"/>
          </w:tcPr>
          <w:p w14:paraId="0D8E0C1C"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D"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E"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1F"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20"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21"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22" w14:textId="77777777" w:rsidR="004C2197" w:rsidRDefault="004C2197">
            <w:pPr>
              <w:rPr>
                <w:rFonts w:ascii="宋体"/>
              </w:rPr>
            </w:pPr>
          </w:p>
        </w:tc>
        <w:tc>
          <w:tcPr>
            <w:tcW w:w="0" w:type="auto"/>
            <w:gridSpan w:val="3"/>
            <w:shd w:val="clear" w:color="auto" w:fill="auto"/>
            <w:tcMar>
              <w:left w:w="20" w:type="dxa"/>
              <w:right w:w="20" w:type="dxa"/>
            </w:tcMar>
            <w:vAlign w:val="bottom"/>
          </w:tcPr>
          <w:p w14:paraId="0D8E0C23" w14:textId="77777777" w:rsidR="004C2197" w:rsidRDefault="004C2197">
            <w:pPr>
              <w:rPr>
                <w:rFonts w:ascii="宋体"/>
              </w:rPr>
            </w:pPr>
          </w:p>
        </w:tc>
      </w:tr>
    </w:tbl>
    <w:p w14:paraId="0D8E0C25" w14:textId="77777777" w:rsidR="004C2197" w:rsidRDefault="00863B83">
      <w:pPr>
        <w:spacing w:after="180"/>
        <w:jc w:val="both"/>
      </w:pPr>
      <w:r>
        <w:rPr>
          <w:rFonts w:ascii="sans-serif" w:eastAsia="sans-serif" w:hAnsi="sans-serif" w:cs="sans-serif"/>
          <w:color w:val="000000"/>
          <w:sz w:val="20"/>
          <w:szCs w:val="20"/>
        </w:rPr>
        <w:t xml:space="preserve">* </w:t>
      </w:r>
      <w:r>
        <w:rPr>
          <w:rFonts w:ascii="sans-serif" w:eastAsia="sans-serif" w:hAnsi="sans-serif" w:cs="sans-serif"/>
          <w:color w:val="000000"/>
          <w:sz w:val="20"/>
          <w:szCs w:val="20"/>
        </w:rPr>
        <w:t>Filed herewith</w:t>
      </w:r>
    </w:p>
    <w:p w14:paraId="0D8E0C26" w14:textId="77777777" w:rsidR="004C2197" w:rsidRDefault="00863B83">
      <w:pPr>
        <w:spacing w:after="180"/>
        <w:jc w:val="both"/>
      </w:pPr>
      <w:r>
        <w:rPr>
          <w:rFonts w:ascii="sans-serif" w:eastAsia="sans-serif" w:hAnsi="sans-serif" w:cs="sans-serif"/>
          <w:color w:val="000000"/>
          <w:sz w:val="20"/>
          <w:szCs w:val="20"/>
        </w:rPr>
        <w:t>+ Management contract or compensatory plan or arrangement</w:t>
      </w:r>
    </w:p>
    <w:p w14:paraId="0D8E0C27" w14:textId="77777777" w:rsidR="004C2197" w:rsidRDefault="00863B83">
      <w:pPr>
        <w:spacing w:after="180"/>
        <w:jc w:val="both"/>
      </w:pPr>
      <w:r>
        <w:rPr>
          <w:rFonts w:ascii="sans-serif" w:eastAsia="sans-serif" w:hAnsi="sans-serif" w:cs="sans-serif"/>
          <w:color w:val="000000"/>
          <w:sz w:val="20"/>
          <w:szCs w:val="20"/>
        </w:rPr>
        <w:t># In accordance with Item 601(b)(32)(ii) of Regulation S-K and SEC Release Nos. 33-8238 and 34-47986, Final Rule: Management's Reports on Internal Control Over Financial Reporting and</w:t>
      </w:r>
      <w:r>
        <w:rPr>
          <w:rFonts w:ascii="sans-serif" w:eastAsia="sans-serif" w:hAnsi="sans-serif" w:cs="sans-serif"/>
          <w:color w:val="000000"/>
          <w:sz w:val="20"/>
          <w:szCs w:val="20"/>
        </w:rPr>
        <w:t xml:space="preserve"> Certification of Disclosure in Exchange Act Periodic Reports, the certifications furnished in Exhibits 32.1 and 32.2 hereto are deemed to accompany this Quarterly Report on Form 10-Q and will not be deemed “filed” for purpose of Section 18 of the Exchange</w:t>
      </w:r>
      <w:r>
        <w:rPr>
          <w:rFonts w:ascii="sans-serif" w:eastAsia="sans-serif" w:hAnsi="sans-serif" w:cs="sans-serif"/>
          <w:color w:val="000000"/>
          <w:sz w:val="20"/>
          <w:szCs w:val="20"/>
        </w:rPr>
        <w:t xml:space="preserve"> Act. Such certifications will not be deemed to be incorporated by reference into any filing under the Securities Act or the Exchange Act, except to the extent that the registrant specifically incorporates it by reference.</w:t>
      </w:r>
    </w:p>
    <w:p w14:paraId="0D8E0C28" w14:textId="77777777" w:rsidR="004C2197" w:rsidRDefault="00863B83">
      <w:pPr>
        <w:spacing w:after="180"/>
        <w:jc w:val="both"/>
      </w:pPr>
      <w:r>
        <w:rPr>
          <w:rFonts w:ascii="sans-serif" w:eastAsia="sans-serif" w:hAnsi="sans-serif" w:cs="sans-serif"/>
          <w:color w:val="000000"/>
          <w:sz w:val="20"/>
          <w:szCs w:val="20"/>
        </w:rPr>
        <w:t>Copies of above exhibits not cont</w:t>
      </w:r>
      <w:r>
        <w:rPr>
          <w:rFonts w:ascii="sans-serif" w:eastAsia="sans-serif" w:hAnsi="sans-serif" w:cs="sans-serif"/>
          <w:color w:val="000000"/>
          <w:sz w:val="20"/>
          <w:szCs w:val="20"/>
        </w:rPr>
        <w:t>ained herein are available to any shareholder upon written request to:</w:t>
      </w:r>
    </w:p>
    <w:p w14:paraId="0D8E0C29" w14:textId="77777777" w:rsidR="004C2197" w:rsidRDefault="00863B83">
      <w:pPr>
        <w:spacing w:after="180"/>
        <w:jc w:val="both"/>
      </w:pPr>
      <w:r>
        <w:rPr>
          <w:rFonts w:ascii="sans-serif" w:eastAsia="sans-serif" w:hAnsi="sans-serif" w:cs="sans-serif"/>
          <w:color w:val="000000"/>
          <w:sz w:val="20"/>
          <w:szCs w:val="20"/>
        </w:rPr>
        <w:t>Investor Relations: NVIDIA Corporation, 2788 San Tomas Expressway, Santa Clara, CA 95051.</w:t>
      </w:r>
    </w:p>
    <w:p w14:paraId="0D8E0C2A" w14:textId="77777777" w:rsidR="004C2197" w:rsidRDefault="00863B83">
      <w:pPr>
        <w:spacing w:after="180"/>
        <w:jc w:val="center"/>
      </w:pPr>
      <w:r>
        <w:rPr>
          <w:rFonts w:ascii="sans-serif" w:eastAsia="sans-serif" w:hAnsi="sans-serif" w:cs="sans-serif"/>
          <w:color w:val="000000"/>
          <w:sz w:val="20"/>
          <w:szCs w:val="20"/>
        </w:rPr>
        <w:t>39</w:t>
      </w:r>
    </w:p>
    <w:p w14:paraId="0D8E0C2B" w14:textId="77777777" w:rsidR="004C2197" w:rsidRDefault="00863B83">
      <w:r>
        <w:pict w14:anchorId="0D8E0CCB">
          <v:rect id="_x0000_i1063" style="width:415.3pt;height:1.5pt" o:hralign="center" o:hrstd="t" o:hr="t" fillcolor="#a0a0a0" stroked="f"/>
        </w:pict>
      </w:r>
    </w:p>
    <w:p w14:paraId="0D8E0C2C" w14:textId="77777777" w:rsidR="004C2197" w:rsidRDefault="004C2197">
      <w:pPr>
        <w:spacing w:after="180"/>
        <w:jc w:val="both"/>
      </w:pPr>
    </w:p>
    <w:p w14:paraId="0D8E0C2D" w14:textId="77777777" w:rsidR="004C2197" w:rsidRDefault="004C2197">
      <w:pPr>
        <w:spacing w:after="180"/>
        <w:jc w:val="both"/>
      </w:pPr>
    </w:p>
    <w:p w14:paraId="0D8E0C2E" w14:textId="77777777" w:rsidR="004C2197" w:rsidRDefault="004C2197">
      <w:pPr>
        <w:spacing w:after="180"/>
        <w:jc w:val="both"/>
      </w:pPr>
    </w:p>
    <w:p w14:paraId="0D8E0C2F" w14:textId="77777777" w:rsidR="004C2197" w:rsidRDefault="00863B83">
      <w:pPr>
        <w:spacing w:after="180"/>
        <w:jc w:val="center"/>
      </w:pPr>
      <w:r>
        <w:rPr>
          <w:rFonts w:ascii="sans-serif" w:eastAsia="sans-serif" w:hAnsi="sans-serif" w:cs="sans-serif"/>
          <w:b/>
          <w:bCs/>
          <w:color w:val="000000"/>
          <w:sz w:val="20"/>
          <w:szCs w:val="20"/>
        </w:rPr>
        <w:t>SIGNATURE</w:t>
      </w:r>
    </w:p>
    <w:p w14:paraId="0D8E0C30" w14:textId="77777777" w:rsidR="004C2197" w:rsidRDefault="00863B83">
      <w:pPr>
        <w:spacing w:after="180"/>
        <w:jc w:val="both"/>
      </w:pPr>
      <w:r>
        <w:rPr>
          <w:rFonts w:ascii="sans-serif" w:eastAsia="sans-serif" w:hAnsi="sans-serif" w:cs="sans-serif"/>
          <w:color w:val="000000"/>
          <w:sz w:val="20"/>
          <w:szCs w:val="20"/>
        </w:rPr>
        <w:t xml:space="preserve">Pursuant to the requirements of the Securities Exchange Act of 1934, the </w:t>
      </w:r>
      <w:r>
        <w:rPr>
          <w:rFonts w:ascii="sans-serif" w:eastAsia="sans-serif" w:hAnsi="sans-serif" w:cs="sans-serif"/>
          <w:color w:val="000000"/>
          <w:sz w:val="20"/>
          <w:szCs w:val="20"/>
        </w:rPr>
        <w:t>registrant has duly caused this report to be signed on its behalf by the undersigned, thereunto duly authorized.</w:t>
      </w:r>
    </w:p>
    <w:p w14:paraId="0D8E0C31" w14:textId="77777777" w:rsidR="004C2197" w:rsidRDefault="00863B83">
      <w:pPr>
        <w:spacing w:after="180"/>
        <w:jc w:val="both"/>
      </w:pPr>
      <w:r>
        <w:rPr>
          <w:rFonts w:ascii="sans-serif" w:eastAsia="sans-serif" w:hAnsi="sans-serif" w:cs="sans-serif"/>
          <w:color w:val="000000"/>
          <w:sz w:val="20"/>
          <w:szCs w:val="20"/>
        </w:rPr>
        <w:t xml:space="preserve">Date: August 19, 2020 </w:t>
      </w:r>
    </w:p>
    <w:tbl>
      <w:tblPr>
        <w:tblW w:w="5000" w:type="pct"/>
        <w:tblCellMar>
          <w:top w:w="15" w:type="dxa"/>
          <w:left w:w="15" w:type="dxa"/>
          <w:bottom w:w="15" w:type="dxa"/>
          <w:right w:w="15" w:type="dxa"/>
        </w:tblCellMar>
        <w:tblLook w:val="04A0" w:firstRow="1" w:lastRow="0" w:firstColumn="1" w:lastColumn="0" w:noHBand="0" w:noVBand="1"/>
      </w:tblPr>
      <w:tblGrid>
        <w:gridCol w:w="67"/>
        <w:gridCol w:w="3411"/>
        <w:gridCol w:w="36"/>
        <w:gridCol w:w="68"/>
        <w:gridCol w:w="1455"/>
        <w:gridCol w:w="37"/>
        <w:gridCol w:w="68"/>
        <w:gridCol w:w="1455"/>
        <w:gridCol w:w="36"/>
        <w:gridCol w:w="68"/>
        <w:gridCol w:w="1455"/>
        <w:gridCol w:w="36"/>
        <w:gridCol w:w="36"/>
        <w:gridCol w:w="36"/>
        <w:gridCol w:w="36"/>
        <w:gridCol w:w="36"/>
      </w:tblGrid>
      <w:tr w:rsidR="004C2197" w14:paraId="0D8E0C3E" w14:textId="77777777">
        <w:trPr>
          <w:gridAfter w:val="4"/>
        </w:trPr>
        <w:tc>
          <w:tcPr>
            <w:tcW w:w="50" w:type="pct"/>
            <w:shd w:val="clear" w:color="auto" w:fill="auto"/>
          </w:tcPr>
          <w:p w14:paraId="0D8E0C32" w14:textId="77777777" w:rsidR="004C2197" w:rsidRDefault="004C2197">
            <w:pPr>
              <w:rPr>
                <w:rFonts w:ascii="宋体"/>
              </w:rPr>
            </w:pPr>
          </w:p>
        </w:tc>
        <w:tc>
          <w:tcPr>
            <w:tcW w:w="2090" w:type="pct"/>
            <w:shd w:val="clear" w:color="auto" w:fill="auto"/>
          </w:tcPr>
          <w:p w14:paraId="0D8E0C33" w14:textId="77777777" w:rsidR="004C2197" w:rsidRDefault="004C2197">
            <w:pPr>
              <w:rPr>
                <w:rFonts w:ascii="宋体"/>
              </w:rPr>
            </w:pPr>
          </w:p>
        </w:tc>
        <w:tc>
          <w:tcPr>
            <w:tcW w:w="5" w:type="pct"/>
            <w:shd w:val="clear" w:color="auto" w:fill="auto"/>
          </w:tcPr>
          <w:p w14:paraId="0D8E0C34" w14:textId="77777777" w:rsidR="004C2197" w:rsidRDefault="004C2197">
            <w:pPr>
              <w:rPr>
                <w:rFonts w:ascii="宋体"/>
              </w:rPr>
            </w:pPr>
          </w:p>
        </w:tc>
        <w:tc>
          <w:tcPr>
            <w:tcW w:w="50" w:type="pct"/>
            <w:shd w:val="clear" w:color="auto" w:fill="auto"/>
          </w:tcPr>
          <w:p w14:paraId="0D8E0C35" w14:textId="77777777" w:rsidR="004C2197" w:rsidRDefault="004C2197">
            <w:pPr>
              <w:rPr>
                <w:rFonts w:ascii="宋体"/>
              </w:rPr>
            </w:pPr>
          </w:p>
        </w:tc>
        <w:tc>
          <w:tcPr>
            <w:tcW w:w="896" w:type="pct"/>
            <w:shd w:val="clear" w:color="auto" w:fill="auto"/>
          </w:tcPr>
          <w:p w14:paraId="0D8E0C36" w14:textId="77777777" w:rsidR="004C2197" w:rsidRDefault="004C2197">
            <w:pPr>
              <w:rPr>
                <w:rFonts w:ascii="宋体"/>
              </w:rPr>
            </w:pPr>
          </w:p>
        </w:tc>
        <w:tc>
          <w:tcPr>
            <w:tcW w:w="5" w:type="pct"/>
            <w:shd w:val="clear" w:color="auto" w:fill="auto"/>
          </w:tcPr>
          <w:p w14:paraId="0D8E0C37" w14:textId="77777777" w:rsidR="004C2197" w:rsidRDefault="004C2197">
            <w:pPr>
              <w:rPr>
                <w:rFonts w:ascii="宋体"/>
              </w:rPr>
            </w:pPr>
          </w:p>
        </w:tc>
        <w:tc>
          <w:tcPr>
            <w:tcW w:w="50" w:type="pct"/>
            <w:shd w:val="clear" w:color="auto" w:fill="auto"/>
          </w:tcPr>
          <w:p w14:paraId="0D8E0C38" w14:textId="77777777" w:rsidR="004C2197" w:rsidRDefault="004C2197">
            <w:pPr>
              <w:rPr>
                <w:rFonts w:ascii="宋体"/>
              </w:rPr>
            </w:pPr>
          </w:p>
        </w:tc>
        <w:tc>
          <w:tcPr>
            <w:tcW w:w="896" w:type="pct"/>
            <w:shd w:val="clear" w:color="auto" w:fill="auto"/>
          </w:tcPr>
          <w:p w14:paraId="0D8E0C39" w14:textId="77777777" w:rsidR="004C2197" w:rsidRDefault="004C2197">
            <w:pPr>
              <w:rPr>
                <w:rFonts w:ascii="宋体"/>
              </w:rPr>
            </w:pPr>
          </w:p>
        </w:tc>
        <w:tc>
          <w:tcPr>
            <w:tcW w:w="5" w:type="pct"/>
            <w:shd w:val="clear" w:color="auto" w:fill="auto"/>
          </w:tcPr>
          <w:p w14:paraId="0D8E0C3A" w14:textId="77777777" w:rsidR="004C2197" w:rsidRDefault="004C2197">
            <w:pPr>
              <w:rPr>
                <w:rFonts w:ascii="宋体"/>
              </w:rPr>
            </w:pPr>
          </w:p>
        </w:tc>
        <w:tc>
          <w:tcPr>
            <w:tcW w:w="50" w:type="pct"/>
            <w:shd w:val="clear" w:color="auto" w:fill="auto"/>
          </w:tcPr>
          <w:p w14:paraId="0D8E0C3B" w14:textId="77777777" w:rsidR="004C2197" w:rsidRDefault="004C2197">
            <w:pPr>
              <w:rPr>
                <w:rFonts w:ascii="宋体"/>
              </w:rPr>
            </w:pPr>
          </w:p>
        </w:tc>
        <w:tc>
          <w:tcPr>
            <w:tcW w:w="896" w:type="pct"/>
            <w:shd w:val="clear" w:color="auto" w:fill="auto"/>
          </w:tcPr>
          <w:p w14:paraId="0D8E0C3C" w14:textId="77777777" w:rsidR="004C2197" w:rsidRDefault="004C2197">
            <w:pPr>
              <w:rPr>
                <w:rFonts w:ascii="宋体"/>
              </w:rPr>
            </w:pPr>
          </w:p>
        </w:tc>
        <w:tc>
          <w:tcPr>
            <w:tcW w:w="5" w:type="pct"/>
            <w:shd w:val="clear" w:color="auto" w:fill="auto"/>
          </w:tcPr>
          <w:p w14:paraId="0D8E0C3D" w14:textId="77777777" w:rsidR="004C2197" w:rsidRDefault="004C2197">
            <w:pPr>
              <w:rPr>
                <w:rFonts w:ascii="宋体"/>
              </w:rPr>
            </w:pPr>
          </w:p>
        </w:tc>
      </w:tr>
      <w:tr w:rsidR="004C2197" w14:paraId="0D8E0C43" w14:textId="77777777">
        <w:tc>
          <w:tcPr>
            <w:tcW w:w="0" w:type="auto"/>
            <w:gridSpan w:val="3"/>
            <w:shd w:val="clear" w:color="auto" w:fill="auto"/>
            <w:tcMar>
              <w:top w:w="40" w:type="dxa"/>
              <w:left w:w="20" w:type="dxa"/>
              <w:bottom w:w="40" w:type="dxa"/>
              <w:right w:w="20" w:type="dxa"/>
            </w:tcMar>
          </w:tcPr>
          <w:p w14:paraId="0D8E0C3F" w14:textId="77777777" w:rsidR="004C2197" w:rsidRDefault="00863B83">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C40" w14:textId="77777777" w:rsidR="004C2197" w:rsidRDefault="00863B83">
            <w:pPr>
              <w:textAlignment w:val="bottom"/>
            </w:pPr>
            <w:r>
              <w:rPr>
                <w:rFonts w:ascii="sans-serif" w:eastAsia="sans-serif" w:hAnsi="sans-serif" w:cs="sans-serif"/>
                <w:color w:val="000000"/>
                <w:sz w:val="20"/>
                <w:szCs w:val="20"/>
              </w:rPr>
              <w:t>NVIDIA Corporation </w:t>
            </w:r>
          </w:p>
        </w:tc>
        <w:tc>
          <w:tcPr>
            <w:tcW w:w="0" w:type="auto"/>
            <w:shd w:val="clear" w:color="auto" w:fill="auto"/>
          </w:tcPr>
          <w:p w14:paraId="0D8E0C41" w14:textId="77777777" w:rsidR="004C2197" w:rsidRDefault="004C2197">
            <w:pPr>
              <w:rPr>
                <w:rFonts w:ascii="宋体"/>
                <w:vanish/>
              </w:rPr>
            </w:pPr>
          </w:p>
        </w:tc>
        <w:tc>
          <w:tcPr>
            <w:tcW w:w="0" w:type="auto"/>
            <w:gridSpan w:val="3"/>
            <w:shd w:val="clear" w:color="auto" w:fill="auto"/>
          </w:tcPr>
          <w:p w14:paraId="0D8E0C42" w14:textId="77777777" w:rsidR="004C2197" w:rsidRDefault="004C2197">
            <w:pPr>
              <w:rPr>
                <w:rFonts w:ascii="宋体"/>
                <w:vanish/>
              </w:rPr>
            </w:pPr>
          </w:p>
        </w:tc>
      </w:tr>
      <w:tr w:rsidR="004C2197" w14:paraId="0D8E0C4B" w14:textId="77777777">
        <w:tc>
          <w:tcPr>
            <w:tcW w:w="0" w:type="auto"/>
            <w:gridSpan w:val="3"/>
            <w:shd w:val="clear" w:color="auto" w:fill="auto"/>
            <w:tcMar>
              <w:top w:w="40" w:type="dxa"/>
              <w:left w:w="20" w:type="dxa"/>
              <w:bottom w:w="40" w:type="dxa"/>
              <w:right w:w="20" w:type="dxa"/>
            </w:tcMar>
            <w:vAlign w:val="bottom"/>
          </w:tcPr>
          <w:p w14:paraId="0D8E0C44" w14:textId="77777777" w:rsidR="004C2197" w:rsidRDefault="00863B83">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0D8E0C45" w14:textId="77777777" w:rsidR="004C2197" w:rsidRDefault="00863B83">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left w:w="20" w:type="dxa"/>
              <w:right w:w="20" w:type="dxa"/>
            </w:tcMar>
            <w:vAlign w:val="bottom"/>
          </w:tcPr>
          <w:p w14:paraId="0D8E0C46" w14:textId="77777777" w:rsidR="004C2197" w:rsidRDefault="004C2197">
            <w:pPr>
              <w:rPr>
                <w:rFonts w:ascii="宋体"/>
              </w:rPr>
            </w:pPr>
          </w:p>
        </w:tc>
        <w:tc>
          <w:tcPr>
            <w:tcW w:w="0" w:type="auto"/>
            <w:shd w:val="clear" w:color="auto" w:fill="auto"/>
          </w:tcPr>
          <w:p w14:paraId="0D8E0C47" w14:textId="77777777" w:rsidR="004C2197" w:rsidRDefault="004C2197">
            <w:pPr>
              <w:rPr>
                <w:rFonts w:ascii="宋体"/>
                <w:vanish/>
              </w:rPr>
            </w:pPr>
          </w:p>
        </w:tc>
        <w:tc>
          <w:tcPr>
            <w:tcW w:w="0" w:type="auto"/>
            <w:shd w:val="clear" w:color="auto" w:fill="auto"/>
          </w:tcPr>
          <w:p w14:paraId="0D8E0C48" w14:textId="77777777" w:rsidR="004C2197" w:rsidRDefault="004C2197">
            <w:pPr>
              <w:rPr>
                <w:rFonts w:ascii="宋体"/>
              </w:rPr>
            </w:pPr>
          </w:p>
        </w:tc>
        <w:tc>
          <w:tcPr>
            <w:tcW w:w="0" w:type="auto"/>
            <w:shd w:val="clear" w:color="auto" w:fill="auto"/>
          </w:tcPr>
          <w:p w14:paraId="0D8E0C49" w14:textId="77777777" w:rsidR="004C2197" w:rsidRDefault="004C2197">
            <w:pPr>
              <w:rPr>
                <w:rFonts w:ascii="宋体"/>
              </w:rPr>
            </w:pPr>
          </w:p>
        </w:tc>
        <w:tc>
          <w:tcPr>
            <w:tcW w:w="0" w:type="auto"/>
            <w:shd w:val="clear" w:color="auto" w:fill="auto"/>
          </w:tcPr>
          <w:p w14:paraId="0D8E0C4A" w14:textId="77777777" w:rsidR="004C2197" w:rsidRDefault="004C2197">
            <w:pPr>
              <w:rPr>
                <w:rFonts w:ascii="宋体"/>
              </w:rPr>
            </w:pPr>
          </w:p>
        </w:tc>
      </w:tr>
      <w:tr w:rsidR="004C2197" w14:paraId="0D8E0C53" w14:textId="77777777">
        <w:trPr>
          <w:trHeight w:val="60"/>
        </w:trPr>
        <w:tc>
          <w:tcPr>
            <w:tcW w:w="0" w:type="auto"/>
            <w:gridSpan w:val="3"/>
            <w:shd w:val="clear" w:color="auto" w:fill="auto"/>
            <w:tcMar>
              <w:left w:w="20" w:type="dxa"/>
              <w:right w:w="20" w:type="dxa"/>
            </w:tcMar>
            <w:vAlign w:val="bottom"/>
          </w:tcPr>
          <w:p w14:paraId="0D8E0C4C" w14:textId="77777777" w:rsidR="004C2197" w:rsidRDefault="004C2197">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0D8E0C4D" w14:textId="77777777" w:rsidR="004C2197" w:rsidRDefault="004C2197">
            <w:pPr>
              <w:rPr>
                <w:rFonts w:ascii="宋体"/>
              </w:rPr>
            </w:pPr>
          </w:p>
        </w:tc>
        <w:tc>
          <w:tcPr>
            <w:tcW w:w="0" w:type="auto"/>
            <w:gridSpan w:val="6"/>
            <w:shd w:val="clear" w:color="auto" w:fill="auto"/>
            <w:tcMar>
              <w:left w:w="20" w:type="dxa"/>
              <w:right w:w="20" w:type="dxa"/>
            </w:tcMar>
            <w:vAlign w:val="bottom"/>
          </w:tcPr>
          <w:p w14:paraId="0D8E0C4E" w14:textId="77777777" w:rsidR="004C2197" w:rsidRDefault="004C2197">
            <w:pPr>
              <w:rPr>
                <w:rFonts w:ascii="宋体"/>
              </w:rPr>
            </w:pPr>
          </w:p>
        </w:tc>
        <w:tc>
          <w:tcPr>
            <w:tcW w:w="0" w:type="auto"/>
            <w:shd w:val="clear" w:color="auto" w:fill="auto"/>
          </w:tcPr>
          <w:p w14:paraId="0D8E0C4F" w14:textId="77777777" w:rsidR="004C2197" w:rsidRDefault="004C2197">
            <w:pPr>
              <w:rPr>
                <w:rFonts w:ascii="宋体"/>
                <w:vanish/>
              </w:rPr>
            </w:pPr>
          </w:p>
        </w:tc>
        <w:tc>
          <w:tcPr>
            <w:tcW w:w="0" w:type="auto"/>
            <w:shd w:val="clear" w:color="auto" w:fill="auto"/>
          </w:tcPr>
          <w:p w14:paraId="0D8E0C50" w14:textId="77777777" w:rsidR="004C2197" w:rsidRDefault="004C2197">
            <w:pPr>
              <w:rPr>
                <w:rFonts w:ascii="宋体"/>
              </w:rPr>
            </w:pPr>
          </w:p>
        </w:tc>
        <w:tc>
          <w:tcPr>
            <w:tcW w:w="0" w:type="auto"/>
            <w:shd w:val="clear" w:color="auto" w:fill="auto"/>
          </w:tcPr>
          <w:p w14:paraId="0D8E0C51" w14:textId="77777777" w:rsidR="004C2197" w:rsidRDefault="004C2197">
            <w:pPr>
              <w:rPr>
                <w:rFonts w:ascii="宋体"/>
              </w:rPr>
            </w:pPr>
          </w:p>
        </w:tc>
        <w:tc>
          <w:tcPr>
            <w:tcW w:w="0" w:type="auto"/>
            <w:shd w:val="clear" w:color="auto" w:fill="auto"/>
          </w:tcPr>
          <w:p w14:paraId="0D8E0C52" w14:textId="77777777" w:rsidR="004C2197" w:rsidRDefault="004C2197">
            <w:pPr>
              <w:rPr>
                <w:rFonts w:ascii="宋体"/>
              </w:rPr>
            </w:pPr>
          </w:p>
        </w:tc>
      </w:tr>
      <w:tr w:rsidR="004C2197" w14:paraId="0D8E0C58" w14:textId="77777777">
        <w:tc>
          <w:tcPr>
            <w:tcW w:w="0" w:type="auto"/>
            <w:gridSpan w:val="3"/>
            <w:shd w:val="clear" w:color="auto" w:fill="auto"/>
            <w:tcMar>
              <w:top w:w="40" w:type="dxa"/>
              <w:left w:w="20" w:type="dxa"/>
              <w:bottom w:w="40" w:type="dxa"/>
              <w:right w:w="20" w:type="dxa"/>
            </w:tcMar>
          </w:tcPr>
          <w:p w14:paraId="0D8E0C54" w14:textId="77777777" w:rsidR="004C2197" w:rsidRDefault="00863B83">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C55" w14:textId="77777777" w:rsidR="004C2197" w:rsidRDefault="00863B83">
            <w:pPr>
              <w:textAlignment w:val="bottom"/>
            </w:pPr>
            <w:r>
              <w:rPr>
                <w:rFonts w:ascii="sans-serif" w:eastAsia="sans-serif" w:hAnsi="sans-serif" w:cs="sans-serif"/>
                <w:color w:val="000000"/>
                <w:sz w:val="20"/>
                <w:szCs w:val="20"/>
              </w:rPr>
              <w:t>Colette M. Kress</w:t>
            </w:r>
          </w:p>
        </w:tc>
        <w:tc>
          <w:tcPr>
            <w:tcW w:w="0" w:type="auto"/>
            <w:shd w:val="clear" w:color="auto" w:fill="auto"/>
          </w:tcPr>
          <w:p w14:paraId="0D8E0C56" w14:textId="77777777" w:rsidR="004C2197" w:rsidRDefault="004C2197">
            <w:pPr>
              <w:rPr>
                <w:rFonts w:ascii="宋体"/>
                <w:vanish/>
              </w:rPr>
            </w:pPr>
          </w:p>
        </w:tc>
        <w:tc>
          <w:tcPr>
            <w:tcW w:w="0" w:type="auto"/>
            <w:gridSpan w:val="3"/>
            <w:shd w:val="clear" w:color="auto" w:fill="auto"/>
          </w:tcPr>
          <w:p w14:paraId="0D8E0C57" w14:textId="77777777" w:rsidR="004C2197" w:rsidRDefault="004C2197">
            <w:pPr>
              <w:rPr>
                <w:rFonts w:ascii="宋体"/>
                <w:vanish/>
              </w:rPr>
            </w:pPr>
          </w:p>
        </w:tc>
      </w:tr>
      <w:tr w:rsidR="004C2197" w14:paraId="0D8E0C5D" w14:textId="77777777">
        <w:tc>
          <w:tcPr>
            <w:tcW w:w="0" w:type="auto"/>
            <w:gridSpan w:val="3"/>
            <w:shd w:val="clear" w:color="auto" w:fill="auto"/>
            <w:tcMar>
              <w:top w:w="40" w:type="dxa"/>
              <w:left w:w="20" w:type="dxa"/>
              <w:bottom w:w="40" w:type="dxa"/>
              <w:right w:w="20" w:type="dxa"/>
            </w:tcMar>
          </w:tcPr>
          <w:p w14:paraId="0D8E0C59" w14:textId="77777777" w:rsidR="004C2197" w:rsidRDefault="00863B83">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0D8E0C5A" w14:textId="77777777" w:rsidR="004C2197" w:rsidRDefault="00863B83">
            <w:pPr>
              <w:textAlignment w:val="bottom"/>
            </w:pPr>
            <w:r>
              <w:rPr>
                <w:rFonts w:ascii="sans-serif" w:eastAsia="sans-serif" w:hAnsi="sans-serif" w:cs="sans-serif"/>
                <w:color w:val="000000"/>
                <w:sz w:val="20"/>
                <w:szCs w:val="20"/>
              </w:rPr>
              <w:t>Executive Vice President and Chief Financial Officer (Duly Authorized Officer and Principal Financial Officer)</w:t>
            </w:r>
          </w:p>
        </w:tc>
        <w:tc>
          <w:tcPr>
            <w:tcW w:w="0" w:type="auto"/>
            <w:shd w:val="clear" w:color="auto" w:fill="auto"/>
          </w:tcPr>
          <w:p w14:paraId="0D8E0C5B" w14:textId="77777777" w:rsidR="004C2197" w:rsidRDefault="004C2197">
            <w:pPr>
              <w:rPr>
                <w:rFonts w:ascii="宋体"/>
                <w:vanish/>
              </w:rPr>
            </w:pPr>
          </w:p>
        </w:tc>
        <w:tc>
          <w:tcPr>
            <w:tcW w:w="0" w:type="auto"/>
            <w:gridSpan w:val="3"/>
            <w:shd w:val="clear" w:color="auto" w:fill="auto"/>
          </w:tcPr>
          <w:p w14:paraId="0D8E0C5C" w14:textId="77777777" w:rsidR="004C2197" w:rsidRDefault="004C2197">
            <w:pPr>
              <w:rPr>
                <w:rFonts w:ascii="宋体"/>
                <w:vanish/>
              </w:rPr>
            </w:pPr>
          </w:p>
        </w:tc>
      </w:tr>
    </w:tbl>
    <w:p w14:paraId="0D8E0C5E" w14:textId="77777777" w:rsidR="004C2197" w:rsidRDefault="004C2197">
      <w:pPr>
        <w:spacing w:after="180"/>
        <w:jc w:val="both"/>
      </w:pPr>
    </w:p>
    <w:p w14:paraId="0D8E0C5F" w14:textId="77777777" w:rsidR="004C2197" w:rsidRDefault="00863B83">
      <w:pPr>
        <w:spacing w:after="180"/>
        <w:jc w:val="center"/>
      </w:pPr>
      <w:r>
        <w:rPr>
          <w:rFonts w:ascii="sans-serif" w:eastAsia="sans-serif" w:hAnsi="sans-serif" w:cs="sans-serif"/>
          <w:color w:val="000000"/>
          <w:sz w:val="20"/>
          <w:szCs w:val="20"/>
        </w:rPr>
        <w:t>40</w:t>
      </w:r>
    </w:p>
    <w:p w14:paraId="0D8E0C60" w14:textId="77777777" w:rsidR="004C2197" w:rsidRDefault="00863B8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8E0CCC" wp14:editId="0D8E0CCD">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62" w14:textId="77777777">
        <w:trPr>
          <w:tblCellSpacing w:w="15" w:type="dxa"/>
        </w:trPr>
        <w:tc>
          <w:tcPr>
            <w:tcW w:w="0" w:type="auto"/>
            <w:shd w:val="clear" w:color="auto" w:fill="auto"/>
            <w:vAlign w:val="center"/>
          </w:tcPr>
          <w:p w14:paraId="0D8E0C61" w14:textId="77777777" w:rsidR="004C2197" w:rsidRDefault="004C2197">
            <w:pPr>
              <w:rPr>
                <w:rFonts w:ascii="宋体"/>
              </w:rPr>
            </w:pPr>
          </w:p>
        </w:tc>
      </w:tr>
    </w:tbl>
    <w:p w14:paraId="0D8E0C63"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65" w14:textId="77777777">
        <w:trPr>
          <w:tblCellSpacing w:w="15" w:type="dxa"/>
        </w:trPr>
        <w:tc>
          <w:tcPr>
            <w:tcW w:w="0" w:type="auto"/>
            <w:shd w:val="clear" w:color="auto" w:fill="auto"/>
            <w:vAlign w:val="center"/>
          </w:tcPr>
          <w:p w14:paraId="0D8E0C64" w14:textId="77777777" w:rsidR="004C2197" w:rsidRDefault="004C2197">
            <w:pPr>
              <w:rPr>
                <w:rFonts w:ascii="宋体"/>
              </w:rPr>
            </w:pPr>
          </w:p>
        </w:tc>
      </w:tr>
    </w:tbl>
    <w:p w14:paraId="0D8E0C66"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68" w14:textId="77777777">
        <w:trPr>
          <w:tblCellSpacing w:w="15" w:type="dxa"/>
        </w:trPr>
        <w:tc>
          <w:tcPr>
            <w:tcW w:w="0" w:type="auto"/>
            <w:shd w:val="clear" w:color="auto" w:fill="auto"/>
            <w:vAlign w:val="center"/>
          </w:tcPr>
          <w:p w14:paraId="0D8E0C67" w14:textId="77777777" w:rsidR="004C2197" w:rsidRDefault="004C2197">
            <w:pPr>
              <w:rPr>
                <w:rFonts w:ascii="宋体"/>
              </w:rPr>
            </w:pPr>
          </w:p>
        </w:tc>
      </w:tr>
    </w:tbl>
    <w:p w14:paraId="0D8E0C69"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6B" w14:textId="77777777">
        <w:trPr>
          <w:tblCellSpacing w:w="15" w:type="dxa"/>
        </w:trPr>
        <w:tc>
          <w:tcPr>
            <w:tcW w:w="0" w:type="auto"/>
            <w:shd w:val="clear" w:color="auto" w:fill="auto"/>
            <w:vAlign w:val="center"/>
          </w:tcPr>
          <w:p w14:paraId="0D8E0C6A" w14:textId="77777777" w:rsidR="004C2197" w:rsidRDefault="004C2197">
            <w:pPr>
              <w:rPr>
                <w:rFonts w:ascii="宋体"/>
              </w:rPr>
            </w:pPr>
          </w:p>
        </w:tc>
      </w:tr>
    </w:tbl>
    <w:p w14:paraId="0D8E0C6C" w14:textId="77777777" w:rsidR="004C2197" w:rsidRDefault="00863B83">
      <w:r>
        <w:rPr>
          <w:rFonts w:ascii="宋体" w:eastAsia="宋体" w:hAnsi="宋体" w:cs="宋体"/>
        </w:rPr>
        <w:t xml:space="preserve">Previous Next </w:t>
      </w:r>
    </w:p>
    <w:p w14:paraId="0D8E0C6D" w14:textId="77777777" w:rsidR="004C2197" w:rsidRDefault="00863B83">
      <w:pPr>
        <w:pStyle w:val="a3"/>
      </w:pPr>
      <w:r>
        <w:t>Settings</w:t>
      </w:r>
    </w:p>
    <w:p w14:paraId="0D8E0C6E" w14:textId="77777777" w:rsidR="004C2197" w:rsidRDefault="00863B83">
      <w:pPr>
        <w:pStyle w:val="Style4"/>
      </w:pPr>
      <w:r>
        <w:t>窗体顶端</w:t>
      </w:r>
    </w:p>
    <w:p w14:paraId="0D8E0C6F" w14:textId="77777777" w:rsidR="004C2197" w:rsidRDefault="00863B8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D8E0CCE" wp14:editId="0D8E0CCF">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D8E0C70" w14:textId="77777777" w:rsidR="004C2197" w:rsidRDefault="00863B8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D8E0CD0" wp14:editId="0D8E0CD1">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0D8E0C71" w14:textId="77777777" w:rsidR="004C2197" w:rsidRDefault="00863B83">
      <w:r>
        <w:pict w14:anchorId="0D8E0CD2">
          <v:rect id="_x0000_i1064" style="width:415.3pt;height:1.5pt" o:hralign="center" o:hrstd="t" o:hr="t" fillcolor="#a0a0a0" stroked="f"/>
        </w:pict>
      </w:r>
    </w:p>
    <w:p w14:paraId="0D8E0C72" w14:textId="77777777" w:rsidR="004C2197" w:rsidRDefault="00863B83">
      <w:r>
        <w:rPr>
          <w:rFonts w:ascii="宋体" w:eastAsia="宋体" w:hAnsi="宋体" w:cs="宋体"/>
        </w:rPr>
        <w:t xml:space="preserve">Tagged Data </w:t>
      </w:r>
    </w:p>
    <w:p w14:paraId="0D8E0C73" w14:textId="77777777" w:rsidR="004C2197" w:rsidRDefault="00863B83">
      <w:r>
        <w:rPr>
          <w:rFonts w:ascii="monospace" w:eastAsia="monospace" w:hAnsi="monospace" w:cs="monospace"/>
          <w:noProof/>
        </w:rPr>
        <mc:AlternateContent>
          <mc:Choice Requires="wps">
            <w:drawing>
              <wp:inline distT="0" distB="0" distL="114300" distR="114300" wp14:anchorId="0D8E0CD3" wp14:editId="0D8E0CD4">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D8E0C74" w14:textId="77777777" w:rsidR="004C2197" w:rsidRDefault="00863B83">
      <w:r>
        <w:rPr>
          <w:rFonts w:ascii="宋体" w:eastAsia="宋体" w:hAnsi="宋体" w:cs="宋体"/>
        </w:rPr>
        <w:t>Save</w:t>
      </w:r>
    </w:p>
    <w:p w14:paraId="0D8E0C75" w14:textId="77777777" w:rsidR="004C2197" w:rsidRDefault="00863B83">
      <w:r>
        <w:rPr>
          <w:rFonts w:ascii="宋体" w:eastAsia="宋体" w:hAnsi="宋体" w:cs="宋体"/>
        </w:rPr>
        <w:t>Reset</w:t>
      </w:r>
    </w:p>
    <w:p w14:paraId="0D8E0C76" w14:textId="77777777" w:rsidR="004C2197" w:rsidRDefault="00863B83">
      <w:r>
        <w:pict w14:anchorId="0D8E0CD5">
          <v:rect id="_x0000_i1065" style="width:415.3pt;height:1.5pt" o:hralign="center" o:hrstd="t" o:hr="t" fillcolor="#a0a0a0" stroked="f"/>
        </w:pict>
      </w:r>
    </w:p>
    <w:p w14:paraId="0D8E0C77" w14:textId="77777777" w:rsidR="004C2197" w:rsidRDefault="00863B83">
      <w:r>
        <w:rPr>
          <w:rFonts w:ascii="宋体" w:eastAsia="宋体" w:hAnsi="宋体" w:cs="宋体"/>
        </w:rPr>
        <w:t xml:space="preserve">Search Results </w:t>
      </w:r>
    </w:p>
    <w:p w14:paraId="0D8E0C78" w14:textId="77777777" w:rsidR="004C2197" w:rsidRDefault="00863B83">
      <w:r>
        <w:rPr>
          <w:rFonts w:ascii="monospace" w:eastAsia="monospace" w:hAnsi="monospace" w:cs="monospace"/>
          <w:noProof/>
        </w:rPr>
        <mc:AlternateContent>
          <mc:Choice Requires="wps">
            <w:drawing>
              <wp:inline distT="0" distB="0" distL="114300" distR="114300" wp14:anchorId="0D8E0CD6" wp14:editId="0D8E0CD7">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D8E0C79" w14:textId="77777777" w:rsidR="004C2197" w:rsidRDefault="00863B83">
      <w:r>
        <w:rPr>
          <w:rFonts w:ascii="宋体" w:eastAsia="宋体" w:hAnsi="宋体" w:cs="宋体"/>
        </w:rPr>
        <w:t>Save</w:t>
      </w:r>
    </w:p>
    <w:p w14:paraId="0D8E0C7A" w14:textId="77777777" w:rsidR="004C2197" w:rsidRDefault="00863B83">
      <w:r>
        <w:rPr>
          <w:rFonts w:ascii="宋体" w:eastAsia="宋体" w:hAnsi="宋体" w:cs="宋体"/>
        </w:rPr>
        <w:t>Reset</w:t>
      </w:r>
    </w:p>
    <w:p w14:paraId="0D8E0C7B" w14:textId="77777777" w:rsidR="004C2197" w:rsidRDefault="00863B83">
      <w:r>
        <w:pict w14:anchorId="0D8E0CD8">
          <v:rect id="_x0000_i1066" style="width:415.3pt;height:1.5pt" o:hralign="center" o:hrstd="t" o:hr="t" fillcolor="#a0a0a0" stroked="f"/>
        </w:pict>
      </w:r>
    </w:p>
    <w:p w14:paraId="0D8E0C7C" w14:textId="77777777" w:rsidR="004C2197" w:rsidRDefault="00863B83">
      <w:r>
        <w:rPr>
          <w:rFonts w:ascii="宋体" w:eastAsia="宋体" w:hAnsi="宋体" w:cs="宋体"/>
        </w:rPr>
        <w:t xml:space="preserve">Selected Fact </w:t>
      </w:r>
    </w:p>
    <w:p w14:paraId="0D8E0C7D" w14:textId="77777777" w:rsidR="004C2197" w:rsidRDefault="00863B83">
      <w:r>
        <w:rPr>
          <w:rFonts w:ascii="monospace" w:eastAsia="monospace" w:hAnsi="monospace" w:cs="monospace"/>
          <w:noProof/>
        </w:rPr>
        <mc:AlternateContent>
          <mc:Choice Requires="wps">
            <w:drawing>
              <wp:inline distT="0" distB="0" distL="114300" distR="114300" wp14:anchorId="0D8E0CD9" wp14:editId="0D8E0CDA">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D8E0C7E" w14:textId="77777777" w:rsidR="004C2197" w:rsidRDefault="00863B83">
      <w:r>
        <w:rPr>
          <w:rFonts w:ascii="宋体" w:eastAsia="宋体" w:hAnsi="宋体" w:cs="宋体"/>
        </w:rPr>
        <w:t>Save</w:t>
      </w:r>
    </w:p>
    <w:p w14:paraId="0D8E0C7F" w14:textId="77777777" w:rsidR="004C2197" w:rsidRDefault="00863B83">
      <w:r>
        <w:rPr>
          <w:rFonts w:ascii="宋体" w:eastAsia="宋体" w:hAnsi="宋体" w:cs="宋体"/>
        </w:rPr>
        <w:t>Reset</w:t>
      </w:r>
    </w:p>
    <w:p w14:paraId="0D8E0C80" w14:textId="77777777" w:rsidR="004C2197" w:rsidRDefault="00863B83">
      <w:r>
        <w:pict w14:anchorId="0D8E0CDB">
          <v:rect id="_x0000_i1067" style="width:415.3pt;height:1.5pt" o:hralign="center" o:hrstd="t" o:hr="t" fillcolor="#a0a0a0" stroked="f"/>
        </w:pict>
      </w:r>
    </w:p>
    <w:p w14:paraId="0D8E0C81" w14:textId="77777777" w:rsidR="004C2197" w:rsidRDefault="00863B83">
      <w:r>
        <w:rPr>
          <w:rFonts w:ascii="宋体" w:eastAsia="宋体" w:hAnsi="宋体" w:cs="宋体"/>
        </w:rPr>
        <w:t xml:space="preserve">Tag Shading (hover) </w:t>
      </w:r>
    </w:p>
    <w:p w14:paraId="0D8E0C82" w14:textId="77777777" w:rsidR="004C2197" w:rsidRDefault="00863B83">
      <w:r>
        <w:rPr>
          <w:rFonts w:ascii="monospace" w:eastAsia="monospace" w:hAnsi="monospace" w:cs="monospace"/>
          <w:noProof/>
        </w:rPr>
        <mc:AlternateContent>
          <mc:Choice Requires="wps">
            <w:drawing>
              <wp:inline distT="0" distB="0" distL="114300" distR="114300" wp14:anchorId="0D8E0CDC" wp14:editId="0D8E0CD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D8E0C83" w14:textId="77777777" w:rsidR="004C2197" w:rsidRDefault="00863B83">
      <w:r>
        <w:rPr>
          <w:rFonts w:ascii="宋体" w:eastAsia="宋体" w:hAnsi="宋体" w:cs="宋体"/>
        </w:rPr>
        <w:t>Save</w:t>
      </w:r>
    </w:p>
    <w:p w14:paraId="0D8E0C84" w14:textId="77777777" w:rsidR="004C2197" w:rsidRDefault="00863B83">
      <w:r>
        <w:rPr>
          <w:rFonts w:ascii="宋体" w:eastAsia="宋体" w:hAnsi="宋体" w:cs="宋体"/>
        </w:rPr>
        <w:t>Reset</w:t>
      </w:r>
    </w:p>
    <w:p w14:paraId="0D8E0C85" w14:textId="77777777" w:rsidR="004C2197" w:rsidRDefault="00863B83">
      <w:pPr>
        <w:pStyle w:val="Style5"/>
      </w:pPr>
      <w:r>
        <w:t>窗体底端</w:t>
      </w:r>
    </w:p>
    <w:p w14:paraId="0D8E0C86" w14:textId="77777777" w:rsidR="004C2197" w:rsidRDefault="00863B8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8E0CDE" wp14:editId="0D8E0CDF">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88" w14:textId="77777777">
        <w:trPr>
          <w:tblCellSpacing w:w="15" w:type="dxa"/>
        </w:trPr>
        <w:tc>
          <w:tcPr>
            <w:tcW w:w="0" w:type="auto"/>
            <w:shd w:val="clear" w:color="auto" w:fill="auto"/>
            <w:vAlign w:val="center"/>
          </w:tcPr>
          <w:p w14:paraId="0D8E0C87" w14:textId="77777777" w:rsidR="004C2197" w:rsidRDefault="004C2197">
            <w:pPr>
              <w:rPr>
                <w:rFonts w:ascii="宋体"/>
              </w:rPr>
            </w:pPr>
          </w:p>
        </w:tc>
      </w:tr>
    </w:tbl>
    <w:p w14:paraId="0D8E0C89"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8B" w14:textId="77777777">
        <w:trPr>
          <w:tblCellSpacing w:w="15" w:type="dxa"/>
        </w:trPr>
        <w:tc>
          <w:tcPr>
            <w:tcW w:w="0" w:type="auto"/>
            <w:shd w:val="clear" w:color="auto" w:fill="auto"/>
            <w:vAlign w:val="center"/>
          </w:tcPr>
          <w:p w14:paraId="0D8E0C8A" w14:textId="77777777" w:rsidR="004C2197" w:rsidRDefault="004C2197">
            <w:pPr>
              <w:rPr>
                <w:rFonts w:ascii="宋体"/>
              </w:rPr>
            </w:pPr>
          </w:p>
        </w:tc>
      </w:tr>
    </w:tbl>
    <w:p w14:paraId="0D8E0C8C"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8E" w14:textId="77777777">
        <w:trPr>
          <w:tblCellSpacing w:w="15" w:type="dxa"/>
        </w:trPr>
        <w:tc>
          <w:tcPr>
            <w:tcW w:w="0" w:type="auto"/>
            <w:shd w:val="clear" w:color="auto" w:fill="auto"/>
            <w:vAlign w:val="center"/>
          </w:tcPr>
          <w:p w14:paraId="0D8E0C8D" w14:textId="77777777" w:rsidR="004C2197" w:rsidRDefault="004C2197">
            <w:pPr>
              <w:rPr>
                <w:rFonts w:ascii="宋体"/>
              </w:rPr>
            </w:pPr>
          </w:p>
        </w:tc>
      </w:tr>
    </w:tbl>
    <w:p w14:paraId="0D8E0C8F"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91" w14:textId="77777777">
        <w:trPr>
          <w:tblCellSpacing w:w="15" w:type="dxa"/>
        </w:trPr>
        <w:tc>
          <w:tcPr>
            <w:tcW w:w="0" w:type="auto"/>
            <w:shd w:val="clear" w:color="auto" w:fill="auto"/>
            <w:vAlign w:val="center"/>
          </w:tcPr>
          <w:p w14:paraId="0D8E0C90" w14:textId="77777777" w:rsidR="004C2197" w:rsidRDefault="004C2197">
            <w:pPr>
              <w:rPr>
                <w:rFonts w:ascii="宋体"/>
              </w:rPr>
            </w:pPr>
          </w:p>
        </w:tc>
      </w:tr>
    </w:tbl>
    <w:p w14:paraId="0D8E0C92" w14:textId="77777777" w:rsidR="004C2197" w:rsidRDefault="00863B83">
      <w:r>
        <w:rPr>
          <w:rFonts w:ascii="宋体" w:eastAsia="宋体" w:hAnsi="宋体" w:cs="宋体"/>
        </w:rPr>
        <w:t xml:space="preserve">Previous Next </w:t>
      </w:r>
    </w:p>
    <w:p w14:paraId="0D8E0C93" w14:textId="77777777" w:rsidR="004C2197" w:rsidRDefault="00863B83">
      <w:pPr>
        <w:pStyle w:val="a3"/>
      </w:pPr>
      <w:r>
        <w:t xml:space="preserve">Nested Facts / </w:t>
      </w:r>
    </w:p>
    <w:p w14:paraId="0D8E0C94" w14:textId="77777777" w:rsidR="004C2197" w:rsidRDefault="00863B83">
      <w:r>
        <w:rPr>
          <w:rFonts w:ascii="宋体" w:eastAsia="宋体" w:hAnsi="宋体" w:cs="宋体"/>
        </w:rPr>
        <w:t xml:space="preserve">Previous Next </w:t>
      </w:r>
    </w:p>
    <w:p w14:paraId="0D8E0C95" w14:textId="77777777" w:rsidR="004C2197" w:rsidRDefault="00863B8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8E0CE0" wp14:editId="0D8E0CE1">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97" w14:textId="77777777">
        <w:trPr>
          <w:tblCellSpacing w:w="15" w:type="dxa"/>
        </w:trPr>
        <w:tc>
          <w:tcPr>
            <w:tcW w:w="0" w:type="auto"/>
            <w:shd w:val="clear" w:color="auto" w:fill="auto"/>
            <w:vAlign w:val="center"/>
          </w:tcPr>
          <w:p w14:paraId="0D8E0C96" w14:textId="77777777" w:rsidR="004C2197" w:rsidRDefault="004C2197">
            <w:pPr>
              <w:rPr>
                <w:rFonts w:ascii="宋体"/>
              </w:rPr>
            </w:pPr>
          </w:p>
        </w:tc>
      </w:tr>
    </w:tbl>
    <w:p w14:paraId="0D8E0C98"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9A" w14:textId="77777777">
        <w:trPr>
          <w:tblCellSpacing w:w="15" w:type="dxa"/>
        </w:trPr>
        <w:tc>
          <w:tcPr>
            <w:tcW w:w="0" w:type="auto"/>
            <w:shd w:val="clear" w:color="auto" w:fill="auto"/>
            <w:vAlign w:val="center"/>
          </w:tcPr>
          <w:p w14:paraId="0D8E0C99" w14:textId="77777777" w:rsidR="004C2197" w:rsidRDefault="004C2197">
            <w:pPr>
              <w:rPr>
                <w:rFonts w:ascii="宋体"/>
              </w:rPr>
            </w:pPr>
          </w:p>
        </w:tc>
      </w:tr>
    </w:tbl>
    <w:p w14:paraId="0D8E0C9B"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9D" w14:textId="77777777">
        <w:trPr>
          <w:tblCellSpacing w:w="15" w:type="dxa"/>
        </w:trPr>
        <w:tc>
          <w:tcPr>
            <w:tcW w:w="0" w:type="auto"/>
            <w:shd w:val="clear" w:color="auto" w:fill="auto"/>
            <w:vAlign w:val="center"/>
          </w:tcPr>
          <w:p w14:paraId="0D8E0C9C" w14:textId="77777777" w:rsidR="004C2197" w:rsidRDefault="004C2197">
            <w:pPr>
              <w:rPr>
                <w:rFonts w:ascii="宋体"/>
              </w:rPr>
            </w:pPr>
          </w:p>
        </w:tc>
      </w:tr>
    </w:tbl>
    <w:p w14:paraId="0D8E0C9E" w14:textId="77777777" w:rsidR="004C2197" w:rsidRDefault="004C219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197" w14:paraId="0D8E0CA0" w14:textId="77777777">
        <w:trPr>
          <w:tblCellSpacing w:w="15" w:type="dxa"/>
        </w:trPr>
        <w:tc>
          <w:tcPr>
            <w:tcW w:w="0" w:type="auto"/>
            <w:shd w:val="clear" w:color="auto" w:fill="auto"/>
            <w:vAlign w:val="center"/>
          </w:tcPr>
          <w:p w14:paraId="0D8E0C9F" w14:textId="77777777" w:rsidR="004C2197" w:rsidRDefault="004C2197">
            <w:pPr>
              <w:rPr>
                <w:rFonts w:ascii="宋体"/>
              </w:rPr>
            </w:pPr>
          </w:p>
        </w:tc>
      </w:tr>
    </w:tbl>
    <w:p w14:paraId="0D8E0CA1" w14:textId="77777777" w:rsidR="004C2197" w:rsidRDefault="00863B83">
      <w:r>
        <w:rPr>
          <w:rFonts w:ascii="宋体" w:eastAsia="宋体" w:hAnsi="宋体" w:cs="宋体"/>
        </w:rPr>
        <w:t xml:space="preserve">Previous Next </w:t>
      </w:r>
    </w:p>
    <w:p w14:paraId="0D8E0CA2" w14:textId="77777777" w:rsidR="004C2197" w:rsidRDefault="004C2197"/>
    <w:sectPr w:rsidR="004C219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75EA1" w14:textId="77777777" w:rsidR="00863B83" w:rsidRDefault="00863B83" w:rsidP="00863B83">
      <w:r>
        <w:separator/>
      </w:r>
    </w:p>
  </w:endnote>
  <w:endnote w:type="continuationSeparator" w:id="0">
    <w:p w14:paraId="2F573EBA" w14:textId="77777777" w:rsidR="00863B83" w:rsidRDefault="00863B83" w:rsidP="0086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9251" w14:textId="77777777" w:rsidR="00863B83" w:rsidRDefault="00863B83" w:rsidP="00863B83">
      <w:r>
        <w:separator/>
      </w:r>
    </w:p>
  </w:footnote>
  <w:footnote w:type="continuationSeparator" w:id="0">
    <w:p w14:paraId="4F92D9E5" w14:textId="77777777" w:rsidR="00863B83" w:rsidRDefault="00863B83" w:rsidP="00863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FF7BE5"/>
    <w:rsid w:val="004C2197"/>
    <w:rsid w:val="00863B83"/>
    <w:rsid w:val="15FF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DDC66"/>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63B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63B83"/>
    <w:rPr>
      <w:rFonts w:asciiTheme="minorEastAsia" w:hAnsiTheme="minorEastAsia" w:cs="Times New Roman"/>
      <w:sz w:val="18"/>
      <w:szCs w:val="18"/>
    </w:rPr>
  </w:style>
  <w:style w:type="paragraph" w:styleId="a8">
    <w:name w:val="footer"/>
    <w:basedOn w:val="a"/>
    <w:link w:val="a9"/>
    <w:rsid w:val="00863B83"/>
    <w:pPr>
      <w:tabs>
        <w:tab w:val="center" w:pos="4153"/>
        <w:tab w:val="right" w:pos="8306"/>
      </w:tabs>
      <w:snapToGrid w:val="0"/>
    </w:pPr>
    <w:rPr>
      <w:sz w:val="18"/>
      <w:szCs w:val="18"/>
    </w:rPr>
  </w:style>
  <w:style w:type="character" w:customStyle="1" w:styleId="a9">
    <w:name w:val="页脚 字符"/>
    <w:basedOn w:val="a0"/>
    <w:link w:val="a8"/>
    <w:rsid w:val="00863B8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0000147/nvda-20200726.htm" TargetMode="External"/><Relationship Id="rId18" Type="http://schemas.openxmlformats.org/officeDocument/2006/relationships/hyperlink" Target="https://www.sec.gov/ix?doc=/Archives/edgar/data/0001045810/000104581020000147/nvda-20200726.htm" TargetMode="External"/><Relationship Id="rId26" Type="http://schemas.openxmlformats.org/officeDocument/2006/relationships/hyperlink" Target="https://www.sec.gov/ix?doc=/Archives/edgar/data/0001045810/000104581020000147/nvda-20200726.htm" TargetMode="External"/><Relationship Id="rId39" Type="http://schemas.openxmlformats.org/officeDocument/2006/relationships/theme" Target="theme/theme1.xml"/><Relationship Id="rId21" Type="http://schemas.openxmlformats.org/officeDocument/2006/relationships/hyperlink" Target="https://www.sec.gov/ix?doc=/Archives/edgar/data/0001045810/000104581020000147/nvda-20200726.htm" TargetMode="External"/><Relationship Id="rId34" Type="http://schemas.openxmlformats.org/officeDocument/2006/relationships/hyperlink" Target="https://www.sec.gov/Archives/edgar/data/0001045810/000104581020000147/nvda2021q2ex311.htm" TargetMode="External"/><Relationship Id="rId7" Type="http://schemas.openxmlformats.org/officeDocument/2006/relationships/hyperlink" Target="https://www.sec.gov/ix?doc=/Archives/edgar/data/0001045810/000104581020000147/nvda-20200726.htm" TargetMode="External"/><Relationship Id="rId12" Type="http://schemas.openxmlformats.org/officeDocument/2006/relationships/hyperlink" Target="https://www.sec.gov/ix?doc=/Archives/edgar/data/0001045810/000104581020000147/nvda-20200726.htm" TargetMode="External"/><Relationship Id="rId17" Type="http://schemas.openxmlformats.org/officeDocument/2006/relationships/hyperlink" Target="https://www.sec.gov/ix?doc=/Archives/edgar/data/0001045810/000104581020000147/nvda-20200726.htm" TargetMode="External"/><Relationship Id="rId25" Type="http://schemas.openxmlformats.org/officeDocument/2006/relationships/hyperlink" Target="https://www.sec.gov/ix?doc=/Archives/edgar/data/0001045810/000104581020000147/nvda-20200726.htm" TargetMode="External"/><Relationship Id="rId33" Type="http://schemas.openxmlformats.org/officeDocument/2006/relationships/hyperlink" Target="http://www.sec.gov/Archives/edgar/data/1045810/000104581020000103/a2012arespp2020resetat.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ix?doc=/Archives/edgar/data/0001045810/000104581020000147/nvda-20200726.htm" TargetMode="External"/><Relationship Id="rId20" Type="http://schemas.openxmlformats.org/officeDocument/2006/relationships/hyperlink" Target="https://www.sec.gov/ix?doc=/Archives/edgar/data/0001045810/000104581020000147/nvda-20200726.htm" TargetMode="External"/><Relationship Id="rId29" Type="http://schemas.openxmlformats.org/officeDocument/2006/relationships/hyperlink" Target="https://www.sec.gov/ix?doc=/Archives/edgar/data/0001045810/000104581020000147/nvda-20200726.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0000147/nvda-20200726.htm" TargetMode="External"/><Relationship Id="rId24" Type="http://schemas.openxmlformats.org/officeDocument/2006/relationships/hyperlink" Target="https://www.sec.gov/ix?doc=/Archives/edgar/data/0001045810/000104581020000147/nvda-20200726.htm" TargetMode="External"/><Relationship Id="rId32" Type="http://schemas.openxmlformats.org/officeDocument/2006/relationships/hyperlink" Target="http://www.sec.gov/Archives/edgar/data/1045810/000104581020000103/a2007arplan2020restate.htm" TargetMode="External"/><Relationship Id="rId37" Type="http://schemas.openxmlformats.org/officeDocument/2006/relationships/hyperlink" Target="https://www.sec.gov/Archives/edgar/data/0001045810/000104581020000147/nvda2021q2ex322.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0000147/nvda-20200726.htm" TargetMode="External"/><Relationship Id="rId23" Type="http://schemas.openxmlformats.org/officeDocument/2006/relationships/hyperlink" Target="https://www.sec.gov/ix?doc=/Archives/edgar/data/0001045810/000104581020000147/nvda-20200726.htm" TargetMode="External"/><Relationship Id="rId28" Type="http://schemas.openxmlformats.org/officeDocument/2006/relationships/hyperlink" Target="https://www.sec.gov/ix?doc=/Archives/edgar/data/0001045810/000104581020000147/nvda-20200726.htm" TargetMode="External"/><Relationship Id="rId36" Type="http://schemas.openxmlformats.org/officeDocument/2006/relationships/hyperlink" Target="https://www.sec.gov/Archives/edgar/data/0001045810/000104581020000147/nvda2021q2ex321.htm" TargetMode="External"/><Relationship Id="rId10" Type="http://schemas.openxmlformats.org/officeDocument/2006/relationships/hyperlink" Target="https://www.sec.gov/ix?doc=/Archives/edgar/data/0001045810/000104581020000147/nvda-20200726.htm" TargetMode="External"/><Relationship Id="rId19" Type="http://schemas.openxmlformats.org/officeDocument/2006/relationships/hyperlink" Target="https://www.sec.gov/ix?doc=/Archives/edgar/data/0001045810/000104581020000147/nvda-20200726.htm" TargetMode="External"/><Relationship Id="rId31" Type="http://schemas.openxmlformats.org/officeDocument/2006/relationships/hyperlink" Target="https://www.sec.gov/ix?doc=/Archives/edgar/data/0001045810/000104581020000147/nvda-20200726.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0000147/nvda-20200726.htm" TargetMode="External"/><Relationship Id="rId14" Type="http://schemas.openxmlformats.org/officeDocument/2006/relationships/hyperlink" Target="https://www.sec.gov/ix?doc=/Archives/edgar/data/0001045810/000104581020000147/nvda-20200726.htm" TargetMode="External"/><Relationship Id="rId22" Type="http://schemas.openxmlformats.org/officeDocument/2006/relationships/hyperlink" Target="https://www.sec.gov/ix?doc=/Archives/edgar/data/0001045810/000104581020000147/nvda-20200726.htm" TargetMode="External"/><Relationship Id="rId27" Type="http://schemas.openxmlformats.org/officeDocument/2006/relationships/hyperlink" Target="https://www.sec.gov/ix?doc=/Archives/edgar/data/0001045810/000104581020000147/nvda-20200726.htm" TargetMode="External"/><Relationship Id="rId30" Type="http://schemas.openxmlformats.org/officeDocument/2006/relationships/hyperlink" Target="https://www.sec.gov/ix?doc=/Archives/edgar/data/0001045810/000104581020000147/nvda-20200726.htm" TargetMode="External"/><Relationship Id="rId35" Type="http://schemas.openxmlformats.org/officeDocument/2006/relationships/hyperlink" Target="https://www.sec.gov/Archives/edgar/data/0001045810/000104581020000147/nvda2021q2ex312.htm" TargetMode="External"/><Relationship Id="rId8" Type="http://schemas.openxmlformats.org/officeDocument/2006/relationships/hyperlink" Target="https://www.sec.gov/ix?doc=/Archives/edgar/data/0001045810/000104581020000147/nvda-20200726.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21426</Words>
  <Characters>122130</Characters>
  <Application>Microsoft Office Word</Application>
  <DocSecurity>0</DocSecurity>
  <Lines>1017</Lines>
  <Paragraphs>286</Paragraphs>
  <ScaleCrop>false</ScaleCrop>
  <Company/>
  <LinksUpToDate>false</LinksUpToDate>
  <CharactersWithSpaces>143270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68D1CDBD9E4943ADE9A5E763DB5993F5</vt:lpwstr>
  </property>
</Properties>
</file>