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0380E" w14:textId="64977862" w:rsidR="00F20ABF" w:rsidRDefault="00CA4D2F">
      <w:pPr>
        <w:rPr>
          <w:vanish/>
        </w:rPr>
      </w:pPr>
      <w:r>
        <w:rPr>
          <w:rFonts w:ascii="宋体" w:eastAsia="宋体" w:hAnsi="宋体" w:cs="宋体"/>
        </w:rPr>
        <w:t xml:space="preserve"> </w:t>
      </w:r>
      <w:r>
        <w:rPr>
          <w:rFonts w:ascii="宋体" w:eastAsia="宋体" w:hAnsi="宋体" w:cs="宋体"/>
          <w:vanish/>
        </w:rPr>
        <w:t>00010458101/312021Q3FALSE00010458102020-01-272020-10-25xbrli:shares00010458102020-11-13iso4217:USD00010458102020-07-272020-10-2500010458102019-07-292019-10-2700010458102019-01-282019-10-27iso4217:USDxbrli:shares00010458102020-10-2500010458102020-01-2600010</w:t>
      </w:r>
      <w:r>
        <w:rPr>
          <w:rFonts w:ascii="宋体" w:eastAsia="宋体" w:hAnsi="宋体" w:cs="宋体"/>
          <w:vanish/>
        </w:rPr>
        <w:t>45810us-gaap:CommonStockMember2020-07-260001045810us-gaap:AdditionalPaidInCapitalMember2020-07-260001045810us-gaap:TreasuryStockMember2020-07-260001045810us-gaap:AccumulatedOtherComprehensiveIncomeMember2020-07-260001045810us-gaap:RetainedEarningsMember202</w:t>
      </w:r>
      <w:r>
        <w:rPr>
          <w:rFonts w:ascii="宋体" w:eastAsia="宋体" w:hAnsi="宋体" w:cs="宋体"/>
          <w:vanish/>
        </w:rPr>
        <w:t>0-07-2600010458102020-07-260001045810us-gaap:RetainedEarningsMember2020-07-272020-10-250001045810us-gaap:AccumulatedOtherComprehensiveIncomeMember2020-07-272020-10-250001045810us-gaap:CommonStockMember2020-07-272020-10-250001045810us-gaap:AdditionalPaidInC</w:t>
      </w:r>
      <w:r>
        <w:rPr>
          <w:rFonts w:ascii="宋体" w:eastAsia="宋体" w:hAnsi="宋体" w:cs="宋体"/>
          <w:vanish/>
        </w:rPr>
        <w:t>apitalMember2020-07-272020-10-250001045810us-gaap:TreasuryStockMember2020-07-272020-10-250001045810us-gaap:CommonStockMember2020-10-250001045810us-gaap:AdditionalPaidInCapitalMember2020-10-250001045810us-gaap:TreasuryStockMember2020-10-250001045810us-gaap:</w:t>
      </w:r>
      <w:r>
        <w:rPr>
          <w:rFonts w:ascii="宋体" w:eastAsia="宋体" w:hAnsi="宋体" w:cs="宋体"/>
          <w:vanish/>
        </w:rPr>
        <w:t>AccumulatedOtherComprehensiveIncomeMember2020-10-250001045810us-gaap:RetainedEarningsMember2020-10-250001045810us-gaap:CommonStockMember2019-07-280001045810us-gaap:AdditionalPaidInCapitalMember2019-07-280001045810us-gaap:TreasuryStockMember2019-07-28000104</w:t>
      </w:r>
      <w:r>
        <w:rPr>
          <w:rFonts w:ascii="宋体" w:eastAsia="宋体" w:hAnsi="宋体" w:cs="宋体"/>
          <w:vanish/>
        </w:rPr>
        <w:t>5810us-gaap:AccumulatedOtherComprehensiveIncomeMember2019-07-280001045810us-gaap:RetainedEarningsMember2019-07-2800010458102019-07-280001045810us-gaap:RetainedEarningsMember2019-07-292019-10-270001045810us-gaap:AccumulatedOtherComprehensiveIncomeMember2019</w:t>
      </w:r>
      <w:r>
        <w:rPr>
          <w:rFonts w:ascii="宋体" w:eastAsia="宋体" w:hAnsi="宋体" w:cs="宋体"/>
          <w:vanish/>
        </w:rPr>
        <w:t>-07-292019-10-270001045810us-gaap:CommonStockMember2019-07-292019-10-270001045810us-gaap:AdditionalPaidInCapitalMember2019-07-292019-10-270001045810us-gaap:TreasuryStockMember2019-07-292019-10-270001045810us-gaap:CommonStockMember2019-10-270001045810us-gaa</w:t>
      </w:r>
      <w:r>
        <w:rPr>
          <w:rFonts w:ascii="宋体" w:eastAsia="宋体" w:hAnsi="宋体" w:cs="宋体"/>
          <w:vanish/>
        </w:rPr>
        <w:t>p:AdditionalPaidInCapitalMember2019-10-270001045810us-gaap:TreasuryStockMember2019-10-270001045810us-gaap:AccumulatedOtherComprehensiveIncomeMember2019-10-270001045810us-gaap:RetainedEarningsMember2019-10-2700010458102019-10-270001045810us-gaap:CommonStock</w:t>
      </w:r>
      <w:r>
        <w:rPr>
          <w:rFonts w:ascii="宋体" w:eastAsia="宋体" w:hAnsi="宋体" w:cs="宋体"/>
          <w:vanish/>
        </w:rPr>
        <w:t>Member2020-01-260001045810us-gaap:AdditionalPaidInCapitalMember2020-01-260001045810us-gaap:TreasuryStockMember2020-01-260001045810us-gaap:AccumulatedOtherComprehensiveIncomeMember2020-01-260001045810us-gaap:RetainedEarningsMember2020-01-260001045810us-gaap</w:t>
      </w:r>
      <w:r>
        <w:rPr>
          <w:rFonts w:ascii="宋体" w:eastAsia="宋体" w:hAnsi="宋体" w:cs="宋体"/>
          <w:vanish/>
        </w:rPr>
        <w:t>:RetainedEarningsMember2020-01-272020-10-250001045810us-gaap:AccumulatedOtherComprehensiveIncomeMember2020-01-272020-10-250001045810us-gaap:CommonStockMember2020-01-272020-10-250001045810us-gaap:AdditionalPaidInCapitalMember2020-01-272020-10-250001045810us</w:t>
      </w:r>
      <w:r>
        <w:rPr>
          <w:rFonts w:ascii="宋体" w:eastAsia="宋体" w:hAnsi="宋体" w:cs="宋体"/>
          <w:vanish/>
        </w:rPr>
        <w:t>-gaap:TreasuryStockMember2020-01-272020-10-250001045810us-gaap:CommonStockMember2019-01-270001045810us-gaap:AdditionalPaidInCapitalMember2019-01-270001045810us-gaap:TreasuryStockMember2019-01-270001045810us-gaap:AccumulatedOtherComprehensiveIncomeMember201</w:t>
      </w:r>
      <w:r>
        <w:rPr>
          <w:rFonts w:ascii="宋体" w:eastAsia="宋体" w:hAnsi="宋体" w:cs="宋体"/>
          <w:vanish/>
        </w:rPr>
        <w:t>9-01-270001045810us-gaap:RetainedEarningsMember2019-01-2700010458102019-01-270001045810us-gaap:RetainedEarningsMember2019-01-282019-10-270001045810us-gaap:AccumulatedOtherComprehensiveIncomeMember2019-01-282019-10-270001045810us-gaap:CommonStockMember2019-</w:t>
      </w:r>
      <w:r>
        <w:rPr>
          <w:rFonts w:ascii="宋体" w:eastAsia="宋体" w:hAnsi="宋体" w:cs="宋体"/>
          <w:vanish/>
        </w:rPr>
        <w:t>01-282019-10-270001045810us-gaap:AdditionalPaidInCapitalMember2019-01-282019-10-270001045810us-gaap:TreasuryStockMember2019-01-282019-10-270001045810nvda:ArmLimitedMembersrt:ScenarioForecastMember2022-01-012022-03-310001045810nvda:ArmLimitedMember2020-09-1</w:t>
      </w:r>
      <w:r>
        <w:rPr>
          <w:rFonts w:ascii="宋体" w:eastAsia="宋体" w:hAnsi="宋体" w:cs="宋体"/>
          <w:vanish/>
        </w:rPr>
        <w:t>32020-09-130001045810nvda:ArmLimitedMembersrt:MaximumMember2020-09-130001045810nvda:ArmLimitedMember2020-09-130001045810nvda:ArmLimitedMemberus-gaap:IntellectualPropertyMember2020-09-130001045810nvda:MellanoxTechnologiesLtdMember2020-04-272020-04-270001045</w:t>
      </w:r>
      <w:r>
        <w:rPr>
          <w:rFonts w:ascii="宋体" w:eastAsia="宋体" w:hAnsi="宋体" w:cs="宋体"/>
          <w:vanish/>
        </w:rPr>
        <w:t>810nvda:MellanoxTechnologiesLtdMemberus-gaap:CommonStockMember2020-04-272020-04-270001045810nvda:MellanoxTechnologiesLtdMemberus-gaap:StockCompensationPlanMember2020-04-272020-04-270001045810nvda:MellanoxTechnologiesLtdMember2020-04-270001045810nvda:Mellan</w:t>
      </w:r>
      <w:r>
        <w:rPr>
          <w:rFonts w:ascii="宋体" w:eastAsia="宋体" w:hAnsi="宋体" w:cs="宋体"/>
          <w:vanish/>
        </w:rPr>
        <w:t>oxTechnologiesLtdMembernvda:MellanoxTechnologiesLtdMember2020-04-272020-04-270001045810us-gaap:EmployeeStockOptionMembernvda:MellanoxTechnologiesLtdMembernvda:MellanoxTechnologiesLtdMember2020-04-272020-04-27xbrli:pure0001045810us-gaap:SalesRevenueNetMembe</w:t>
      </w:r>
      <w:r>
        <w:rPr>
          <w:rFonts w:ascii="宋体" w:eastAsia="宋体" w:hAnsi="宋体" w:cs="宋体"/>
          <w:vanish/>
        </w:rPr>
        <w:t>rnvda:MellanoxTechnologiesLtdMember2020-07-272020-10-250001045810us-gaap:SalesRevenueNetMembernvda:MellanoxTechnologiesLtdMember2020-01-272020-10-250001045810nvda:MellanoxTechnologiesLtdMember2020-01-272020-10-250001045810nvda:MellanoxTechnologiesLtdMember</w:t>
      </w:r>
      <w:r>
        <w:rPr>
          <w:rFonts w:ascii="宋体" w:eastAsia="宋体" w:hAnsi="宋体" w:cs="宋体"/>
          <w:vanish/>
        </w:rPr>
        <w:t>us-gaap:DevelopedTechnologyRightsMember2020-04-270001045810nvda:MellanoxTechnologiesLtdMemberus-gaap:DevelopedTechnologyRightsMember2020-04-272020-04-270001045810us-gaap:CustomerRelationshipsMembernvda:MellanoxTechnologiesLtdMember2020-04-270001045810us-ga</w:t>
      </w:r>
      <w:r>
        <w:rPr>
          <w:rFonts w:ascii="宋体" w:eastAsia="宋体" w:hAnsi="宋体" w:cs="宋体"/>
          <w:vanish/>
        </w:rPr>
        <w:t>ap:CustomerRelationshipsMembernvda:MellanoxTechnologiesLtdMember2020-04-272020-04-270001045810us-gaap:OrderOrProductionBacklogMembernvda:MellanoxTechnologiesLtdMember2020-04-270001045810nvda:MellanoxTechnologiesLtdMemberus-gaap:TradeNamesMember2020-04-2700</w:t>
      </w:r>
      <w:r>
        <w:rPr>
          <w:rFonts w:ascii="宋体" w:eastAsia="宋体" w:hAnsi="宋体" w:cs="宋体"/>
          <w:vanish/>
        </w:rPr>
        <w:t>01045810nvda:MellanoxTechnologiesLtdMemberus-gaap:TradeNamesMember2020-04-272020-04-270001045810nvda:MellanoxTechnologiesLtdMember2019-01-282019-10-270001045810us-gaap:CostOfSalesMember2020-07-272020-10-250001045810us-gaap:CostOfSalesMember2019-07-292019-1</w:t>
      </w:r>
      <w:r>
        <w:rPr>
          <w:rFonts w:ascii="宋体" w:eastAsia="宋体" w:hAnsi="宋体" w:cs="宋体"/>
          <w:vanish/>
        </w:rPr>
        <w:t>0-270001045810us-gaap:CostOfSalesMember2020-01-272020-10-250001045810us-gaap:CostOfSalesMember2019-01-282019-10-270001045810us-gaap:ResearchAndDevelopmentExpenseMember2020-07-272020-10-250001045810us-gaap:ResearchAndDevelopmentExpenseMember2019-07-292019-1</w:t>
      </w:r>
      <w:r>
        <w:rPr>
          <w:rFonts w:ascii="宋体" w:eastAsia="宋体" w:hAnsi="宋体" w:cs="宋体"/>
          <w:vanish/>
        </w:rPr>
        <w:t>0-270001045810us-gaap:ResearchAndDevelopmentExpenseMember2020-01-272020-10-250001045810us-gaap:ResearchAndDevelopmentExpenseMember2019-01-282019-10-270001045810us-gaap:SellingGeneralAndAdministrativeExpensesMember2020-07-272020-10-250001045810us-gaap:Selli</w:t>
      </w:r>
      <w:r>
        <w:rPr>
          <w:rFonts w:ascii="宋体" w:eastAsia="宋体" w:hAnsi="宋体" w:cs="宋体"/>
          <w:vanish/>
        </w:rPr>
        <w:t>ngGeneralAndAdministrativeExpensesMember2019-07-292019-10-270001045810us-gaap:SellingGeneralAndAdministrativeExpensesMember2020-01-272020-10-250001045810us-gaap:SellingGeneralAndAdministrativeExpensesMember2019-01-282019-10-270001045810nvda:RSUsPSUsandMark</w:t>
      </w:r>
      <w:r>
        <w:rPr>
          <w:rFonts w:ascii="宋体" w:eastAsia="宋体" w:hAnsi="宋体" w:cs="宋体"/>
          <w:vanish/>
        </w:rPr>
        <w:t>etbasedPSUsMember2020-01-260001045810nvda:RSUsPSUsandMarketbasedPSUsMember2020-01-272020-10-250001045810nvda:RSUsPSUsandMarketbasedPSUsMember2020-10-250001045810nvda:ShareBasedCompensationArrangementsByShareBasedPaymentAwardEmployeeStockPurchasePlanMember2</w:t>
      </w:r>
      <w:r>
        <w:rPr>
          <w:rFonts w:ascii="宋体" w:eastAsia="宋体" w:hAnsi="宋体" w:cs="宋体"/>
          <w:vanish/>
        </w:rPr>
        <w:t>020-01-272020-10-250001045810nvda:MellanoxTechnologiesLtdMember2020-07-260001045810nvda:MellanoxTechnologiesLtdMember2020-04-272020-07-260001045810us-gaap:USTreasurySecuritiesMember2020-10-250001045810us-gaap:CorporateDebtSecuritiesMember2020-10-2500010458</w:t>
      </w:r>
      <w:r>
        <w:rPr>
          <w:rFonts w:ascii="宋体" w:eastAsia="宋体" w:hAnsi="宋体" w:cs="宋体"/>
          <w:vanish/>
        </w:rPr>
        <w:t>10us-gaap:USGovernmentAgenciesDebtSecuritiesMember2020-10-250001045810us-gaap:CertificatesOfDepositMember2020-10-250001045810us-gaap:MoneyMarketFundsMember2020-10-250001045810us-gaap:ForeignGovernmentDebtMember2020-10-250001045810us-gaap:MoneyMarketFundsMe</w:t>
      </w:r>
      <w:r>
        <w:rPr>
          <w:rFonts w:ascii="宋体" w:eastAsia="宋体" w:hAnsi="宋体" w:cs="宋体"/>
          <w:vanish/>
        </w:rPr>
        <w:t>mber2020-01-260001045810us-gaap:USTreasurySecuritiesMember2020-01-260001045810us-gaap:USGovernmentAgenciesDebtSecuritiesMember2020-01-260001045810us-gaap:CorporateDebtSecuritiesMember2020-01-260001045810us-gaap:ForeignGovernmentDebtMember2020-01-2600010458</w:t>
      </w:r>
      <w:r>
        <w:rPr>
          <w:rFonts w:ascii="宋体" w:eastAsia="宋体" w:hAnsi="宋体" w:cs="宋体"/>
          <w:vanish/>
        </w:rPr>
        <w:t>10us-gaap:CertificatesOfDepositMember2020-01-260001045810us-gaap:AssetBackedSecuritiesMember2020-01-260001045810us-gaap:FairValueInputsLevel1Memberus-gaap:MoneyMarketFundsMember2020-10-250001045810us-gaap:FairValueInputsLevel1Memberus-gaap:MoneyMarketFunds</w:t>
      </w:r>
      <w:r>
        <w:rPr>
          <w:rFonts w:ascii="宋体" w:eastAsia="宋体" w:hAnsi="宋体" w:cs="宋体"/>
          <w:vanish/>
        </w:rPr>
        <w:t>Member2020-01-260001045810us-gaap:USTreasurySecuritiesMemberus-gaap:FairValueInputsLevel2Member2020-10-250001045810us-gaap:USTreasurySecuritiesMemberus-gaap:FairValueInputsLevel2Member2020-01-260001045810us-gaap:CorporateDebtSecuritiesMemberus-gaap:FairVal</w:t>
      </w:r>
      <w:r>
        <w:rPr>
          <w:rFonts w:ascii="宋体" w:eastAsia="宋体" w:hAnsi="宋体" w:cs="宋体"/>
          <w:vanish/>
        </w:rPr>
        <w:t>ueInputsLevel2Member2020-10-250001045810us-gaap:CorporateDebtSecuritiesMemberus-gaap:FairValueInputsLevel2Member2020-01-260001045810us-gaap:FairValueInputsLevel2Memberus-gaap:USGovernmentAgenciesDebtSecuritiesMember2020-10-250001045810us-gaap:FairValueInpu</w:t>
      </w:r>
      <w:r>
        <w:rPr>
          <w:rFonts w:ascii="宋体" w:eastAsia="宋体" w:hAnsi="宋体" w:cs="宋体"/>
          <w:vanish/>
        </w:rPr>
        <w:t>tsLevel2Memberus-gaap:USGovernmentAgenciesDebtSecuritiesMember2020-01-260001045810us-gaap:CertificatesOfDepositMemberus-gaap:FairValueInputsLevel2Member2020-10-250001045810us-gaap:CertificatesOfDepositMemberus-gaap:FairValueInputsLevel2Member2020-01-260001</w:t>
      </w:r>
      <w:r>
        <w:rPr>
          <w:rFonts w:ascii="宋体" w:eastAsia="宋体" w:hAnsi="宋体" w:cs="宋体"/>
          <w:vanish/>
        </w:rPr>
        <w:t>045810us-gaap:ForeignGovernmentDebtMemberus-gaap:FairValueInputsLevel2Member2020-10-250001045810us-gaap:ForeignGovernmentDebtMemberus-gaap:FairValueInputsLevel2Member2020-01-260001045810us-gaap:AssetBackedSecuritiesMemberus-gaap:FairValueInputsLevel2Member</w:t>
      </w:r>
      <w:r>
        <w:rPr>
          <w:rFonts w:ascii="宋体" w:eastAsia="宋体" w:hAnsi="宋体" w:cs="宋体"/>
          <w:vanish/>
        </w:rPr>
        <w:t>2020-10-250001045810us-gaap:AssetBackedSecuritiesMemberus-gaap:FairValueInputsLevel2Member2020-01-260001045810us-gaap:FairValueInputsLevel3Member2020-10-250001045810us-gaap:FairValueInputsLevel3Member2020-01-260001045810nvda:A2021NotesMember2020-10-2500010</w:t>
      </w:r>
      <w:r>
        <w:rPr>
          <w:rFonts w:ascii="宋体" w:eastAsia="宋体" w:hAnsi="宋体" w:cs="宋体"/>
          <w:vanish/>
        </w:rPr>
        <w:t>45810nvda:A2021NotesMemberus-gaap:FairValueInputsLevel2Member2020-10-250001045810nvda:A2021NotesMemberus-gaap:FairValueInputsLevel2Member2020-01-260001045810nvda:A2026NotesMember2020-10-250001045810nvda:A2026NotesMemberus-gaap:FairValueInputsLevel2Member20</w:t>
      </w:r>
      <w:r>
        <w:rPr>
          <w:rFonts w:ascii="宋体" w:eastAsia="宋体" w:hAnsi="宋体" w:cs="宋体"/>
          <w:vanish/>
        </w:rPr>
        <w:t>20-10-250001045810nvda:A2026NotesMemberus-gaap:FairValueInputsLevel2Member2020-01-260001045810nvda:A2030NotesMember2020-10-250001045810nvda:A2030NotesMemberus-gaap:FairValueInputsLevel2Member2020-10-250001045810nvda:A2030NotesMemberus-gaap:FairValueInputsL</w:t>
      </w:r>
      <w:r>
        <w:rPr>
          <w:rFonts w:ascii="宋体" w:eastAsia="宋体" w:hAnsi="宋体" w:cs="宋体"/>
          <w:vanish/>
        </w:rPr>
        <w:t>evel2Member2020-01-260001045810nvda:A2040NotesMember2020-10-250001045810nvda:A2040NotesMemberus-gaap:FairValueInputsLevel2Member2020-10-250001045810nvda:A2040NotesMemberus-gaap:FairValueInputsLevel2Member2020-01-260001045810nvda:A2050NotesMember2020-10-250</w:t>
      </w:r>
      <w:r>
        <w:rPr>
          <w:rFonts w:ascii="宋体" w:eastAsia="宋体" w:hAnsi="宋体" w:cs="宋体"/>
          <w:vanish/>
        </w:rPr>
        <w:t>001045810nvda:A2050NotesMemberus-gaap:FairValueInputsLevel2Member2020-10-250001045810nvda:A2050NotesMemberus-gaap:FairValueInputsLevel2Member2020-01-260001045810nvda:A2060NotesMember2020-10-250001045810nvda:A2060NotesMemberus-gaap:FairValueInputsLevel2Memb</w:t>
      </w:r>
      <w:r>
        <w:rPr>
          <w:rFonts w:ascii="宋体" w:eastAsia="宋体" w:hAnsi="宋体" w:cs="宋体"/>
          <w:vanish/>
        </w:rPr>
        <w:t>er2020-10-250001045810nvda:A2060NotesMemberus-gaap:FairValueInputsLevel2Member2020-01-260001045810us-gaap:DevelopedTechnologyRightsMember2020-10-250001045810us-gaap:DevelopedTechnologyRightsMember2020-01-260001045810nvda:PatentsAndLicensedTechnologyMember2</w:t>
      </w:r>
      <w:r>
        <w:rPr>
          <w:rFonts w:ascii="宋体" w:eastAsia="宋体" w:hAnsi="宋体" w:cs="宋体"/>
          <w:vanish/>
        </w:rPr>
        <w:t>020-10-250001045810nvda:PatentsAndLicensedTechnologyMember2020-01-2600010458102020-10-262020-10-250001045810us-gaap:ForeignExchangeForwardMember2020-01-272020-10-250001045810nvda:A2030NotesMember2020-03-310001045810nvda:A2040NotesMember2020-03-310001045810</w:t>
      </w:r>
      <w:r>
        <w:rPr>
          <w:rFonts w:ascii="宋体" w:eastAsia="宋体" w:hAnsi="宋体" w:cs="宋体"/>
          <w:vanish/>
        </w:rPr>
        <w:t>nvda:A2050NotesMember2020-03-310001045810nvda:A2060NotesMember2020-03-310001045810nvda:March2020NotesMember2020-03-012020-03-310001045810nvda:A2021NotesMember2016-09-300001045810nvda:A2026NotesMember2016-09-300001045810nvda:September2016NotesMember2016-09-</w:t>
      </w:r>
      <w:r>
        <w:rPr>
          <w:rFonts w:ascii="宋体" w:eastAsia="宋体" w:hAnsi="宋体" w:cs="宋体"/>
          <w:vanish/>
        </w:rPr>
        <w:t>012016-09-300001045810nvda:A2021NotesMember2020-01-272020-10-250001045810nvda:A2021NotesMember2020-01-260001045810nvda:A2026NotesMember2020-01-272020-10-250001045810nvda:A2026NotesMember2020-01-260001045810nvda:A2030NotesMember2020-01-272020-10-25000104581</w:t>
      </w:r>
      <w:r>
        <w:rPr>
          <w:rFonts w:ascii="宋体" w:eastAsia="宋体" w:hAnsi="宋体" w:cs="宋体"/>
          <w:vanish/>
        </w:rPr>
        <w:t>0nvda:A2030NotesMember2020-01-260001045810nvda:A2040NotesMember2020-01-272020-10-250001045810nvda:A2040NotesMember2020-01-260001045810nvda:A2050NotesMember2020-01-272020-10-250001045810nvda:A2050NotesMember2020-01-260001045810nvda:A2060NotesMember2020-01-2</w:t>
      </w:r>
      <w:r>
        <w:rPr>
          <w:rFonts w:ascii="宋体" w:eastAsia="宋体" w:hAnsi="宋体" w:cs="宋体"/>
          <w:vanish/>
        </w:rPr>
        <w:t>72020-10-250001045810nvda:A2060NotesMember2020-01-260001045810us-gaap:RevolvingCreditFacilityMember2020-10-250001045810us-gaap:CommercialPaperMember2020-10-25nvda:segment00010458102019-01-282020-01-260001045810us-gaap:OperatingSegmentsMembernvda:GraphicsMe</w:t>
      </w:r>
      <w:r>
        <w:rPr>
          <w:rFonts w:ascii="宋体" w:eastAsia="宋体" w:hAnsi="宋体" w:cs="宋体"/>
          <w:vanish/>
        </w:rPr>
        <w:t>mber2020-07-272020-10-250001045810us-gaap:OperatingSegmentsMembernvda:ComputeAndNetworkingMember2020-07-272020-10-250001045810us-gaap:CorporateNonSegmentMember2020-07-272020-10-250001045810us-gaap:OperatingSegmentsMembernvda:GraphicsMember2019-07-292019-10</w:t>
      </w:r>
      <w:r>
        <w:rPr>
          <w:rFonts w:ascii="宋体" w:eastAsia="宋体" w:hAnsi="宋体" w:cs="宋体"/>
          <w:vanish/>
        </w:rPr>
        <w:t>-270001045810us-gaap:OperatingSegmentsMembernvda:ComputeAndNetworkingMember2019-07-292019-10-270001045810us-gaap:CorporateNonSegmentMember2019-07-292019-10-270001045810us-gaap:OperatingSegmentsMembernvda:GraphicsMember2020-01-272020-10-250001045810us-gaap:</w:t>
      </w:r>
      <w:r>
        <w:rPr>
          <w:rFonts w:ascii="宋体" w:eastAsia="宋体" w:hAnsi="宋体" w:cs="宋体"/>
          <w:vanish/>
        </w:rPr>
        <w:t>OperatingSegmentsMembernvda:ComputeAndNetworkingMember2020-01-272020-10-250001045810us-gaap:CorporateNonSegmentMember2020-01-272020-10-250001045810us-gaap:OperatingSegmentsMembernvda:GraphicsMember2019-01-282019-10-270001045810us-gaap:OperatingSegmentsMemb</w:t>
      </w:r>
      <w:r>
        <w:rPr>
          <w:rFonts w:ascii="宋体" w:eastAsia="宋体" w:hAnsi="宋体" w:cs="宋体"/>
          <w:vanish/>
        </w:rPr>
        <w:t>ernvda:ComputeAndNetworkingMember2019-01-282019-10-270001045810us-gaap:CorporateNonSegmentMember2019-01-282019-10-270001045810country:TW2020-07-272020-10-250001045810country:TW2019-07-292019-10-270001045810country:TW2020-01-272020-10-250001045810country:TW</w:t>
      </w:r>
      <w:r>
        <w:rPr>
          <w:rFonts w:ascii="宋体" w:eastAsia="宋体" w:hAnsi="宋体" w:cs="宋体"/>
          <w:vanish/>
        </w:rPr>
        <w:t>2019-01-282019-10-270001045810nvda:ChinaIncludingHongKongMember2020-07-272020-10-250001045810nvda:ChinaIncludingHongKongMember2019-07-292019-10-270001045810nvda:ChinaIncludingHongKongMember2020-01-272020-10-250001045810nvda:ChinaIncludingHongKongMember2019</w:t>
      </w:r>
      <w:r>
        <w:rPr>
          <w:rFonts w:ascii="宋体" w:eastAsia="宋体" w:hAnsi="宋体" w:cs="宋体"/>
          <w:vanish/>
        </w:rPr>
        <w:t>-01-282019-10-270001045810nvda:OtherAsiaPacificMember2020-07-272020-10-250001045810nvda:OtherAsiaPacificMember2019-07-292019-10-270001045810nvda:OtherAsiaPacificMember2020-01-272020-10-250001045810nvda:OtherAsiaPacificMember2019-01-282019-10-270001045810co</w:t>
      </w:r>
      <w:r>
        <w:rPr>
          <w:rFonts w:ascii="宋体" w:eastAsia="宋体" w:hAnsi="宋体" w:cs="宋体"/>
          <w:vanish/>
        </w:rPr>
        <w:t>untry:US2020-07-272020-10-250001045810country:US2019-07-292019-10-270001045810country:US2020-01-272020-10-250001045810country:US2019-01-282019-10-270001045810srt:EuropeMember2020-07-272020-10-250001045810srt:EuropeMember2019-07-292019-10-270001045810srt:Eu</w:t>
      </w:r>
      <w:r>
        <w:rPr>
          <w:rFonts w:ascii="宋体" w:eastAsia="宋体" w:hAnsi="宋体" w:cs="宋体"/>
          <w:vanish/>
        </w:rPr>
        <w:t>ropeMember2020-01-272020-10-250001045810srt:EuropeMember2019-01-282019-10-270001045810nvda:AllOtherCountriesNotSeparatelyDisclosedMember2020-07-272020-10-250001045810nvda:AllOtherCountriesNotSeparatelyDisclosedMember2019-07-292019-10-270001045810nvda:AllOt</w:t>
      </w:r>
      <w:r>
        <w:rPr>
          <w:rFonts w:ascii="宋体" w:eastAsia="宋体" w:hAnsi="宋体" w:cs="宋体"/>
          <w:vanish/>
        </w:rPr>
        <w:t>herCountriesNotSeparatelyDisclosedMember2020-01-272020-10-250001045810nvda:AllOtherCountriesNotSeparatelyDisclosedMember2019-01-282019-10-270001045810nvda:GamingMember2020-07-272020-10-250001045810nvda:GamingMember2019-07-292019-10-270001045810nvda:GamingM</w:t>
      </w:r>
      <w:r>
        <w:rPr>
          <w:rFonts w:ascii="宋体" w:eastAsia="宋体" w:hAnsi="宋体" w:cs="宋体"/>
          <w:vanish/>
        </w:rPr>
        <w:t>ember2020-01-272020-10-250001045810nvda:GamingMember2019-01-282019-10-270001045810nvda:ProfessionalVisualizationMember2020-07-272020-10-250001045810nvda:ProfessionalVisualizationMember2019-07-292019-10-270001045810nvda:ProfessionalVisualizationMember2020-0</w:t>
      </w:r>
      <w:r>
        <w:rPr>
          <w:rFonts w:ascii="宋体" w:eastAsia="宋体" w:hAnsi="宋体" w:cs="宋体"/>
          <w:vanish/>
        </w:rPr>
        <w:t>1-272020-10-250001045810nvda:ProfessionalVisualizationMember2019-01-282019-10-270001045810nvda:DataCenterMember2020-07-272020-10-250001045810nvda:DataCenterMember2019-07-292019-10-270001045810nvda:DataCenterMember2020-01-272020-10-250001045810nvda:DataCent</w:t>
      </w:r>
      <w:r>
        <w:rPr>
          <w:rFonts w:ascii="宋体" w:eastAsia="宋体" w:hAnsi="宋体" w:cs="宋体"/>
          <w:vanish/>
        </w:rPr>
        <w:t>erMember2019-01-282019-10-270001045810nvda:AutomotiveMember2020-07-272020-10-250001045810nvda:AutomotiveMember2019-07-292019-10-270001045810nvda:AutomotiveMember2020-01-272020-10-250001045810nvda:AutomotiveMember2019-01-282019-10-270001045810nvda:OEMAndOth</w:t>
      </w:r>
      <w:r>
        <w:rPr>
          <w:rFonts w:ascii="宋体" w:eastAsia="宋体" w:hAnsi="宋体" w:cs="宋体"/>
          <w:vanish/>
        </w:rPr>
        <w:t>erMember2020-07-272020-10-250001045810nvda:OEMAndOtherMember2019-07-292019-10-270001045810nvda:OEMAndOtherMember2020-01-272020-10-250001045810nvda:OEMAndOtherMember2019-01-282019-10-270001045810us-gaap:CustomerConcentrationRiskMemberus-gaap:SalesRevenueNet</w:t>
      </w:r>
      <w:r>
        <w:rPr>
          <w:rFonts w:ascii="宋体" w:eastAsia="宋体" w:hAnsi="宋体" w:cs="宋体"/>
          <w:vanish/>
        </w:rPr>
        <w:t>Membernvda:GraphicsMembernvda:OneCustomerMember2019-07-292019-10-270001045810us-gaap:CustomerConcentrationRiskMemberus-gaap:SalesRevenueNetMembernvda:GraphicsMembernvda:OneCustomerMember2019-01-282019-10-270001045810us-gaap:AccountsReceivableMemberus-gaap:</w:t>
      </w:r>
      <w:r>
        <w:rPr>
          <w:rFonts w:ascii="宋体" w:eastAsia="宋体" w:hAnsi="宋体" w:cs="宋体"/>
          <w:vanish/>
        </w:rPr>
        <w:t>CustomerConcentrationRiskMembernvda:OneCustomerMember2020-01-272020-10-250001045810us-gaap:AccountsReceivableMemberus-gaap:CustomerConcentrationRiskMembernvda:OneCustomerMember2019-01-282020-01-260001045810nvda:GraphicsMember2020-10-250001045810nvda:Comput</w:t>
      </w:r>
      <w:r>
        <w:rPr>
          <w:rFonts w:ascii="宋体" w:eastAsia="宋体" w:hAnsi="宋体" w:cs="宋体"/>
          <w:vanish/>
        </w:rPr>
        <w:t>eAndNetworkingMember2020-10-250001045810nvda:ComputeAndNetworkingMembernvda:MellanoxTechnologiesLtdMember2020-01-272020-10-250001045810us-gaap:SeriesOfIndividuallyImmaterialBusinessAcquisitionsMembernvda:ComputeAndNetworkingMember2020-01-272020-10-25</w:t>
      </w:r>
    </w:p>
    <w:p w14:paraId="1E80380F" w14:textId="77777777" w:rsidR="00F20ABF" w:rsidRDefault="00F20ABF">
      <w:pPr>
        <w:spacing w:after="180"/>
        <w:jc w:val="both"/>
      </w:pPr>
    </w:p>
    <w:p w14:paraId="1E803810" w14:textId="77777777" w:rsidR="00F20ABF" w:rsidRDefault="00CA4D2F">
      <w:pPr>
        <w:jc w:val="center"/>
      </w:pPr>
      <w:r>
        <w:rPr>
          <w:rFonts w:ascii="sans-serif" w:eastAsia="sans-serif" w:hAnsi="sans-serif" w:cs="sans-serif"/>
          <w:b/>
          <w:bCs/>
          <w:color w:val="000000"/>
          <w:sz w:val="18"/>
          <w:szCs w:val="18"/>
        </w:rPr>
        <w:t>UNIT</w:t>
      </w:r>
      <w:r>
        <w:rPr>
          <w:rFonts w:ascii="sans-serif" w:eastAsia="sans-serif" w:hAnsi="sans-serif" w:cs="sans-serif"/>
          <w:b/>
          <w:bCs/>
          <w:color w:val="000000"/>
          <w:sz w:val="18"/>
          <w:szCs w:val="18"/>
        </w:rPr>
        <w:t>ED STATES</w:t>
      </w:r>
    </w:p>
    <w:p w14:paraId="1E803811" w14:textId="77777777" w:rsidR="00F20ABF" w:rsidRDefault="00CA4D2F">
      <w:pPr>
        <w:jc w:val="center"/>
      </w:pPr>
      <w:r>
        <w:rPr>
          <w:rFonts w:ascii="sans-serif" w:eastAsia="sans-serif" w:hAnsi="sans-serif" w:cs="sans-serif"/>
          <w:b/>
          <w:bCs/>
          <w:color w:val="000000"/>
          <w:sz w:val="18"/>
          <w:szCs w:val="18"/>
        </w:rPr>
        <w:t>SECURITIES AND EXCHANGE COMMISSION</w:t>
      </w:r>
    </w:p>
    <w:p w14:paraId="1E803812" w14:textId="77777777" w:rsidR="00F20ABF" w:rsidRDefault="00CA4D2F">
      <w:pPr>
        <w:jc w:val="center"/>
      </w:pPr>
      <w:r>
        <w:rPr>
          <w:rFonts w:ascii="sans-serif" w:eastAsia="sans-serif" w:hAnsi="sans-serif" w:cs="sans-serif"/>
          <w:b/>
          <w:bCs/>
          <w:color w:val="000000"/>
          <w:sz w:val="18"/>
          <w:szCs w:val="18"/>
        </w:rPr>
        <w:t>Washington, D.C. 20549</w:t>
      </w:r>
    </w:p>
    <w:tbl>
      <w:tblPr>
        <w:tblW w:w="1389" w:type="pct"/>
        <w:jc w:val="center"/>
        <w:tblCellMar>
          <w:top w:w="15" w:type="dxa"/>
          <w:left w:w="15" w:type="dxa"/>
          <w:bottom w:w="15" w:type="dxa"/>
          <w:right w:w="15" w:type="dxa"/>
        </w:tblCellMar>
        <w:tblLook w:val="04A0" w:firstRow="1" w:lastRow="0" w:firstColumn="1" w:lastColumn="0" w:noHBand="0" w:noVBand="1"/>
      </w:tblPr>
      <w:tblGrid>
        <w:gridCol w:w="36"/>
        <w:gridCol w:w="2244"/>
        <w:gridCol w:w="36"/>
      </w:tblGrid>
      <w:tr w:rsidR="00F20ABF" w14:paraId="1E803816" w14:textId="77777777">
        <w:trPr>
          <w:jc w:val="center"/>
        </w:trPr>
        <w:tc>
          <w:tcPr>
            <w:tcW w:w="50" w:type="pct"/>
            <w:shd w:val="clear" w:color="auto" w:fill="auto"/>
          </w:tcPr>
          <w:p w14:paraId="1E803813" w14:textId="77777777" w:rsidR="00F20ABF" w:rsidRDefault="00F20ABF">
            <w:pPr>
              <w:rPr>
                <w:rFonts w:ascii="宋体"/>
              </w:rPr>
            </w:pPr>
          </w:p>
        </w:tc>
        <w:tc>
          <w:tcPr>
            <w:tcW w:w="4945" w:type="pct"/>
            <w:shd w:val="clear" w:color="auto" w:fill="auto"/>
          </w:tcPr>
          <w:p w14:paraId="1E803814" w14:textId="77777777" w:rsidR="00F20ABF" w:rsidRDefault="00F20ABF">
            <w:pPr>
              <w:rPr>
                <w:rFonts w:ascii="宋体"/>
              </w:rPr>
            </w:pPr>
          </w:p>
        </w:tc>
        <w:tc>
          <w:tcPr>
            <w:tcW w:w="5" w:type="pct"/>
            <w:shd w:val="clear" w:color="auto" w:fill="auto"/>
          </w:tcPr>
          <w:p w14:paraId="1E803815" w14:textId="77777777" w:rsidR="00F20ABF" w:rsidRDefault="00F20ABF">
            <w:pPr>
              <w:rPr>
                <w:rFonts w:ascii="宋体"/>
              </w:rPr>
            </w:pPr>
          </w:p>
        </w:tc>
      </w:tr>
      <w:tr w:rsidR="00F20ABF" w14:paraId="1E803818"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1E803817" w14:textId="77777777" w:rsidR="00F20ABF" w:rsidRDefault="00F20ABF">
            <w:pPr>
              <w:rPr>
                <w:rFonts w:ascii="宋体"/>
              </w:rPr>
            </w:pPr>
          </w:p>
        </w:tc>
      </w:tr>
    </w:tbl>
    <w:p w14:paraId="1E803819" w14:textId="77777777" w:rsidR="00F20ABF" w:rsidRDefault="00CA4D2F">
      <w:pPr>
        <w:jc w:val="center"/>
      </w:pPr>
      <w:r>
        <w:rPr>
          <w:rFonts w:ascii="sans-serif" w:eastAsia="sans-serif" w:hAnsi="sans-serif" w:cs="sans-serif"/>
          <w:b/>
          <w:bCs/>
          <w:color w:val="000000"/>
          <w:sz w:val="28"/>
          <w:szCs w:val="28"/>
        </w:rPr>
        <w:t xml:space="preserve">FORM 10-Q </w:t>
      </w:r>
    </w:p>
    <w:tbl>
      <w:tblPr>
        <w:tblW w:w="4743" w:type="pct"/>
        <w:tblCellMar>
          <w:top w:w="15" w:type="dxa"/>
          <w:left w:w="15" w:type="dxa"/>
          <w:bottom w:w="15" w:type="dxa"/>
          <w:right w:w="15" w:type="dxa"/>
        </w:tblCellMar>
        <w:tblLook w:val="04A0" w:firstRow="1" w:lastRow="0" w:firstColumn="1" w:lastColumn="0" w:noHBand="0" w:noVBand="1"/>
      </w:tblPr>
      <w:tblGrid>
        <w:gridCol w:w="65"/>
        <w:gridCol w:w="176"/>
        <w:gridCol w:w="36"/>
        <w:gridCol w:w="65"/>
        <w:gridCol w:w="7530"/>
        <w:gridCol w:w="36"/>
      </w:tblGrid>
      <w:tr w:rsidR="00F20ABF" w14:paraId="1E803820" w14:textId="77777777">
        <w:tc>
          <w:tcPr>
            <w:tcW w:w="50" w:type="pct"/>
            <w:shd w:val="clear" w:color="auto" w:fill="auto"/>
          </w:tcPr>
          <w:p w14:paraId="1E80381A" w14:textId="77777777" w:rsidR="00F20ABF" w:rsidRDefault="00F20ABF">
            <w:pPr>
              <w:rPr>
                <w:rFonts w:ascii="宋体"/>
              </w:rPr>
            </w:pPr>
          </w:p>
        </w:tc>
        <w:tc>
          <w:tcPr>
            <w:tcW w:w="120" w:type="pct"/>
            <w:shd w:val="clear" w:color="auto" w:fill="auto"/>
          </w:tcPr>
          <w:p w14:paraId="1E80381B" w14:textId="77777777" w:rsidR="00F20ABF" w:rsidRDefault="00F20ABF">
            <w:pPr>
              <w:rPr>
                <w:rFonts w:ascii="宋体"/>
              </w:rPr>
            </w:pPr>
          </w:p>
        </w:tc>
        <w:tc>
          <w:tcPr>
            <w:tcW w:w="5" w:type="pct"/>
            <w:shd w:val="clear" w:color="auto" w:fill="auto"/>
          </w:tcPr>
          <w:p w14:paraId="1E80381C" w14:textId="77777777" w:rsidR="00F20ABF" w:rsidRDefault="00F20ABF">
            <w:pPr>
              <w:rPr>
                <w:rFonts w:ascii="宋体"/>
              </w:rPr>
            </w:pPr>
          </w:p>
        </w:tc>
        <w:tc>
          <w:tcPr>
            <w:tcW w:w="50" w:type="pct"/>
            <w:shd w:val="clear" w:color="auto" w:fill="auto"/>
          </w:tcPr>
          <w:p w14:paraId="1E80381D" w14:textId="77777777" w:rsidR="00F20ABF" w:rsidRDefault="00F20ABF">
            <w:pPr>
              <w:rPr>
                <w:rFonts w:ascii="宋体"/>
              </w:rPr>
            </w:pPr>
          </w:p>
        </w:tc>
        <w:tc>
          <w:tcPr>
            <w:tcW w:w="4769" w:type="pct"/>
            <w:shd w:val="clear" w:color="auto" w:fill="auto"/>
          </w:tcPr>
          <w:p w14:paraId="1E80381E" w14:textId="77777777" w:rsidR="00F20ABF" w:rsidRDefault="00F20ABF">
            <w:pPr>
              <w:rPr>
                <w:rFonts w:ascii="宋体"/>
              </w:rPr>
            </w:pPr>
          </w:p>
        </w:tc>
        <w:tc>
          <w:tcPr>
            <w:tcW w:w="5" w:type="pct"/>
            <w:shd w:val="clear" w:color="auto" w:fill="auto"/>
          </w:tcPr>
          <w:p w14:paraId="1E80381F" w14:textId="77777777" w:rsidR="00F20ABF" w:rsidRDefault="00F20ABF">
            <w:pPr>
              <w:rPr>
                <w:rFonts w:ascii="宋体"/>
              </w:rPr>
            </w:pPr>
          </w:p>
        </w:tc>
      </w:tr>
      <w:tr w:rsidR="00F20ABF" w14:paraId="1E803823" w14:textId="77777777">
        <w:tc>
          <w:tcPr>
            <w:tcW w:w="0" w:type="auto"/>
            <w:gridSpan w:val="3"/>
            <w:shd w:val="clear" w:color="auto" w:fill="auto"/>
            <w:tcMar>
              <w:top w:w="40" w:type="dxa"/>
              <w:left w:w="20" w:type="dxa"/>
              <w:bottom w:w="40" w:type="dxa"/>
              <w:right w:w="20" w:type="dxa"/>
            </w:tcMar>
          </w:tcPr>
          <w:p w14:paraId="1E803821" w14:textId="77777777" w:rsidR="00F20ABF" w:rsidRDefault="00CA4D2F">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1E803822" w14:textId="77777777" w:rsidR="00F20ABF" w:rsidRDefault="00CA4D2F">
            <w:pPr>
              <w:textAlignment w:val="top"/>
            </w:pPr>
            <w:r>
              <w:rPr>
                <w:rFonts w:ascii="sans-serif" w:eastAsia="sans-serif" w:hAnsi="sans-serif" w:cs="sans-serif"/>
                <w:b/>
                <w:bCs/>
                <w:color w:val="000000"/>
                <w:sz w:val="18"/>
                <w:szCs w:val="18"/>
              </w:rPr>
              <w:t>QUARTERLY REPORT PURSUANT TO SECTION 13 OR 15(d) OF THE SECURITIES EXCHANGE ACT OF 1934</w:t>
            </w:r>
          </w:p>
        </w:tc>
      </w:tr>
    </w:tbl>
    <w:p w14:paraId="1E803824" w14:textId="77777777" w:rsidR="00F20ABF" w:rsidRDefault="00CA4D2F">
      <w:pPr>
        <w:ind w:firstLine="450"/>
        <w:jc w:val="both"/>
      </w:pPr>
      <w:r>
        <w:rPr>
          <w:rFonts w:ascii="sans-serif" w:eastAsia="sans-serif" w:hAnsi="sans-serif" w:cs="sans-serif"/>
          <w:b/>
          <w:bCs/>
          <w:color w:val="000000"/>
          <w:sz w:val="18"/>
          <w:szCs w:val="18"/>
        </w:rPr>
        <w:t xml:space="preserve">For the quarterly period ended October 25, 2020 </w:t>
      </w:r>
    </w:p>
    <w:p w14:paraId="1E803825" w14:textId="77777777" w:rsidR="00F20ABF" w:rsidRDefault="00CA4D2F">
      <w:pPr>
        <w:jc w:val="center"/>
      </w:pPr>
      <w:r>
        <w:rPr>
          <w:rFonts w:ascii="sans-serif" w:eastAsia="sans-serif" w:hAnsi="sans-serif" w:cs="sans-serif"/>
          <w:b/>
          <w:bCs/>
          <w:color w:val="000000"/>
          <w:sz w:val="18"/>
          <w:szCs w:val="18"/>
        </w:rPr>
        <w:t>OR</w:t>
      </w:r>
    </w:p>
    <w:tbl>
      <w:tblPr>
        <w:tblW w:w="4743" w:type="pct"/>
        <w:tblCellMar>
          <w:top w:w="15" w:type="dxa"/>
          <w:left w:w="15" w:type="dxa"/>
          <w:bottom w:w="15" w:type="dxa"/>
          <w:right w:w="15" w:type="dxa"/>
        </w:tblCellMar>
        <w:tblLook w:val="04A0" w:firstRow="1" w:lastRow="0" w:firstColumn="1" w:lastColumn="0" w:noHBand="0" w:noVBand="1"/>
      </w:tblPr>
      <w:tblGrid>
        <w:gridCol w:w="65"/>
        <w:gridCol w:w="176"/>
        <w:gridCol w:w="36"/>
        <w:gridCol w:w="65"/>
        <w:gridCol w:w="7530"/>
        <w:gridCol w:w="36"/>
      </w:tblGrid>
      <w:tr w:rsidR="00F20ABF" w14:paraId="1E80382C" w14:textId="77777777">
        <w:tc>
          <w:tcPr>
            <w:tcW w:w="50" w:type="pct"/>
            <w:shd w:val="clear" w:color="auto" w:fill="auto"/>
          </w:tcPr>
          <w:p w14:paraId="1E803826" w14:textId="77777777" w:rsidR="00F20ABF" w:rsidRDefault="00F20ABF">
            <w:pPr>
              <w:rPr>
                <w:rFonts w:ascii="宋体"/>
              </w:rPr>
            </w:pPr>
          </w:p>
        </w:tc>
        <w:tc>
          <w:tcPr>
            <w:tcW w:w="120" w:type="pct"/>
            <w:shd w:val="clear" w:color="auto" w:fill="auto"/>
          </w:tcPr>
          <w:p w14:paraId="1E803827" w14:textId="77777777" w:rsidR="00F20ABF" w:rsidRDefault="00F20ABF">
            <w:pPr>
              <w:rPr>
                <w:rFonts w:ascii="宋体"/>
              </w:rPr>
            </w:pPr>
          </w:p>
        </w:tc>
        <w:tc>
          <w:tcPr>
            <w:tcW w:w="5" w:type="pct"/>
            <w:shd w:val="clear" w:color="auto" w:fill="auto"/>
          </w:tcPr>
          <w:p w14:paraId="1E803828" w14:textId="77777777" w:rsidR="00F20ABF" w:rsidRDefault="00F20ABF">
            <w:pPr>
              <w:rPr>
                <w:rFonts w:ascii="宋体"/>
              </w:rPr>
            </w:pPr>
          </w:p>
        </w:tc>
        <w:tc>
          <w:tcPr>
            <w:tcW w:w="50" w:type="pct"/>
            <w:shd w:val="clear" w:color="auto" w:fill="auto"/>
          </w:tcPr>
          <w:p w14:paraId="1E803829" w14:textId="77777777" w:rsidR="00F20ABF" w:rsidRDefault="00F20ABF">
            <w:pPr>
              <w:rPr>
                <w:rFonts w:ascii="宋体"/>
              </w:rPr>
            </w:pPr>
          </w:p>
        </w:tc>
        <w:tc>
          <w:tcPr>
            <w:tcW w:w="4769" w:type="pct"/>
            <w:shd w:val="clear" w:color="auto" w:fill="auto"/>
          </w:tcPr>
          <w:p w14:paraId="1E80382A" w14:textId="77777777" w:rsidR="00F20ABF" w:rsidRDefault="00F20ABF">
            <w:pPr>
              <w:rPr>
                <w:rFonts w:ascii="宋体"/>
              </w:rPr>
            </w:pPr>
          </w:p>
        </w:tc>
        <w:tc>
          <w:tcPr>
            <w:tcW w:w="5" w:type="pct"/>
            <w:shd w:val="clear" w:color="auto" w:fill="auto"/>
          </w:tcPr>
          <w:p w14:paraId="1E80382B" w14:textId="77777777" w:rsidR="00F20ABF" w:rsidRDefault="00F20ABF">
            <w:pPr>
              <w:rPr>
                <w:rFonts w:ascii="宋体"/>
              </w:rPr>
            </w:pPr>
          </w:p>
        </w:tc>
      </w:tr>
      <w:tr w:rsidR="00F20ABF" w14:paraId="1E80382F" w14:textId="77777777">
        <w:tc>
          <w:tcPr>
            <w:tcW w:w="0" w:type="auto"/>
            <w:gridSpan w:val="3"/>
            <w:shd w:val="clear" w:color="auto" w:fill="auto"/>
            <w:tcMar>
              <w:top w:w="40" w:type="dxa"/>
              <w:left w:w="20" w:type="dxa"/>
              <w:bottom w:w="40" w:type="dxa"/>
              <w:right w:w="20" w:type="dxa"/>
            </w:tcMar>
          </w:tcPr>
          <w:p w14:paraId="1E80382D" w14:textId="77777777" w:rsidR="00F20ABF" w:rsidRDefault="00CA4D2F">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1E80382E" w14:textId="77777777" w:rsidR="00F20ABF" w:rsidRDefault="00CA4D2F">
            <w:pPr>
              <w:textAlignment w:val="top"/>
            </w:pPr>
            <w:r>
              <w:rPr>
                <w:rFonts w:ascii="sans-serif" w:eastAsia="sans-serif" w:hAnsi="sans-serif" w:cs="sans-serif"/>
                <w:b/>
                <w:bCs/>
                <w:color w:val="000000"/>
                <w:sz w:val="18"/>
                <w:szCs w:val="18"/>
              </w:rPr>
              <w:t>TRANSITION REPORT PURSUANT TO SECTION 13 OR 15(d) OF THE SECURITIES EXCHANGE ACT OF 1934</w:t>
            </w:r>
          </w:p>
        </w:tc>
      </w:tr>
    </w:tbl>
    <w:p w14:paraId="1E803830" w14:textId="77777777" w:rsidR="00F20ABF" w:rsidRDefault="00CA4D2F">
      <w:pPr>
        <w:jc w:val="center"/>
      </w:pPr>
      <w:r>
        <w:rPr>
          <w:rFonts w:ascii="sans-serif" w:eastAsia="sans-serif" w:hAnsi="sans-serif" w:cs="sans-serif"/>
          <w:b/>
          <w:bCs/>
          <w:color w:val="000000"/>
          <w:sz w:val="16"/>
          <w:szCs w:val="16"/>
        </w:rPr>
        <w:t xml:space="preserve">Commission file number: 0-23985 </w:t>
      </w:r>
    </w:p>
    <w:p w14:paraId="1E803831" w14:textId="77777777" w:rsidR="00F20ABF" w:rsidRDefault="00CA4D2F">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/NVIDIA /./Inline XBRL Viewer8_files/nvda-20201025_g1.jpg"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E80557A" wp14:editId="1E80557B">
            <wp:extent cx="304800" cy="304800"/>
            <wp:effectExtent l="0" t="0" r="0" b="0"/>
            <wp:docPr id="41"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E803832" w14:textId="77777777" w:rsidR="00F20ABF" w:rsidRDefault="00F20ABF">
      <w:pPr>
        <w:jc w:val="center"/>
      </w:pPr>
    </w:p>
    <w:p w14:paraId="1E803833" w14:textId="77777777" w:rsidR="00F20ABF" w:rsidRDefault="00CA4D2F">
      <w:pPr>
        <w:jc w:val="center"/>
      </w:pPr>
      <w:r>
        <w:rPr>
          <w:rFonts w:ascii="sans-serif" w:eastAsia="sans-serif" w:hAnsi="sans-serif" w:cs="sans-serif"/>
          <w:b/>
          <w:bCs/>
          <w:color w:val="000000"/>
          <w:sz w:val="28"/>
          <w:szCs w:val="28"/>
        </w:rPr>
        <w:t>NVIDIA CORPORATION</w:t>
      </w:r>
    </w:p>
    <w:p w14:paraId="1E803834" w14:textId="77777777" w:rsidR="00F20ABF" w:rsidRDefault="00CA4D2F">
      <w:pPr>
        <w:jc w:val="center"/>
      </w:pPr>
      <w:r>
        <w:rPr>
          <w:rFonts w:ascii="sans-serif" w:eastAsia="sans-serif" w:hAnsi="sans-serif" w:cs="sans-serif"/>
          <w:b/>
          <w:bCs/>
          <w:color w:val="000000"/>
          <w:sz w:val="16"/>
          <w:szCs w:val="16"/>
        </w:rPr>
        <w:t xml:space="preserve">(Exact name of registrant as specified in its charter) </w:t>
      </w:r>
    </w:p>
    <w:tbl>
      <w:tblPr>
        <w:tblW w:w="4736" w:type="pct"/>
        <w:jc w:val="center"/>
        <w:tblCellMar>
          <w:top w:w="15" w:type="dxa"/>
          <w:left w:w="15" w:type="dxa"/>
          <w:bottom w:w="15" w:type="dxa"/>
          <w:right w:w="15" w:type="dxa"/>
        </w:tblCellMar>
        <w:tblLook w:val="04A0" w:firstRow="1" w:lastRow="0" w:firstColumn="1" w:lastColumn="0" w:noHBand="0" w:noVBand="1"/>
      </w:tblPr>
      <w:tblGrid>
        <w:gridCol w:w="64"/>
        <w:gridCol w:w="3846"/>
        <w:gridCol w:w="37"/>
        <w:gridCol w:w="65"/>
        <w:gridCol w:w="3847"/>
        <w:gridCol w:w="37"/>
      </w:tblGrid>
      <w:tr w:rsidR="00F20ABF" w14:paraId="1E80383B" w14:textId="77777777">
        <w:trPr>
          <w:jc w:val="center"/>
        </w:trPr>
        <w:tc>
          <w:tcPr>
            <w:tcW w:w="50" w:type="pct"/>
            <w:shd w:val="clear" w:color="auto" w:fill="auto"/>
          </w:tcPr>
          <w:p w14:paraId="1E803835" w14:textId="77777777" w:rsidR="00F20ABF" w:rsidRDefault="00F20ABF">
            <w:pPr>
              <w:rPr>
                <w:rFonts w:ascii="宋体"/>
              </w:rPr>
            </w:pPr>
          </w:p>
        </w:tc>
        <w:tc>
          <w:tcPr>
            <w:tcW w:w="2445" w:type="pct"/>
            <w:shd w:val="clear" w:color="auto" w:fill="auto"/>
          </w:tcPr>
          <w:p w14:paraId="1E803836" w14:textId="77777777" w:rsidR="00F20ABF" w:rsidRDefault="00F20ABF">
            <w:pPr>
              <w:rPr>
                <w:rFonts w:ascii="宋体"/>
              </w:rPr>
            </w:pPr>
          </w:p>
        </w:tc>
        <w:tc>
          <w:tcPr>
            <w:tcW w:w="5" w:type="pct"/>
            <w:shd w:val="clear" w:color="auto" w:fill="auto"/>
          </w:tcPr>
          <w:p w14:paraId="1E803837" w14:textId="77777777" w:rsidR="00F20ABF" w:rsidRDefault="00F20ABF">
            <w:pPr>
              <w:rPr>
                <w:rFonts w:ascii="宋体"/>
              </w:rPr>
            </w:pPr>
          </w:p>
        </w:tc>
        <w:tc>
          <w:tcPr>
            <w:tcW w:w="50" w:type="pct"/>
            <w:shd w:val="clear" w:color="auto" w:fill="auto"/>
          </w:tcPr>
          <w:p w14:paraId="1E803838" w14:textId="77777777" w:rsidR="00F20ABF" w:rsidRDefault="00F20ABF">
            <w:pPr>
              <w:rPr>
                <w:rFonts w:ascii="宋体"/>
              </w:rPr>
            </w:pPr>
          </w:p>
        </w:tc>
        <w:tc>
          <w:tcPr>
            <w:tcW w:w="2445" w:type="pct"/>
            <w:shd w:val="clear" w:color="auto" w:fill="auto"/>
          </w:tcPr>
          <w:p w14:paraId="1E803839" w14:textId="77777777" w:rsidR="00F20ABF" w:rsidRDefault="00F20ABF">
            <w:pPr>
              <w:rPr>
                <w:rFonts w:ascii="宋体"/>
              </w:rPr>
            </w:pPr>
          </w:p>
        </w:tc>
        <w:tc>
          <w:tcPr>
            <w:tcW w:w="5" w:type="pct"/>
            <w:shd w:val="clear" w:color="auto" w:fill="auto"/>
          </w:tcPr>
          <w:p w14:paraId="1E80383A" w14:textId="77777777" w:rsidR="00F20ABF" w:rsidRDefault="00F20ABF">
            <w:pPr>
              <w:rPr>
                <w:rFonts w:ascii="宋体"/>
              </w:rPr>
            </w:pPr>
          </w:p>
        </w:tc>
      </w:tr>
      <w:tr w:rsidR="00F20ABF" w14:paraId="1E80383E" w14:textId="77777777">
        <w:trPr>
          <w:jc w:val="center"/>
        </w:trPr>
        <w:tc>
          <w:tcPr>
            <w:tcW w:w="0" w:type="auto"/>
            <w:gridSpan w:val="3"/>
            <w:shd w:val="clear" w:color="auto" w:fill="auto"/>
            <w:tcMar>
              <w:top w:w="40" w:type="dxa"/>
              <w:left w:w="20" w:type="dxa"/>
              <w:bottom w:w="40" w:type="dxa"/>
              <w:right w:w="20" w:type="dxa"/>
            </w:tcMar>
          </w:tcPr>
          <w:p w14:paraId="1E80383C" w14:textId="77777777" w:rsidR="00F20ABF" w:rsidRDefault="00CA4D2F">
            <w:pPr>
              <w:jc w:val="center"/>
              <w:textAlignment w:val="top"/>
            </w:pPr>
            <w:r>
              <w:rPr>
                <w:rFonts w:ascii="sans-serif" w:eastAsia="sans-serif" w:hAnsi="sans-serif" w:cs="sans-serif"/>
                <w:b/>
                <w:bCs/>
                <w:color w:val="000000"/>
                <w:sz w:val="18"/>
                <w:szCs w:val="18"/>
              </w:rPr>
              <w:t>Delaware</w:t>
            </w:r>
          </w:p>
        </w:tc>
        <w:tc>
          <w:tcPr>
            <w:tcW w:w="0" w:type="auto"/>
            <w:gridSpan w:val="3"/>
            <w:shd w:val="clear" w:color="auto" w:fill="auto"/>
            <w:tcMar>
              <w:top w:w="40" w:type="dxa"/>
              <w:left w:w="20" w:type="dxa"/>
              <w:bottom w:w="40" w:type="dxa"/>
              <w:right w:w="20" w:type="dxa"/>
            </w:tcMar>
          </w:tcPr>
          <w:p w14:paraId="1E80383D" w14:textId="77777777" w:rsidR="00F20ABF" w:rsidRDefault="00CA4D2F">
            <w:pPr>
              <w:jc w:val="center"/>
              <w:textAlignment w:val="top"/>
            </w:pPr>
            <w:r>
              <w:rPr>
                <w:rFonts w:ascii="sans-serif" w:eastAsia="sans-serif" w:hAnsi="sans-serif" w:cs="sans-serif"/>
                <w:b/>
                <w:bCs/>
                <w:color w:val="000000"/>
                <w:sz w:val="18"/>
                <w:szCs w:val="18"/>
              </w:rPr>
              <w:t>94-3177549</w:t>
            </w:r>
          </w:p>
        </w:tc>
      </w:tr>
      <w:tr w:rsidR="00F20ABF" w14:paraId="1E803841" w14:textId="77777777">
        <w:trPr>
          <w:jc w:val="center"/>
        </w:trPr>
        <w:tc>
          <w:tcPr>
            <w:tcW w:w="0" w:type="auto"/>
            <w:gridSpan w:val="3"/>
            <w:shd w:val="clear" w:color="auto" w:fill="auto"/>
            <w:tcMar>
              <w:top w:w="40" w:type="dxa"/>
              <w:left w:w="20" w:type="dxa"/>
              <w:bottom w:w="40" w:type="dxa"/>
              <w:right w:w="20" w:type="dxa"/>
            </w:tcMar>
          </w:tcPr>
          <w:p w14:paraId="1E80383F" w14:textId="77777777" w:rsidR="00F20ABF" w:rsidRDefault="00CA4D2F">
            <w:pPr>
              <w:jc w:val="center"/>
              <w:textAlignment w:val="top"/>
            </w:pPr>
            <w:r>
              <w:rPr>
                <w:rFonts w:ascii="sans-serif" w:eastAsia="sans-serif" w:hAnsi="sans-serif" w:cs="sans-serif"/>
                <w:b/>
                <w:bCs/>
                <w:color w:val="000000"/>
                <w:sz w:val="18"/>
                <w:szCs w:val="18"/>
              </w:rPr>
              <w:t>(State or Other Jurisdiction of</w:t>
            </w:r>
          </w:p>
        </w:tc>
        <w:tc>
          <w:tcPr>
            <w:tcW w:w="0" w:type="auto"/>
            <w:gridSpan w:val="3"/>
            <w:shd w:val="clear" w:color="auto" w:fill="auto"/>
            <w:tcMar>
              <w:top w:w="40" w:type="dxa"/>
              <w:left w:w="20" w:type="dxa"/>
              <w:bottom w:w="40" w:type="dxa"/>
              <w:right w:w="20" w:type="dxa"/>
            </w:tcMar>
          </w:tcPr>
          <w:p w14:paraId="1E803840" w14:textId="77777777" w:rsidR="00F20ABF" w:rsidRDefault="00CA4D2F">
            <w:pPr>
              <w:jc w:val="center"/>
              <w:textAlignment w:val="top"/>
            </w:pPr>
            <w:r>
              <w:rPr>
                <w:rFonts w:ascii="sans-serif" w:eastAsia="sans-serif" w:hAnsi="sans-serif" w:cs="sans-serif"/>
                <w:b/>
                <w:bCs/>
                <w:color w:val="000000"/>
                <w:sz w:val="18"/>
                <w:szCs w:val="18"/>
              </w:rPr>
              <w:t>(I.R.S. Employer</w:t>
            </w:r>
          </w:p>
        </w:tc>
      </w:tr>
      <w:tr w:rsidR="00F20ABF" w14:paraId="1E803844" w14:textId="77777777">
        <w:trPr>
          <w:jc w:val="center"/>
        </w:trPr>
        <w:tc>
          <w:tcPr>
            <w:tcW w:w="0" w:type="auto"/>
            <w:gridSpan w:val="3"/>
            <w:shd w:val="clear" w:color="auto" w:fill="auto"/>
            <w:tcMar>
              <w:top w:w="40" w:type="dxa"/>
              <w:left w:w="20" w:type="dxa"/>
              <w:bottom w:w="40" w:type="dxa"/>
              <w:right w:w="20" w:type="dxa"/>
            </w:tcMar>
          </w:tcPr>
          <w:p w14:paraId="1E803842" w14:textId="77777777" w:rsidR="00F20ABF" w:rsidRDefault="00CA4D2F">
            <w:pPr>
              <w:jc w:val="center"/>
              <w:textAlignment w:val="top"/>
            </w:pPr>
            <w:r>
              <w:rPr>
                <w:rFonts w:ascii="sans-serif" w:eastAsia="sans-serif" w:hAnsi="sans-serif" w:cs="sans-serif"/>
                <w:b/>
                <w:bCs/>
                <w:color w:val="000000"/>
                <w:sz w:val="18"/>
                <w:szCs w:val="18"/>
              </w:rPr>
              <w:t>Incorporation or Organization)</w:t>
            </w:r>
          </w:p>
        </w:tc>
        <w:tc>
          <w:tcPr>
            <w:tcW w:w="0" w:type="auto"/>
            <w:gridSpan w:val="3"/>
            <w:shd w:val="clear" w:color="auto" w:fill="auto"/>
            <w:tcMar>
              <w:top w:w="40" w:type="dxa"/>
              <w:left w:w="20" w:type="dxa"/>
              <w:bottom w:w="40" w:type="dxa"/>
              <w:right w:w="20" w:type="dxa"/>
            </w:tcMar>
          </w:tcPr>
          <w:p w14:paraId="1E803843" w14:textId="77777777" w:rsidR="00F20ABF" w:rsidRDefault="00CA4D2F">
            <w:pPr>
              <w:jc w:val="center"/>
              <w:textAlignment w:val="top"/>
            </w:pPr>
            <w:r>
              <w:rPr>
                <w:rFonts w:ascii="sans-serif" w:eastAsia="sans-serif" w:hAnsi="sans-serif" w:cs="sans-serif"/>
                <w:b/>
                <w:bCs/>
                <w:color w:val="000000"/>
                <w:sz w:val="18"/>
                <w:szCs w:val="18"/>
              </w:rPr>
              <w:t>Identification No.)</w:t>
            </w:r>
          </w:p>
        </w:tc>
      </w:tr>
    </w:tbl>
    <w:p w14:paraId="1E803845" w14:textId="77777777" w:rsidR="00F20ABF" w:rsidRDefault="00CA4D2F">
      <w:pPr>
        <w:jc w:val="center"/>
      </w:pPr>
      <w:r>
        <w:rPr>
          <w:rFonts w:ascii="sans-serif" w:eastAsia="sans-serif" w:hAnsi="sans-serif" w:cs="sans-serif"/>
          <w:b/>
          <w:bCs/>
          <w:color w:val="000000"/>
          <w:sz w:val="18"/>
          <w:szCs w:val="18"/>
        </w:rPr>
        <w:t xml:space="preserve">2788 San Tomas Expressway </w:t>
      </w:r>
    </w:p>
    <w:p w14:paraId="1E803846" w14:textId="77777777" w:rsidR="00F20ABF" w:rsidRDefault="00CA4D2F">
      <w:pPr>
        <w:jc w:val="center"/>
      </w:pPr>
      <w:r>
        <w:rPr>
          <w:rFonts w:ascii="sans-serif" w:eastAsia="sans-serif" w:hAnsi="sans-serif" w:cs="sans-serif"/>
          <w:b/>
          <w:bCs/>
          <w:color w:val="000000"/>
          <w:sz w:val="18"/>
          <w:szCs w:val="18"/>
        </w:rPr>
        <w:t xml:space="preserve">Santa Clara, California 95051 </w:t>
      </w:r>
    </w:p>
    <w:p w14:paraId="1E803847" w14:textId="77777777" w:rsidR="00F20ABF" w:rsidRDefault="00CA4D2F">
      <w:pPr>
        <w:jc w:val="center"/>
      </w:pPr>
      <w:r>
        <w:rPr>
          <w:rFonts w:ascii="sans-serif" w:eastAsia="sans-serif" w:hAnsi="sans-serif" w:cs="sans-serif"/>
          <w:b/>
          <w:bCs/>
          <w:color w:val="000000"/>
          <w:sz w:val="18"/>
          <w:szCs w:val="18"/>
        </w:rPr>
        <w:t xml:space="preserve">(408) 486-2000 </w:t>
      </w:r>
    </w:p>
    <w:p w14:paraId="1E803848" w14:textId="77777777" w:rsidR="00F20ABF" w:rsidRDefault="00CA4D2F">
      <w:pPr>
        <w:jc w:val="center"/>
      </w:pPr>
      <w:r>
        <w:rPr>
          <w:rFonts w:ascii="sans-serif" w:eastAsia="sans-serif" w:hAnsi="sans-serif" w:cs="sans-serif"/>
          <w:b/>
          <w:bCs/>
          <w:color w:val="000000"/>
          <w:sz w:val="16"/>
          <w:szCs w:val="16"/>
        </w:rPr>
        <w:t>(Address, including zip code, and telephone number,</w:t>
      </w:r>
    </w:p>
    <w:p w14:paraId="1E803849" w14:textId="77777777" w:rsidR="00F20ABF" w:rsidRDefault="00CA4D2F">
      <w:pPr>
        <w:spacing w:after="180"/>
        <w:jc w:val="center"/>
      </w:pPr>
      <w:r>
        <w:rPr>
          <w:rFonts w:ascii="sans-serif" w:eastAsia="sans-serif" w:hAnsi="sans-serif" w:cs="sans-serif"/>
          <w:b/>
          <w:bCs/>
          <w:color w:val="000000"/>
          <w:sz w:val="16"/>
          <w:szCs w:val="16"/>
        </w:rPr>
        <w:t>including area code, of principal executive offices)</w:t>
      </w:r>
    </w:p>
    <w:p w14:paraId="1E80384A" w14:textId="77777777" w:rsidR="00F20ABF" w:rsidRDefault="00CA4D2F">
      <w:pPr>
        <w:jc w:val="center"/>
      </w:pPr>
      <w:r>
        <w:rPr>
          <w:rFonts w:ascii="sans-serif" w:eastAsia="sans-serif" w:hAnsi="sans-serif" w:cs="sans-serif"/>
          <w:b/>
          <w:bCs/>
          <w:color w:val="000000"/>
          <w:sz w:val="16"/>
          <w:szCs w:val="16"/>
        </w:rPr>
        <w:t>N/A</w:t>
      </w:r>
    </w:p>
    <w:p w14:paraId="1E80384B" w14:textId="77777777" w:rsidR="00F20ABF" w:rsidRDefault="00CA4D2F">
      <w:pPr>
        <w:spacing w:after="180"/>
        <w:jc w:val="center"/>
      </w:pPr>
      <w:r>
        <w:rPr>
          <w:rFonts w:ascii="sans-serif" w:eastAsia="sans-serif" w:hAnsi="sans-serif" w:cs="sans-serif"/>
          <w:b/>
          <w:bCs/>
          <w:color w:val="000000"/>
          <w:sz w:val="16"/>
          <w:szCs w:val="16"/>
        </w:rPr>
        <w:t>(Former name, former address and former fiscal year if changed since last report)</w:t>
      </w:r>
    </w:p>
    <w:p w14:paraId="1E80384C" w14:textId="77777777" w:rsidR="00F20ABF" w:rsidRDefault="00CA4D2F">
      <w:pPr>
        <w:spacing w:after="180"/>
        <w:jc w:val="center"/>
      </w:pPr>
      <w:r>
        <w:rPr>
          <w:rFonts w:ascii="sans-serif" w:eastAsia="sans-serif" w:hAnsi="sans-serif" w:cs="sans-serif"/>
          <w:b/>
          <w:bCs/>
          <w:color w:val="000000"/>
          <w:sz w:val="18"/>
          <w:szCs w:val="18"/>
        </w:rPr>
        <w:t>Securities registe</w:t>
      </w:r>
      <w:r>
        <w:rPr>
          <w:rFonts w:ascii="sans-serif" w:eastAsia="sans-serif" w:hAnsi="sans-serif" w:cs="sans-serif"/>
          <w:b/>
          <w:bCs/>
          <w:color w:val="000000"/>
          <w:sz w:val="18"/>
          <w:szCs w:val="18"/>
        </w:rPr>
        <w:t>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672"/>
        <w:gridCol w:w="37"/>
        <w:gridCol w:w="69"/>
        <w:gridCol w:w="2546"/>
        <w:gridCol w:w="36"/>
        <w:gridCol w:w="70"/>
        <w:gridCol w:w="2801"/>
        <w:gridCol w:w="36"/>
      </w:tblGrid>
      <w:tr w:rsidR="00F20ABF" w14:paraId="1E803856" w14:textId="77777777">
        <w:trPr>
          <w:jc w:val="center"/>
        </w:trPr>
        <w:tc>
          <w:tcPr>
            <w:tcW w:w="50" w:type="pct"/>
            <w:shd w:val="clear" w:color="auto" w:fill="auto"/>
          </w:tcPr>
          <w:p w14:paraId="1E80384D" w14:textId="77777777" w:rsidR="00F20ABF" w:rsidRDefault="00F20ABF">
            <w:pPr>
              <w:rPr>
                <w:rFonts w:ascii="宋体"/>
              </w:rPr>
            </w:pPr>
          </w:p>
        </w:tc>
        <w:tc>
          <w:tcPr>
            <w:tcW w:w="1611" w:type="pct"/>
            <w:shd w:val="clear" w:color="auto" w:fill="auto"/>
          </w:tcPr>
          <w:p w14:paraId="1E80384E" w14:textId="77777777" w:rsidR="00F20ABF" w:rsidRDefault="00F20ABF">
            <w:pPr>
              <w:rPr>
                <w:rFonts w:ascii="宋体"/>
              </w:rPr>
            </w:pPr>
          </w:p>
        </w:tc>
        <w:tc>
          <w:tcPr>
            <w:tcW w:w="5" w:type="pct"/>
            <w:shd w:val="clear" w:color="auto" w:fill="auto"/>
          </w:tcPr>
          <w:p w14:paraId="1E80384F" w14:textId="77777777" w:rsidR="00F20ABF" w:rsidRDefault="00F20ABF">
            <w:pPr>
              <w:rPr>
                <w:rFonts w:ascii="宋体"/>
              </w:rPr>
            </w:pPr>
          </w:p>
        </w:tc>
        <w:tc>
          <w:tcPr>
            <w:tcW w:w="50" w:type="pct"/>
            <w:shd w:val="clear" w:color="auto" w:fill="auto"/>
          </w:tcPr>
          <w:p w14:paraId="1E803850" w14:textId="77777777" w:rsidR="00F20ABF" w:rsidRDefault="00F20ABF">
            <w:pPr>
              <w:rPr>
                <w:rFonts w:ascii="宋体"/>
              </w:rPr>
            </w:pPr>
          </w:p>
        </w:tc>
        <w:tc>
          <w:tcPr>
            <w:tcW w:w="1535" w:type="pct"/>
            <w:shd w:val="clear" w:color="auto" w:fill="auto"/>
          </w:tcPr>
          <w:p w14:paraId="1E803851" w14:textId="77777777" w:rsidR="00F20ABF" w:rsidRDefault="00F20ABF">
            <w:pPr>
              <w:rPr>
                <w:rFonts w:ascii="宋体"/>
              </w:rPr>
            </w:pPr>
          </w:p>
        </w:tc>
        <w:tc>
          <w:tcPr>
            <w:tcW w:w="5" w:type="pct"/>
            <w:shd w:val="clear" w:color="auto" w:fill="auto"/>
          </w:tcPr>
          <w:p w14:paraId="1E803852" w14:textId="77777777" w:rsidR="00F20ABF" w:rsidRDefault="00F20ABF">
            <w:pPr>
              <w:rPr>
                <w:rFonts w:ascii="宋体"/>
              </w:rPr>
            </w:pPr>
          </w:p>
        </w:tc>
        <w:tc>
          <w:tcPr>
            <w:tcW w:w="50" w:type="pct"/>
            <w:shd w:val="clear" w:color="auto" w:fill="auto"/>
          </w:tcPr>
          <w:p w14:paraId="1E803853" w14:textId="77777777" w:rsidR="00F20ABF" w:rsidRDefault="00F20ABF">
            <w:pPr>
              <w:rPr>
                <w:rFonts w:ascii="宋体"/>
              </w:rPr>
            </w:pPr>
          </w:p>
        </w:tc>
        <w:tc>
          <w:tcPr>
            <w:tcW w:w="1688" w:type="pct"/>
            <w:shd w:val="clear" w:color="auto" w:fill="auto"/>
          </w:tcPr>
          <w:p w14:paraId="1E803854" w14:textId="77777777" w:rsidR="00F20ABF" w:rsidRDefault="00F20ABF">
            <w:pPr>
              <w:rPr>
                <w:rFonts w:ascii="宋体"/>
              </w:rPr>
            </w:pPr>
          </w:p>
        </w:tc>
        <w:tc>
          <w:tcPr>
            <w:tcW w:w="5" w:type="pct"/>
            <w:shd w:val="clear" w:color="auto" w:fill="auto"/>
          </w:tcPr>
          <w:p w14:paraId="1E803855" w14:textId="77777777" w:rsidR="00F20ABF" w:rsidRDefault="00F20ABF">
            <w:pPr>
              <w:rPr>
                <w:rFonts w:ascii="宋体"/>
              </w:rPr>
            </w:pPr>
          </w:p>
        </w:tc>
      </w:tr>
      <w:tr w:rsidR="00F20ABF" w14:paraId="1E80385A" w14:textId="77777777">
        <w:trPr>
          <w:jc w:val="center"/>
        </w:trPr>
        <w:tc>
          <w:tcPr>
            <w:tcW w:w="0" w:type="auto"/>
            <w:gridSpan w:val="3"/>
            <w:shd w:val="clear" w:color="auto" w:fill="auto"/>
            <w:tcMar>
              <w:top w:w="40" w:type="dxa"/>
              <w:left w:w="20" w:type="dxa"/>
              <w:bottom w:w="40" w:type="dxa"/>
              <w:right w:w="20" w:type="dxa"/>
            </w:tcMar>
            <w:vAlign w:val="bottom"/>
          </w:tcPr>
          <w:p w14:paraId="1E803857" w14:textId="77777777" w:rsidR="00F20ABF" w:rsidRDefault="00CA4D2F">
            <w:pPr>
              <w:jc w:val="center"/>
              <w:textAlignment w:val="bottom"/>
            </w:pPr>
            <w:r>
              <w:rPr>
                <w:rFonts w:ascii="sans-serif" w:eastAsia="sans-serif" w:hAnsi="sans-serif" w:cs="sans-serif"/>
                <w:b/>
                <w:bCs/>
                <w:color w:val="000000"/>
                <w:sz w:val="18"/>
                <w:szCs w:val="18"/>
              </w:rPr>
              <w:t>Title of each class</w:t>
            </w:r>
          </w:p>
        </w:tc>
        <w:tc>
          <w:tcPr>
            <w:tcW w:w="0" w:type="auto"/>
            <w:gridSpan w:val="3"/>
            <w:shd w:val="clear" w:color="auto" w:fill="auto"/>
            <w:tcMar>
              <w:top w:w="40" w:type="dxa"/>
              <w:left w:w="20" w:type="dxa"/>
              <w:bottom w:w="40" w:type="dxa"/>
              <w:right w:w="20" w:type="dxa"/>
            </w:tcMar>
            <w:vAlign w:val="bottom"/>
          </w:tcPr>
          <w:p w14:paraId="1E803858" w14:textId="77777777" w:rsidR="00F20ABF" w:rsidRDefault="00CA4D2F">
            <w:pPr>
              <w:jc w:val="center"/>
              <w:textAlignment w:val="bottom"/>
            </w:pPr>
            <w:r>
              <w:rPr>
                <w:rFonts w:ascii="sans-serif" w:eastAsia="sans-serif" w:hAnsi="sans-serif" w:cs="sans-serif"/>
                <w:b/>
                <w:bCs/>
                <w:color w:val="000000"/>
                <w:sz w:val="18"/>
                <w:szCs w:val="18"/>
              </w:rPr>
              <w:t>Trading Symbol(s)</w:t>
            </w:r>
          </w:p>
        </w:tc>
        <w:tc>
          <w:tcPr>
            <w:tcW w:w="0" w:type="auto"/>
            <w:gridSpan w:val="3"/>
            <w:shd w:val="clear" w:color="auto" w:fill="auto"/>
            <w:tcMar>
              <w:top w:w="40" w:type="dxa"/>
              <w:left w:w="20" w:type="dxa"/>
              <w:bottom w:w="40" w:type="dxa"/>
              <w:right w:w="20" w:type="dxa"/>
            </w:tcMar>
            <w:vAlign w:val="bottom"/>
          </w:tcPr>
          <w:p w14:paraId="1E803859" w14:textId="77777777" w:rsidR="00F20ABF" w:rsidRDefault="00CA4D2F">
            <w:pPr>
              <w:jc w:val="center"/>
              <w:textAlignment w:val="bottom"/>
            </w:pPr>
            <w:r>
              <w:rPr>
                <w:rFonts w:ascii="sans-serif" w:eastAsia="sans-serif" w:hAnsi="sans-serif" w:cs="sans-serif"/>
                <w:b/>
                <w:bCs/>
                <w:color w:val="000000"/>
                <w:sz w:val="18"/>
                <w:szCs w:val="18"/>
              </w:rPr>
              <w:t>Name of each exchange on which registered</w:t>
            </w:r>
          </w:p>
        </w:tc>
      </w:tr>
      <w:tr w:rsidR="00F20ABF" w14:paraId="1E80385E" w14:textId="77777777">
        <w:trPr>
          <w:jc w:val="center"/>
        </w:trPr>
        <w:tc>
          <w:tcPr>
            <w:tcW w:w="0" w:type="auto"/>
            <w:gridSpan w:val="3"/>
            <w:shd w:val="clear" w:color="auto" w:fill="auto"/>
            <w:tcMar>
              <w:top w:w="40" w:type="dxa"/>
              <w:left w:w="20" w:type="dxa"/>
              <w:bottom w:w="40" w:type="dxa"/>
              <w:right w:w="20" w:type="dxa"/>
            </w:tcMar>
            <w:vAlign w:val="bottom"/>
          </w:tcPr>
          <w:p w14:paraId="1E80385B" w14:textId="77777777" w:rsidR="00F20ABF" w:rsidRDefault="00CA4D2F">
            <w:pPr>
              <w:jc w:val="center"/>
              <w:textAlignment w:val="bottom"/>
            </w:pPr>
            <w:r>
              <w:rPr>
                <w:rFonts w:ascii="sans-serif" w:eastAsia="sans-serif" w:hAnsi="sans-serif" w:cs="sans-serif"/>
                <w:color w:val="000000"/>
                <w:sz w:val="18"/>
                <w:szCs w:val="18"/>
              </w:rPr>
              <w:t>Common Stock, $0.001 par value per share</w:t>
            </w:r>
          </w:p>
        </w:tc>
        <w:tc>
          <w:tcPr>
            <w:tcW w:w="0" w:type="auto"/>
            <w:gridSpan w:val="3"/>
            <w:shd w:val="clear" w:color="auto" w:fill="auto"/>
            <w:tcMar>
              <w:top w:w="40" w:type="dxa"/>
              <w:left w:w="20" w:type="dxa"/>
              <w:bottom w:w="40" w:type="dxa"/>
              <w:right w:w="20" w:type="dxa"/>
            </w:tcMar>
            <w:vAlign w:val="bottom"/>
          </w:tcPr>
          <w:p w14:paraId="1E80385C" w14:textId="77777777" w:rsidR="00F20ABF" w:rsidRDefault="00CA4D2F">
            <w:pPr>
              <w:jc w:val="center"/>
              <w:textAlignment w:val="bottom"/>
            </w:pPr>
            <w:r>
              <w:rPr>
                <w:rFonts w:ascii="sans-serif" w:eastAsia="sans-serif" w:hAnsi="sans-serif" w:cs="sans-serif"/>
                <w:color w:val="000000"/>
                <w:sz w:val="18"/>
                <w:szCs w:val="18"/>
              </w:rPr>
              <w:t>NVDA</w:t>
            </w:r>
          </w:p>
        </w:tc>
        <w:tc>
          <w:tcPr>
            <w:tcW w:w="0" w:type="auto"/>
            <w:gridSpan w:val="3"/>
            <w:shd w:val="clear" w:color="auto" w:fill="auto"/>
            <w:tcMar>
              <w:top w:w="40" w:type="dxa"/>
              <w:left w:w="20" w:type="dxa"/>
              <w:bottom w:w="40" w:type="dxa"/>
              <w:right w:w="20" w:type="dxa"/>
            </w:tcMar>
            <w:vAlign w:val="bottom"/>
          </w:tcPr>
          <w:p w14:paraId="1E80385D" w14:textId="77777777" w:rsidR="00F20ABF" w:rsidRDefault="00CA4D2F">
            <w:pPr>
              <w:jc w:val="center"/>
              <w:textAlignment w:val="bottom"/>
            </w:pPr>
            <w:r>
              <w:rPr>
                <w:rFonts w:ascii="sans-serif" w:eastAsia="sans-serif" w:hAnsi="sans-serif" w:cs="sans-serif"/>
                <w:color w:val="000000"/>
                <w:sz w:val="18"/>
                <w:szCs w:val="18"/>
              </w:rPr>
              <w:t>The Nasdaq Global Select Market</w:t>
            </w:r>
          </w:p>
        </w:tc>
      </w:tr>
    </w:tbl>
    <w:p w14:paraId="1E80385F" w14:textId="77777777" w:rsidR="00F20ABF" w:rsidRDefault="00CA4D2F">
      <w:pPr>
        <w:spacing w:after="180"/>
      </w:pPr>
      <w:r>
        <w:rPr>
          <w:rFonts w:ascii="sans-serif" w:eastAsia="sans-serif" w:hAnsi="sans-serif" w:cs="sans-serif"/>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sans-serif" w:eastAsia="sans-serif" w:hAnsi="sans-serif" w:cs="sans-serif"/>
          <w:color w:val="000000"/>
          <w:sz w:val="18"/>
          <w:szCs w:val="18"/>
        </w:rPr>
        <w:t xml:space="preserve">uch reports), and (2) has been subject to such filing requirements for the past 90 days.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1E803860" w14:textId="77777777" w:rsidR="00F20ABF" w:rsidRDefault="00CA4D2F">
      <w:pPr>
        <w:spacing w:after="180"/>
        <w:jc w:val="both"/>
      </w:pPr>
      <w:r>
        <w:rPr>
          <w:rFonts w:ascii="sans-serif" w:eastAsia="sans-serif" w:hAnsi="sans-serif" w:cs="sans-serif"/>
          <w:color w:val="00000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sans-serif" w:eastAsia="sans-serif" w:hAnsi="sans-serif" w:cs="sans-serif"/>
          <w:color w:val="000000"/>
          <w:sz w:val="18"/>
          <w:szCs w:val="18"/>
        </w:rPr>
        <w:t xml:space="preserve">t the registrant was required to submit such files).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1E803861" w14:textId="77777777" w:rsidR="00F20ABF" w:rsidRDefault="00CA4D2F">
      <w:pPr>
        <w:jc w:val="both"/>
      </w:pPr>
      <w:r>
        <w:rPr>
          <w:rFonts w:ascii="sans-serif" w:eastAsia="sans-serif" w:hAnsi="sans-serif" w:cs="sans-serif"/>
          <w:color w:val="000000"/>
          <w:sz w:val="18"/>
          <w:szCs w:val="18"/>
        </w:rPr>
        <w:t>Indicate by check mark whether the registrant is a large accelerated filer, an accelerated filer, a non-accelerated filer, a smaller reporting company, or an emerging growth company. See defin</w:t>
      </w:r>
      <w:r>
        <w:rPr>
          <w:rFonts w:ascii="sans-serif" w:eastAsia="sans-serif" w:hAnsi="sans-serif" w:cs="sans-serif"/>
          <w:color w:val="000000"/>
          <w:sz w:val="18"/>
          <w:szCs w:val="18"/>
        </w:rPr>
        <w:t>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1"/>
        <w:gridCol w:w="1265"/>
        <w:gridCol w:w="36"/>
        <w:gridCol w:w="37"/>
        <w:gridCol w:w="196"/>
        <w:gridCol w:w="36"/>
        <w:gridCol w:w="49"/>
        <w:gridCol w:w="1249"/>
        <w:gridCol w:w="36"/>
        <w:gridCol w:w="37"/>
        <w:gridCol w:w="196"/>
        <w:gridCol w:w="36"/>
        <w:gridCol w:w="68"/>
        <w:gridCol w:w="1231"/>
        <w:gridCol w:w="36"/>
        <w:gridCol w:w="37"/>
        <w:gridCol w:w="196"/>
        <w:gridCol w:w="36"/>
        <w:gridCol w:w="37"/>
        <w:gridCol w:w="1412"/>
        <w:gridCol w:w="36"/>
        <w:gridCol w:w="37"/>
        <w:gridCol w:w="196"/>
        <w:gridCol w:w="36"/>
        <w:gridCol w:w="37"/>
        <w:gridCol w:w="1412"/>
        <w:gridCol w:w="36"/>
        <w:gridCol w:w="37"/>
        <w:gridCol w:w="196"/>
        <w:gridCol w:w="36"/>
      </w:tblGrid>
      <w:tr w:rsidR="00F20ABF" w14:paraId="1E803880" w14:textId="77777777">
        <w:tc>
          <w:tcPr>
            <w:tcW w:w="50" w:type="pct"/>
            <w:shd w:val="clear" w:color="auto" w:fill="auto"/>
          </w:tcPr>
          <w:p w14:paraId="1E803862" w14:textId="77777777" w:rsidR="00F20ABF" w:rsidRDefault="00F20ABF">
            <w:pPr>
              <w:rPr>
                <w:rFonts w:ascii="宋体"/>
              </w:rPr>
            </w:pPr>
          </w:p>
        </w:tc>
        <w:tc>
          <w:tcPr>
            <w:tcW w:w="777" w:type="pct"/>
            <w:shd w:val="clear" w:color="auto" w:fill="auto"/>
          </w:tcPr>
          <w:p w14:paraId="1E803863" w14:textId="77777777" w:rsidR="00F20ABF" w:rsidRDefault="00F20ABF">
            <w:pPr>
              <w:rPr>
                <w:rFonts w:ascii="宋体"/>
              </w:rPr>
            </w:pPr>
          </w:p>
        </w:tc>
        <w:tc>
          <w:tcPr>
            <w:tcW w:w="5" w:type="pct"/>
            <w:shd w:val="clear" w:color="auto" w:fill="auto"/>
          </w:tcPr>
          <w:p w14:paraId="1E803864" w14:textId="77777777" w:rsidR="00F20ABF" w:rsidRDefault="00F20ABF">
            <w:pPr>
              <w:rPr>
                <w:rFonts w:ascii="宋体"/>
              </w:rPr>
            </w:pPr>
          </w:p>
        </w:tc>
        <w:tc>
          <w:tcPr>
            <w:tcW w:w="5" w:type="pct"/>
            <w:shd w:val="clear" w:color="auto" w:fill="auto"/>
          </w:tcPr>
          <w:p w14:paraId="1E803865" w14:textId="77777777" w:rsidR="00F20ABF" w:rsidRDefault="00F20ABF">
            <w:pPr>
              <w:rPr>
                <w:rFonts w:ascii="宋体"/>
              </w:rPr>
            </w:pPr>
          </w:p>
        </w:tc>
        <w:tc>
          <w:tcPr>
            <w:tcW w:w="121" w:type="pct"/>
            <w:shd w:val="clear" w:color="auto" w:fill="auto"/>
          </w:tcPr>
          <w:p w14:paraId="1E803866" w14:textId="77777777" w:rsidR="00F20ABF" w:rsidRDefault="00F20ABF">
            <w:pPr>
              <w:rPr>
                <w:rFonts w:ascii="宋体"/>
              </w:rPr>
            </w:pPr>
          </w:p>
        </w:tc>
        <w:tc>
          <w:tcPr>
            <w:tcW w:w="5" w:type="pct"/>
            <w:shd w:val="clear" w:color="auto" w:fill="auto"/>
          </w:tcPr>
          <w:p w14:paraId="1E803867" w14:textId="77777777" w:rsidR="00F20ABF" w:rsidRDefault="00F20ABF">
            <w:pPr>
              <w:rPr>
                <w:rFonts w:ascii="宋体"/>
              </w:rPr>
            </w:pPr>
          </w:p>
        </w:tc>
        <w:tc>
          <w:tcPr>
            <w:tcW w:w="50" w:type="pct"/>
            <w:shd w:val="clear" w:color="auto" w:fill="auto"/>
          </w:tcPr>
          <w:p w14:paraId="1E803868" w14:textId="77777777" w:rsidR="00F20ABF" w:rsidRDefault="00F20ABF">
            <w:pPr>
              <w:rPr>
                <w:rFonts w:ascii="宋体"/>
              </w:rPr>
            </w:pPr>
          </w:p>
        </w:tc>
        <w:tc>
          <w:tcPr>
            <w:tcW w:w="777" w:type="pct"/>
            <w:shd w:val="clear" w:color="auto" w:fill="auto"/>
          </w:tcPr>
          <w:p w14:paraId="1E803869" w14:textId="77777777" w:rsidR="00F20ABF" w:rsidRDefault="00F20ABF">
            <w:pPr>
              <w:rPr>
                <w:rFonts w:ascii="宋体"/>
              </w:rPr>
            </w:pPr>
          </w:p>
        </w:tc>
        <w:tc>
          <w:tcPr>
            <w:tcW w:w="5" w:type="pct"/>
            <w:shd w:val="clear" w:color="auto" w:fill="auto"/>
          </w:tcPr>
          <w:p w14:paraId="1E80386A" w14:textId="77777777" w:rsidR="00F20ABF" w:rsidRDefault="00F20ABF">
            <w:pPr>
              <w:rPr>
                <w:rFonts w:ascii="宋体"/>
              </w:rPr>
            </w:pPr>
          </w:p>
        </w:tc>
        <w:tc>
          <w:tcPr>
            <w:tcW w:w="5" w:type="pct"/>
            <w:shd w:val="clear" w:color="auto" w:fill="auto"/>
          </w:tcPr>
          <w:p w14:paraId="1E80386B" w14:textId="77777777" w:rsidR="00F20ABF" w:rsidRDefault="00F20ABF">
            <w:pPr>
              <w:rPr>
                <w:rFonts w:ascii="宋体"/>
              </w:rPr>
            </w:pPr>
          </w:p>
        </w:tc>
        <w:tc>
          <w:tcPr>
            <w:tcW w:w="121" w:type="pct"/>
            <w:shd w:val="clear" w:color="auto" w:fill="auto"/>
          </w:tcPr>
          <w:p w14:paraId="1E80386C" w14:textId="77777777" w:rsidR="00F20ABF" w:rsidRDefault="00F20ABF">
            <w:pPr>
              <w:rPr>
                <w:rFonts w:ascii="宋体"/>
              </w:rPr>
            </w:pPr>
          </w:p>
        </w:tc>
        <w:tc>
          <w:tcPr>
            <w:tcW w:w="5" w:type="pct"/>
            <w:shd w:val="clear" w:color="auto" w:fill="auto"/>
          </w:tcPr>
          <w:p w14:paraId="1E80386D" w14:textId="77777777" w:rsidR="00F20ABF" w:rsidRDefault="00F20ABF">
            <w:pPr>
              <w:rPr>
                <w:rFonts w:ascii="宋体"/>
              </w:rPr>
            </w:pPr>
          </w:p>
        </w:tc>
        <w:tc>
          <w:tcPr>
            <w:tcW w:w="50" w:type="pct"/>
            <w:shd w:val="clear" w:color="auto" w:fill="auto"/>
          </w:tcPr>
          <w:p w14:paraId="1E80386E" w14:textId="77777777" w:rsidR="00F20ABF" w:rsidRDefault="00F20ABF">
            <w:pPr>
              <w:rPr>
                <w:rFonts w:ascii="宋体"/>
              </w:rPr>
            </w:pPr>
          </w:p>
        </w:tc>
        <w:tc>
          <w:tcPr>
            <w:tcW w:w="777" w:type="pct"/>
            <w:shd w:val="clear" w:color="auto" w:fill="auto"/>
          </w:tcPr>
          <w:p w14:paraId="1E80386F" w14:textId="77777777" w:rsidR="00F20ABF" w:rsidRDefault="00F20ABF">
            <w:pPr>
              <w:rPr>
                <w:rFonts w:ascii="宋体"/>
              </w:rPr>
            </w:pPr>
          </w:p>
        </w:tc>
        <w:tc>
          <w:tcPr>
            <w:tcW w:w="5" w:type="pct"/>
            <w:shd w:val="clear" w:color="auto" w:fill="auto"/>
          </w:tcPr>
          <w:p w14:paraId="1E803870" w14:textId="77777777" w:rsidR="00F20ABF" w:rsidRDefault="00F20ABF">
            <w:pPr>
              <w:rPr>
                <w:rFonts w:ascii="宋体"/>
              </w:rPr>
            </w:pPr>
          </w:p>
        </w:tc>
        <w:tc>
          <w:tcPr>
            <w:tcW w:w="5" w:type="pct"/>
            <w:shd w:val="clear" w:color="auto" w:fill="auto"/>
          </w:tcPr>
          <w:p w14:paraId="1E803871" w14:textId="77777777" w:rsidR="00F20ABF" w:rsidRDefault="00F20ABF">
            <w:pPr>
              <w:rPr>
                <w:rFonts w:ascii="宋体"/>
              </w:rPr>
            </w:pPr>
          </w:p>
        </w:tc>
        <w:tc>
          <w:tcPr>
            <w:tcW w:w="121" w:type="pct"/>
            <w:shd w:val="clear" w:color="auto" w:fill="auto"/>
          </w:tcPr>
          <w:p w14:paraId="1E803872" w14:textId="77777777" w:rsidR="00F20ABF" w:rsidRDefault="00F20ABF">
            <w:pPr>
              <w:rPr>
                <w:rFonts w:ascii="宋体"/>
              </w:rPr>
            </w:pPr>
          </w:p>
        </w:tc>
        <w:tc>
          <w:tcPr>
            <w:tcW w:w="5" w:type="pct"/>
            <w:shd w:val="clear" w:color="auto" w:fill="auto"/>
          </w:tcPr>
          <w:p w14:paraId="1E803873" w14:textId="77777777" w:rsidR="00F20ABF" w:rsidRDefault="00F20ABF">
            <w:pPr>
              <w:rPr>
                <w:rFonts w:ascii="宋体"/>
              </w:rPr>
            </w:pPr>
          </w:p>
        </w:tc>
        <w:tc>
          <w:tcPr>
            <w:tcW w:w="50" w:type="pct"/>
            <w:shd w:val="clear" w:color="auto" w:fill="auto"/>
          </w:tcPr>
          <w:p w14:paraId="1E803874" w14:textId="77777777" w:rsidR="00F20ABF" w:rsidRDefault="00F20ABF">
            <w:pPr>
              <w:rPr>
                <w:rFonts w:ascii="宋体"/>
              </w:rPr>
            </w:pPr>
          </w:p>
        </w:tc>
        <w:tc>
          <w:tcPr>
            <w:tcW w:w="867" w:type="pct"/>
            <w:shd w:val="clear" w:color="auto" w:fill="auto"/>
          </w:tcPr>
          <w:p w14:paraId="1E803875" w14:textId="77777777" w:rsidR="00F20ABF" w:rsidRDefault="00F20ABF">
            <w:pPr>
              <w:rPr>
                <w:rFonts w:ascii="宋体"/>
              </w:rPr>
            </w:pPr>
          </w:p>
        </w:tc>
        <w:tc>
          <w:tcPr>
            <w:tcW w:w="5" w:type="pct"/>
            <w:shd w:val="clear" w:color="auto" w:fill="auto"/>
          </w:tcPr>
          <w:p w14:paraId="1E803876" w14:textId="77777777" w:rsidR="00F20ABF" w:rsidRDefault="00F20ABF">
            <w:pPr>
              <w:rPr>
                <w:rFonts w:ascii="宋体"/>
              </w:rPr>
            </w:pPr>
          </w:p>
        </w:tc>
        <w:tc>
          <w:tcPr>
            <w:tcW w:w="5" w:type="pct"/>
            <w:shd w:val="clear" w:color="auto" w:fill="auto"/>
          </w:tcPr>
          <w:p w14:paraId="1E803877" w14:textId="77777777" w:rsidR="00F20ABF" w:rsidRDefault="00F20ABF">
            <w:pPr>
              <w:rPr>
                <w:rFonts w:ascii="宋体"/>
              </w:rPr>
            </w:pPr>
          </w:p>
        </w:tc>
        <w:tc>
          <w:tcPr>
            <w:tcW w:w="121" w:type="pct"/>
            <w:shd w:val="clear" w:color="auto" w:fill="auto"/>
          </w:tcPr>
          <w:p w14:paraId="1E803878" w14:textId="77777777" w:rsidR="00F20ABF" w:rsidRDefault="00F20ABF">
            <w:pPr>
              <w:rPr>
                <w:rFonts w:ascii="宋体"/>
              </w:rPr>
            </w:pPr>
          </w:p>
        </w:tc>
        <w:tc>
          <w:tcPr>
            <w:tcW w:w="5" w:type="pct"/>
            <w:shd w:val="clear" w:color="auto" w:fill="auto"/>
          </w:tcPr>
          <w:p w14:paraId="1E803879" w14:textId="77777777" w:rsidR="00F20ABF" w:rsidRDefault="00F20ABF">
            <w:pPr>
              <w:rPr>
                <w:rFonts w:ascii="宋体"/>
              </w:rPr>
            </w:pPr>
          </w:p>
        </w:tc>
        <w:tc>
          <w:tcPr>
            <w:tcW w:w="50" w:type="pct"/>
            <w:shd w:val="clear" w:color="auto" w:fill="auto"/>
          </w:tcPr>
          <w:p w14:paraId="1E80387A" w14:textId="77777777" w:rsidR="00F20ABF" w:rsidRDefault="00F20ABF">
            <w:pPr>
              <w:rPr>
                <w:rFonts w:ascii="宋体"/>
              </w:rPr>
            </w:pPr>
          </w:p>
        </w:tc>
        <w:tc>
          <w:tcPr>
            <w:tcW w:w="867" w:type="pct"/>
            <w:shd w:val="clear" w:color="auto" w:fill="auto"/>
          </w:tcPr>
          <w:p w14:paraId="1E80387B" w14:textId="77777777" w:rsidR="00F20ABF" w:rsidRDefault="00F20ABF">
            <w:pPr>
              <w:rPr>
                <w:rFonts w:ascii="宋体"/>
              </w:rPr>
            </w:pPr>
          </w:p>
        </w:tc>
        <w:tc>
          <w:tcPr>
            <w:tcW w:w="5" w:type="pct"/>
            <w:shd w:val="clear" w:color="auto" w:fill="auto"/>
          </w:tcPr>
          <w:p w14:paraId="1E80387C" w14:textId="77777777" w:rsidR="00F20ABF" w:rsidRDefault="00F20ABF">
            <w:pPr>
              <w:rPr>
                <w:rFonts w:ascii="宋体"/>
              </w:rPr>
            </w:pPr>
          </w:p>
        </w:tc>
        <w:tc>
          <w:tcPr>
            <w:tcW w:w="5" w:type="pct"/>
            <w:shd w:val="clear" w:color="auto" w:fill="auto"/>
          </w:tcPr>
          <w:p w14:paraId="1E80387D" w14:textId="77777777" w:rsidR="00F20ABF" w:rsidRDefault="00F20ABF">
            <w:pPr>
              <w:rPr>
                <w:rFonts w:ascii="宋体"/>
              </w:rPr>
            </w:pPr>
          </w:p>
        </w:tc>
        <w:tc>
          <w:tcPr>
            <w:tcW w:w="121" w:type="pct"/>
            <w:shd w:val="clear" w:color="auto" w:fill="auto"/>
          </w:tcPr>
          <w:p w14:paraId="1E80387E" w14:textId="77777777" w:rsidR="00F20ABF" w:rsidRDefault="00F20ABF">
            <w:pPr>
              <w:rPr>
                <w:rFonts w:ascii="宋体"/>
              </w:rPr>
            </w:pPr>
          </w:p>
        </w:tc>
        <w:tc>
          <w:tcPr>
            <w:tcW w:w="5" w:type="pct"/>
            <w:shd w:val="clear" w:color="auto" w:fill="auto"/>
          </w:tcPr>
          <w:p w14:paraId="1E80387F" w14:textId="77777777" w:rsidR="00F20ABF" w:rsidRDefault="00F20ABF">
            <w:pPr>
              <w:rPr>
                <w:rFonts w:ascii="宋体"/>
              </w:rPr>
            </w:pPr>
          </w:p>
        </w:tc>
      </w:tr>
      <w:tr w:rsidR="00F20ABF" w14:paraId="1E80388B" w14:textId="77777777">
        <w:tc>
          <w:tcPr>
            <w:tcW w:w="0" w:type="auto"/>
            <w:gridSpan w:val="3"/>
            <w:shd w:val="clear" w:color="auto" w:fill="auto"/>
            <w:tcMar>
              <w:top w:w="40" w:type="dxa"/>
              <w:left w:w="20" w:type="dxa"/>
              <w:bottom w:w="40" w:type="dxa"/>
              <w:right w:w="20" w:type="dxa"/>
            </w:tcMar>
            <w:vAlign w:val="bottom"/>
          </w:tcPr>
          <w:p w14:paraId="1E803881" w14:textId="77777777" w:rsidR="00F20ABF" w:rsidRDefault="00CA4D2F">
            <w:pPr>
              <w:jc w:val="center"/>
              <w:textAlignment w:val="bottom"/>
            </w:pPr>
            <w:r>
              <w:rPr>
                <w:rFonts w:ascii="sans-serif" w:eastAsia="sans-serif" w:hAnsi="sans-serif" w:cs="sans-serif"/>
                <w:color w:val="000000"/>
                <w:sz w:val="16"/>
                <w:szCs w:val="16"/>
              </w:rPr>
              <w:lastRenderedPageBreak/>
              <w:t>Large accelerated filer</w:t>
            </w:r>
          </w:p>
        </w:tc>
        <w:tc>
          <w:tcPr>
            <w:tcW w:w="0" w:type="auto"/>
            <w:gridSpan w:val="3"/>
            <w:shd w:val="clear" w:color="auto" w:fill="auto"/>
            <w:tcMar>
              <w:top w:w="40" w:type="dxa"/>
              <w:left w:w="20" w:type="dxa"/>
              <w:bottom w:w="40" w:type="dxa"/>
              <w:right w:w="20" w:type="dxa"/>
            </w:tcMar>
            <w:vAlign w:val="bottom"/>
          </w:tcPr>
          <w:p w14:paraId="1E803882" w14:textId="77777777" w:rsidR="00F20ABF" w:rsidRDefault="00CA4D2F">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1E803883" w14:textId="77777777" w:rsidR="00F20ABF" w:rsidRDefault="00CA4D2F">
            <w:pPr>
              <w:jc w:val="center"/>
              <w:textAlignment w:val="bottom"/>
            </w:pPr>
            <w:r>
              <w:rPr>
                <w:rFonts w:ascii="sans-serif" w:eastAsia="sans-serif" w:hAnsi="sans-serif" w:cs="sans-serif"/>
                <w:color w:val="000000"/>
                <w:sz w:val="16"/>
                <w:szCs w:val="16"/>
              </w:rPr>
              <w:t>Accelerated filer</w:t>
            </w:r>
          </w:p>
        </w:tc>
        <w:tc>
          <w:tcPr>
            <w:tcW w:w="0" w:type="auto"/>
            <w:gridSpan w:val="3"/>
            <w:shd w:val="clear" w:color="auto" w:fill="auto"/>
            <w:tcMar>
              <w:top w:w="40" w:type="dxa"/>
              <w:left w:w="20" w:type="dxa"/>
              <w:bottom w:w="40" w:type="dxa"/>
              <w:right w:w="20" w:type="dxa"/>
            </w:tcMar>
            <w:vAlign w:val="bottom"/>
          </w:tcPr>
          <w:p w14:paraId="1E803884" w14:textId="77777777" w:rsidR="00F20ABF" w:rsidRDefault="00CA4D2F">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1E803885" w14:textId="77777777" w:rsidR="00F20ABF" w:rsidRDefault="00CA4D2F">
            <w:pPr>
              <w:jc w:val="center"/>
              <w:textAlignment w:val="bottom"/>
            </w:pPr>
            <w:r>
              <w:rPr>
                <w:rFonts w:ascii="sans-serif" w:eastAsia="sans-serif" w:hAnsi="sans-serif" w:cs="sans-serif"/>
                <w:color w:val="000000"/>
                <w:sz w:val="16"/>
                <w:szCs w:val="16"/>
              </w:rPr>
              <w:t>Non-accelerated filer</w:t>
            </w:r>
          </w:p>
        </w:tc>
        <w:tc>
          <w:tcPr>
            <w:tcW w:w="0" w:type="auto"/>
            <w:gridSpan w:val="3"/>
            <w:shd w:val="clear" w:color="auto" w:fill="auto"/>
            <w:tcMar>
              <w:top w:w="40" w:type="dxa"/>
              <w:left w:w="20" w:type="dxa"/>
              <w:bottom w:w="40" w:type="dxa"/>
              <w:right w:w="20" w:type="dxa"/>
            </w:tcMar>
            <w:vAlign w:val="bottom"/>
          </w:tcPr>
          <w:p w14:paraId="1E803886" w14:textId="77777777" w:rsidR="00F20ABF" w:rsidRDefault="00CA4D2F">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1E803887" w14:textId="77777777" w:rsidR="00F20ABF" w:rsidRDefault="00CA4D2F">
            <w:pPr>
              <w:jc w:val="center"/>
              <w:textAlignment w:val="bottom"/>
            </w:pPr>
            <w:r>
              <w:rPr>
                <w:rFonts w:ascii="sans-serif" w:eastAsia="sans-serif" w:hAnsi="sans-serif" w:cs="sans-serif"/>
                <w:color w:val="000000"/>
                <w:sz w:val="16"/>
                <w:szCs w:val="16"/>
              </w:rPr>
              <w:t>Smaller reporting company</w:t>
            </w:r>
          </w:p>
        </w:tc>
        <w:tc>
          <w:tcPr>
            <w:tcW w:w="0" w:type="auto"/>
            <w:gridSpan w:val="3"/>
            <w:shd w:val="clear" w:color="auto" w:fill="auto"/>
            <w:tcMar>
              <w:top w:w="40" w:type="dxa"/>
              <w:left w:w="20" w:type="dxa"/>
              <w:bottom w:w="40" w:type="dxa"/>
              <w:right w:w="20" w:type="dxa"/>
            </w:tcMar>
            <w:vAlign w:val="bottom"/>
          </w:tcPr>
          <w:p w14:paraId="1E803888" w14:textId="77777777" w:rsidR="00F20ABF" w:rsidRDefault="00CA4D2F">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1E803889" w14:textId="77777777" w:rsidR="00F20ABF" w:rsidRDefault="00CA4D2F">
            <w:pPr>
              <w:jc w:val="center"/>
              <w:textAlignment w:val="bottom"/>
            </w:pPr>
            <w:r>
              <w:rPr>
                <w:rFonts w:ascii="sans-serif" w:eastAsia="sans-serif" w:hAnsi="sans-serif" w:cs="sans-serif"/>
                <w:color w:val="000000"/>
                <w:sz w:val="16"/>
                <w:szCs w:val="16"/>
              </w:rPr>
              <w:t>Emerging growth company</w:t>
            </w:r>
          </w:p>
        </w:tc>
        <w:tc>
          <w:tcPr>
            <w:tcW w:w="0" w:type="auto"/>
            <w:gridSpan w:val="3"/>
            <w:shd w:val="clear" w:color="auto" w:fill="auto"/>
            <w:tcMar>
              <w:top w:w="40" w:type="dxa"/>
              <w:left w:w="20" w:type="dxa"/>
              <w:bottom w:w="40" w:type="dxa"/>
              <w:right w:w="20" w:type="dxa"/>
            </w:tcMar>
            <w:vAlign w:val="bottom"/>
          </w:tcPr>
          <w:p w14:paraId="1E80388A" w14:textId="77777777" w:rsidR="00F20ABF" w:rsidRDefault="00CA4D2F">
            <w:pPr>
              <w:jc w:val="center"/>
              <w:textAlignment w:val="bottom"/>
            </w:pPr>
            <w:r>
              <w:rPr>
                <w:rFonts w:ascii="Times New Roman" w:eastAsia="宋体" w:hAnsi="Times New Roman"/>
                <w:color w:val="000000"/>
                <w:sz w:val="20"/>
                <w:szCs w:val="20"/>
              </w:rPr>
              <w:t>☐</w:t>
            </w:r>
          </w:p>
        </w:tc>
      </w:tr>
    </w:tbl>
    <w:p w14:paraId="1E80388C" w14:textId="77777777" w:rsidR="00F20ABF" w:rsidRDefault="00CA4D2F">
      <w:pPr>
        <w:spacing w:after="180"/>
        <w:jc w:val="both"/>
      </w:pPr>
      <w:r>
        <w:rPr>
          <w:rFonts w:ascii="sans-serif" w:eastAsia="sans-serif" w:hAnsi="sans-serif" w:cs="sans-serif"/>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Times New Roman" w:eastAsia="宋体" w:hAnsi="Times New Roman"/>
          <w:color w:val="000000"/>
          <w:sz w:val="20"/>
          <w:szCs w:val="20"/>
        </w:rPr>
        <w:t>☐</w:t>
      </w:r>
    </w:p>
    <w:p w14:paraId="1E80388D" w14:textId="77777777" w:rsidR="00F20ABF" w:rsidRDefault="00CA4D2F">
      <w:pPr>
        <w:spacing w:after="180"/>
        <w:jc w:val="both"/>
      </w:pPr>
      <w:r>
        <w:rPr>
          <w:rFonts w:ascii="sans-serif" w:eastAsia="sans-serif" w:hAnsi="sans-serif" w:cs="sans-serif"/>
          <w:color w:val="000000"/>
          <w:sz w:val="18"/>
          <w:szCs w:val="18"/>
        </w:rPr>
        <w:t>Ind</w:t>
      </w:r>
      <w:r>
        <w:rPr>
          <w:rFonts w:ascii="sans-serif" w:eastAsia="sans-serif" w:hAnsi="sans-serif" w:cs="sans-serif"/>
          <w:color w:val="000000"/>
          <w:sz w:val="18"/>
          <w:szCs w:val="18"/>
        </w:rPr>
        <w:t xml:space="preserve">icate by check mark whether the registrant is a shell company (as defined in Rule 12b-2 of the Exchange Act).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1E80388E" w14:textId="77777777" w:rsidR="00F20ABF" w:rsidRDefault="00CA4D2F">
      <w:pPr>
        <w:jc w:val="both"/>
      </w:pPr>
      <w:r>
        <w:rPr>
          <w:rFonts w:ascii="sans-serif" w:eastAsia="sans-serif" w:hAnsi="sans-serif" w:cs="sans-serif"/>
          <w:color w:val="000000"/>
          <w:sz w:val="18"/>
          <w:szCs w:val="18"/>
        </w:rPr>
        <w:t>The number of shares of common stock, $0.001 par value, outstanding as of November 13, 2020, was 619 million.</w:t>
      </w:r>
    </w:p>
    <w:p w14:paraId="1E80388F" w14:textId="77777777" w:rsidR="00F20ABF" w:rsidRDefault="00F20ABF">
      <w:pPr>
        <w:spacing w:after="180"/>
        <w:jc w:val="both"/>
      </w:pPr>
    </w:p>
    <w:p w14:paraId="1E803890" w14:textId="77777777" w:rsidR="00F20ABF" w:rsidRDefault="00CA4D2F">
      <w:r>
        <w:pict w14:anchorId="1E80557C">
          <v:rect id="_x0000_i1025" style="width:415.3pt;height:1.5pt" o:hralign="center" o:hrstd="t" o:hr="t" fillcolor="#a0a0a0" stroked="f"/>
        </w:pict>
      </w:r>
    </w:p>
    <w:p w14:paraId="1E803891" w14:textId="77777777" w:rsidR="00F20ABF" w:rsidRDefault="00F20ABF">
      <w:pPr>
        <w:spacing w:after="180"/>
        <w:jc w:val="both"/>
      </w:pPr>
    </w:p>
    <w:p w14:paraId="1E803892" w14:textId="77777777" w:rsidR="00F20ABF" w:rsidRDefault="00CA4D2F">
      <w:pPr>
        <w:jc w:val="center"/>
      </w:pPr>
      <w:r>
        <w:rPr>
          <w:rFonts w:ascii="sans-serif" w:eastAsia="sans-serif" w:hAnsi="sans-serif" w:cs="sans-serif"/>
          <w:b/>
          <w:bCs/>
          <w:color w:val="000000"/>
          <w:sz w:val="20"/>
          <w:szCs w:val="20"/>
        </w:rPr>
        <w:t xml:space="preserve">NVIDIA </w:t>
      </w:r>
      <w:r>
        <w:rPr>
          <w:rFonts w:ascii="sans-serif" w:eastAsia="sans-serif" w:hAnsi="sans-serif" w:cs="sans-serif"/>
          <w:b/>
          <w:bCs/>
          <w:color w:val="000000"/>
          <w:sz w:val="20"/>
          <w:szCs w:val="20"/>
        </w:rPr>
        <w:t>CORPORATION</w:t>
      </w:r>
    </w:p>
    <w:p w14:paraId="1E803893" w14:textId="77777777" w:rsidR="00F20ABF" w:rsidRDefault="00CA4D2F">
      <w:pPr>
        <w:jc w:val="center"/>
      </w:pPr>
      <w:r>
        <w:rPr>
          <w:rFonts w:ascii="sans-serif" w:eastAsia="sans-serif" w:hAnsi="sans-serif" w:cs="sans-serif"/>
          <w:b/>
          <w:bCs/>
          <w:color w:val="000000"/>
          <w:sz w:val="20"/>
          <w:szCs w:val="20"/>
        </w:rPr>
        <w:t>FORM 10-Q</w:t>
      </w:r>
    </w:p>
    <w:p w14:paraId="1E803894" w14:textId="77777777" w:rsidR="00F20ABF" w:rsidRDefault="00CA4D2F">
      <w:pPr>
        <w:spacing w:after="180"/>
        <w:jc w:val="center"/>
      </w:pPr>
      <w:r>
        <w:rPr>
          <w:rFonts w:ascii="sans-serif" w:eastAsia="sans-serif" w:hAnsi="sans-serif" w:cs="sans-serif"/>
          <w:b/>
          <w:bCs/>
          <w:color w:val="000000"/>
          <w:sz w:val="20"/>
          <w:szCs w:val="20"/>
        </w:rPr>
        <w:t xml:space="preserve">FOR THE QUARTER ENDED October 25, 2020 </w:t>
      </w:r>
    </w:p>
    <w:p w14:paraId="1E803895" w14:textId="77777777" w:rsidR="00F20ABF" w:rsidRDefault="00CA4D2F">
      <w:pPr>
        <w:jc w:val="center"/>
      </w:pPr>
      <w:r>
        <w:rPr>
          <w:rFonts w:ascii="sans-serif" w:eastAsia="sans-serif" w:hAnsi="sans-serif" w:cs="sans-serif"/>
          <w:b/>
          <w:bCs/>
          <w:color w:val="000000"/>
          <w:sz w:val="20"/>
          <w:szCs w:val="20"/>
        </w:rPr>
        <w:t>TABLE OF CONTENTS</w:t>
      </w:r>
    </w:p>
    <w:tbl>
      <w:tblPr>
        <w:tblW w:w="4920" w:type="pct"/>
        <w:tblCellMar>
          <w:top w:w="15" w:type="dxa"/>
          <w:left w:w="15" w:type="dxa"/>
          <w:bottom w:w="15" w:type="dxa"/>
          <w:right w:w="15" w:type="dxa"/>
        </w:tblCellMar>
        <w:tblLook w:val="04A0" w:firstRow="1" w:lastRow="0" w:firstColumn="1" w:lastColumn="0" w:noHBand="0" w:noVBand="1"/>
      </w:tblPr>
      <w:tblGrid>
        <w:gridCol w:w="82"/>
        <w:gridCol w:w="725"/>
        <w:gridCol w:w="36"/>
        <w:gridCol w:w="61"/>
        <w:gridCol w:w="6632"/>
        <w:gridCol w:w="36"/>
        <w:gridCol w:w="61"/>
        <w:gridCol w:w="534"/>
        <w:gridCol w:w="36"/>
      </w:tblGrid>
      <w:tr w:rsidR="00F20ABF" w14:paraId="1E80389F" w14:textId="77777777">
        <w:tc>
          <w:tcPr>
            <w:tcW w:w="50" w:type="pct"/>
            <w:shd w:val="clear" w:color="auto" w:fill="auto"/>
          </w:tcPr>
          <w:p w14:paraId="1E803896" w14:textId="77777777" w:rsidR="00F20ABF" w:rsidRDefault="00F20ABF">
            <w:pPr>
              <w:rPr>
                <w:rFonts w:ascii="宋体"/>
              </w:rPr>
            </w:pPr>
          </w:p>
        </w:tc>
        <w:tc>
          <w:tcPr>
            <w:tcW w:w="442" w:type="pct"/>
            <w:shd w:val="clear" w:color="auto" w:fill="auto"/>
          </w:tcPr>
          <w:p w14:paraId="1E803897" w14:textId="77777777" w:rsidR="00F20ABF" w:rsidRDefault="00F20ABF">
            <w:pPr>
              <w:rPr>
                <w:rFonts w:ascii="宋体"/>
              </w:rPr>
            </w:pPr>
          </w:p>
        </w:tc>
        <w:tc>
          <w:tcPr>
            <w:tcW w:w="5" w:type="pct"/>
            <w:shd w:val="clear" w:color="auto" w:fill="auto"/>
          </w:tcPr>
          <w:p w14:paraId="1E803898" w14:textId="77777777" w:rsidR="00F20ABF" w:rsidRDefault="00F20ABF">
            <w:pPr>
              <w:rPr>
                <w:rFonts w:ascii="宋体"/>
              </w:rPr>
            </w:pPr>
          </w:p>
        </w:tc>
        <w:tc>
          <w:tcPr>
            <w:tcW w:w="50" w:type="pct"/>
            <w:shd w:val="clear" w:color="auto" w:fill="auto"/>
          </w:tcPr>
          <w:p w14:paraId="1E803899" w14:textId="77777777" w:rsidR="00F20ABF" w:rsidRDefault="00F20ABF">
            <w:pPr>
              <w:rPr>
                <w:rFonts w:ascii="宋体"/>
              </w:rPr>
            </w:pPr>
          </w:p>
        </w:tc>
        <w:tc>
          <w:tcPr>
            <w:tcW w:w="4053" w:type="pct"/>
            <w:shd w:val="clear" w:color="auto" w:fill="auto"/>
          </w:tcPr>
          <w:p w14:paraId="1E80389A" w14:textId="77777777" w:rsidR="00F20ABF" w:rsidRDefault="00F20ABF">
            <w:pPr>
              <w:rPr>
                <w:rFonts w:ascii="宋体"/>
              </w:rPr>
            </w:pPr>
          </w:p>
        </w:tc>
        <w:tc>
          <w:tcPr>
            <w:tcW w:w="5" w:type="pct"/>
            <w:shd w:val="clear" w:color="auto" w:fill="auto"/>
          </w:tcPr>
          <w:p w14:paraId="1E80389B" w14:textId="77777777" w:rsidR="00F20ABF" w:rsidRDefault="00F20ABF">
            <w:pPr>
              <w:rPr>
                <w:rFonts w:ascii="宋体"/>
              </w:rPr>
            </w:pPr>
          </w:p>
        </w:tc>
        <w:tc>
          <w:tcPr>
            <w:tcW w:w="50" w:type="pct"/>
            <w:shd w:val="clear" w:color="auto" w:fill="auto"/>
          </w:tcPr>
          <w:p w14:paraId="1E80389C" w14:textId="77777777" w:rsidR="00F20ABF" w:rsidRDefault="00F20ABF">
            <w:pPr>
              <w:rPr>
                <w:rFonts w:ascii="宋体"/>
              </w:rPr>
            </w:pPr>
          </w:p>
        </w:tc>
        <w:tc>
          <w:tcPr>
            <w:tcW w:w="338" w:type="pct"/>
            <w:shd w:val="clear" w:color="auto" w:fill="auto"/>
          </w:tcPr>
          <w:p w14:paraId="1E80389D" w14:textId="77777777" w:rsidR="00F20ABF" w:rsidRDefault="00F20ABF">
            <w:pPr>
              <w:rPr>
                <w:rFonts w:ascii="宋体"/>
              </w:rPr>
            </w:pPr>
          </w:p>
        </w:tc>
        <w:tc>
          <w:tcPr>
            <w:tcW w:w="5" w:type="pct"/>
            <w:shd w:val="clear" w:color="auto" w:fill="auto"/>
          </w:tcPr>
          <w:p w14:paraId="1E80389E" w14:textId="77777777" w:rsidR="00F20ABF" w:rsidRDefault="00F20ABF">
            <w:pPr>
              <w:rPr>
                <w:rFonts w:ascii="宋体"/>
              </w:rPr>
            </w:pPr>
          </w:p>
        </w:tc>
      </w:tr>
      <w:tr w:rsidR="00F20ABF" w14:paraId="1E8038A3" w14:textId="77777777">
        <w:tc>
          <w:tcPr>
            <w:tcW w:w="0" w:type="auto"/>
            <w:gridSpan w:val="3"/>
            <w:shd w:val="clear" w:color="auto" w:fill="auto"/>
            <w:tcMar>
              <w:top w:w="40" w:type="dxa"/>
              <w:left w:w="20" w:type="dxa"/>
              <w:bottom w:w="40" w:type="dxa"/>
              <w:right w:w="20" w:type="dxa"/>
            </w:tcMar>
            <w:vAlign w:val="bottom"/>
          </w:tcPr>
          <w:p w14:paraId="1E8038A0"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38A1"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38A2" w14:textId="77777777" w:rsidR="00F20ABF" w:rsidRDefault="00CA4D2F">
            <w:pPr>
              <w:jc w:val="right"/>
              <w:textAlignment w:val="bottom"/>
            </w:pPr>
            <w:r>
              <w:rPr>
                <w:rFonts w:ascii="sans-serif" w:eastAsia="sans-serif" w:hAnsi="sans-serif" w:cs="sans-serif"/>
                <w:b/>
                <w:bCs/>
                <w:color w:val="000000"/>
                <w:sz w:val="20"/>
                <w:szCs w:val="20"/>
              </w:rPr>
              <w:t>Page</w:t>
            </w:r>
          </w:p>
        </w:tc>
      </w:tr>
      <w:tr w:rsidR="00F20ABF" w14:paraId="1E8038A7" w14:textId="77777777">
        <w:tc>
          <w:tcPr>
            <w:tcW w:w="0" w:type="auto"/>
            <w:gridSpan w:val="3"/>
            <w:shd w:val="clear" w:color="auto" w:fill="auto"/>
            <w:tcMar>
              <w:top w:w="40" w:type="dxa"/>
              <w:left w:w="20" w:type="dxa"/>
              <w:bottom w:w="40" w:type="dxa"/>
              <w:right w:w="20" w:type="dxa"/>
            </w:tcMar>
            <w:vAlign w:val="bottom"/>
          </w:tcPr>
          <w:p w14:paraId="1E8038A4"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38A5" w14:textId="77777777" w:rsidR="00F20ABF" w:rsidRDefault="00CA4D2F">
            <w:pPr>
              <w:jc w:val="center"/>
              <w:textAlignment w:val="bottom"/>
            </w:pPr>
            <w:hyperlink r:id="rId7" w:anchor="ia3cd10d674d04d9cbfbeec0d84d3c18d_10" w:history="1">
              <w:r>
                <w:rPr>
                  <w:rStyle w:val="a5"/>
                  <w:rFonts w:ascii="sans-serif" w:eastAsia="sans-serif" w:hAnsi="sans-serif" w:cs="sans-serif"/>
                  <w:b/>
                  <w:bCs/>
                  <w:sz w:val="20"/>
                  <w:szCs w:val="20"/>
                </w:rPr>
                <w:t>PART I : FINANCIAL INFORMATION</w:t>
              </w:r>
            </w:hyperlink>
          </w:p>
        </w:tc>
        <w:tc>
          <w:tcPr>
            <w:tcW w:w="0" w:type="auto"/>
            <w:gridSpan w:val="3"/>
            <w:shd w:val="clear" w:color="auto" w:fill="auto"/>
            <w:tcMar>
              <w:top w:w="40" w:type="dxa"/>
              <w:left w:w="20" w:type="dxa"/>
              <w:bottom w:w="40" w:type="dxa"/>
              <w:right w:w="20" w:type="dxa"/>
            </w:tcMar>
            <w:vAlign w:val="bottom"/>
          </w:tcPr>
          <w:p w14:paraId="1E8038A6" w14:textId="77777777" w:rsidR="00F20ABF" w:rsidRDefault="00CA4D2F">
            <w:pPr>
              <w:jc w:val="right"/>
              <w:textAlignment w:val="bottom"/>
            </w:pPr>
            <w:r>
              <w:rPr>
                <w:rFonts w:ascii="sans-serif" w:eastAsia="sans-serif" w:hAnsi="sans-serif" w:cs="sans-serif"/>
                <w:color w:val="000000"/>
                <w:sz w:val="20"/>
                <w:szCs w:val="20"/>
              </w:rPr>
              <w:t> </w:t>
            </w:r>
          </w:p>
        </w:tc>
      </w:tr>
      <w:tr w:rsidR="00F20ABF" w14:paraId="1E8038AB" w14:textId="77777777">
        <w:trPr>
          <w:trHeight w:val="60"/>
        </w:trPr>
        <w:tc>
          <w:tcPr>
            <w:tcW w:w="0" w:type="auto"/>
            <w:gridSpan w:val="3"/>
            <w:shd w:val="clear" w:color="auto" w:fill="auto"/>
            <w:tcMar>
              <w:top w:w="0" w:type="dxa"/>
              <w:left w:w="20" w:type="dxa"/>
              <w:bottom w:w="0" w:type="dxa"/>
              <w:right w:w="20" w:type="dxa"/>
            </w:tcMar>
          </w:tcPr>
          <w:p w14:paraId="1E8038A8"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8A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8AA" w14:textId="77777777" w:rsidR="00F20ABF" w:rsidRDefault="00F20ABF">
            <w:pPr>
              <w:rPr>
                <w:rFonts w:ascii="宋体"/>
              </w:rPr>
            </w:pPr>
          </w:p>
        </w:tc>
      </w:tr>
      <w:tr w:rsidR="00F20ABF" w14:paraId="1E8038AF" w14:textId="77777777">
        <w:tc>
          <w:tcPr>
            <w:tcW w:w="0" w:type="auto"/>
            <w:gridSpan w:val="3"/>
            <w:shd w:val="clear" w:color="auto" w:fill="auto"/>
            <w:tcMar>
              <w:top w:w="40" w:type="dxa"/>
              <w:left w:w="20" w:type="dxa"/>
              <w:bottom w:w="40" w:type="dxa"/>
              <w:right w:w="20" w:type="dxa"/>
            </w:tcMar>
            <w:vAlign w:val="bottom"/>
          </w:tcPr>
          <w:p w14:paraId="1E8038AC" w14:textId="77777777" w:rsidR="00F20ABF" w:rsidRDefault="00CA4D2F">
            <w:pPr>
              <w:textAlignment w:val="bottom"/>
            </w:pPr>
            <w:hyperlink r:id="rId8" w:anchor="ia3cd10d674d04d9cbfbeec0d84d3c18d_13"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1E8038AD" w14:textId="77777777" w:rsidR="00F20ABF" w:rsidRDefault="00CA4D2F">
            <w:pPr>
              <w:jc w:val="both"/>
              <w:textAlignment w:val="bottom"/>
            </w:pPr>
            <w:r>
              <w:rPr>
                <w:rFonts w:ascii="sans-serif" w:eastAsia="sans-serif" w:hAnsi="sans-serif" w:cs="sans-serif"/>
                <w:color w:val="000000"/>
                <w:sz w:val="20"/>
                <w:szCs w:val="20"/>
              </w:rPr>
              <w:t>Financial Statements (Unaudited)</w:t>
            </w:r>
          </w:p>
        </w:tc>
        <w:tc>
          <w:tcPr>
            <w:tcW w:w="0" w:type="auto"/>
            <w:gridSpan w:val="3"/>
            <w:shd w:val="clear" w:color="auto" w:fill="auto"/>
            <w:tcMar>
              <w:top w:w="40" w:type="dxa"/>
              <w:left w:w="20" w:type="dxa"/>
              <w:bottom w:w="40" w:type="dxa"/>
              <w:right w:w="20" w:type="dxa"/>
            </w:tcMar>
            <w:vAlign w:val="bottom"/>
          </w:tcPr>
          <w:p w14:paraId="1E8038AE" w14:textId="77777777" w:rsidR="00F20ABF" w:rsidRDefault="00CA4D2F">
            <w:pPr>
              <w:textAlignment w:val="bottom"/>
            </w:pPr>
            <w:r>
              <w:rPr>
                <w:rFonts w:ascii="sans-serif" w:eastAsia="sans-serif" w:hAnsi="sans-serif" w:cs="sans-serif"/>
                <w:color w:val="000000"/>
                <w:sz w:val="20"/>
                <w:szCs w:val="20"/>
              </w:rPr>
              <w:t> </w:t>
            </w:r>
          </w:p>
        </w:tc>
      </w:tr>
      <w:tr w:rsidR="00F20ABF" w14:paraId="1E8038B3" w14:textId="77777777">
        <w:trPr>
          <w:trHeight w:val="60"/>
        </w:trPr>
        <w:tc>
          <w:tcPr>
            <w:tcW w:w="0" w:type="auto"/>
            <w:gridSpan w:val="3"/>
            <w:shd w:val="clear" w:color="auto" w:fill="auto"/>
            <w:tcMar>
              <w:top w:w="0" w:type="dxa"/>
              <w:left w:w="20" w:type="dxa"/>
              <w:bottom w:w="0" w:type="dxa"/>
              <w:right w:w="20" w:type="dxa"/>
            </w:tcMar>
          </w:tcPr>
          <w:p w14:paraId="1E8038B0"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8B1"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8B2" w14:textId="77777777" w:rsidR="00F20ABF" w:rsidRDefault="00F20ABF">
            <w:pPr>
              <w:rPr>
                <w:rFonts w:ascii="宋体"/>
              </w:rPr>
            </w:pPr>
          </w:p>
        </w:tc>
      </w:tr>
      <w:tr w:rsidR="00F20ABF" w14:paraId="1E8038B7" w14:textId="77777777">
        <w:tc>
          <w:tcPr>
            <w:tcW w:w="0" w:type="auto"/>
            <w:gridSpan w:val="3"/>
            <w:shd w:val="clear" w:color="auto" w:fill="auto"/>
            <w:tcMar>
              <w:top w:w="40" w:type="dxa"/>
              <w:left w:w="20" w:type="dxa"/>
              <w:bottom w:w="40" w:type="dxa"/>
              <w:right w:w="20" w:type="dxa"/>
            </w:tcMar>
            <w:vAlign w:val="bottom"/>
          </w:tcPr>
          <w:p w14:paraId="1E8038B4"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38B5" w14:textId="77777777" w:rsidR="00F20ABF" w:rsidRDefault="00CA4D2F">
            <w:pPr>
              <w:jc w:val="both"/>
              <w:textAlignment w:val="bottom"/>
            </w:pPr>
            <w:r>
              <w:rPr>
                <w:rFonts w:ascii="sans-serif" w:eastAsia="sans-serif" w:hAnsi="sans-serif" w:cs="sans-serif"/>
                <w:color w:val="000000"/>
                <w:sz w:val="20"/>
                <w:szCs w:val="20"/>
              </w:rPr>
              <w:t xml:space="preserve">a) Condensed Consolidated Statements of Income </w:t>
            </w:r>
            <w:r>
              <w:rPr>
                <w:rFonts w:ascii="sans-serif" w:eastAsia="sans-serif" w:hAnsi="sans-serif" w:cs="sans-serif"/>
                <w:color w:val="000000"/>
                <w:sz w:val="20"/>
                <w:szCs w:val="20"/>
              </w:rPr>
              <w:t>for the three and nine months ended October 25, 2020 and October 27, 2019</w:t>
            </w:r>
          </w:p>
        </w:tc>
        <w:tc>
          <w:tcPr>
            <w:tcW w:w="0" w:type="auto"/>
            <w:gridSpan w:val="3"/>
            <w:shd w:val="clear" w:color="auto" w:fill="auto"/>
            <w:tcMar>
              <w:top w:w="40" w:type="dxa"/>
              <w:left w:w="20" w:type="dxa"/>
              <w:bottom w:w="40" w:type="dxa"/>
              <w:right w:w="20" w:type="dxa"/>
            </w:tcMar>
            <w:vAlign w:val="bottom"/>
          </w:tcPr>
          <w:p w14:paraId="1E8038B6" w14:textId="77777777" w:rsidR="00F20ABF" w:rsidRDefault="00CA4D2F">
            <w:pPr>
              <w:jc w:val="right"/>
              <w:textAlignment w:val="bottom"/>
            </w:pPr>
            <w:hyperlink r:id="rId9" w:anchor="ia3cd10d674d04d9cbfbeec0d84d3c18d_16" w:history="1">
              <w:r>
                <w:rPr>
                  <w:rStyle w:val="a5"/>
                  <w:rFonts w:ascii="sans-serif" w:eastAsia="sans-serif" w:hAnsi="sans-serif" w:cs="sans-serif"/>
                  <w:sz w:val="20"/>
                  <w:szCs w:val="20"/>
                </w:rPr>
                <w:t>3</w:t>
              </w:r>
            </w:hyperlink>
          </w:p>
        </w:tc>
      </w:tr>
      <w:tr w:rsidR="00F20ABF" w14:paraId="1E8038BB" w14:textId="77777777">
        <w:trPr>
          <w:hidden/>
        </w:trPr>
        <w:tc>
          <w:tcPr>
            <w:tcW w:w="0" w:type="auto"/>
            <w:gridSpan w:val="3"/>
            <w:shd w:val="clear" w:color="auto" w:fill="auto"/>
          </w:tcPr>
          <w:p w14:paraId="1E8038B8" w14:textId="77777777" w:rsidR="00F20ABF" w:rsidRDefault="00F20ABF">
            <w:pPr>
              <w:rPr>
                <w:rFonts w:ascii="宋体"/>
                <w:vanish/>
              </w:rPr>
            </w:pPr>
          </w:p>
        </w:tc>
        <w:tc>
          <w:tcPr>
            <w:tcW w:w="0" w:type="auto"/>
            <w:gridSpan w:val="3"/>
            <w:shd w:val="clear" w:color="auto" w:fill="auto"/>
          </w:tcPr>
          <w:p w14:paraId="1E8038B9" w14:textId="77777777" w:rsidR="00F20ABF" w:rsidRDefault="00F20ABF">
            <w:pPr>
              <w:rPr>
                <w:rFonts w:ascii="宋体"/>
                <w:vanish/>
              </w:rPr>
            </w:pPr>
          </w:p>
        </w:tc>
        <w:tc>
          <w:tcPr>
            <w:tcW w:w="0" w:type="auto"/>
            <w:gridSpan w:val="3"/>
            <w:shd w:val="clear" w:color="auto" w:fill="auto"/>
          </w:tcPr>
          <w:p w14:paraId="1E8038BA" w14:textId="77777777" w:rsidR="00F20ABF" w:rsidRDefault="00F20ABF">
            <w:pPr>
              <w:rPr>
                <w:rFonts w:ascii="宋体"/>
                <w:vanish/>
              </w:rPr>
            </w:pPr>
          </w:p>
        </w:tc>
      </w:tr>
      <w:tr w:rsidR="00F20ABF" w14:paraId="1E8038BF" w14:textId="77777777">
        <w:tc>
          <w:tcPr>
            <w:tcW w:w="0" w:type="auto"/>
            <w:gridSpan w:val="3"/>
            <w:shd w:val="clear" w:color="auto" w:fill="auto"/>
            <w:tcMar>
              <w:top w:w="0" w:type="dxa"/>
              <w:left w:w="20" w:type="dxa"/>
              <w:bottom w:w="0" w:type="dxa"/>
              <w:right w:w="20" w:type="dxa"/>
            </w:tcMar>
          </w:tcPr>
          <w:p w14:paraId="1E8038BC"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38BD" w14:textId="77777777" w:rsidR="00F20ABF" w:rsidRDefault="00CA4D2F">
            <w:pPr>
              <w:jc w:val="both"/>
              <w:textAlignment w:val="bottom"/>
            </w:pPr>
            <w:r>
              <w:rPr>
                <w:rFonts w:ascii="sans-serif" w:eastAsia="sans-serif" w:hAnsi="sans-serif" w:cs="sans-serif"/>
                <w:color w:val="000000"/>
                <w:sz w:val="20"/>
                <w:szCs w:val="20"/>
              </w:rPr>
              <w:t xml:space="preserve">b) </w:t>
            </w:r>
            <w:r>
              <w:rPr>
                <w:rFonts w:ascii="sans-serif" w:eastAsia="sans-serif" w:hAnsi="sans-serif" w:cs="sans-serif"/>
                <w:color w:val="000000"/>
                <w:sz w:val="20"/>
                <w:szCs w:val="20"/>
              </w:rPr>
              <w:t>Condensed Consolidated Statements of Comprehensive Income for the three and nine months ended October 25, 2020 and October 27, 2019</w:t>
            </w:r>
          </w:p>
        </w:tc>
        <w:tc>
          <w:tcPr>
            <w:tcW w:w="0" w:type="auto"/>
            <w:gridSpan w:val="3"/>
            <w:shd w:val="clear" w:color="auto" w:fill="auto"/>
            <w:tcMar>
              <w:top w:w="40" w:type="dxa"/>
              <w:left w:w="20" w:type="dxa"/>
              <w:bottom w:w="40" w:type="dxa"/>
              <w:right w:w="20" w:type="dxa"/>
            </w:tcMar>
            <w:vAlign w:val="bottom"/>
          </w:tcPr>
          <w:p w14:paraId="1E8038BE" w14:textId="77777777" w:rsidR="00F20ABF" w:rsidRDefault="00CA4D2F">
            <w:pPr>
              <w:jc w:val="right"/>
              <w:textAlignment w:val="bottom"/>
            </w:pPr>
            <w:hyperlink r:id="rId10" w:anchor="ia3cd10d674d04d9cbfbeec0d84d3c18d_19" w:history="1">
              <w:r>
                <w:rPr>
                  <w:rStyle w:val="a5"/>
                  <w:rFonts w:ascii="sans-serif" w:eastAsia="sans-serif" w:hAnsi="sans-serif" w:cs="sans-serif"/>
                  <w:sz w:val="20"/>
                  <w:szCs w:val="20"/>
                </w:rPr>
                <w:t>4</w:t>
              </w:r>
            </w:hyperlink>
          </w:p>
        </w:tc>
      </w:tr>
      <w:tr w:rsidR="00F20ABF" w14:paraId="1E8038C3" w14:textId="77777777">
        <w:trPr>
          <w:hidden/>
        </w:trPr>
        <w:tc>
          <w:tcPr>
            <w:tcW w:w="0" w:type="auto"/>
            <w:gridSpan w:val="3"/>
            <w:shd w:val="clear" w:color="auto" w:fill="auto"/>
          </w:tcPr>
          <w:p w14:paraId="1E8038C0" w14:textId="77777777" w:rsidR="00F20ABF" w:rsidRDefault="00F20ABF">
            <w:pPr>
              <w:rPr>
                <w:rFonts w:ascii="宋体"/>
                <w:vanish/>
              </w:rPr>
            </w:pPr>
          </w:p>
        </w:tc>
        <w:tc>
          <w:tcPr>
            <w:tcW w:w="0" w:type="auto"/>
            <w:gridSpan w:val="3"/>
            <w:shd w:val="clear" w:color="auto" w:fill="auto"/>
          </w:tcPr>
          <w:p w14:paraId="1E8038C1" w14:textId="77777777" w:rsidR="00F20ABF" w:rsidRDefault="00F20ABF">
            <w:pPr>
              <w:rPr>
                <w:rFonts w:ascii="宋体"/>
                <w:vanish/>
              </w:rPr>
            </w:pPr>
          </w:p>
        </w:tc>
        <w:tc>
          <w:tcPr>
            <w:tcW w:w="0" w:type="auto"/>
            <w:gridSpan w:val="3"/>
            <w:shd w:val="clear" w:color="auto" w:fill="auto"/>
          </w:tcPr>
          <w:p w14:paraId="1E8038C2" w14:textId="77777777" w:rsidR="00F20ABF" w:rsidRDefault="00F20ABF">
            <w:pPr>
              <w:rPr>
                <w:rFonts w:ascii="宋体"/>
                <w:vanish/>
              </w:rPr>
            </w:pPr>
          </w:p>
        </w:tc>
      </w:tr>
      <w:tr w:rsidR="00F20ABF" w14:paraId="1E8038C7" w14:textId="77777777">
        <w:tc>
          <w:tcPr>
            <w:tcW w:w="0" w:type="auto"/>
            <w:gridSpan w:val="3"/>
            <w:shd w:val="clear" w:color="auto" w:fill="auto"/>
            <w:tcMar>
              <w:top w:w="40" w:type="dxa"/>
              <w:left w:w="20" w:type="dxa"/>
              <w:bottom w:w="40" w:type="dxa"/>
              <w:right w:w="20" w:type="dxa"/>
            </w:tcMar>
            <w:vAlign w:val="bottom"/>
          </w:tcPr>
          <w:p w14:paraId="1E8038C4"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38C5" w14:textId="77777777" w:rsidR="00F20ABF" w:rsidRDefault="00CA4D2F">
            <w:pPr>
              <w:jc w:val="both"/>
              <w:textAlignment w:val="bottom"/>
            </w:pPr>
            <w:r>
              <w:rPr>
                <w:rFonts w:ascii="sans-serif" w:eastAsia="sans-serif" w:hAnsi="sans-serif" w:cs="sans-serif"/>
                <w:color w:val="000000"/>
                <w:sz w:val="20"/>
                <w:szCs w:val="20"/>
              </w:rPr>
              <w:t>c) Condensed Consolidated Balance Sheets as of October 25, 2020 and January 26, 2020</w:t>
            </w:r>
          </w:p>
        </w:tc>
        <w:tc>
          <w:tcPr>
            <w:tcW w:w="0" w:type="auto"/>
            <w:gridSpan w:val="3"/>
            <w:shd w:val="clear" w:color="auto" w:fill="auto"/>
            <w:tcMar>
              <w:top w:w="40" w:type="dxa"/>
              <w:left w:w="20" w:type="dxa"/>
              <w:bottom w:w="40" w:type="dxa"/>
              <w:right w:w="20" w:type="dxa"/>
            </w:tcMar>
            <w:vAlign w:val="bottom"/>
          </w:tcPr>
          <w:p w14:paraId="1E8038C6" w14:textId="77777777" w:rsidR="00F20ABF" w:rsidRDefault="00CA4D2F">
            <w:pPr>
              <w:jc w:val="right"/>
              <w:textAlignment w:val="bottom"/>
            </w:pPr>
            <w:hyperlink r:id="rId11" w:anchor="ia3cd10d674d04d9cbfbeec0d84d3c18d_22" w:history="1">
              <w:r>
                <w:rPr>
                  <w:rStyle w:val="a5"/>
                  <w:rFonts w:ascii="sans-serif" w:eastAsia="sans-serif" w:hAnsi="sans-serif" w:cs="sans-serif"/>
                  <w:sz w:val="20"/>
                  <w:szCs w:val="20"/>
                </w:rPr>
                <w:t>5</w:t>
              </w:r>
            </w:hyperlink>
          </w:p>
        </w:tc>
      </w:tr>
      <w:tr w:rsidR="00F20ABF" w14:paraId="1E8038CB" w14:textId="77777777">
        <w:trPr>
          <w:hidden/>
        </w:trPr>
        <w:tc>
          <w:tcPr>
            <w:tcW w:w="0" w:type="auto"/>
            <w:gridSpan w:val="3"/>
            <w:shd w:val="clear" w:color="auto" w:fill="auto"/>
          </w:tcPr>
          <w:p w14:paraId="1E8038C8" w14:textId="77777777" w:rsidR="00F20ABF" w:rsidRDefault="00F20ABF">
            <w:pPr>
              <w:rPr>
                <w:rFonts w:ascii="宋体"/>
                <w:vanish/>
              </w:rPr>
            </w:pPr>
          </w:p>
        </w:tc>
        <w:tc>
          <w:tcPr>
            <w:tcW w:w="0" w:type="auto"/>
            <w:gridSpan w:val="3"/>
            <w:shd w:val="clear" w:color="auto" w:fill="auto"/>
          </w:tcPr>
          <w:p w14:paraId="1E8038C9" w14:textId="77777777" w:rsidR="00F20ABF" w:rsidRDefault="00F20ABF">
            <w:pPr>
              <w:rPr>
                <w:rFonts w:ascii="宋体"/>
                <w:vanish/>
              </w:rPr>
            </w:pPr>
          </w:p>
        </w:tc>
        <w:tc>
          <w:tcPr>
            <w:tcW w:w="0" w:type="auto"/>
            <w:gridSpan w:val="3"/>
            <w:shd w:val="clear" w:color="auto" w:fill="auto"/>
          </w:tcPr>
          <w:p w14:paraId="1E8038CA" w14:textId="77777777" w:rsidR="00F20ABF" w:rsidRDefault="00F20ABF">
            <w:pPr>
              <w:rPr>
                <w:rFonts w:ascii="宋体"/>
                <w:vanish/>
              </w:rPr>
            </w:pPr>
          </w:p>
        </w:tc>
      </w:tr>
      <w:tr w:rsidR="00F20ABF" w14:paraId="1E8038CF" w14:textId="77777777">
        <w:tc>
          <w:tcPr>
            <w:tcW w:w="0" w:type="auto"/>
            <w:gridSpan w:val="3"/>
            <w:shd w:val="clear" w:color="auto" w:fill="auto"/>
            <w:tcMar>
              <w:top w:w="0" w:type="dxa"/>
              <w:left w:w="20" w:type="dxa"/>
              <w:bottom w:w="0" w:type="dxa"/>
              <w:right w:w="20" w:type="dxa"/>
            </w:tcMar>
          </w:tcPr>
          <w:p w14:paraId="1E8038CC"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38CD" w14:textId="77777777" w:rsidR="00F20ABF" w:rsidRDefault="00CA4D2F">
            <w:pPr>
              <w:jc w:val="both"/>
              <w:textAlignment w:val="bottom"/>
            </w:pPr>
            <w:r>
              <w:rPr>
                <w:rFonts w:ascii="sans-serif" w:eastAsia="sans-serif" w:hAnsi="sans-serif" w:cs="sans-serif"/>
                <w:color w:val="000000"/>
                <w:sz w:val="20"/>
                <w:szCs w:val="20"/>
              </w:rPr>
              <w:t xml:space="preserve">d) Condensed Consolidated Statements of Shareholders' Equity for the three and nine </w:t>
            </w:r>
            <w:r>
              <w:rPr>
                <w:rFonts w:ascii="sans-serif" w:eastAsia="sans-serif" w:hAnsi="sans-serif" w:cs="sans-serif"/>
                <w:color w:val="000000"/>
                <w:sz w:val="20"/>
                <w:szCs w:val="20"/>
              </w:rPr>
              <w:t>months ended October 25, 2020 and October 27, 2019</w:t>
            </w:r>
          </w:p>
        </w:tc>
        <w:tc>
          <w:tcPr>
            <w:tcW w:w="0" w:type="auto"/>
            <w:gridSpan w:val="3"/>
            <w:shd w:val="clear" w:color="auto" w:fill="auto"/>
            <w:tcMar>
              <w:top w:w="40" w:type="dxa"/>
              <w:left w:w="20" w:type="dxa"/>
              <w:bottom w:w="40" w:type="dxa"/>
              <w:right w:w="20" w:type="dxa"/>
            </w:tcMar>
            <w:vAlign w:val="bottom"/>
          </w:tcPr>
          <w:p w14:paraId="1E8038CE" w14:textId="77777777" w:rsidR="00F20ABF" w:rsidRDefault="00CA4D2F">
            <w:pPr>
              <w:jc w:val="right"/>
              <w:textAlignment w:val="bottom"/>
            </w:pPr>
            <w:hyperlink r:id="rId12" w:anchor="ia3cd10d674d04d9cbfbeec0d84d3c18d_25" w:history="1">
              <w:r>
                <w:rPr>
                  <w:rStyle w:val="a5"/>
                  <w:rFonts w:ascii="sans-serif" w:eastAsia="sans-serif" w:hAnsi="sans-serif" w:cs="sans-serif"/>
                  <w:sz w:val="20"/>
                  <w:szCs w:val="20"/>
                </w:rPr>
                <w:t>6</w:t>
              </w:r>
            </w:hyperlink>
          </w:p>
        </w:tc>
      </w:tr>
      <w:tr w:rsidR="00F20ABF" w14:paraId="1E8038D3" w14:textId="77777777">
        <w:trPr>
          <w:hidden/>
        </w:trPr>
        <w:tc>
          <w:tcPr>
            <w:tcW w:w="0" w:type="auto"/>
            <w:gridSpan w:val="3"/>
            <w:shd w:val="clear" w:color="auto" w:fill="auto"/>
          </w:tcPr>
          <w:p w14:paraId="1E8038D0" w14:textId="77777777" w:rsidR="00F20ABF" w:rsidRDefault="00F20ABF">
            <w:pPr>
              <w:rPr>
                <w:rFonts w:ascii="宋体"/>
                <w:vanish/>
              </w:rPr>
            </w:pPr>
          </w:p>
        </w:tc>
        <w:tc>
          <w:tcPr>
            <w:tcW w:w="0" w:type="auto"/>
            <w:gridSpan w:val="3"/>
            <w:shd w:val="clear" w:color="auto" w:fill="auto"/>
          </w:tcPr>
          <w:p w14:paraId="1E8038D1" w14:textId="77777777" w:rsidR="00F20ABF" w:rsidRDefault="00F20ABF">
            <w:pPr>
              <w:rPr>
                <w:rFonts w:ascii="宋体"/>
                <w:vanish/>
              </w:rPr>
            </w:pPr>
          </w:p>
        </w:tc>
        <w:tc>
          <w:tcPr>
            <w:tcW w:w="0" w:type="auto"/>
            <w:gridSpan w:val="3"/>
            <w:shd w:val="clear" w:color="auto" w:fill="auto"/>
          </w:tcPr>
          <w:p w14:paraId="1E8038D2" w14:textId="77777777" w:rsidR="00F20ABF" w:rsidRDefault="00F20ABF">
            <w:pPr>
              <w:rPr>
                <w:rFonts w:ascii="宋体"/>
                <w:vanish/>
              </w:rPr>
            </w:pPr>
          </w:p>
        </w:tc>
      </w:tr>
      <w:tr w:rsidR="00F20ABF" w14:paraId="1E8038D7" w14:textId="77777777">
        <w:tc>
          <w:tcPr>
            <w:tcW w:w="0" w:type="auto"/>
            <w:gridSpan w:val="3"/>
            <w:shd w:val="clear" w:color="auto" w:fill="auto"/>
            <w:tcMar>
              <w:top w:w="40" w:type="dxa"/>
              <w:left w:w="20" w:type="dxa"/>
              <w:bottom w:w="40" w:type="dxa"/>
              <w:right w:w="20" w:type="dxa"/>
            </w:tcMar>
            <w:vAlign w:val="bottom"/>
          </w:tcPr>
          <w:p w14:paraId="1E8038D4"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38D5" w14:textId="77777777" w:rsidR="00F20ABF" w:rsidRDefault="00CA4D2F">
            <w:pPr>
              <w:jc w:val="both"/>
              <w:textAlignment w:val="bottom"/>
            </w:pPr>
            <w:r>
              <w:rPr>
                <w:rFonts w:ascii="sans-serif" w:eastAsia="sans-serif" w:hAnsi="sans-serif" w:cs="sans-serif"/>
                <w:color w:val="000000"/>
                <w:sz w:val="20"/>
                <w:szCs w:val="20"/>
              </w:rPr>
              <w:t xml:space="preserve">e) Condensed Consolidated </w:t>
            </w:r>
            <w:r>
              <w:rPr>
                <w:rFonts w:ascii="sans-serif" w:eastAsia="sans-serif" w:hAnsi="sans-serif" w:cs="sans-serif"/>
                <w:color w:val="000000"/>
                <w:sz w:val="20"/>
                <w:szCs w:val="20"/>
              </w:rPr>
              <w:t>Statements of Cash Flows for the nine months ended October 25, 2020 and October 27, 2019</w:t>
            </w:r>
          </w:p>
        </w:tc>
        <w:tc>
          <w:tcPr>
            <w:tcW w:w="0" w:type="auto"/>
            <w:gridSpan w:val="3"/>
            <w:shd w:val="clear" w:color="auto" w:fill="auto"/>
            <w:tcMar>
              <w:top w:w="40" w:type="dxa"/>
              <w:left w:w="20" w:type="dxa"/>
              <w:bottom w:w="40" w:type="dxa"/>
              <w:right w:w="20" w:type="dxa"/>
            </w:tcMar>
            <w:vAlign w:val="bottom"/>
          </w:tcPr>
          <w:p w14:paraId="1E8038D6" w14:textId="77777777" w:rsidR="00F20ABF" w:rsidRDefault="00CA4D2F">
            <w:pPr>
              <w:jc w:val="right"/>
              <w:textAlignment w:val="bottom"/>
            </w:pPr>
            <w:hyperlink r:id="rId13" w:anchor="ia3cd10d674d04d9cbfbeec0d84d3c18d_31" w:history="1">
              <w:r>
                <w:rPr>
                  <w:rStyle w:val="a5"/>
                  <w:rFonts w:ascii="sans-serif" w:eastAsia="sans-serif" w:hAnsi="sans-serif" w:cs="sans-serif"/>
                  <w:sz w:val="20"/>
                  <w:szCs w:val="20"/>
                </w:rPr>
                <w:t>8</w:t>
              </w:r>
            </w:hyperlink>
          </w:p>
        </w:tc>
      </w:tr>
      <w:tr w:rsidR="00F20ABF" w14:paraId="1E8038DB" w14:textId="77777777">
        <w:trPr>
          <w:hidden/>
        </w:trPr>
        <w:tc>
          <w:tcPr>
            <w:tcW w:w="0" w:type="auto"/>
            <w:gridSpan w:val="3"/>
            <w:shd w:val="clear" w:color="auto" w:fill="auto"/>
          </w:tcPr>
          <w:p w14:paraId="1E8038D8" w14:textId="77777777" w:rsidR="00F20ABF" w:rsidRDefault="00F20ABF">
            <w:pPr>
              <w:rPr>
                <w:rFonts w:ascii="宋体"/>
                <w:vanish/>
              </w:rPr>
            </w:pPr>
          </w:p>
        </w:tc>
        <w:tc>
          <w:tcPr>
            <w:tcW w:w="0" w:type="auto"/>
            <w:gridSpan w:val="3"/>
            <w:shd w:val="clear" w:color="auto" w:fill="auto"/>
          </w:tcPr>
          <w:p w14:paraId="1E8038D9" w14:textId="77777777" w:rsidR="00F20ABF" w:rsidRDefault="00F20ABF">
            <w:pPr>
              <w:rPr>
                <w:rFonts w:ascii="宋体"/>
                <w:vanish/>
              </w:rPr>
            </w:pPr>
          </w:p>
        </w:tc>
        <w:tc>
          <w:tcPr>
            <w:tcW w:w="0" w:type="auto"/>
            <w:gridSpan w:val="3"/>
            <w:shd w:val="clear" w:color="auto" w:fill="auto"/>
          </w:tcPr>
          <w:p w14:paraId="1E8038DA" w14:textId="77777777" w:rsidR="00F20ABF" w:rsidRDefault="00F20ABF">
            <w:pPr>
              <w:rPr>
                <w:rFonts w:ascii="宋体"/>
                <w:vanish/>
              </w:rPr>
            </w:pPr>
          </w:p>
        </w:tc>
      </w:tr>
      <w:tr w:rsidR="00F20ABF" w14:paraId="1E8038DF" w14:textId="77777777">
        <w:tc>
          <w:tcPr>
            <w:tcW w:w="0" w:type="auto"/>
            <w:gridSpan w:val="3"/>
            <w:shd w:val="clear" w:color="auto" w:fill="auto"/>
            <w:tcMar>
              <w:top w:w="40" w:type="dxa"/>
              <w:left w:w="20" w:type="dxa"/>
              <w:bottom w:w="40" w:type="dxa"/>
              <w:right w:w="20" w:type="dxa"/>
            </w:tcMar>
            <w:vAlign w:val="bottom"/>
          </w:tcPr>
          <w:p w14:paraId="1E8038DC"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38DD" w14:textId="77777777" w:rsidR="00F20ABF" w:rsidRDefault="00CA4D2F">
            <w:pPr>
              <w:jc w:val="both"/>
              <w:textAlignment w:val="bottom"/>
            </w:pPr>
            <w:r>
              <w:rPr>
                <w:rFonts w:ascii="sans-serif" w:eastAsia="sans-serif" w:hAnsi="sans-serif" w:cs="sans-serif"/>
                <w:color w:val="000000"/>
                <w:sz w:val="20"/>
                <w:szCs w:val="20"/>
              </w:rPr>
              <w:t xml:space="preserve">f) </w:t>
            </w:r>
            <w:r>
              <w:rPr>
                <w:rFonts w:ascii="sans-serif" w:eastAsia="sans-serif" w:hAnsi="sans-serif" w:cs="sans-serif"/>
                <w:color w:val="000000"/>
                <w:sz w:val="20"/>
                <w:szCs w:val="20"/>
              </w:rPr>
              <w:t>Notes to Condensed Consolidated Financial Statements</w:t>
            </w:r>
          </w:p>
        </w:tc>
        <w:tc>
          <w:tcPr>
            <w:tcW w:w="0" w:type="auto"/>
            <w:gridSpan w:val="3"/>
            <w:shd w:val="clear" w:color="auto" w:fill="auto"/>
            <w:tcMar>
              <w:top w:w="40" w:type="dxa"/>
              <w:left w:w="20" w:type="dxa"/>
              <w:bottom w:w="40" w:type="dxa"/>
              <w:right w:w="20" w:type="dxa"/>
            </w:tcMar>
            <w:vAlign w:val="bottom"/>
          </w:tcPr>
          <w:p w14:paraId="1E8038DE" w14:textId="77777777" w:rsidR="00F20ABF" w:rsidRDefault="00CA4D2F">
            <w:pPr>
              <w:jc w:val="right"/>
              <w:textAlignment w:val="bottom"/>
            </w:pPr>
            <w:hyperlink r:id="rId14" w:anchor="ia3cd10d674d04d9cbfbeec0d84d3c18d_34" w:history="1">
              <w:r>
                <w:rPr>
                  <w:rStyle w:val="a5"/>
                  <w:rFonts w:ascii="sans-serif" w:eastAsia="sans-serif" w:hAnsi="sans-serif" w:cs="sans-serif"/>
                  <w:sz w:val="20"/>
                  <w:szCs w:val="20"/>
                </w:rPr>
                <w:t>9</w:t>
              </w:r>
            </w:hyperlink>
          </w:p>
        </w:tc>
      </w:tr>
      <w:tr w:rsidR="00F20ABF" w14:paraId="1E8038E3" w14:textId="77777777">
        <w:trPr>
          <w:trHeight w:val="60"/>
        </w:trPr>
        <w:tc>
          <w:tcPr>
            <w:tcW w:w="0" w:type="auto"/>
            <w:gridSpan w:val="3"/>
            <w:shd w:val="clear" w:color="auto" w:fill="auto"/>
            <w:tcMar>
              <w:top w:w="0" w:type="dxa"/>
              <w:left w:w="20" w:type="dxa"/>
              <w:bottom w:w="0" w:type="dxa"/>
              <w:right w:w="20" w:type="dxa"/>
            </w:tcMar>
          </w:tcPr>
          <w:p w14:paraId="1E8038E0"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8E1"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8E2" w14:textId="77777777" w:rsidR="00F20ABF" w:rsidRDefault="00F20ABF">
            <w:pPr>
              <w:rPr>
                <w:rFonts w:ascii="宋体"/>
              </w:rPr>
            </w:pPr>
          </w:p>
        </w:tc>
      </w:tr>
      <w:tr w:rsidR="00F20ABF" w14:paraId="1E8038E7" w14:textId="77777777">
        <w:tc>
          <w:tcPr>
            <w:tcW w:w="0" w:type="auto"/>
            <w:gridSpan w:val="3"/>
            <w:shd w:val="clear" w:color="auto" w:fill="auto"/>
            <w:tcMar>
              <w:top w:w="40" w:type="dxa"/>
              <w:left w:w="20" w:type="dxa"/>
              <w:bottom w:w="40" w:type="dxa"/>
              <w:right w:w="20" w:type="dxa"/>
            </w:tcMar>
            <w:vAlign w:val="bottom"/>
          </w:tcPr>
          <w:p w14:paraId="1E8038E4" w14:textId="77777777" w:rsidR="00F20ABF" w:rsidRDefault="00CA4D2F">
            <w:pPr>
              <w:textAlignment w:val="bottom"/>
            </w:pPr>
            <w:hyperlink r:id="rId15" w:anchor="ia3cd10d674d04d9cbfbeec0d84d3c18d_85"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1E8038E5" w14:textId="77777777" w:rsidR="00F20ABF" w:rsidRDefault="00CA4D2F">
            <w:pPr>
              <w:textAlignment w:val="bottom"/>
            </w:pPr>
            <w:r>
              <w:rPr>
                <w:rFonts w:ascii="sans-serif" w:eastAsia="sans-serif" w:hAnsi="sans-serif" w:cs="sans-serif"/>
                <w:color w:val="000000"/>
                <w:sz w:val="20"/>
                <w:szCs w:val="20"/>
              </w:rPr>
              <w:t>Management’s Discussion and Analysis of Financial Condition and Results of Operations</w:t>
            </w:r>
          </w:p>
        </w:tc>
        <w:tc>
          <w:tcPr>
            <w:tcW w:w="0" w:type="auto"/>
            <w:gridSpan w:val="3"/>
            <w:shd w:val="clear" w:color="auto" w:fill="auto"/>
            <w:tcMar>
              <w:top w:w="40" w:type="dxa"/>
              <w:left w:w="20" w:type="dxa"/>
              <w:bottom w:w="40" w:type="dxa"/>
              <w:right w:w="20" w:type="dxa"/>
            </w:tcMar>
            <w:vAlign w:val="bottom"/>
          </w:tcPr>
          <w:p w14:paraId="1E8038E6" w14:textId="77777777" w:rsidR="00F20ABF" w:rsidRDefault="00CA4D2F">
            <w:pPr>
              <w:jc w:val="right"/>
              <w:textAlignment w:val="bottom"/>
            </w:pPr>
            <w:hyperlink r:id="rId16" w:anchor="ia3cd10d674d04d9cbfbeec0d84d3c18d_85" w:history="1">
              <w:r>
                <w:rPr>
                  <w:rStyle w:val="a5"/>
                  <w:rFonts w:ascii="sans-serif" w:eastAsia="sans-serif" w:hAnsi="sans-serif" w:cs="sans-serif"/>
                  <w:sz w:val="20"/>
                  <w:szCs w:val="20"/>
                </w:rPr>
                <w:t>26</w:t>
              </w:r>
            </w:hyperlink>
          </w:p>
        </w:tc>
      </w:tr>
      <w:tr w:rsidR="00F20ABF" w14:paraId="1E8038EB" w14:textId="77777777">
        <w:trPr>
          <w:trHeight w:val="60"/>
        </w:trPr>
        <w:tc>
          <w:tcPr>
            <w:tcW w:w="0" w:type="auto"/>
            <w:gridSpan w:val="3"/>
            <w:shd w:val="clear" w:color="auto" w:fill="auto"/>
            <w:tcMar>
              <w:top w:w="0" w:type="dxa"/>
              <w:left w:w="20" w:type="dxa"/>
              <w:bottom w:w="0" w:type="dxa"/>
              <w:right w:w="20" w:type="dxa"/>
            </w:tcMar>
          </w:tcPr>
          <w:p w14:paraId="1E8038E8"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8E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8EA" w14:textId="77777777" w:rsidR="00F20ABF" w:rsidRDefault="00F20ABF">
            <w:pPr>
              <w:rPr>
                <w:rFonts w:ascii="宋体"/>
              </w:rPr>
            </w:pPr>
          </w:p>
        </w:tc>
      </w:tr>
      <w:tr w:rsidR="00F20ABF" w14:paraId="1E8038EF" w14:textId="77777777">
        <w:tc>
          <w:tcPr>
            <w:tcW w:w="0" w:type="auto"/>
            <w:gridSpan w:val="3"/>
            <w:shd w:val="clear" w:color="auto" w:fill="auto"/>
            <w:tcMar>
              <w:top w:w="40" w:type="dxa"/>
              <w:left w:w="20" w:type="dxa"/>
              <w:bottom w:w="40" w:type="dxa"/>
              <w:right w:w="20" w:type="dxa"/>
            </w:tcMar>
            <w:vAlign w:val="bottom"/>
          </w:tcPr>
          <w:p w14:paraId="1E8038EC" w14:textId="77777777" w:rsidR="00F20ABF" w:rsidRDefault="00CA4D2F">
            <w:pPr>
              <w:textAlignment w:val="bottom"/>
            </w:pPr>
            <w:hyperlink r:id="rId17" w:anchor="ia3cd10d674d04d9cbfbeec0d84d3c18d_100" w:history="1">
              <w:r>
                <w:rPr>
                  <w:rStyle w:val="a5"/>
                  <w:rFonts w:ascii="sans-serif" w:eastAsia="sans-serif" w:hAnsi="sans-serif" w:cs="sans-serif"/>
                  <w:sz w:val="20"/>
                  <w:szCs w:val="20"/>
                </w:rPr>
                <w:t>Item 3.</w:t>
              </w:r>
            </w:hyperlink>
          </w:p>
        </w:tc>
        <w:tc>
          <w:tcPr>
            <w:tcW w:w="0" w:type="auto"/>
            <w:gridSpan w:val="3"/>
            <w:shd w:val="clear" w:color="auto" w:fill="auto"/>
            <w:tcMar>
              <w:top w:w="40" w:type="dxa"/>
              <w:left w:w="20" w:type="dxa"/>
              <w:bottom w:w="40" w:type="dxa"/>
              <w:right w:w="20" w:type="dxa"/>
            </w:tcMar>
            <w:vAlign w:val="bottom"/>
          </w:tcPr>
          <w:p w14:paraId="1E8038ED" w14:textId="77777777" w:rsidR="00F20ABF" w:rsidRDefault="00CA4D2F">
            <w:pPr>
              <w:textAlignment w:val="bottom"/>
            </w:pPr>
            <w:r>
              <w:rPr>
                <w:rFonts w:ascii="sans-serif" w:eastAsia="sans-serif" w:hAnsi="sans-serif" w:cs="sans-serif"/>
                <w:color w:val="000000"/>
                <w:sz w:val="20"/>
                <w:szCs w:val="20"/>
              </w:rPr>
              <w:t>Quantitative and Qualitative Disclosures About Market Risk</w:t>
            </w:r>
          </w:p>
        </w:tc>
        <w:tc>
          <w:tcPr>
            <w:tcW w:w="0" w:type="auto"/>
            <w:gridSpan w:val="3"/>
            <w:shd w:val="clear" w:color="auto" w:fill="auto"/>
            <w:tcMar>
              <w:top w:w="40" w:type="dxa"/>
              <w:left w:w="20" w:type="dxa"/>
              <w:bottom w:w="40" w:type="dxa"/>
              <w:right w:w="20" w:type="dxa"/>
            </w:tcMar>
            <w:vAlign w:val="bottom"/>
          </w:tcPr>
          <w:p w14:paraId="1E8038EE" w14:textId="77777777" w:rsidR="00F20ABF" w:rsidRDefault="00CA4D2F">
            <w:pPr>
              <w:jc w:val="right"/>
              <w:textAlignment w:val="bottom"/>
            </w:pPr>
            <w:hyperlink r:id="rId18" w:anchor="ia3cd10d674d04d9cbfbeec0d84d3c18d_100" w:history="1">
              <w:r>
                <w:rPr>
                  <w:rStyle w:val="a5"/>
                  <w:rFonts w:ascii="sans-serif" w:eastAsia="sans-serif" w:hAnsi="sans-serif" w:cs="sans-serif"/>
                  <w:sz w:val="20"/>
                  <w:szCs w:val="20"/>
                </w:rPr>
                <w:t>36</w:t>
              </w:r>
            </w:hyperlink>
          </w:p>
        </w:tc>
      </w:tr>
      <w:tr w:rsidR="00F20ABF" w14:paraId="1E8038F3" w14:textId="77777777">
        <w:trPr>
          <w:trHeight w:val="60"/>
        </w:trPr>
        <w:tc>
          <w:tcPr>
            <w:tcW w:w="0" w:type="auto"/>
            <w:gridSpan w:val="3"/>
            <w:shd w:val="clear" w:color="auto" w:fill="auto"/>
            <w:tcMar>
              <w:top w:w="0" w:type="dxa"/>
              <w:left w:w="20" w:type="dxa"/>
              <w:bottom w:w="0" w:type="dxa"/>
              <w:right w:w="20" w:type="dxa"/>
            </w:tcMar>
          </w:tcPr>
          <w:p w14:paraId="1E8038F0"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8F1"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8F2" w14:textId="77777777" w:rsidR="00F20ABF" w:rsidRDefault="00F20ABF">
            <w:pPr>
              <w:rPr>
                <w:rFonts w:ascii="宋体"/>
              </w:rPr>
            </w:pPr>
          </w:p>
        </w:tc>
      </w:tr>
      <w:tr w:rsidR="00F20ABF" w14:paraId="1E8038F7" w14:textId="77777777">
        <w:tc>
          <w:tcPr>
            <w:tcW w:w="0" w:type="auto"/>
            <w:gridSpan w:val="3"/>
            <w:shd w:val="clear" w:color="auto" w:fill="auto"/>
            <w:tcMar>
              <w:top w:w="40" w:type="dxa"/>
              <w:left w:w="20" w:type="dxa"/>
              <w:bottom w:w="40" w:type="dxa"/>
              <w:right w:w="20" w:type="dxa"/>
            </w:tcMar>
            <w:vAlign w:val="bottom"/>
          </w:tcPr>
          <w:p w14:paraId="1E8038F4" w14:textId="77777777" w:rsidR="00F20ABF" w:rsidRDefault="00CA4D2F">
            <w:pPr>
              <w:textAlignment w:val="bottom"/>
            </w:pPr>
            <w:hyperlink r:id="rId19" w:anchor="ia3cd10d674d04d9cbfbeec0d84d3c18d_103" w:history="1">
              <w:r>
                <w:rPr>
                  <w:rStyle w:val="a5"/>
                  <w:rFonts w:ascii="sans-serif" w:eastAsia="sans-serif" w:hAnsi="sans-serif" w:cs="sans-serif"/>
                  <w:sz w:val="20"/>
                  <w:szCs w:val="20"/>
                </w:rPr>
                <w:t>Item 4.</w:t>
              </w:r>
            </w:hyperlink>
          </w:p>
        </w:tc>
        <w:tc>
          <w:tcPr>
            <w:tcW w:w="0" w:type="auto"/>
            <w:gridSpan w:val="3"/>
            <w:shd w:val="clear" w:color="auto" w:fill="auto"/>
            <w:tcMar>
              <w:top w:w="40" w:type="dxa"/>
              <w:left w:w="20" w:type="dxa"/>
              <w:bottom w:w="40" w:type="dxa"/>
              <w:right w:w="20" w:type="dxa"/>
            </w:tcMar>
            <w:vAlign w:val="bottom"/>
          </w:tcPr>
          <w:p w14:paraId="1E8038F5" w14:textId="77777777" w:rsidR="00F20ABF" w:rsidRDefault="00CA4D2F">
            <w:pPr>
              <w:textAlignment w:val="bottom"/>
            </w:pPr>
            <w:r>
              <w:rPr>
                <w:rFonts w:ascii="sans-serif" w:eastAsia="sans-serif" w:hAnsi="sans-serif" w:cs="sans-serif"/>
                <w:color w:val="000000"/>
                <w:sz w:val="20"/>
                <w:szCs w:val="20"/>
              </w:rPr>
              <w:t>Controls and Procedures</w:t>
            </w:r>
          </w:p>
        </w:tc>
        <w:tc>
          <w:tcPr>
            <w:tcW w:w="0" w:type="auto"/>
            <w:gridSpan w:val="3"/>
            <w:shd w:val="clear" w:color="auto" w:fill="auto"/>
            <w:tcMar>
              <w:top w:w="40" w:type="dxa"/>
              <w:left w:w="20" w:type="dxa"/>
              <w:bottom w:w="40" w:type="dxa"/>
              <w:right w:w="20" w:type="dxa"/>
            </w:tcMar>
            <w:vAlign w:val="bottom"/>
          </w:tcPr>
          <w:p w14:paraId="1E8038F6" w14:textId="77777777" w:rsidR="00F20ABF" w:rsidRDefault="00CA4D2F">
            <w:pPr>
              <w:jc w:val="right"/>
              <w:textAlignment w:val="bottom"/>
            </w:pPr>
            <w:hyperlink r:id="rId20" w:anchor="ia3cd10d674d04d9cbfbeec0d84d3c18d_103" w:history="1">
              <w:r>
                <w:rPr>
                  <w:rStyle w:val="a5"/>
                  <w:rFonts w:ascii="sans-serif" w:eastAsia="sans-serif" w:hAnsi="sans-serif" w:cs="sans-serif"/>
                  <w:sz w:val="20"/>
                  <w:szCs w:val="20"/>
                </w:rPr>
                <w:t>36</w:t>
              </w:r>
            </w:hyperlink>
          </w:p>
        </w:tc>
      </w:tr>
      <w:tr w:rsidR="00F20ABF" w14:paraId="1E8038FB" w14:textId="77777777">
        <w:trPr>
          <w:trHeight w:val="60"/>
        </w:trPr>
        <w:tc>
          <w:tcPr>
            <w:tcW w:w="0" w:type="auto"/>
            <w:gridSpan w:val="3"/>
            <w:shd w:val="clear" w:color="auto" w:fill="auto"/>
            <w:tcMar>
              <w:top w:w="0" w:type="dxa"/>
              <w:left w:w="20" w:type="dxa"/>
              <w:bottom w:w="0" w:type="dxa"/>
              <w:right w:w="20" w:type="dxa"/>
            </w:tcMar>
          </w:tcPr>
          <w:p w14:paraId="1E8038F8"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8F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8FA" w14:textId="77777777" w:rsidR="00F20ABF" w:rsidRDefault="00F20ABF">
            <w:pPr>
              <w:rPr>
                <w:rFonts w:ascii="宋体"/>
              </w:rPr>
            </w:pPr>
          </w:p>
        </w:tc>
      </w:tr>
      <w:tr w:rsidR="00F20ABF" w14:paraId="1E8038FF" w14:textId="77777777">
        <w:tc>
          <w:tcPr>
            <w:tcW w:w="0" w:type="auto"/>
            <w:gridSpan w:val="3"/>
            <w:shd w:val="clear" w:color="auto" w:fill="auto"/>
            <w:tcMar>
              <w:top w:w="40" w:type="dxa"/>
              <w:left w:w="20" w:type="dxa"/>
              <w:bottom w:w="40" w:type="dxa"/>
              <w:right w:w="20" w:type="dxa"/>
            </w:tcMar>
            <w:vAlign w:val="bottom"/>
          </w:tcPr>
          <w:p w14:paraId="1E8038FC"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38FD" w14:textId="77777777" w:rsidR="00F20ABF" w:rsidRDefault="00CA4D2F">
            <w:pPr>
              <w:jc w:val="center"/>
              <w:textAlignment w:val="bottom"/>
            </w:pPr>
            <w:hyperlink r:id="rId21" w:anchor="ia3cd10d674d04d9cbfbeec0d84d3c18d_106" w:history="1">
              <w:r>
                <w:rPr>
                  <w:rStyle w:val="a5"/>
                  <w:rFonts w:ascii="sans-serif" w:eastAsia="sans-serif" w:hAnsi="sans-serif" w:cs="sans-serif"/>
                  <w:b/>
                  <w:bCs/>
                  <w:sz w:val="20"/>
                  <w:szCs w:val="20"/>
                </w:rPr>
                <w:t>PART II : OTHER INFORMATION</w:t>
              </w:r>
            </w:hyperlink>
          </w:p>
        </w:tc>
        <w:tc>
          <w:tcPr>
            <w:tcW w:w="0" w:type="auto"/>
            <w:gridSpan w:val="3"/>
            <w:shd w:val="clear" w:color="auto" w:fill="auto"/>
            <w:tcMar>
              <w:top w:w="40" w:type="dxa"/>
              <w:left w:w="20" w:type="dxa"/>
              <w:bottom w:w="40" w:type="dxa"/>
              <w:right w:w="20" w:type="dxa"/>
            </w:tcMar>
            <w:vAlign w:val="bottom"/>
          </w:tcPr>
          <w:p w14:paraId="1E8038FE" w14:textId="77777777" w:rsidR="00F20ABF" w:rsidRDefault="00CA4D2F">
            <w:pPr>
              <w:jc w:val="right"/>
              <w:textAlignment w:val="bottom"/>
            </w:pPr>
            <w:r>
              <w:rPr>
                <w:rFonts w:ascii="sans-serif" w:eastAsia="sans-serif" w:hAnsi="sans-serif" w:cs="sans-serif"/>
                <w:color w:val="000000"/>
                <w:sz w:val="20"/>
                <w:szCs w:val="20"/>
              </w:rPr>
              <w:t> </w:t>
            </w:r>
          </w:p>
        </w:tc>
      </w:tr>
      <w:tr w:rsidR="00F20ABF" w14:paraId="1E803903" w14:textId="77777777">
        <w:trPr>
          <w:trHeight w:val="60"/>
        </w:trPr>
        <w:tc>
          <w:tcPr>
            <w:tcW w:w="0" w:type="auto"/>
            <w:gridSpan w:val="3"/>
            <w:shd w:val="clear" w:color="auto" w:fill="auto"/>
            <w:tcMar>
              <w:top w:w="0" w:type="dxa"/>
              <w:left w:w="20" w:type="dxa"/>
              <w:bottom w:w="0" w:type="dxa"/>
              <w:right w:w="20" w:type="dxa"/>
            </w:tcMar>
          </w:tcPr>
          <w:p w14:paraId="1E803900"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901"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902" w14:textId="77777777" w:rsidR="00F20ABF" w:rsidRDefault="00F20ABF">
            <w:pPr>
              <w:rPr>
                <w:rFonts w:ascii="宋体"/>
              </w:rPr>
            </w:pPr>
          </w:p>
        </w:tc>
      </w:tr>
      <w:tr w:rsidR="00F20ABF" w14:paraId="1E803907" w14:textId="77777777">
        <w:tc>
          <w:tcPr>
            <w:tcW w:w="0" w:type="auto"/>
            <w:gridSpan w:val="3"/>
            <w:shd w:val="clear" w:color="auto" w:fill="auto"/>
            <w:tcMar>
              <w:top w:w="40" w:type="dxa"/>
              <w:left w:w="20" w:type="dxa"/>
              <w:bottom w:w="40" w:type="dxa"/>
              <w:right w:w="20" w:type="dxa"/>
            </w:tcMar>
            <w:vAlign w:val="bottom"/>
          </w:tcPr>
          <w:p w14:paraId="1E803904" w14:textId="77777777" w:rsidR="00F20ABF" w:rsidRDefault="00CA4D2F">
            <w:pPr>
              <w:textAlignment w:val="bottom"/>
            </w:pPr>
            <w:hyperlink r:id="rId22" w:anchor="ia3cd10d674d04d9cbfbeec0d84d3c18d_109"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1E803905" w14:textId="77777777" w:rsidR="00F20ABF" w:rsidRDefault="00CA4D2F">
            <w:pPr>
              <w:textAlignment w:val="bottom"/>
            </w:pPr>
            <w:r>
              <w:rPr>
                <w:rFonts w:ascii="sans-serif" w:eastAsia="sans-serif" w:hAnsi="sans-serif" w:cs="sans-serif"/>
                <w:color w:val="000000"/>
                <w:sz w:val="20"/>
                <w:szCs w:val="20"/>
              </w:rPr>
              <w:t>Legal Proceedings</w:t>
            </w:r>
          </w:p>
        </w:tc>
        <w:tc>
          <w:tcPr>
            <w:tcW w:w="0" w:type="auto"/>
            <w:gridSpan w:val="3"/>
            <w:shd w:val="clear" w:color="auto" w:fill="auto"/>
            <w:tcMar>
              <w:top w:w="40" w:type="dxa"/>
              <w:left w:w="20" w:type="dxa"/>
              <w:bottom w:w="40" w:type="dxa"/>
              <w:right w:w="20" w:type="dxa"/>
            </w:tcMar>
            <w:vAlign w:val="bottom"/>
          </w:tcPr>
          <w:p w14:paraId="1E803906" w14:textId="77777777" w:rsidR="00F20ABF" w:rsidRDefault="00CA4D2F">
            <w:pPr>
              <w:jc w:val="right"/>
              <w:textAlignment w:val="bottom"/>
            </w:pPr>
            <w:hyperlink r:id="rId23" w:anchor="ia3cd10d674d04d9cbfbeec0d84d3c18d_109" w:history="1">
              <w:r>
                <w:rPr>
                  <w:rStyle w:val="a5"/>
                  <w:rFonts w:ascii="sans-serif" w:eastAsia="sans-serif" w:hAnsi="sans-serif" w:cs="sans-serif"/>
                  <w:sz w:val="20"/>
                  <w:szCs w:val="20"/>
                </w:rPr>
                <w:t>36</w:t>
              </w:r>
            </w:hyperlink>
          </w:p>
        </w:tc>
      </w:tr>
      <w:tr w:rsidR="00F20ABF" w14:paraId="1E80390B" w14:textId="77777777">
        <w:trPr>
          <w:trHeight w:val="60"/>
        </w:trPr>
        <w:tc>
          <w:tcPr>
            <w:tcW w:w="0" w:type="auto"/>
            <w:gridSpan w:val="3"/>
            <w:shd w:val="clear" w:color="auto" w:fill="auto"/>
            <w:tcMar>
              <w:top w:w="0" w:type="dxa"/>
              <w:left w:w="20" w:type="dxa"/>
              <w:bottom w:w="0" w:type="dxa"/>
              <w:right w:w="20" w:type="dxa"/>
            </w:tcMar>
          </w:tcPr>
          <w:p w14:paraId="1E803908"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90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90A" w14:textId="77777777" w:rsidR="00F20ABF" w:rsidRDefault="00F20ABF">
            <w:pPr>
              <w:rPr>
                <w:rFonts w:ascii="宋体"/>
              </w:rPr>
            </w:pPr>
          </w:p>
        </w:tc>
      </w:tr>
      <w:tr w:rsidR="00F20ABF" w14:paraId="1E80390F" w14:textId="77777777">
        <w:tc>
          <w:tcPr>
            <w:tcW w:w="0" w:type="auto"/>
            <w:gridSpan w:val="3"/>
            <w:shd w:val="clear" w:color="auto" w:fill="auto"/>
            <w:tcMar>
              <w:top w:w="40" w:type="dxa"/>
              <w:left w:w="20" w:type="dxa"/>
              <w:bottom w:w="40" w:type="dxa"/>
              <w:right w:w="20" w:type="dxa"/>
            </w:tcMar>
            <w:vAlign w:val="bottom"/>
          </w:tcPr>
          <w:p w14:paraId="1E80390C" w14:textId="77777777" w:rsidR="00F20ABF" w:rsidRDefault="00CA4D2F">
            <w:pPr>
              <w:textAlignment w:val="bottom"/>
            </w:pPr>
            <w:hyperlink r:id="rId24" w:anchor="ia3cd10d674d04d9cbfbeec0d84d3c18d_112" w:history="1">
              <w:r>
                <w:rPr>
                  <w:rStyle w:val="a5"/>
                  <w:rFonts w:ascii="sans-serif" w:eastAsia="sans-serif" w:hAnsi="sans-serif" w:cs="sans-serif"/>
                  <w:sz w:val="20"/>
                  <w:szCs w:val="20"/>
                </w:rPr>
                <w:t>Item 1A.</w:t>
              </w:r>
            </w:hyperlink>
          </w:p>
        </w:tc>
        <w:tc>
          <w:tcPr>
            <w:tcW w:w="0" w:type="auto"/>
            <w:gridSpan w:val="3"/>
            <w:shd w:val="clear" w:color="auto" w:fill="auto"/>
            <w:tcMar>
              <w:top w:w="40" w:type="dxa"/>
              <w:left w:w="20" w:type="dxa"/>
              <w:bottom w:w="40" w:type="dxa"/>
              <w:right w:w="20" w:type="dxa"/>
            </w:tcMar>
            <w:vAlign w:val="bottom"/>
          </w:tcPr>
          <w:p w14:paraId="1E80390D" w14:textId="77777777" w:rsidR="00F20ABF" w:rsidRDefault="00CA4D2F">
            <w:pPr>
              <w:textAlignment w:val="bottom"/>
            </w:pPr>
            <w:r>
              <w:rPr>
                <w:rFonts w:ascii="sans-serif" w:eastAsia="sans-serif" w:hAnsi="sans-serif" w:cs="sans-serif"/>
                <w:color w:val="000000"/>
                <w:sz w:val="20"/>
                <w:szCs w:val="20"/>
              </w:rPr>
              <w:t>Risk Factors</w:t>
            </w:r>
          </w:p>
        </w:tc>
        <w:tc>
          <w:tcPr>
            <w:tcW w:w="0" w:type="auto"/>
            <w:gridSpan w:val="3"/>
            <w:shd w:val="clear" w:color="auto" w:fill="auto"/>
            <w:tcMar>
              <w:top w:w="40" w:type="dxa"/>
              <w:left w:w="20" w:type="dxa"/>
              <w:bottom w:w="40" w:type="dxa"/>
              <w:right w:w="20" w:type="dxa"/>
            </w:tcMar>
            <w:vAlign w:val="bottom"/>
          </w:tcPr>
          <w:p w14:paraId="1E80390E" w14:textId="77777777" w:rsidR="00F20ABF" w:rsidRDefault="00CA4D2F">
            <w:pPr>
              <w:jc w:val="right"/>
              <w:textAlignment w:val="bottom"/>
            </w:pPr>
            <w:hyperlink r:id="rId25" w:anchor="ia3cd10d674d04d9cbfbeec0d84d3c18d_112" w:history="1">
              <w:r>
                <w:rPr>
                  <w:rStyle w:val="a5"/>
                  <w:rFonts w:ascii="sans-serif" w:eastAsia="sans-serif" w:hAnsi="sans-serif" w:cs="sans-serif"/>
                  <w:sz w:val="20"/>
                  <w:szCs w:val="20"/>
                </w:rPr>
                <w:t>36</w:t>
              </w:r>
            </w:hyperlink>
          </w:p>
        </w:tc>
      </w:tr>
      <w:tr w:rsidR="00F20ABF" w14:paraId="1E803913" w14:textId="77777777">
        <w:trPr>
          <w:trHeight w:val="60"/>
        </w:trPr>
        <w:tc>
          <w:tcPr>
            <w:tcW w:w="0" w:type="auto"/>
            <w:gridSpan w:val="3"/>
            <w:shd w:val="clear" w:color="auto" w:fill="auto"/>
            <w:tcMar>
              <w:top w:w="0" w:type="dxa"/>
              <w:left w:w="20" w:type="dxa"/>
              <w:bottom w:w="0" w:type="dxa"/>
              <w:right w:w="20" w:type="dxa"/>
            </w:tcMar>
          </w:tcPr>
          <w:p w14:paraId="1E803910"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911"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912" w14:textId="77777777" w:rsidR="00F20ABF" w:rsidRDefault="00F20ABF">
            <w:pPr>
              <w:rPr>
                <w:rFonts w:ascii="宋体"/>
              </w:rPr>
            </w:pPr>
          </w:p>
        </w:tc>
      </w:tr>
      <w:tr w:rsidR="00F20ABF" w14:paraId="1E803917" w14:textId="77777777">
        <w:tc>
          <w:tcPr>
            <w:tcW w:w="0" w:type="auto"/>
            <w:gridSpan w:val="3"/>
            <w:shd w:val="clear" w:color="auto" w:fill="auto"/>
            <w:tcMar>
              <w:top w:w="40" w:type="dxa"/>
              <w:left w:w="20" w:type="dxa"/>
              <w:bottom w:w="40" w:type="dxa"/>
              <w:right w:w="20" w:type="dxa"/>
            </w:tcMar>
            <w:vAlign w:val="bottom"/>
          </w:tcPr>
          <w:p w14:paraId="1E803914" w14:textId="77777777" w:rsidR="00F20ABF" w:rsidRDefault="00CA4D2F">
            <w:pPr>
              <w:textAlignment w:val="bottom"/>
            </w:pPr>
            <w:hyperlink r:id="rId26" w:anchor="ia3cd10d674d04d9cbfbeec0d84d3c18d_115"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1E803915" w14:textId="77777777" w:rsidR="00F20ABF" w:rsidRDefault="00CA4D2F">
            <w:pPr>
              <w:textAlignment w:val="bottom"/>
            </w:pPr>
            <w:r>
              <w:rPr>
                <w:rFonts w:ascii="sans-serif" w:eastAsia="sans-serif" w:hAnsi="sans-serif" w:cs="sans-serif"/>
                <w:color w:val="000000"/>
                <w:sz w:val="20"/>
                <w:szCs w:val="20"/>
              </w:rPr>
              <w:t>Unregistered Sales of Equity Securities and Use of Proceeds</w:t>
            </w:r>
          </w:p>
        </w:tc>
        <w:tc>
          <w:tcPr>
            <w:tcW w:w="0" w:type="auto"/>
            <w:gridSpan w:val="3"/>
            <w:shd w:val="clear" w:color="auto" w:fill="auto"/>
            <w:tcMar>
              <w:top w:w="40" w:type="dxa"/>
              <w:left w:w="20" w:type="dxa"/>
              <w:bottom w:w="40" w:type="dxa"/>
              <w:right w:w="20" w:type="dxa"/>
            </w:tcMar>
            <w:vAlign w:val="bottom"/>
          </w:tcPr>
          <w:p w14:paraId="1E803916" w14:textId="77777777" w:rsidR="00F20ABF" w:rsidRDefault="00CA4D2F">
            <w:pPr>
              <w:jc w:val="right"/>
              <w:textAlignment w:val="bottom"/>
            </w:pPr>
            <w:hyperlink r:id="rId27" w:anchor="ia3cd10d674d04d9cbfbeec0d84d3c18d_115" w:history="1">
              <w:r>
                <w:rPr>
                  <w:rStyle w:val="a5"/>
                  <w:rFonts w:ascii="sans-serif" w:eastAsia="sans-serif" w:hAnsi="sans-serif" w:cs="sans-serif"/>
                  <w:sz w:val="20"/>
                  <w:szCs w:val="20"/>
                </w:rPr>
                <w:t>39</w:t>
              </w:r>
            </w:hyperlink>
          </w:p>
        </w:tc>
      </w:tr>
      <w:tr w:rsidR="00F20ABF" w14:paraId="1E80391B" w14:textId="77777777">
        <w:trPr>
          <w:trHeight w:val="60"/>
        </w:trPr>
        <w:tc>
          <w:tcPr>
            <w:tcW w:w="0" w:type="auto"/>
            <w:gridSpan w:val="3"/>
            <w:shd w:val="clear" w:color="auto" w:fill="auto"/>
            <w:tcMar>
              <w:top w:w="0" w:type="dxa"/>
              <w:left w:w="20" w:type="dxa"/>
              <w:bottom w:w="0" w:type="dxa"/>
              <w:right w:w="20" w:type="dxa"/>
            </w:tcMar>
          </w:tcPr>
          <w:p w14:paraId="1E803918"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91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91A" w14:textId="77777777" w:rsidR="00F20ABF" w:rsidRDefault="00F20ABF">
            <w:pPr>
              <w:rPr>
                <w:rFonts w:ascii="宋体"/>
              </w:rPr>
            </w:pPr>
          </w:p>
        </w:tc>
      </w:tr>
      <w:tr w:rsidR="00F20ABF" w14:paraId="1E80391F" w14:textId="77777777">
        <w:tc>
          <w:tcPr>
            <w:tcW w:w="0" w:type="auto"/>
            <w:gridSpan w:val="3"/>
            <w:shd w:val="clear" w:color="auto" w:fill="auto"/>
            <w:tcMar>
              <w:top w:w="40" w:type="dxa"/>
              <w:left w:w="20" w:type="dxa"/>
              <w:bottom w:w="40" w:type="dxa"/>
              <w:right w:w="20" w:type="dxa"/>
            </w:tcMar>
            <w:vAlign w:val="bottom"/>
          </w:tcPr>
          <w:p w14:paraId="1E80391C" w14:textId="77777777" w:rsidR="00F20ABF" w:rsidRDefault="00CA4D2F">
            <w:pPr>
              <w:textAlignment w:val="bottom"/>
            </w:pPr>
            <w:hyperlink r:id="rId28" w:anchor="ia3cd10d674d04d9cbfbeec0d84d3c18d_118" w:history="1">
              <w:r>
                <w:rPr>
                  <w:rStyle w:val="a5"/>
                  <w:rFonts w:ascii="sans-serif" w:eastAsia="sans-serif" w:hAnsi="sans-serif" w:cs="sans-serif"/>
                  <w:sz w:val="20"/>
                  <w:szCs w:val="20"/>
                </w:rPr>
                <w:t>Item 6.</w:t>
              </w:r>
            </w:hyperlink>
          </w:p>
        </w:tc>
        <w:tc>
          <w:tcPr>
            <w:tcW w:w="0" w:type="auto"/>
            <w:gridSpan w:val="3"/>
            <w:shd w:val="clear" w:color="auto" w:fill="auto"/>
            <w:tcMar>
              <w:top w:w="40" w:type="dxa"/>
              <w:left w:w="20" w:type="dxa"/>
              <w:bottom w:w="40" w:type="dxa"/>
              <w:right w:w="20" w:type="dxa"/>
            </w:tcMar>
            <w:vAlign w:val="bottom"/>
          </w:tcPr>
          <w:p w14:paraId="1E80391D" w14:textId="77777777" w:rsidR="00F20ABF" w:rsidRDefault="00CA4D2F">
            <w:pPr>
              <w:textAlignment w:val="bottom"/>
            </w:pPr>
            <w:r>
              <w:rPr>
                <w:rFonts w:ascii="sans-serif" w:eastAsia="sans-serif" w:hAnsi="sans-serif" w:cs="sans-serif"/>
                <w:color w:val="000000"/>
                <w:sz w:val="20"/>
                <w:szCs w:val="20"/>
              </w:rPr>
              <w:t>Exhibits</w:t>
            </w:r>
          </w:p>
        </w:tc>
        <w:tc>
          <w:tcPr>
            <w:tcW w:w="0" w:type="auto"/>
            <w:gridSpan w:val="3"/>
            <w:shd w:val="clear" w:color="auto" w:fill="auto"/>
            <w:tcMar>
              <w:top w:w="40" w:type="dxa"/>
              <w:left w:w="20" w:type="dxa"/>
              <w:bottom w:w="40" w:type="dxa"/>
              <w:right w:w="20" w:type="dxa"/>
            </w:tcMar>
            <w:vAlign w:val="bottom"/>
          </w:tcPr>
          <w:p w14:paraId="1E80391E" w14:textId="77777777" w:rsidR="00F20ABF" w:rsidRDefault="00CA4D2F">
            <w:pPr>
              <w:jc w:val="right"/>
              <w:textAlignment w:val="bottom"/>
            </w:pPr>
            <w:hyperlink r:id="rId29" w:anchor="ia3cd10d674d04d9cbfbeec0d84d3c18d_118" w:history="1">
              <w:r>
                <w:rPr>
                  <w:rStyle w:val="a5"/>
                  <w:rFonts w:ascii="sans-serif" w:eastAsia="sans-serif" w:hAnsi="sans-serif" w:cs="sans-serif"/>
                  <w:sz w:val="20"/>
                  <w:szCs w:val="20"/>
                </w:rPr>
                <w:t>41</w:t>
              </w:r>
            </w:hyperlink>
          </w:p>
        </w:tc>
      </w:tr>
      <w:tr w:rsidR="00F20ABF" w14:paraId="1E803923" w14:textId="77777777">
        <w:trPr>
          <w:trHeight w:val="60"/>
        </w:trPr>
        <w:tc>
          <w:tcPr>
            <w:tcW w:w="0" w:type="auto"/>
            <w:gridSpan w:val="3"/>
            <w:shd w:val="clear" w:color="auto" w:fill="auto"/>
            <w:tcMar>
              <w:top w:w="0" w:type="dxa"/>
              <w:left w:w="20" w:type="dxa"/>
              <w:bottom w:w="0" w:type="dxa"/>
              <w:right w:w="20" w:type="dxa"/>
            </w:tcMar>
          </w:tcPr>
          <w:p w14:paraId="1E803920"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921"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922" w14:textId="77777777" w:rsidR="00F20ABF" w:rsidRDefault="00F20ABF">
            <w:pPr>
              <w:rPr>
                <w:rFonts w:ascii="宋体"/>
              </w:rPr>
            </w:pPr>
          </w:p>
        </w:tc>
      </w:tr>
      <w:tr w:rsidR="00F20ABF" w14:paraId="1E803927" w14:textId="77777777">
        <w:tc>
          <w:tcPr>
            <w:tcW w:w="0" w:type="auto"/>
            <w:gridSpan w:val="3"/>
            <w:shd w:val="clear" w:color="auto" w:fill="auto"/>
            <w:tcMar>
              <w:top w:w="40" w:type="dxa"/>
              <w:left w:w="20" w:type="dxa"/>
              <w:bottom w:w="40" w:type="dxa"/>
              <w:right w:w="20" w:type="dxa"/>
            </w:tcMar>
            <w:vAlign w:val="bottom"/>
          </w:tcPr>
          <w:p w14:paraId="1E803924" w14:textId="77777777" w:rsidR="00F20ABF" w:rsidRDefault="00CA4D2F">
            <w:pPr>
              <w:textAlignment w:val="bottom"/>
            </w:pPr>
            <w:hyperlink r:id="rId30" w:anchor="ia3cd10d674d04d9cbfbeec0d84d3c18d_121" w:history="1">
              <w:r>
                <w:rPr>
                  <w:rStyle w:val="a5"/>
                  <w:rFonts w:ascii="sans-serif" w:eastAsia="sans-serif" w:hAnsi="sans-serif" w:cs="sans-serif"/>
                  <w:sz w:val="20"/>
                  <w:szCs w:val="20"/>
                </w:rPr>
                <w:t>Signature</w:t>
              </w:r>
            </w:hyperlink>
          </w:p>
        </w:tc>
        <w:tc>
          <w:tcPr>
            <w:tcW w:w="0" w:type="auto"/>
            <w:gridSpan w:val="3"/>
            <w:shd w:val="clear" w:color="auto" w:fill="auto"/>
            <w:tcMar>
              <w:top w:w="40" w:type="dxa"/>
              <w:left w:w="20" w:type="dxa"/>
              <w:bottom w:w="40" w:type="dxa"/>
              <w:right w:w="20" w:type="dxa"/>
            </w:tcMar>
            <w:vAlign w:val="bottom"/>
          </w:tcPr>
          <w:p w14:paraId="1E803925"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3926" w14:textId="77777777" w:rsidR="00F20ABF" w:rsidRDefault="00CA4D2F">
            <w:pPr>
              <w:jc w:val="right"/>
              <w:textAlignment w:val="bottom"/>
            </w:pPr>
            <w:hyperlink r:id="rId31" w:anchor="ia3cd10d674d04d9cbfbeec0d84d3c18d_121" w:history="1">
              <w:r>
                <w:rPr>
                  <w:rStyle w:val="a5"/>
                  <w:rFonts w:ascii="sans-serif" w:eastAsia="sans-serif" w:hAnsi="sans-serif" w:cs="sans-serif"/>
                  <w:sz w:val="20"/>
                  <w:szCs w:val="20"/>
                </w:rPr>
                <w:t>42</w:t>
              </w:r>
            </w:hyperlink>
          </w:p>
        </w:tc>
      </w:tr>
    </w:tbl>
    <w:p w14:paraId="1E803928" w14:textId="77777777" w:rsidR="00F20ABF" w:rsidRDefault="00CA4D2F">
      <w:pPr>
        <w:spacing w:before="240" w:after="120"/>
        <w:jc w:val="both"/>
      </w:pPr>
      <w:r>
        <w:rPr>
          <w:rFonts w:ascii="sans-serif" w:eastAsia="sans-serif" w:hAnsi="sans-serif" w:cs="sans-serif"/>
          <w:b/>
          <w:bCs/>
          <w:color w:val="76B900"/>
          <w:sz w:val="22"/>
          <w:szCs w:val="22"/>
        </w:rPr>
        <w:t>WHERE YOU CAN FIND MORE INFORMATION</w:t>
      </w:r>
    </w:p>
    <w:p w14:paraId="1E803929" w14:textId="77777777" w:rsidR="00F20ABF" w:rsidRDefault="00CA4D2F">
      <w:pPr>
        <w:spacing w:after="180"/>
        <w:jc w:val="both"/>
      </w:pPr>
      <w:r>
        <w:rPr>
          <w:rFonts w:ascii="sans-serif" w:eastAsia="sans-serif" w:hAnsi="sans-serif" w:cs="sans-serif"/>
          <w:color w:val="000000"/>
          <w:sz w:val="20"/>
          <w:szCs w:val="20"/>
        </w:rPr>
        <w:t xml:space="preserve">Investors and others should note that we announce material financial information to our investors using our investor relations website, press </w:t>
      </w:r>
      <w:r>
        <w:rPr>
          <w:rFonts w:ascii="sans-serif" w:eastAsia="sans-serif" w:hAnsi="sans-serif" w:cs="sans-serif"/>
          <w:color w:val="000000"/>
          <w:sz w:val="20"/>
          <w:szCs w:val="20"/>
        </w:rPr>
        <w:t>releases, SEC filings and public conference calls and webcasts. We also use the following social media channels as a means of disclosing information about the company, our products, our planned financial and other announcements and attendance at upcoming i</w:t>
      </w:r>
      <w:r>
        <w:rPr>
          <w:rFonts w:ascii="sans-serif" w:eastAsia="sans-serif" w:hAnsi="sans-serif" w:cs="sans-serif"/>
          <w:color w:val="000000"/>
          <w:sz w:val="20"/>
          <w:szCs w:val="20"/>
        </w:rPr>
        <w:t>nvestor and industry conferences, and other matters and for complying with our disclosure obligations under Regulation FD: </w:t>
      </w:r>
    </w:p>
    <w:p w14:paraId="1E80392A" w14:textId="77777777" w:rsidR="00F20ABF" w:rsidRDefault="00CA4D2F">
      <w:pPr>
        <w:spacing w:after="180"/>
        <w:ind w:firstLine="360"/>
        <w:jc w:val="both"/>
      </w:pPr>
      <w:r>
        <w:rPr>
          <w:rFonts w:ascii="sans-serif" w:eastAsia="sans-serif" w:hAnsi="sans-serif" w:cs="sans-serif"/>
          <w:color w:val="000000"/>
          <w:sz w:val="20"/>
          <w:szCs w:val="20"/>
        </w:rPr>
        <w:t>NVIDIA Twitter Account (https://twitter.com/nvidia)</w:t>
      </w:r>
    </w:p>
    <w:p w14:paraId="1E80392B" w14:textId="77777777" w:rsidR="00F20ABF" w:rsidRDefault="00CA4D2F">
      <w:pPr>
        <w:spacing w:after="180"/>
        <w:ind w:firstLine="360"/>
        <w:jc w:val="both"/>
      </w:pPr>
      <w:r>
        <w:rPr>
          <w:rFonts w:ascii="sans-serif" w:eastAsia="sans-serif" w:hAnsi="sans-serif" w:cs="sans-serif"/>
          <w:color w:val="000000"/>
          <w:sz w:val="20"/>
          <w:szCs w:val="20"/>
        </w:rPr>
        <w:t xml:space="preserve">NVIDIA Company Blog (http://blogs.nvidia.com) </w:t>
      </w:r>
    </w:p>
    <w:p w14:paraId="1E80392C" w14:textId="77777777" w:rsidR="00F20ABF" w:rsidRDefault="00CA4D2F">
      <w:pPr>
        <w:spacing w:after="180"/>
        <w:ind w:firstLine="360"/>
        <w:jc w:val="both"/>
      </w:pPr>
      <w:r>
        <w:rPr>
          <w:rFonts w:ascii="sans-serif" w:eastAsia="sans-serif" w:hAnsi="sans-serif" w:cs="sans-serif"/>
          <w:color w:val="000000"/>
          <w:sz w:val="20"/>
          <w:szCs w:val="20"/>
        </w:rPr>
        <w:t>NVIDIA Facebook Page (https://www</w:t>
      </w:r>
      <w:r>
        <w:rPr>
          <w:rFonts w:ascii="sans-serif" w:eastAsia="sans-serif" w:hAnsi="sans-serif" w:cs="sans-serif"/>
          <w:color w:val="000000"/>
          <w:sz w:val="20"/>
          <w:szCs w:val="20"/>
        </w:rPr>
        <w:t xml:space="preserve">.facebook.com/nvidia) </w:t>
      </w:r>
    </w:p>
    <w:p w14:paraId="1E80392D" w14:textId="77777777" w:rsidR="00F20ABF" w:rsidRDefault="00CA4D2F">
      <w:pPr>
        <w:spacing w:after="180"/>
        <w:ind w:firstLine="360"/>
        <w:jc w:val="both"/>
      </w:pPr>
      <w:r>
        <w:rPr>
          <w:rFonts w:ascii="sans-serif" w:eastAsia="sans-serif" w:hAnsi="sans-serif" w:cs="sans-serif"/>
          <w:color w:val="000000"/>
          <w:sz w:val="20"/>
          <w:szCs w:val="20"/>
        </w:rPr>
        <w:t>NVIDIA LinkedIn Page (http://www.linkedin.com/company/nvidia)</w:t>
      </w:r>
    </w:p>
    <w:p w14:paraId="1E80392E" w14:textId="77777777" w:rsidR="00F20ABF" w:rsidRDefault="00CA4D2F">
      <w:pPr>
        <w:spacing w:after="180"/>
        <w:ind w:firstLine="360"/>
        <w:jc w:val="both"/>
      </w:pPr>
      <w:r>
        <w:rPr>
          <w:rFonts w:ascii="sans-serif" w:eastAsia="sans-serif" w:hAnsi="sans-serif" w:cs="sans-serif"/>
          <w:color w:val="000000"/>
          <w:sz w:val="20"/>
          <w:szCs w:val="20"/>
        </w:rPr>
        <w:t>NVIDIA Instagram Page (https://www.instagram.com/nvidia)</w:t>
      </w:r>
    </w:p>
    <w:p w14:paraId="1E80392F" w14:textId="77777777" w:rsidR="00F20ABF" w:rsidRDefault="00CA4D2F">
      <w:pPr>
        <w:spacing w:after="180"/>
        <w:jc w:val="both"/>
      </w:pPr>
      <w:r>
        <w:rPr>
          <w:rFonts w:ascii="sans-serif" w:eastAsia="sans-serif" w:hAnsi="sans-serif" w:cs="sans-serif"/>
          <w:color w:val="000000"/>
          <w:sz w:val="20"/>
          <w:szCs w:val="20"/>
        </w:rPr>
        <w:t>In addition, investors and others can view NVIDIA videos on YouTube.</w:t>
      </w:r>
    </w:p>
    <w:p w14:paraId="1E803930" w14:textId="77777777" w:rsidR="00F20ABF" w:rsidRDefault="00CA4D2F">
      <w:pPr>
        <w:spacing w:after="180"/>
        <w:jc w:val="both"/>
      </w:pPr>
      <w:r>
        <w:rPr>
          <w:rFonts w:ascii="sans-serif" w:eastAsia="sans-serif" w:hAnsi="sans-serif" w:cs="sans-serif"/>
          <w:color w:val="000000"/>
          <w:sz w:val="20"/>
          <w:szCs w:val="20"/>
        </w:rPr>
        <w:t xml:space="preserve">The information we post through these social </w:t>
      </w:r>
      <w:r>
        <w:rPr>
          <w:rFonts w:ascii="sans-serif" w:eastAsia="sans-serif" w:hAnsi="sans-serif" w:cs="sans-serif"/>
          <w:color w:val="000000"/>
          <w:sz w:val="20"/>
          <w:szCs w:val="20"/>
        </w:rPr>
        <w:t>media channels may be deemed material. Accordingly, investors should monitor these accounts and the blog, in addition to following our press releases, SEC filings and public conference calls and webcasts. This list may be updated from time to time. The inf</w:t>
      </w:r>
      <w:r>
        <w:rPr>
          <w:rFonts w:ascii="sans-serif" w:eastAsia="sans-serif" w:hAnsi="sans-serif" w:cs="sans-serif"/>
          <w:color w:val="000000"/>
          <w:sz w:val="20"/>
          <w:szCs w:val="20"/>
        </w:rPr>
        <w:t>ormation we post through these channels is not a part of this quarterly report on Form 10-Q. These channels may be updated from time to time on NVIDIA's investor relations website.</w:t>
      </w:r>
    </w:p>
    <w:p w14:paraId="1E803931" w14:textId="77777777" w:rsidR="00F20ABF" w:rsidRDefault="00CA4D2F">
      <w:pPr>
        <w:spacing w:after="180"/>
        <w:jc w:val="center"/>
      </w:pPr>
      <w:r>
        <w:rPr>
          <w:rFonts w:ascii="sans-serif" w:eastAsia="sans-serif" w:hAnsi="sans-serif" w:cs="sans-serif"/>
          <w:color w:val="000000"/>
          <w:sz w:val="20"/>
          <w:szCs w:val="20"/>
        </w:rPr>
        <w:t>2</w:t>
      </w:r>
    </w:p>
    <w:p w14:paraId="1E803932" w14:textId="77777777" w:rsidR="00F20ABF" w:rsidRDefault="00CA4D2F">
      <w:r>
        <w:pict w14:anchorId="1E80557D">
          <v:rect id="_x0000_i1026" style="width:415.3pt;height:1.5pt" o:hralign="center" o:hrstd="t" o:hr="t" fillcolor="#a0a0a0" stroked="f"/>
        </w:pict>
      </w:r>
    </w:p>
    <w:p w14:paraId="1E803933" w14:textId="77777777" w:rsidR="00F20ABF" w:rsidRDefault="00F20ABF">
      <w:pPr>
        <w:spacing w:after="180"/>
        <w:jc w:val="both"/>
      </w:pPr>
    </w:p>
    <w:p w14:paraId="1E803934" w14:textId="77777777" w:rsidR="00F20ABF" w:rsidRDefault="00CA4D2F">
      <w:pPr>
        <w:spacing w:before="240" w:after="120"/>
        <w:jc w:val="both"/>
      </w:pPr>
      <w:r>
        <w:rPr>
          <w:rFonts w:ascii="sans-serif" w:eastAsia="sans-serif" w:hAnsi="sans-serif" w:cs="sans-serif"/>
          <w:b/>
          <w:bCs/>
          <w:color w:val="76B900"/>
          <w:sz w:val="22"/>
          <w:szCs w:val="22"/>
        </w:rPr>
        <w:t>PART I. FINANCIAL INFORMATION</w:t>
      </w:r>
    </w:p>
    <w:p w14:paraId="1E803935" w14:textId="77777777" w:rsidR="00F20ABF" w:rsidRDefault="00CA4D2F">
      <w:pPr>
        <w:spacing w:before="240" w:after="120"/>
        <w:jc w:val="both"/>
      </w:pPr>
      <w:r>
        <w:rPr>
          <w:rFonts w:ascii="sans-serif" w:eastAsia="sans-serif" w:hAnsi="sans-serif" w:cs="sans-serif"/>
          <w:b/>
          <w:bCs/>
          <w:color w:val="76B900"/>
          <w:sz w:val="22"/>
          <w:szCs w:val="22"/>
        </w:rPr>
        <w:t xml:space="preserve">ITEM 1.  FINANCIAL STATEMENTS </w:t>
      </w:r>
      <w:r>
        <w:rPr>
          <w:rFonts w:ascii="sans-serif" w:eastAsia="sans-serif" w:hAnsi="sans-serif" w:cs="sans-serif"/>
          <w:b/>
          <w:bCs/>
          <w:color w:val="76B900"/>
          <w:sz w:val="22"/>
          <w:szCs w:val="22"/>
        </w:rPr>
        <w:t>(UNAUDITED)</w:t>
      </w:r>
    </w:p>
    <w:p w14:paraId="1E803936" w14:textId="77777777" w:rsidR="00F20ABF" w:rsidRDefault="00CA4D2F">
      <w:pPr>
        <w:jc w:val="center"/>
      </w:pPr>
      <w:r>
        <w:rPr>
          <w:rFonts w:ascii="sans-serif" w:eastAsia="sans-serif" w:hAnsi="sans-serif" w:cs="sans-serif"/>
          <w:b/>
          <w:bCs/>
          <w:color w:val="000000"/>
          <w:sz w:val="20"/>
          <w:szCs w:val="20"/>
        </w:rPr>
        <w:t>NVIDIA CORPORATION AND SUBSIDIARIES</w:t>
      </w:r>
    </w:p>
    <w:p w14:paraId="1E803937" w14:textId="77777777" w:rsidR="00F20ABF" w:rsidRDefault="00CA4D2F">
      <w:pPr>
        <w:jc w:val="center"/>
      </w:pPr>
      <w:r>
        <w:rPr>
          <w:rFonts w:ascii="sans-serif" w:eastAsia="sans-serif" w:hAnsi="sans-serif" w:cs="sans-serif"/>
          <w:b/>
          <w:bCs/>
          <w:color w:val="000000"/>
          <w:sz w:val="20"/>
          <w:szCs w:val="20"/>
        </w:rPr>
        <w:t>CONDENSED CONSOLIDATED STATEMENTS OF INCOME</w:t>
      </w:r>
    </w:p>
    <w:p w14:paraId="1E803938" w14:textId="77777777" w:rsidR="00F20ABF" w:rsidRDefault="00CA4D2F">
      <w:pPr>
        <w:jc w:val="center"/>
      </w:pPr>
      <w:r>
        <w:rPr>
          <w:rFonts w:ascii="sans-serif" w:eastAsia="sans-serif" w:hAnsi="sans-serif" w:cs="sans-serif"/>
          <w:b/>
          <w:bCs/>
          <w:color w:val="000000"/>
          <w:sz w:val="20"/>
          <w:szCs w:val="20"/>
        </w:rPr>
        <w:t>(In millions, except per share data)</w:t>
      </w:r>
    </w:p>
    <w:p w14:paraId="1E803939" w14:textId="77777777" w:rsidR="00F20ABF" w:rsidRDefault="00CA4D2F">
      <w:pPr>
        <w:jc w:val="center"/>
      </w:pPr>
      <w:r>
        <w:rPr>
          <w:rFonts w:ascii="sans-serif" w:eastAsia="sans-serif" w:hAnsi="sans-serif" w:cs="sans-serif"/>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3786"/>
        <w:gridCol w:w="38"/>
        <w:gridCol w:w="123"/>
        <w:gridCol w:w="917"/>
        <w:gridCol w:w="37"/>
        <w:gridCol w:w="36"/>
        <w:gridCol w:w="36"/>
        <w:gridCol w:w="36"/>
        <w:gridCol w:w="123"/>
        <w:gridCol w:w="872"/>
        <w:gridCol w:w="37"/>
        <w:gridCol w:w="36"/>
        <w:gridCol w:w="40"/>
        <w:gridCol w:w="36"/>
        <w:gridCol w:w="122"/>
        <w:gridCol w:w="845"/>
        <w:gridCol w:w="36"/>
        <w:gridCol w:w="36"/>
        <w:gridCol w:w="40"/>
        <w:gridCol w:w="36"/>
        <w:gridCol w:w="123"/>
        <w:gridCol w:w="868"/>
        <w:gridCol w:w="37"/>
      </w:tblGrid>
      <w:tr w:rsidR="00F20ABF" w14:paraId="1E803952" w14:textId="77777777">
        <w:tc>
          <w:tcPr>
            <w:tcW w:w="50" w:type="pct"/>
            <w:shd w:val="clear" w:color="auto" w:fill="auto"/>
          </w:tcPr>
          <w:p w14:paraId="1E80393A" w14:textId="77777777" w:rsidR="00F20ABF" w:rsidRDefault="00F20ABF">
            <w:pPr>
              <w:rPr>
                <w:rFonts w:ascii="宋体"/>
              </w:rPr>
            </w:pPr>
          </w:p>
        </w:tc>
        <w:tc>
          <w:tcPr>
            <w:tcW w:w="2306" w:type="pct"/>
            <w:shd w:val="clear" w:color="auto" w:fill="auto"/>
          </w:tcPr>
          <w:p w14:paraId="1E80393B" w14:textId="77777777" w:rsidR="00F20ABF" w:rsidRDefault="00F20ABF">
            <w:pPr>
              <w:rPr>
                <w:rFonts w:ascii="宋体"/>
              </w:rPr>
            </w:pPr>
          </w:p>
        </w:tc>
        <w:tc>
          <w:tcPr>
            <w:tcW w:w="5" w:type="pct"/>
            <w:shd w:val="clear" w:color="auto" w:fill="auto"/>
          </w:tcPr>
          <w:p w14:paraId="1E80393C" w14:textId="77777777" w:rsidR="00F20ABF" w:rsidRDefault="00F20ABF">
            <w:pPr>
              <w:rPr>
                <w:rFonts w:ascii="宋体"/>
              </w:rPr>
            </w:pPr>
          </w:p>
        </w:tc>
        <w:tc>
          <w:tcPr>
            <w:tcW w:w="50" w:type="pct"/>
            <w:shd w:val="clear" w:color="auto" w:fill="auto"/>
          </w:tcPr>
          <w:p w14:paraId="1E80393D" w14:textId="77777777" w:rsidR="00F20ABF" w:rsidRDefault="00F20ABF">
            <w:pPr>
              <w:rPr>
                <w:rFonts w:ascii="宋体"/>
              </w:rPr>
            </w:pPr>
          </w:p>
        </w:tc>
        <w:tc>
          <w:tcPr>
            <w:tcW w:w="580" w:type="pct"/>
            <w:shd w:val="clear" w:color="auto" w:fill="auto"/>
          </w:tcPr>
          <w:p w14:paraId="1E80393E" w14:textId="77777777" w:rsidR="00F20ABF" w:rsidRDefault="00F20ABF">
            <w:pPr>
              <w:rPr>
                <w:rFonts w:ascii="宋体"/>
              </w:rPr>
            </w:pPr>
          </w:p>
        </w:tc>
        <w:tc>
          <w:tcPr>
            <w:tcW w:w="5" w:type="pct"/>
            <w:shd w:val="clear" w:color="auto" w:fill="auto"/>
          </w:tcPr>
          <w:p w14:paraId="1E80393F" w14:textId="77777777" w:rsidR="00F20ABF" w:rsidRDefault="00F20ABF">
            <w:pPr>
              <w:rPr>
                <w:rFonts w:ascii="宋体"/>
              </w:rPr>
            </w:pPr>
          </w:p>
        </w:tc>
        <w:tc>
          <w:tcPr>
            <w:tcW w:w="5" w:type="pct"/>
            <w:shd w:val="clear" w:color="auto" w:fill="auto"/>
          </w:tcPr>
          <w:p w14:paraId="1E803940" w14:textId="77777777" w:rsidR="00F20ABF" w:rsidRDefault="00F20ABF">
            <w:pPr>
              <w:rPr>
                <w:rFonts w:ascii="宋体"/>
              </w:rPr>
            </w:pPr>
          </w:p>
        </w:tc>
        <w:tc>
          <w:tcPr>
            <w:tcW w:w="26" w:type="pct"/>
            <w:shd w:val="clear" w:color="auto" w:fill="auto"/>
          </w:tcPr>
          <w:p w14:paraId="1E803941" w14:textId="77777777" w:rsidR="00F20ABF" w:rsidRDefault="00F20ABF">
            <w:pPr>
              <w:rPr>
                <w:rFonts w:ascii="宋体"/>
              </w:rPr>
            </w:pPr>
          </w:p>
        </w:tc>
        <w:tc>
          <w:tcPr>
            <w:tcW w:w="5" w:type="pct"/>
            <w:shd w:val="clear" w:color="auto" w:fill="auto"/>
          </w:tcPr>
          <w:p w14:paraId="1E803942" w14:textId="77777777" w:rsidR="00F20ABF" w:rsidRDefault="00F20ABF">
            <w:pPr>
              <w:rPr>
                <w:rFonts w:ascii="宋体"/>
              </w:rPr>
            </w:pPr>
          </w:p>
        </w:tc>
        <w:tc>
          <w:tcPr>
            <w:tcW w:w="50" w:type="pct"/>
            <w:shd w:val="clear" w:color="auto" w:fill="auto"/>
          </w:tcPr>
          <w:p w14:paraId="1E803943" w14:textId="77777777" w:rsidR="00F20ABF" w:rsidRDefault="00F20ABF">
            <w:pPr>
              <w:rPr>
                <w:rFonts w:ascii="宋体"/>
              </w:rPr>
            </w:pPr>
          </w:p>
        </w:tc>
        <w:tc>
          <w:tcPr>
            <w:tcW w:w="580" w:type="pct"/>
            <w:shd w:val="clear" w:color="auto" w:fill="auto"/>
          </w:tcPr>
          <w:p w14:paraId="1E803944" w14:textId="77777777" w:rsidR="00F20ABF" w:rsidRDefault="00F20ABF">
            <w:pPr>
              <w:rPr>
                <w:rFonts w:ascii="宋体"/>
              </w:rPr>
            </w:pPr>
          </w:p>
        </w:tc>
        <w:tc>
          <w:tcPr>
            <w:tcW w:w="5" w:type="pct"/>
            <w:shd w:val="clear" w:color="auto" w:fill="auto"/>
          </w:tcPr>
          <w:p w14:paraId="1E803945" w14:textId="77777777" w:rsidR="00F20ABF" w:rsidRDefault="00F20ABF">
            <w:pPr>
              <w:rPr>
                <w:rFonts w:ascii="宋体"/>
              </w:rPr>
            </w:pPr>
          </w:p>
        </w:tc>
        <w:tc>
          <w:tcPr>
            <w:tcW w:w="5" w:type="pct"/>
            <w:shd w:val="clear" w:color="auto" w:fill="auto"/>
          </w:tcPr>
          <w:p w14:paraId="1E803946" w14:textId="77777777" w:rsidR="00F20ABF" w:rsidRDefault="00F20ABF">
            <w:pPr>
              <w:rPr>
                <w:rFonts w:ascii="宋体"/>
              </w:rPr>
            </w:pPr>
          </w:p>
        </w:tc>
        <w:tc>
          <w:tcPr>
            <w:tcW w:w="55" w:type="pct"/>
            <w:shd w:val="clear" w:color="auto" w:fill="auto"/>
          </w:tcPr>
          <w:p w14:paraId="1E803947" w14:textId="77777777" w:rsidR="00F20ABF" w:rsidRDefault="00F20ABF">
            <w:pPr>
              <w:rPr>
                <w:rFonts w:ascii="宋体"/>
              </w:rPr>
            </w:pPr>
          </w:p>
        </w:tc>
        <w:tc>
          <w:tcPr>
            <w:tcW w:w="5" w:type="pct"/>
            <w:shd w:val="clear" w:color="auto" w:fill="auto"/>
          </w:tcPr>
          <w:p w14:paraId="1E803948" w14:textId="77777777" w:rsidR="00F20ABF" w:rsidRDefault="00F20ABF">
            <w:pPr>
              <w:rPr>
                <w:rFonts w:ascii="宋体"/>
              </w:rPr>
            </w:pPr>
          </w:p>
        </w:tc>
        <w:tc>
          <w:tcPr>
            <w:tcW w:w="50" w:type="pct"/>
            <w:shd w:val="clear" w:color="auto" w:fill="auto"/>
          </w:tcPr>
          <w:p w14:paraId="1E803949" w14:textId="77777777" w:rsidR="00F20ABF" w:rsidRDefault="00F20ABF">
            <w:pPr>
              <w:rPr>
                <w:rFonts w:ascii="宋体"/>
              </w:rPr>
            </w:pPr>
          </w:p>
        </w:tc>
        <w:tc>
          <w:tcPr>
            <w:tcW w:w="537" w:type="pct"/>
            <w:shd w:val="clear" w:color="auto" w:fill="auto"/>
          </w:tcPr>
          <w:p w14:paraId="1E80394A" w14:textId="77777777" w:rsidR="00F20ABF" w:rsidRDefault="00F20ABF">
            <w:pPr>
              <w:rPr>
                <w:rFonts w:ascii="宋体"/>
              </w:rPr>
            </w:pPr>
          </w:p>
        </w:tc>
        <w:tc>
          <w:tcPr>
            <w:tcW w:w="5" w:type="pct"/>
            <w:shd w:val="clear" w:color="auto" w:fill="auto"/>
          </w:tcPr>
          <w:p w14:paraId="1E80394B" w14:textId="77777777" w:rsidR="00F20ABF" w:rsidRDefault="00F20ABF">
            <w:pPr>
              <w:rPr>
                <w:rFonts w:ascii="宋体"/>
              </w:rPr>
            </w:pPr>
          </w:p>
        </w:tc>
        <w:tc>
          <w:tcPr>
            <w:tcW w:w="5" w:type="pct"/>
            <w:shd w:val="clear" w:color="auto" w:fill="auto"/>
          </w:tcPr>
          <w:p w14:paraId="1E80394C" w14:textId="77777777" w:rsidR="00F20ABF" w:rsidRDefault="00F20ABF">
            <w:pPr>
              <w:rPr>
                <w:rFonts w:ascii="宋体"/>
              </w:rPr>
            </w:pPr>
          </w:p>
        </w:tc>
        <w:tc>
          <w:tcPr>
            <w:tcW w:w="55" w:type="pct"/>
            <w:shd w:val="clear" w:color="auto" w:fill="auto"/>
          </w:tcPr>
          <w:p w14:paraId="1E80394D" w14:textId="77777777" w:rsidR="00F20ABF" w:rsidRDefault="00F20ABF">
            <w:pPr>
              <w:rPr>
                <w:rFonts w:ascii="宋体"/>
              </w:rPr>
            </w:pPr>
          </w:p>
        </w:tc>
        <w:tc>
          <w:tcPr>
            <w:tcW w:w="5" w:type="pct"/>
            <w:shd w:val="clear" w:color="auto" w:fill="auto"/>
          </w:tcPr>
          <w:p w14:paraId="1E80394E" w14:textId="77777777" w:rsidR="00F20ABF" w:rsidRDefault="00F20ABF">
            <w:pPr>
              <w:rPr>
                <w:rFonts w:ascii="宋体"/>
              </w:rPr>
            </w:pPr>
          </w:p>
        </w:tc>
        <w:tc>
          <w:tcPr>
            <w:tcW w:w="50" w:type="pct"/>
            <w:shd w:val="clear" w:color="auto" w:fill="auto"/>
          </w:tcPr>
          <w:p w14:paraId="1E80394F" w14:textId="77777777" w:rsidR="00F20ABF" w:rsidRDefault="00F20ABF">
            <w:pPr>
              <w:rPr>
                <w:rFonts w:ascii="宋体"/>
              </w:rPr>
            </w:pPr>
          </w:p>
        </w:tc>
        <w:tc>
          <w:tcPr>
            <w:tcW w:w="551" w:type="pct"/>
            <w:shd w:val="clear" w:color="auto" w:fill="auto"/>
          </w:tcPr>
          <w:p w14:paraId="1E803950" w14:textId="77777777" w:rsidR="00F20ABF" w:rsidRDefault="00F20ABF">
            <w:pPr>
              <w:rPr>
                <w:rFonts w:ascii="宋体"/>
              </w:rPr>
            </w:pPr>
          </w:p>
        </w:tc>
        <w:tc>
          <w:tcPr>
            <w:tcW w:w="5" w:type="pct"/>
            <w:shd w:val="clear" w:color="auto" w:fill="auto"/>
          </w:tcPr>
          <w:p w14:paraId="1E803951" w14:textId="77777777" w:rsidR="00F20ABF" w:rsidRDefault="00F20ABF">
            <w:pPr>
              <w:rPr>
                <w:rFonts w:ascii="宋体"/>
              </w:rPr>
            </w:pPr>
          </w:p>
        </w:tc>
      </w:tr>
      <w:tr w:rsidR="00F20ABF" w14:paraId="1E803957" w14:textId="77777777">
        <w:tc>
          <w:tcPr>
            <w:tcW w:w="0" w:type="auto"/>
            <w:gridSpan w:val="3"/>
            <w:shd w:val="clear" w:color="auto" w:fill="auto"/>
            <w:tcMar>
              <w:top w:w="40" w:type="dxa"/>
              <w:left w:w="20" w:type="dxa"/>
              <w:bottom w:w="40" w:type="dxa"/>
              <w:right w:w="20" w:type="dxa"/>
            </w:tcMar>
            <w:vAlign w:val="bottom"/>
          </w:tcPr>
          <w:p w14:paraId="1E803953" w14:textId="77777777" w:rsidR="00F20ABF" w:rsidRDefault="00CA4D2F">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E803954" w14:textId="77777777" w:rsidR="00F20ABF" w:rsidRDefault="00CA4D2F">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1E803955"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3956" w14:textId="77777777" w:rsidR="00F20ABF" w:rsidRDefault="00CA4D2F">
            <w:pPr>
              <w:jc w:val="center"/>
              <w:textAlignment w:val="bottom"/>
            </w:pPr>
            <w:r>
              <w:rPr>
                <w:rFonts w:ascii="sans-serif" w:eastAsia="sans-serif" w:hAnsi="sans-serif" w:cs="sans-serif"/>
                <w:b/>
                <w:bCs/>
                <w:color w:val="000000"/>
                <w:sz w:val="20"/>
                <w:szCs w:val="20"/>
              </w:rPr>
              <w:t>Nine Months Ended</w:t>
            </w:r>
          </w:p>
        </w:tc>
      </w:tr>
      <w:tr w:rsidR="00F20ABF" w14:paraId="1E803960" w14:textId="77777777">
        <w:tc>
          <w:tcPr>
            <w:tcW w:w="0" w:type="auto"/>
            <w:gridSpan w:val="3"/>
            <w:shd w:val="clear" w:color="auto" w:fill="auto"/>
            <w:tcMar>
              <w:top w:w="40" w:type="dxa"/>
              <w:left w:w="20" w:type="dxa"/>
              <w:bottom w:w="40" w:type="dxa"/>
              <w:right w:w="20" w:type="dxa"/>
            </w:tcMar>
            <w:vAlign w:val="bottom"/>
          </w:tcPr>
          <w:p w14:paraId="1E803958"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3959" w14:textId="77777777" w:rsidR="00F20ABF" w:rsidRDefault="00CA4D2F">
            <w:pPr>
              <w:jc w:val="center"/>
              <w:textAlignment w:val="bottom"/>
            </w:pPr>
            <w:r>
              <w:rPr>
                <w:rFonts w:ascii="sans-serif" w:eastAsia="sans-serif" w:hAnsi="sans-serif" w:cs="sans-serif"/>
                <w:b/>
                <w:bCs/>
                <w:color w:val="000000"/>
                <w:sz w:val="20"/>
                <w:szCs w:val="20"/>
              </w:rPr>
              <w:t>October 25,</w:t>
            </w:r>
          </w:p>
        </w:tc>
        <w:tc>
          <w:tcPr>
            <w:tcW w:w="0" w:type="auto"/>
            <w:gridSpan w:val="3"/>
            <w:tcBorders>
              <w:top w:val="single" w:sz="8" w:space="0" w:color="000000"/>
            </w:tcBorders>
            <w:shd w:val="clear" w:color="auto" w:fill="auto"/>
            <w:tcMar>
              <w:top w:w="0" w:type="dxa"/>
              <w:left w:w="20" w:type="dxa"/>
              <w:bottom w:w="0" w:type="dxa"/>
              <w:right w:w="20" w:type="dxa"/>
            </w:tcMar>
          </w:tcPr>
          <w:p w14:paraId="1E80395A"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395B" w14:textId="77777777" w:rsidR="00F20ABF" w:rsidRDefault="00CA4D2F">
            <w:pPr>
              <w:jc w:val="center"/>
              <w:textAlignment w:val="bottom"/>
            </w:pPr>
            <w:r>
              <w:rPr>
                <w:rFonts w:ascii="sans-serif" w:eastAsia="sans-serif" w:hAnsi="sans-serif" w:cs="sans-serif"/>
                <w:b/>
                <w:bCs/>
                <w:color w:val="000000"/>
                <w:sz w:val="20"/>
                <w:szCs w:val="20"/>
              </w:rPr>
              <w:t>October 27,</w:t>
            </w:r>
          </w:p>
        </w:tc>
        <w:tc>
          <w:tcPr>
            <w:tcW w:w="0" w:type="auto"/>
            <w:gridSpan w:val="3"/>
            <w:shd w:val="clear" w:color="auto" w:fill="auto"/>
            <w:tcMar>
              <w:top w:w="0" w:type="dxa"/>
              <w:left w:w="20" w:type="dxa"/>
              <w:bottom w:w="0" w:type="dxa"/>
              <w:right w:w="20" w:type="dxa"/>
            </w:tcMar>
          </w:tcPr>
          <w:p w14:paraId="1E80395C"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395D" w14:textId="77777777" w:rsidR="00F20ABF" w:rsidRDefault="00CA4D2F">
            <w:pPr>
              <w:jc w:val="center"/>
              <w:textAlignment w:val="bottom"/>
            </w:pPr>
            <w:r>
              <w:rPr>
                <w:rFonts w:ascii="sans-serif" w:eastAsia="sans-serif" w:hAnsi="sans-serif" w:cs="sans-serif"/>
                <w:b/>
                <w:bCs/>
                <w:color w:val="000000"/>
                <w:sz w:val="20"/>
                <w:szCs w:val="20"/>
              </w:rPr>
              <w:t>October 25,</w:t>
            </w:r>
          </w:p>
        </w:tc>
        <w:tc>
          <w:tcPr>
            <w:tcW w:w="0" w:type="auto"/>
            <w:gridSpan w:val="3"/>
            <w:tcBorders>
              <w:top w:val="single" w:sz="8" w:space="0" w:color="000000"/>
            </w:tcBorders>
            <w:shd w:val="clear" w:color="auto" w:fill="auto"/>
            <w:tcMar>
              <w:top w:w="0" w:type="dxa"/>
              <w:left w:w="20" w:type="dxa"/>
              <w:bottom w:w="0" w:type="dxa"/>
              <w:right w:w="20" w:type="dxa"/>
            </w:tcMar>
          </w:tcPr>
          <w:p w14:paraId="1E80395E"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395F" w14:textId="77777777" w:rsidR="00F20ABF" w:rsidRDefault="00CA4D2F">
            <w:pPr>
              <w:jc w:val="center"/>
              <w:textAlignment w:val="bottom"/>
            </w:pPr>
            <w:r>
              <w:rPr>
                <w:rFonts w:ascii="sans-serif" w:eastAsia="sans-serif" w:hAnsi="sans-serif" w:cs="sans-serif"/>
                <w:b/>
                <w:bCs/>
                <w:color w:val="000000"/>
                <w:sz w:val="20"/>
                <w:szCs w:val="20"/>
              </w:rPr>
              <w:t>October 27,</w:t>
            </w:r>
          </w:p>
        </w:tc>
      </w:tr>
      <w:tr w:rsidR="00F20ABF" w14:paraId="1E803969" w14:textId="77777777">
        <w:tc>
          <w:tcPr>
            <w:tcW w:w="0" w:type="auto"/>
            <w:gridSpan w:val="3"/>
            <w:shd w:val="clear" w:color="auto" w:fill="auto"/>
            <w:tcMar>
              <w:top w:w="0" w:type="dxa"/>
              <w:left w:w="20" w:type="dxa"/>
              <w:bottom w:w="0" w:type="dxa"/>
              <w:right w:w="20" w:type="dxa"/>
            </w:tcMar>
          </w:tcPr>
          <w:p w14:paraId="1E803961"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3962" w14:textId="77777777" w:rsidR="00F20ABF" w:rsidRDefault="00CA4D2F">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tcPr>
          <w:p w14:paraId="1E803963"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3964" w14:textId="77777777" w:rsidR="00F20ABF" w:rsidRDefault="00CA4D2F">
            <w:pPr>
              <w:jc w:val="center"/>
              <w:textAlignment w:val="bottom"/>
            </w:pPr>
            <w:r>
              <w:rPr>
                <w:rFonts w:ascii="sans-serif" w:eastAsia="sans-serif" w:hAnsi="sans-serif" w:cs="sans-serif"/>
                <w:b/>
                <w:bCs/>
                <w:color w:val="000000"/>
                <w:sz w:val="20"/>
                <w:szCs w:val="20"/>
              </w:rPr>
              <w:t>2019</w:t>
            </w:r>
          </w:p>
        </w:tc>
        <w:tc>
          <w:tcPr>
            <w:tcW w:w="0" w:type="auto"/>
            <w:gridSpan w:val="3"/>
            <w:shd w:val="clear" w:color="auto" w:fill="auto"/>
            <w:tcMar>
              <w:top w:w="0" w:type="dxa"/>
              <w:left w:w="20" w:type="dxa"/>
              <w:bottom w:w="0" w:type="dxa"/>
              <w:right w:w="20" w:type="dxa"/>
            </w:tcMar>
          </w:tcPr>
          <w:p w14:paraId="1E803965"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3966" w14:textId="77777777" w:rsidR="00F20ABF" w:rsidRDefault="00CA4D2F">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tcPr>
          <w:p w14:paraId="1E803967"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3968" w14:textId="77777777" w:rsidR="00F20ABF" w:rsidRDefault="00CA4D2F">
            <w:pPr>
              <w:jc w:val="center"/>
              <w:textAlignment w:val="bottom"/>
            </w:pPr>
            <w:r>
              <w:rPr>
                <w:rFonts w:ascii="sans-serif" w:eastAsia="sans-serif" w:hAnsi="sans-serif" w:cs="sans-serif"/>
                <w:b/>
                <w:bCs/>
                <w:color w:val="000000"/>
                <w:sz w:val="20"/>
                <w:szCs w:val="20"/>
              </w:rPr>
              <w:t>2019</w:t>
            </w:r>
          </w:p>
        </w:tc>
      </w:tr>
      <w:tr w:rsidR="00F20ABF" w14:paraId="1E803972" w14:textId="77777777">
        <w:trPr>
          <w:trHeight w:val="300"/>
        </w:trPr>
        <w:tc>
          <w:tcPr>
            <w:tcW w:w="0" w:type="auto"/>
            <w:gridSpan w:val="3"/>
            <w:shd w:val="clear" w:color="auto" w:fill="auto"/>
            <w:tcMar>
              <w:top w:w="0" w:type="dxa"/>
              <w:left w:w="20" w:type="dxa"/>
              <w:bottom w:w="0" w:type="dxa"/>
              <w:right w:w="20" w:type="dxa"/>
            </w:tcMar>
          </w:tcPr>
          <w:p w14:paraId="1E80396A"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396B"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96C"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396D"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96E"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396F"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970"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3971" w14:textId="77777777" w:rsidR="00F20ABF" w:rsidRDefault="00F20ABF">
            <w:pPr>
              <w:rPr>
                <w:rFonts w:ascii="宋体"/>
              </w:rPr>
            </w:pPr>
          </w:p>
        </w:tc>
      </w:tr>
      <w:tr w:rsidR="00F20ABF" w14:paraId="1E803983" w14:textId="77777777">
        <w:tc>
          <w:tcPr>
            <w:tcW w:w="0" w:type="auto"/>
            <w:gridSpan w:val="3"/>
            <w:shd w:val="clear" w:color="auto" w:fill="E2EFD9"/>
            <w:tcMar>
              <w:top w:w="40" w:type="dxa"/>
              <w:left w:w="20" w:type="dxa"/>
              <w:bottom w:w="40" w:type="dxa"/>
              <w:right w:w="20" w:type="dxa"/>
            </w:tcMar>
            <w:vAlign w:val="bottom"/>
          </w:tcPr>
          <w:p w14:paraId="1E803973" w14:textId="77777777" w:rsidR="00F20ABF" w:rsidRDefault="00CA4D2F">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1E803974"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3975" w14:textId="77777777" w:rsidR="00F20ABF" w:rsidRDefault="00CA4D2F">
            <w:pPr>
              <w:jc w:val="right"/>
              <w:textAlignment w:val="bottom"/>
            </w:pPr>
            <w:r>
              <w:rPr>
                <w:rFonts w:ascii="sans-serif" w:eastAsia="sans-serif" w:hAnsi="sans-serif" w:cs="sans-serif"/>
                <w:color w:val="000000"/>
                <w:sz w:val="20"/>
                <w:szCs w:val="20"/>
              </w:rPr>
              <w:t>4,726 </w:t>
            </w:r>
          </w:p>
        </w:tc>
        <w:tc>
          <w:tcPr>
            <w:tcW w:w="0" w:type="auto"/>
            <w:shd w:val="clear" w:color="auto" w:fill="E2EFD9"/>
            <w:tcMar>
              <w:top w:w="40" w:type="dxa"/>
              <w:left w:w="0" w:type="dxa"/>
              <w:bottom w:w="40" w:type="dxa"/>
              <w:right w:w="20" w:type="dxa"/>
            </w:tcMar>
            <w:vAlign w:val="bottom"/>
          </w:tcPr>
          <w:p w14:paraId="1E80397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977"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3978"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3979" w14:textId="77777777" w:rsidR="00F20ABF" w:rsidRDefault="00CA4D2F">
            <w:pPr>
              <w:jc w:val="right"/>
              <w:textAlignment w:val="bottom"/>
            </w:pPr>
            <w:r>
              <w:rPr>
                <w:rFonts w:ascii="sans-serif" w:eastAsia="sans-serif" w:hAnsi="sans-serif" w:cs="sans-serif"/>
                <w:color w:val="000000"/>
                <w:sz w:val="20"/>
                <w:szCs w:val="20"/>
              </w:rPr>
              <w:t>3,014 </w:t>
            </w:r>
          </w:p>
        </w:tc>
        <w:tc>
          <w:tcPr>
            <w:tcW w:w="0" w:type="auto"/>
            <w:shd w:val="clear" w:color="auto" w:fill="E2EFD9"/>
            <w:tcMar>
              <w:top w:w="40" w:type="dxa"/>
              <w:left w:w="0" w:type="dxa"/>
              <w:bottom w:w="40" w:type="dxa"/>
              <w:right w:w="20" w:type="dxa"/>
            </w:tcMar>
            <w:vAlign w:val="bottom"/>
          </w:tcPr>
          <w:p w14:paraId="1E80397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97B"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397C"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397D" w14:textId="77777777" w:rsidR="00F20ABF" w:rsidRDefault="00CA4D2F">
            <w:pPr>
              <w:jc w:val="right"/>
              <w:textAlignment w:val="bottom"/>
            </w:pPr>
            <w:r>
              <w:rPr>
                <w:rFonts w:ascii="sans-serif" w:eastAsia="sans-serif" w:hAnsi="sans-serif" w:cs="sans-serif"/>
                <w:color w:val="000000"/>
                <w:sz w:val="20"/>
                <w:szCs w:val="20"/>
              </w:rPr>
              <w:t>11,672 </w:t>
            </w:r>
          </w:p>
        </w:tc>
        <w:tc>
          <w:tcPr>
            <w:tcW w:w="0" w:type="auto"/>
            <w:shd w:val="clear" w:color="auto" w:fill="E2EFD9"/>
            <w:tcMar>
              <w:top w:w="40" w:type="dxa"/>
              <w:left w:w="0" w:type="dxa"/>
              <w:bottom w:w="40" w:type="dxa"/>
              <w:right w:w="20" w:type="dxa"/>
            </w:tcMar>
            <w:vAlign w:val="bottom"/>
          </w:tcPr>
          <w:p w14:paraId="1E80397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97F"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3980"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3981" w14:textId="77777777" w:rsidR="00F20ABF" w:rsidRDefault="00CA4D2F">
            <w:pPr>
              <w:jc w:val="right"/>
              <w:textAlignment w:val="bottom"/>
            </w:pPr>
            <w:r>
              <w:rPr>
                <w:rFonts w:ascii="sans-serif" w:eastAsia="sans-serif" w:hAnsi="sans-serif" w:cs="sans-serif"/>
                <w:color w:val="000000"/>
                <w:sz w:val="20"/>
                <w:szCs w:val="20"/>
              </w:rPr>
              <w:t>7,813 </w:t>
            </w:r>
          </w:p>
        </w:tc>
        <w:tc>
          <w:tcPr>
            <w:tcW w:w="0" w:type="auto"/>
            <w:shd w:val="clear" w:color="auto" w:fill="E2EFD9"/>
            <w:tcMar>
              <w:top w:w="40" w:type="dxa"/>
              <w:left w:w="0" w:type="dxa"/>
              <w:bottom w:w="40" w:type="dxa"/>
              <w:right w:w="20" w:type="dxa"/>
            </w:tcMar>
            <w:vAlign w:val="bottom"/>
          </w:tcPr>
          <w:p w14:paraId="1E803982" w14:textId="77777777" w:rsidR="00F20ABF" w:rsidRDefault="00F20ABF">
            <w:pPr>
              <w:jc w:val="right"/>
              <w:rPr>
                <w:rFonts w:ascii="宋体"/>
              </w:rPr>
            </w:pPr>
          </w:p>
        </w:tc>
      </w:tr>
      <w:tr w:rsidR="00F20ABF" w14:paraId="1E803990" w14:textId="77777777">
        <w:tc>
          <w:tcPr>
            <w:tcW w:w="0" w:type="auto"/>
            <w:gridSpan w:val="3"/>
            <w:shd w:val="clear" w:color="auto" w:fill="FFFFFF"/>
            <w:tcMar>
              <w:top w:w="40" w:type="dxa"/>
              <w:left w:w="515" w:type="dxa"/>
              <w:bottom w:w="40" w:type="dxa"/>
              <w:right w:w="20" w:type="dxa"/>
            </w:tcMar>
            <w:vAlign w:val="bottom"/>
          </w:tcPr>
          <w:p w14:paraId="1E803984" w14:textId="77777777" w:rsidR="00F20ABF" w:rsidRDefault="00CA4D2F">
            <w:pPr>
              <w:textAlignment w:val="bottom"/>
            </w:pPr>
            <w:r>
              <w:rPr>
                <w:rFonts w:ascii="sans-serif" w:eastAsia="sans-serif" w:hAnsi="sans-serif" w:cs="sans-serif"/>
                <w:color w:val="000000"/>
                <w:sz w:val="20"/>
                <w:szCs w:val="20"/>
              </w:rPr>
              <w:t>Cost of revenue</w:t>
            </w:r>
          </w:p>
        </w:tc>
        <w:tc>
          <w:tcPr>
            <w:tcW w:w="0" w:type="auto"/>
            <w:gridSpan w:val="2"/>
            <w:shd w:val="clear" w:color="auto" w:fill="FFFFFF"/>
            <w:tcMar>
              <w:top w:w="40" w:type="dxa"/>
              <w:left w:w="20" w:type="dxa"/>
              <w:bottom w:w="40" w:type="dxa"/>
              <w:right w:w="0" w:type="dxa"/>
            </w:tcMar>
            <w:vAlign w:val="bottom"/>
          </w:tcPr>
          <w:p w14:paraId="1E803985" w14:textId="77777777" w:rsidR="00F20ABF" w:rsidRDefault="00CA4D2F">
            <w:pPr>
              <w:jc w:val="right"/>
              <w:textAlignment w:val="bottom"/>
            </w:pPr>
            <w:r>
              <w:rPr>
                <w:rFonts w:ascii="sans-serif" w:eastAsia="sans-serif" w:hAnsi="sans-serif" w:cs="sans-serif"/>
                <w:color w:val="000000"/>
                <w:sz w:val="20"/>
                <w:szCs w:val="20"/>
              </w:rPr>
              <w:t>1,766 </w:t>
            </w:r>
          </w:p>
        </w:tc>
        <w:tc>
          <w:tcPr>
            <w:tcW w:w="0" w:type="auto"/>
            <w:shd w:val="clear" w:color="auto" w:fill="FFFFFF"/>
            <w:tcMar>
              <w:top w:w="40" w:type="dxa"/>
              <w:left w:w="0" w:type="dxa"/>
              <w:bottom w:w="40" w:type="dxa"/>
              <w:right w:w="20" w:type="dxa"/>
            </w:tcMar>
            <w:vAlign w:val="bottom"/>
          </w:tcPr>
          <w:p w14:paraId="1E80398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987"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988" w14:textId="77777777" w:rsidR="00F20ABF" w:rsidRDefault="00CA4D2F">
            <w:pPr>
              <w:jc w:val="right"/>
              <w:textAlignment w:val="bottom"/>
            </w:pPr>
            <w:r>
              <w:rPr>
                <w:rFonts w:ascii="sans-serif" w:eastAsia="sans-serif" w:hAnsi="sans-serif" w:cs="sans-serif"/>
                <w:color w:val="000000"/>
                <w:sz w:val="20"/>
                <w:szCs w:val="20"/>
              </w:rPr>
              <w:t>1,098 </w:t>
            </w:r>
          </w:p>
        </w:tc>
        <w:tc>
          <w:tcPr>
            <w:tcW w:w="0" w:type="auto"/>
            <w:shd w:val="clear" w:color="auto" w:fill="FFFFFF"/>
            <w:tcMar>
              <w:top w:w="40" w:type="dxa"/>
              <w:left w:w="0" w:type="dxa"/>
              <w:bottom w:w="40" w:type="dxa"/>
              <w:right w:w="20" w:type="dxa"/>
            </w:tcMar>
            <w:vAlign w:val="bottom"/>
          </w:tcPr>
          <w:p w14:paraId="1E80398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98A"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98B" w14:textId="77777777" w:rsidR="00F20ABF" w:rsidRDefault="00CA4D2F">
            <w:pPr>
              <w:jc w:val="right"/>
              <w:textAlignment w:val="bottom"/>
            </w:pPr>
            <w:r>
              <w:rPr>
                <w:rFonts w:ascii="sans-serif" w:eastAsia="sans-serif" w:hAnsi="sans-serif" w:cs="sans-serif"/>
                <w:color w:val="000000"/>
                <w:sz w:val="20"/>
                <w:szCs w:val="20"/>
              </w:rPr>
              <w:t>4,432 </w:t>
            </w:r>
          </w:p>
        </w:tc>
        <w:tc>
          <w:tcPr>
            <w:tcW w:w="0" w:type="auto"/>
            <w:shd w:val="clear" w:color="auto" w:fill="FFFFFF"/>
            <w:tcMar>
              <w:top w:w="40" w:type="dxa"/>
              <w:left w:w="0" w:type="dxa"/>
              <w:bottom w:w="40" w:type="dxa"/>
              <w:right w:w="20" w:type="dxa"/>
            </w:tcMar>
            <w:vAlign w:val="bottom"/>
          </w:tcPr>
          <w:p w14:paraId="1E80398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98D"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98E" w14:textId="77777777" w:rsidR="00F20ABF" w:rsidRDefault="00CA4D2F">
            <w:pPr>
              <w:jc w:val="right"/>
              <w:textAlignment w:val="bottom"/>
            </w:pPr>
            <w:r>
              <w:rPr>
                <w:rFonts w:ascii="sans-serif" w:eastAsia="sans-serif" w:hAnsi="sans-serif" w:cs="sans-serif"/>
                <w:color w:val="000000"/>
                <w:sz w:val="20"/>
                <w:szCs w:val="20"/>
              </w:rPr>
              <w:t>3,060 </w:t>
            </w:r>
          </w:p>
        </w:tc>
        <w:tc>
          <w:tcPr>
            <w:tcW w:w="0" w:type="auto"/>
            <w:shd w:val="clear" w:color="auto" w:fill="FFFFFF"/>
            <w:tcMar>
              <w:top w:w="40" w:type="dxa"/>
              <w:left w:w="0" w:type="dxa"/>
              <w:bottom w:w="40" w:type="dxa"/>
              <w:right w:w="20" w:type="dxa"/>
            </w:tcMar>
            <w:vAlign w:val="bottom"/>
          </w:tcPr>
          <w:p w14:paraId="1E80398F" w14:textId="77777777" w:rsidR="00F20ABF" w:rsidRDefault="00F20ABF">
            <w:pPr>
              <w:jc w:val="right"/>
              <w:rPr>
                <w:rFonts w:ascii="宋体"/>
              </w:rPr>
            </w:pPr>
          </w:p>
        </w:tc>
      </w:tr>
      <w:tr w:rsidR="00F20ABF" w14:paraId="1E80399D" w14:textId="77777777">
        <w:tc>
          <w:tcPr>
            <w:tcW w:w="0" w:type="auto"/>
            <w:gridSpan w:val="3"/>
            <w:shd w:val="clear" w:color="auto" w:fill="E2EFD9"/>
            <w:tcMar>
              <w:top w:w="40" w:type="dxa"/>
              <w:left w:w="20" w:type="dxa"/>
              <w:bottom w:w="40" w:type="dxa"/>
              <w:right w:w="20" w:type="dxa"/>
            </w:tcMar>
            <w:vAlign w:val="bottom"/>
          </w:tcPr>
          <w:p w14:paraId="1E803991" w14:textId="77777777" w:rsidR="00F20ABF" w:rsidRDefault="00CA4D2F">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992" w14:textId="77777777" w:rsidR="00F20ABF" w:rsidRDefault="00CA4D2F">
            <w:pPr>
              <w:jc w:val="right"/>
              <w:textAlignment w:val="bottom"/>
            </w:pPr>
            <w:r>
              <w:rPr>
                <w:rFonts w:ascii="sans-serif" w:eastAsia="sans-serif" w:hAnsi="sans-serif" w:cs="sans-serif"/>
                <w:color w:val="000000"/>
                <w:sz w:val="20"/>
                <w:szCs w:val="20"/>
              </w:rPr>
              <w:t>2,960 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99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994"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995" w14:textId="77777777" w:rsidR="00F20ABF" w:rsidRDefault="00CA4D2F">
            <w:pPr>
              <w:jc w:val="right"/>
              <w:textAlignment w:val="bottom"/>
            </w:pPr>
            <w:r>
              <w:rPr>
                <w:rFonts w:ascii="sans-serif" w:eastAsia="sans-serif" w:hAnsi="sans-serif" w:cs="sans-serif"/>
                <w:color w:val="000000"/>
                <w:sz w:val="20"/>
                <w:szCs w:val="20"/>
              </w:rPr>
              <w:t>1,916 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99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997"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998" w14:textId="77777777" w:rsidR="00F20ABF" w:rsidRDefault="00CA4D2F">
            <w:pPr>
              <w:jc w:val="right"/>
              <w:textAlignment w:val="bottom"/>
            </w:pPr>
            <w:r>
              <w:rPr>
                <w:rFonts w:ascii="sans-serif" w:eastAsia="sans-serif" w:hAnsi="sans-serif" w:cs="sans-serif"/>
                <w:color w:val="000000"/>
                <w:sz w:val="20"/>
                <w:szCs w:val="20"/>
              </w:rPr>
              <w:t>7,240 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99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99A"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99B" w14:textId="77777777" w:rsidR="00F20ABF" w:rsidRDefault="00CA4D2F">
            <w:pPr>
              <w:jc w:val="right"/>
              <w:textAlignment w:val="bottom"/>
            </w:pPr>
            <w:r>
              <w:rPr>
                <w:rFonts w:ascii="sans-serif" w:eastAsia="sans-serif" w:hAnsi="sans-serif" w:cs="sans-serif"/>
                <w:color w:val="000000"/>
                <w:sz w:val="20"/>
                <w:szCs w:val="20"/>
              </w:rPr>
              <w:t>4,753 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99C" w14:textId="77777777" w:rsidR="00F20ABF" w:rsidRDefault="00F20ABF">
            <w:pPr>
              <w:jc w:val="right"/>
              <w:rPr>
                <w:rFonts w:ascii="宋体"/>
              </w:rPr>
            </w:pPr>
          </w:p>
        </w:tc>
      </w:tr>
      <w:tr w:rsidR="00F20ABF" w14:paraId="1E8039A6" w14:textId="77777777">
        <w:tc>
          <w:tcPr>
            <w:tcW w:w="0" w:type="auto"/>
            <w:gridSpan w:val="3"/>
            <w:shd w:val="clear" w:color="auto" w:fill="FFFFFF"/>
            <w:tcMar>
              <w:top w:w="40" w:type="dxa"/>
              <w:left w:w="20" w:type="dxa"/>
              <w:bottom w:w="40" w:type="dxa"/>
              <w:right w:w="20" w:type="dxa"/>
            </w:tcMar>
            <w:vAlign w:val="bottom"/>
          </w:tcPr>
          <w:p w14:paraId="1E80399E" w14:textId="77777777" w:rsidR="00F20ABF" w:rsidRDefault="00CA4D2F">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1E80399F" w14:textId="77777777" w:rsidR="00F20ABF" w:rsidRDefault="00CA4D2F">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tcPr>
          <w:p w14:paraId="1E8039A0"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39A1"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tcPr>
          <w:p w14:paraId="1E8039A2"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39A3"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39A4"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39A5" w14:textId="77777777" w:rsidR="00F20ABF" w:rsidRDefault="00F20ABF">
            <w:pPr>
              <w:rPr>
                <w:rFonts w:ascii="宋体"/>
              </w:rPr>
            </w:pPr>
          </w:p>
        </w:tc>
      </w:tr>
      <w:tr w:rsidR="00F20ABF" w14:paraId="1E8039B3" w14:textId="77777777">
        <w:tc>
          <w:tcPr>
            <w:tcW w:w="0" w:type="auto"/>
            <w:gridSpan w:val="3"/>
            <w:shd w:val="clear" w:color="auto" w:fill="E2EFD9"/>
            <w:tcMar>
              <w:top w:w="40" w:type="dxa"/>
              <w:left w:w="515" w:type="dxa"/>
              <w:bottom w:w="40" w:type="dxa"/>
              <w:right w:w="20" w:type="dxa"/>
            </w:tcMar>
            <w:vAlign w:val="bottom"/>
          </w:tcPr>
          <w:p w14:paraId="1E8039A7" w14:textId="77777777" w:rsidR="00F20ABF" w:rsidRDefault="00CA4D2F">
            <w:pPr>
              <w:textAlignment w:val="bottom"/>
            </w:pPr>
            <w:r>
              <w:rPr>
                <w:rFonts w:ascii="sans-serif" w:eastAsia="sans-serif" w:hAnsi="sans-serif" w:cs="sans-serif"/>
                <w:color w:val="000000"/>
                <w:sz w:val="20"/>
                <w:szCs w:val="20"/>
              </w:rPr>
              <w:t>Research and development</w:t>
            </w:r>
          </w:p>
        </w:tc>
        <w:tc>
          <w:tcPr>
            <w:tcW w:w="0" w:type="auto"/>
            <w:gridSpan w:val="2"/>
            <w:shd w:val="clear" w:color="auto" w:fill="E2EFD9"/>
            <w:tcMar>
              <w:top w:w="40" w:type="dxa"/>
              <w:left w:w="20" w:type="dxa"/>
              <w:bottom w:w="40" w:type="dxa"/>
              <w:right w:w="0" w:type="dxa"/>
            </w:tcMar>
            <w:vAlign w:val="bottom"/>
          </w:tcPr>
          <w:p w14:paraId="1E8039A8" w14:textId="77777777" w:rsidR="00F20ABF" w:rsidRDefault="00CA4D2F">
            <w:pPr>
              <w:jc w:val="right"/>
              <w:textAlignment w:val="bottom"/>
            </w:pPr>
            <w:r>
              <w:rPr>
                <w:rFonts w:ascii="sans-serif" w:eastAsia="sans-serif" w:hAnsi="sans-serif" w:cs="sans-serif"/>
                <w:color w:val="000000"/>
                <w:sz w:val="20"/>
                <w:szCs w:val="20"/>
              </w:rPr>
              <w:t>1,047 </w:t>
            </w:r>
          </w:p>
        </w:tc>
        <w:tc>
          <w:tcPr>
            <w:tcW w:w="0" w:type="auto"/>
            <w:shd w:val="clear" w:color="auto" w:fill="E2EFD9"/>
            <w:tcMar>
              <w:top w:w="40" w:type="dxa"/>
              <w:left w:w="0" w:type="dxa"/>
              <w:bottom w:w="40" w:type="dxa"/>
              <w:right w:w="20" w:type="dxa"/>
            </w:tcMar>
            <w:vAlign w:val="bottom"/>
          </w:tcPr>
          <w:p w14:paraId="1E8039A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9AA"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9AB" w14:textId="77777777" w:rsidR="00F20ABF" w:rsidRDefault="00CA4D2F">
            <w:pPr>
              <w:jc w:val="right"/>
              <w:textAlignment w:val="bottom"/>
            </w:pPr>
            <w:r>
              <w:rPr>
                <w:rFonts w:ascii="sans-serif" w:eastAsia="sans-serif" w:hAnsi="sans-serif" w:cs="sans-serif"/>
                <w:color w:val="000000"/>
                <w:sz w:val="20"/>
                <w:szCs w:val="20"/>
              </w:rPr>
              <w:t>712 </w:t>
            </w:r>
          </w:p>
        </w:tc>
        <w:tc>
          <w:tcPr>
            <w:tcW w:w="0" w:type="auto"/>
            <w:shd w:val="clear" w:color="auto" w:fill="E2EFD9"/>
            <w:tcMar>
              <w:top w:w="40" w:type="dxa"/>
              <w:left w:w="0" w:type="dxa"/>
              <w:bottom w:w="40" w:type="dxa"/>
              <w:right w:w="20" w:type="dxa"/>
            </w:tcMar>
            <w:vAlign w:val="bottom"/>
          </w:tcPr>
          <w:p w14:paraId="1E8039A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9AD"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9AE" w14:textId="77777777" w:rsidR="00F20ABF" w:rsidRDefault="00CA4D2F">
            <w:pPr>
              <w:jc w:val="right"/>
              <w:textAlignment w:val="bottom"/>
            </w:pPr>
            <w:r>
              <w:rPr>
                <w:rFonts w:ascii="sans-serif" w:eastAsia="sans-serif" w:hAnsi="sans-serif" w:cs="sans-serif"/>
                <w:color w:val="000000"/>
                <w:sz w:val="20"/>
                <w:szCs w:val="20"/>
              </w:rPr>
              <w:t>2,778 </w:t>
            </w:r>
          </w:p>
        </w:tc>
        <w:tc>
          <w:tcPr>
            <w:tcW w:w="0" w:type="auto"/>
            <w:shd w:val="clear" w:color="auto" w:fill="E2EFD9"/>
            <w:tcMar>
              <w:top w:w="40" w:type="dxa"/>
              <w:left w:w="0" w:type="dxa"/>
              <w:bottom w:w="40" w:type="dxa"/>
              <w:right w:w="20" w:type="dxa"/>
            </w:tcMar>
            <w:vAlign w:val="bottom"/>
          </w:tcPr>
          <w:p w14:paraId="1E8039A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9B0"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9B1" w14:textId="77777777" w:rsidR="00F20ABF" w:rsidRDefault="00CA4D2F">
            <w:pPr>
              <w:jc w:val="right"/>
              <w:textAlignment w:val="bottom"/>
            </w:pPr>
            <w:r>
              <w:rPr>
                <w:rFonts w:ascii="sans-serif" w:eastAsia="sans-serif" w:hAnsi="sans-serif" w:cs="sans-serif"/>
                <w:color w:val="000000"/>
                <w:sz w:val="20"/>
                <w:szCs w:val="20"/>
              </w:rPr>
              <w:t>2,091 </w:t>
            </w:r>
          </w:p>
        </w:tc>
        <w:tc>
          <w:tcPr>
            <w:tcW w:w="0" w:type="auto"/>
            <w:shd w:val="clear" w:color="auto" w:fill="E2EFD9"/>
            <w:tcMar>
              <w:top w:w="40" w:type="dxa"/>
              <w:left w:w="0" w:type="dxa"/>
              <w:bottom w:w="40" w:type="dxa"/>
              <w:right w:w="20" w:type="dxa"/>
            </w:tcMar>
            <w:vAlign w:val="bottom"/>
          </w:tcPr>
          <w:p w14:paraId="1E8039B2" w14:textId="77777777" w:rsidR="00F20ABF" w:rsidRDefault="00F20ABF">
            <w:pPr>
              <w:jc w:val="right"/>
              <w:rPr>
                <w:rFonts w:ascii="宋体"/>
              </w:rPr>
            </w:pPr>
          </w:p>
        </w:tc>
      </w:tr>
      <w:tr w:rsidR="00F20ABF" w14:paraId="1E8039C0" w14:textId="77777777">
        <w:tc>
          <w:tcPr>
            <w:tcW w:w="0" w:type="auto"/>
            <w:gridSpan w:val="3"/>
            <w:shd w:val="clear" w:color="auto" w:fill="FFFFFF"/>
            <w:tcMar>
              <w:top w:w="40" w:type="dxa"/>
              <w:left w:w="515" w:type="dxa"/>
              <w:bottom w:w="40" w:type="dxa"/>
              <w:right w:w="20" w:type="dxa"/>
            </w:tcMar>
            <w:vAlign w:val="bottom"/>
          </w:tcPr>
          <w:p w14:paraId="1E8039B4" w14:textId="77777777" w:rsidR="00F20ABF" w:rsidRDefault="00CA4D2F">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FFFFFF"/>
            <w:tcMar>
              <w:top w:w="40" w:type="dxa"/>
              <w:left w:w="20" w:type="dxa"/>
              <w:bottom w:w="40" w:type="dxa"/>
              <w:right w:w="0" w:type="dxa"/>
            </w:tcMar>
            <w:vAlign w:val="bottom"/>
          </w:tcPr>
          <w:p w14:paraId="1E8039B5" w14:textId="77777777" w:rsidR="00F20ABF" w:rsidRDefault="00CA4D2F">
            <w:pPr>
              <w:jc w:val="right"/>
              <w:textAlignment w:val="bottom"/>
            </w:pPr>
            <w:r>
              <w:rPr>
                <w:rFonts w:ascii="sans-serif" w:eastAsia="sans-serif" w:hAnsi="sans-serif" w:cs="sans-serif"/>
                <w:color w:val="000000"/>
                <w:sz w:val="20"/>
                <w:szCs w:val="20"/>
              </w:rPr>
              <w:t>515 </w:t>
            </w:r>
          </w:p>
        </w:tc>
        <w:tc>
          <w:tcPr>
            <w:tcW w:w="0" w:type="auto"/>
            <w:shd w:val="clear" w:color="auto" w:fill="FFFFFF"/>
            <w:tcMar>
              <w:top w:w="40" w:type="dxa"/>
              <w:left w:w="0" w:type="dxa"/>
              <w:bottom w:w="40" w:type="dxa"/>
              <w:right w:w="20" w:type="dxa"/>
            </w:tcMar>
            <w:vAlign w:val="bottom"/>
          </w:tcPr>
          <w:p w14:paraId="1E8039B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9B7"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9B8" w14:textId="77777777" w:rsidR="00F20ABF" w:rsidRDefault="00CA4D2F">
            <w:pPr>
              <w:jc w:val="right"/>
              <w:textAlignment w:val="bottom"/>
            </w:pPr>
            <w:r>
              <w:rPr>
                <w:rFonts w:ascii="sans-serif" w:eastAsia="sans-serif" w:hAnsi="sans-serif" w:cs="sans-serif"/>
                <w:color w:val="000000"/>
                <w:sz w:val="20"/>
                <w:szCs w:val="20"/>
              </w:rPr>
              <w:t>277 </w:t>
            </w:r>
          </w:p>
        </w:tc>
        <w:tc>
          <w:tcPr>
            <w:tcW w:w="0" w:type="auto"/>
            <w:shd w:val="clear" w:color="auto" w:fill="FFFFFF"/>
            <w:tcMar>
              <w:top w:w="40" w:type="dxa"/>
              <w:left w:w="0" w:type="dxa"/>
              <w:bottom w:w="40" w:type="dxa"/>
              <w:right w:w="20" w:type="dxa"/>
            </w:tcMar>
            <w:vAlign w:val="bottom"/>
          </w:tcPr>
          <w:p w14:paraId="1E8039B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9BA"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9BB" w14:textId="77777777" w:rsidR="00F20ABF" w:rsidRDefault="00CA4D2F">
            <w:pPr>
              <w:jc w:val="right"/>
              <w:textAlignment w:val="bottom"/>
            </w:pPr>
            <w:r>
              <w:rPr>
                <w:rFonts w:ascii="sans-serif" w:eastAsia="sans-serif" w:hAnsi="sans-serif" w:cs="sans-serif"/>
                <w:color w:val="000000"/>
                <w:sz w:val="20"/>
                <w:szCs w:val="20"/>
              </w:rPr>
              <w:t>1,437 </w:t>
            </w:r>
          </w:p>
        </w:tc>
        <w:tc>
          <w:tcPr>
            <w:tcW w:w="0" w:type="auto"/>
            <w:shd w:val="clear" w:color="auto" w:fill="FFFFFF"/>
            <w:tcMar>
              <w:top w:w="40" w:type="dxa"/>
              <w:left w:w="0" w:type="dxa"/>
              <w:bottom w:w="40" w:type="dxa"/>
              <w:right w:w="20" w:type="dxa"/>
            </w:tcMar>
            <w:vAlign w:val="bottom"/>
          </w:tcPr>
          <w:p w14:paraId="1E8039B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9BD"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9BE" w14:textId="77777777" w:rsidR="00F20ABF" w:rsidRDefault="00CA4D2F">
            <w:pPr>
              <w:jc w:val="right"/>
              <w:textAlignment w:val="bottom"/>
            </w:pPr>
            <w:r>
              <w:rPr>
                <w:rFonts w:ascii="sans-serif" w:eastAsia="sans-serif" w:hAnsi="sans-serif" w:cs="sans-serif"/>
                <w:color w:val="000000"/>
                <w:sz w:val="20"/>
                <w:szCs w:val="20"/>
              </w:rPr>
              <w:t>806 </w:t>
            </w:r>
          </w:p>
        </w:tc>
        <w:tc>
          <w:tcPr>
            <w:tcW w:w="0" w:type="auto"/>
            <w:shd w:val="clear" w:color="auto" w:fill="FFFFFF"/>
            <w:tcMar>
              <w:top w:w="40" w:type="dxa"/>
              <w:left w:w="0" w:type="dxa"/>
              <w:bottom w:w="40" w:type="dxa"/>
              <w:right w:w="20" w:type="dxa"/>
            </w:tcMar>
            <w:vAlign w:val="bottom"/>
          </w:tcPr>
          <w:p w14:paraId="1E8039BF" w14:textId="77777777" w:rsidR="00F20ABF" w:rsidRDefault="00F20ABF">
            <w:pPr>
              <w:jc w:val="right"/>
              <w:rPr>
                <w:rFonts w:ascii="宋体"/>
              </w:rPr>
            </w:pPr>
          </w:p>
        </w:tc>
      </w:tr>
      <w:tr w:rsidR="00F20ABF" w14:paraId="1E8039C9" w14:textId="77777777">
        <w:trPr>
          <w:hidden/>
        </w:trPr>
        <w:tc>
          <w:tcPr>
            <w:tcW w:w="0" w:type="auto"/>
            <w:gridSpan w:val="3"/>
            <w:shd w:val="clear" w:color="auto" w:fill="auto"/>
          </w:tcPr>
          <w:p w14:paraId="1E8039C1" w14:textId="77777777" w:rsidR="00F20ABF" w:rsidRDefault="00F20ABF">
            <w:pPr>
              <w:rPr>
                <w:rFonts w:ascii="宋体"/>
                <w:vanish/>
              </w:rPr>
            </w:pPr>
          </w:p>
        </w:tc>
        <w:tc>
          <w:tcPr>
            <w:tcW w:w="0" w:type="auto"/>
            <w:gridSpan w:val="3"/>
            <w:shd w:val="clear" w:color="auto" w:fill="auto"/>
          </w:tcPr>
          <w:p w14:paraId="1E8039C2" w14:textId="77777777" w:rsidR="00F20ABF" w:rsidRDefault="00F20ABF">
            <w:pPr>
              <w:rPr>
                <w:rFonts w:ascii="宋体"/>
                <w:vanish/>
              </w:rPr>
            </w:pPr>
          </w:p>
        </w:tc>
        <w:tc>
          <w:tcPr>
            <w:tcW w:w="0" w:type="auto"/>
            <w:gridSpan w:val="3"/>
            <w:shd w:val="clear" w:color="auto" w:fill="auto"/>
          </w:tcPr>
          <w:p w14:paraId="1E8039C3" w14:textId="77777777" w:rsidR="00F20ABF" w:rsidRDefault="00F20ABF">
            <w:pPr>
              <w:rPr>
                <w:rFonts w:ascii="宋体"/>
                <w:vanish/>
              </w:rPr>
            </w:pPr>
          </w:p>
        </w:tc>
        <w:tc>
          <w:tcPr>
            <w:tcW w:w="0" w:type="auto"/>
            <w:gridSpan w:val="3"/>
            <w:shd w:val="clear" w:color="auto" w:fill="auto"/>
          </w:tcPr>
          <w:p w14:paraId="1E8039C4" w14:textId="77777777" w:rsidR="00F20ABF" w:rsidRDefault="00F20ABF">
            <w:pPr>
              <w:rPr>
                <w:rFonts w:ascii="宋体"/>
                <w:vanish/>
              </w:rPr>
            </w:pPr>
          </w:p>
        </w:tc>
        <w:tc>
          <w:tcPr>
            <w:tcW w:w="0" w:type="auto"/>
            <w:gridSpan w:val="3"/>
            <w:shd w:val="clear" w:color="auto" w:fill="auto"/>
          </w:tcPr>
          <w:p w14:paraId="1E8039C5" w14:textId="77777777" w:rsidR="00F20ABF" w:rsidRDefault="00F20ABF">
            <w:pPr>
              <w:rPr>
                <w:rFonts w:ascii="宋体"/>
                <w:vanish/>
              </w:rPr>
            </w:pPr>
          </w:p>
        </w:tc>
        <w:tc>
          <w:tcPr>
            <w:tcW w:w="0" w:type="auto"/>
            <w:gridSpan w:val="3"/>
            <w:shd w:val="clear" w:color="auto" w:fill="auto"/>
          </w:tcPr>
          <w:p w14:paraId="1E8039C6" w14:textId="77777777" w:rsidR="00F20ABF" w:rsidRDefault="00F20ABF">
            <w:pPr>
              <w:rPr>
                <w:rFonts w:ascii="宋体"/>
                <w:vanish/>
              </w:rPr>
            </w:pPr>
          </w:p>
        </w:tc>
        <w:tc>
          <w:tcPr>
            <w:tcW w:w="0" w:type="auto"/>
            <w:gridSpan w:val="3"/>
            <w:shd w:val="clear" w:color="auto" w:fill="auto"/>
          </w:tcPr>
          <w:p w14:paraId="1E8039C7" w14:textId="77777777" w:rsidR="00F20ABF" w:rsidRDefault="00F20ABF">
            <w:pPr>
              <w:rPr>
                <w:rFonts w:ascii="宋体"/>
                <w:vanish/>
              </w:rPr>
            </w:pPr>
          </w:p>
        </w:tc>
        <w:tc>
          <w:tcPr>
            <w:tcW w:w="0" w:type="auto"/>
            <w:gridSpan w:val="3"/>
            <w:shd w:val="clear" w:color="auto" w:fill="auto"/>
          </w:tcPr>
          <w:p w14:paraId="1E8039C8" w14:textId="77777777" w:rsidR="00F20ABF" w:rsidRDefault="00F20ABF">
            <w:pPr>
              <w:rPr>
                <w:rFonts w:ascii="宋体"/>
                <w:vanish/>
              </w:rPr>
            </w:pPr>
          </w:p>
        </w:tc>
      </w:tr>
      <w:tr w:rsidR="00F20ABF" w14:paraId="1E8039D6" w14:textId="77777777">
        <w:tc>
          <w:tcPr>
            <w:tcW w:w="0" w:type="auto"/>
            <w:gridSpan w:val="3"/>
            <w:shd w:val="clear" w:color="auto" w:fill="E2EFD9"/>
            <w:tcMar>
              <w:top w:w="40" w:type="dxa"/>
              <w:left w:w="875" w:type="dxa"/>
              <w:bottom w:w="40" w:type="dxa"/>
              <w:right w:w="20" w:type="dxa"/>
            </w:tcMar>
            <w:vAlign w:val="bottom"/>
          </w:tcPr>
          <w:p w14:paraId="1E8039CA" w14:textId="77777777" w:rsidR="00F20ABF" w:rsidRDefault="00CA4D2F">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9CB" w14:textId="77777777" w:rsidR="00F20ABF" w:rsidRDefault="00CA4D2F">
            <w:pPr>
              <w:jc w:val="right"/>
              <w:textAlignment w:val="bottom"/>
            </w:pPr>
            <w:r>
              <w:rPr>
                <w:rFonts w:ascii="sans-serif" w:eastAsia="sans-serif" w:hAnsi="sans-serif" w:cs="sans-serif"/>
                <w:color w:val="000000"/>
                <w:sz w:val="20"/>
                <w:szCs w:val="20"/>
              </w:rPr>
              <w:t>1,562 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9C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9CD"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9CE" w14:textId="77777777" w:rsidR="00F20ABF" w:rsidRDefault="00CA4D2F">
            <w:pPr>
              <w:jc w:val="right"/>
              <w:textAlignment w:val="bottom"/>
            </w:pPr>
            <w:r>
              <w:rPr>
                <w:rFonts w:ascii="sans-serif" w:eastAsia="sans-serif" w:hAnsi="sans-serif" w:cs="sans-serif"/>
                <w:color w:val="000000"/>
                <w:sz w:val="20"/>
                <w:szCs w:val="20"/>
              </w:rPr>
              <w:t>989 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9C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9D0"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9D1" w14:textId="77777777" w:rsidR="00F20ABF" w:rsidRDefault="00CA4D2F">
            <w:pPr>
              <w:jc w:val="right"/>
              <w:textAlignment w:val="bottom"/>
            </w:pPr>
            <w:r>
              <w:rPr>
                <w:rFonts w:ascii="sans-serif" w:eastAsia="sans-serif" w:hAnsi="sans-serif" w:cs="sans-serif"/>
                <w:color w:val="000000"/>
                <w:sz w:val="20"/>
                <w:szCs w:val="20"/>
              </w:rPr>
              <w:t>4,215 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9D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9D3"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9D4" w14:textId="77777777" w:rsidR="00F20ABF" w:rsidRDefault="00CA4D2F">
            <w:pPr>
              <w:jc w:val="right"/>
              <w:textAlignment w:val="bottom"/>
            </w:pPr>
            <w:r>
              <w:rPr>
                <w:rFonts w:ascii="sans-serif" w:eastAsia="sans-serif" w:hAnsi="sans-serif" w:cs="sans-serif"/>
                <w:color w:val="000000"/>
                <w:sz w:val="20"/>
                <w:szCs w:val="20"/>
              </w:rPr>
              <w:t>2,897 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9D5" w14:textId="77777777" w:rsidR="00F20ABF" w:rsidRDefault="00F20ABF">
            <w:pPr>
              <w:jc w:val="right"/>
              <w:rPr>
                <w:rFonts w:ascii="宋体"/>
              </w:rPr>
            </w:pPr>
          </w:p>
        </w:tc>
      </w:tr>
      <w:tr w:rsidR="00F20ABF" w14:paraId="1E8039E3" w14:textId="77777777">
        <w:tc>
          <w:tcPr>
            <w:tcW w:w="0" w:type="auto"/>
            <w:gridSpan w:val="3"/>
            <w:shd w:val="clear" w:color="auto" w:fill="FFFFFF"/>
            <w:tcMar>
              <w:top w:w="40" w:type="dxa"/>
              <w:left w:w="20" w:type="dxa"/>
              <w:bottom w:w="40" w:type="dxa"/>
              <w:right w:w="20" w:type="dxa"/>
            </w:tcMar>
            <w:vAlign w:val="bottom"/>
          </w:tcPr>
          <w:p w14:paraId="1E8039D7" w14:textId="77777777" w:rsidR="00F20ABF" w:rsidRDefault="00CA4D2F">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9D8" w14:textId="77777777" w:rsidR="00F20ABF" w:rsidRDefault="00CA4D2F">
            <w:pPr>
              <w:jc w:val="right"/>
              <w:textAlignment w:val="bottom"/>
            </w:pPr>
            <w:r>
              <w:rPr>
                <w:rFonts w:ascii="sans-serif" w:eastAsia="sans-serif" w:hAnsi="sans-serif" w:cs="sans-serif"/>
                <w:color w:val="000000"/>
                <w:sz w:val="20"/>
                <w:szCs w:val="20"/>
              </w:rPr>
              <w:t>1,398 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9D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9DA"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9DB" w14:textId="77777777" w:rsidR="00F20ABF" w:rsidRDefault="00CA4D2F">
            <w:pPr>
              <w:jc w:val="right"/>
              <w:textAlignment w:val="bottom"/>
            </w:pPr>
            <w:r>
              <w:rPr>
                <w:rFonts w:ascii="sans-serif" w:eastAsia="sans-serif" w:hAnsi="sans-serif" w:cs="sans-serif"/>
                <w:color w:val="000000"/>
                <w:sz w:val="20"/>
                <w:szCs w:val="20"/>
              </w:rPr>
              <w:t>927 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9D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9DD"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9DE" w14:textId="77777777" w:rsidR="00F20ABF" w:rsidRDefault="00CA4D2F">
            <w:pPr>
              <w:jc w:val="right"/>
              <w:textAlignment w:val="bottom"/>
            </w:pPr>
            <w:r>
              <w:rPr>
                <w:rFonts w:ascii="sans-serif" w:eastAsia="sans-serif" w:hAnsi="sans-serif" w:cs="sans-serif"/>
                <w:color w:val="000000"/>
                <w:sz w:val="20"/>
                <w:szCs w:val="20"/>
              </w:rPr>
              <w:t>3,025 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9D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9E0"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9E1" w14:textId="77777777" w:rsidR="00F20ABF" w:rsidRDefault="00CA4D2F">
            <w:pPr>
              <w:jc w:val="right"/>
              <w:textAlignment w:val="bottom"/>
            </w:pPr>
            <w:r>
              <w:rPr>
                <w:rFonts w:ascii="sans-serif" w:eastAsia="sans-serif" w:hAnsi="sans-serif" w:cs="sans-serif"/>
                <w:color w:val="000000"/>
                <w:sz w:val="20"/>
                <w:szCs w:val="20"/>
              </w:rPr>
              <w:t>1,856 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9E2" w14:textId="77777777" w:rsidR="00F20ABF" w:rsidRDefault="00F20ABF">
            <w:pPr>
              <w:jc w:val="right"/>
              <w:rPr>
                <w:rFonts w:ascii="宋体"/>
              </w:rPr>
            </w:pPr>
          </w:p>
        </w:tc>
      </w:tr>
      <w:tr w:rsidR="00F20ABF" w14:paraId="1E8039F0" w14:textId="77777777">
        <w:tc>
          <w:tcPr>
            <w:tcW w:w="0" w:type="auto"/>
            <w:gridSpan w:val="3"/>
            <w:shd w:val="clear" w:color="auto" w:fill="E2EFD9"/>
            <w:tcMar>
              <w:top w:w="40" w:type="dxa"/>
              <w:left w:w="515" w:type="dxa"/>
              <w:bottom w:w="40" w:type="dxa"/>
              <w:right w:w="20" w:type="dxa"/>
            </w:tcMar>
            <w:vAlign w:val="bottom"/>
          </w:tcPr>
          <w:p w14:paraId="1E8039E4" w14:textId="77777777" w:rsidR="00F20ABF" w:rsidRDefault="00CA4D2F">
            <w:pPr>
              <w:textAlignment w:val="bottom"/>
            </w:pPr>
            <w:r>
              <w:rPr>
                <w:rFonts w:ascii="sans-serif" w:eastAsia="sans-serif" w:hAnsi="sans-serif" w:cs="sans-serif"/>
                <w:color w:val="000000"/>
                <w:sz w:val="20"/>
                <w:szCs w:val="20"/>
              </w:rPr>
              <w:t>Interest income</w:t>
            </w:r>
          </w:p>
        </w:tc>
        <w:tc>
          <w:tcPr>
            <w:tcW w:w="0" w:type="auto"/>
            <w:gridSpan w:val="2"/>
            <w:shd w:val="clear" w:color="auto" w:fill="E2EFD9"/>
            <w:tcMar>
              <w:top w:w="40" w:type="dxa"/>
              <w:left w:w="20" w:type="dxa"/>
              <w:bottom w:w="40" w:type="dxa"/>
              <w:right w:w="0" w:type="dxa"/>
            </w:tcMar>
            <w:vAlign w:val="bottom"/>
          </w:tcPr>
          <w:p w14:paraId="1E8039E5" w14:textId="77777777" w:rsidR="00F20ABF" w:rsidRDefault="00CA4D2F">
            <w:pPr>
              <w:jc w:val="right"/>
              <w:textAlignment w:val="bottom"/>
            </w:pPr>
            <w:r>
              <w:rPr>
                <w:rFonts w:ascii="sans-serif" w:eastAsia="sans-serif" w:hAnsi="sans-serif" w:cs="sans-serif"/>
                <w:color w:val="000000"/>
                <w:sz w:val="20"/>
                <w:szCs w:val="20"/>
              </w:rPr>
              <w:t>7 </w:t>
            </w:r>
          </w:p>
        </w:tc>
        <w:tc>
          <w:tcPr>
            <w:tcW w:w="0" w:type="auto"/>
            <w:shd w:val="clear" w:color="auto" w:fill="E2EFD9"/>
            <w:tcMar>
              <w:top w:w="40" w:type="dxa"/>
              <w:left w:w="0" w:type="dxa"/>
              <w:bottom w:w="40" w:type="dxa"/>
              <w:right w:w="20" w:type="dxa"/>
            </w:tcMar>
            <w:vAlign w:val="bottom"/>
          </w:tcPr>
          <w:p w14:paraId="1E8039E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9E7"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9E8" w14:textId="77777777" w:rsidR="00F20ABF" w:rsidRDefault="00CA4D2F">
            <w:pPr>
              <w:jc w:val="right"/>
              <w:textAlignment w:val="bottom"/>
            </w:pPr>
            <w:r>
              <w:rPr>
                <w:rFonts w:ascii="sans-serif" w:eastAsia="sans-serif" w:hAnsi="sans-serif" w:cs="sans-serif"/>
                <w:color w:val="000000"/>
                <w:sz w:val="20"/>
                <w:szCs w:val="20"/>
              </w:rPr>
              <w:t>45 </w:t>
            </w:r>
          </w:p>
        </w:tc>
        <w:tc>
          <w:tcPr>
            <w:tcW w:w="0" w:type="auto"/>
            <w:shd w:val="clear" w:color="auto" w:fill="E2EFD9"/>
            <w:tcMar>
              <w:top w:w="40" w:type="dxa"/>
              <w:left w:w="0" w:type="dxa"/>
              <w:bottom w:w="40" w:type="dxa"/>
              <w:right w:w="20" w:type="dxa"/>
            </w:tcMar>
            <w:vAlign w:val="bottom"/>
          </w:tcPr>
          <w:p w14:paraId="1E8039E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9EA"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9EB" w14:textId="77777777" w:rsidR="00F20ABF" w:rsidRDefault="00CA4D2F">
            <w:pPr>
              <w:jc w:val="right"/>
              <w:textAlignment w:val="bottom"/>
            </w:pPr>
            <w:r>
              <w:rPr>
                <w:rFonts w:ascii="sans-serif" w:eastAsia="sans-serif" w:hAnsi="sans-serif" w:cs="sans-serif"/>
                <w:color w:val="000000"/>
                <w:sz w:val="20"/>
                <w:szCs w:val="20"/>
              </w:rPr>
              <w:t>50 </w:t>
            </w:r>
          </w:p>
        </w:tc>
        <w:tc>
          <w:tcPr>
            <w:tcW w:w="0" w:type="auto"/>
            <w:shd w:val="clear" w:color="auto" w:fill="E2EFD9"/>
            <w:tcMar>
              <w:top w:w="40" w:type="dxa"/>
              <w:left w:w="0" w:type="dxa"/>
              <w:bottom w:w="40" w:type="dxa"/>
              <w:right w:w="20" w:type="dxa"/>
            </w:tcMar>
            <w:vAlign w:val="bottom"/>
          </w:tcPr>
          <w:p w14:paraId="1E8039E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9ED"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9EE" w14:textId="77777777" w:rsidR="00F20ABF" w:rsidRDefault="00CA4D2F">
            <w:pPr>
              <w:jc w:val="right"/>
              <w:textAlignment w:val="bottom"/>
            </w:pPr>
            <w:r>
              <w:rPr>
                <w:rFonts w:ascii="sans-serif" w:eastAsia="sans-serif" w:hAnsi="sans-serif" w:cs="sans-serif"/>
                <w:color w:val="000000"/>
                <w:sz w:val="20"/>
                <w:szCs w:val="20"/>
              </w:rPr>
              <w:t>137 </w:t>
            </w:r>
          </w:p>
        </w:tc>
        <w:tc>
          <w:tcPr>
            <w:tcW w:w="0" w:type="auto"/>
            <w:shd w:val="clear" w:color="auto" w:fill="E2EFD9"/>
            <w:tcMar>
              <w:top w:w="40" w:type="dxa"/>
              <w:left w:w="0" w:type="dxa"/>
              <w:bottom w:w="40" w:type="dxa"/>
              <w:right w:w="20" w:type="dxa"/>
            </w:tcMar>
            <w:vAlign w:val="bottom"/>
          </w:tcPr>
          <w:p w14:paraId="1E8039EF" w14:textId="77777777" w:rsidR="00F20ABF" w:rsidRDefault="00F20ABF">
            <w:pPr>
              <w:jc w:val="right"/>
              <w:rPr>
                <w:rFonts w:ascii="宋体"/>
              </w:rPr>
            </w:pPr>
          </w:p>
        </w:tc>
      </w:tr>
      <w:tr w:rsidR="00F20ABF" w14:paraId="1E8039FD" w14:textId="77777777">
        <w:tc>
          <w:tcPr>
            <w:tcW w:w="0" w:type="auto"/>
            <w:gridSpan w:val="3"/>
            <w:shd w:val="clear" w:color="auto" w:fill="FFFFFF"/>
            <w:tcMar>
              <w:top w:w="40" w:type="dxa"/>
              <w:left w:w="515" w:type="dxa"/>
              <w:bottom w:w="40" w:type="dxa"/>
              <w:right w:w="20" w:type="dxa"/>
            </w:tcMar>
            <w:vAlign w:val="bottom"/>
          </w:tcPr>
          <w:p w14:paraId="1E8039F1" w14:textId="77777777" w:rsidR="00F20ABF" w:rsidRDefault="00CA4D2F">
            <w:pPr>
              <w:textAlignment w:val="bottom"/>
            </w:pPr>
            <w:r>
              <w:rPr>
                <w:rFonts w:ascii="sans-serif" w:eastAsia="sans-serif" w:hAnsi="sans-serif" w:cs="sans-serif"/>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1E8039F2" w14:textId="77777777" w:rsidR="00F20ABF" w:rsidRDefault="00CA4D2F">
            <w:pPr>
              <w:jc w:val="right"/>
              <w:textAlignment w:val="bottom"/>
            </w:pPr>
            <w:r>
              <w:rPr>
                <w:rFonts w:ascii="sans-serif" w:eastAsia="sans-serif" w:hAnsi="sans-serif" w:cs="sans-serif"/>
                <w:color w:val="000000"/>
                <w:sz w:val="20"/>
                <w:szCs w:val="20"/>
              </w:rPr>
              <w:t>(53)</w:t>
            </w:r>
          </w:p>
        </w:tc>
        <w:tc>
          <w:tcPr>
            <w:tcW w:w="0" w:type="auto"/>
            <w:shd w:val="clear" w:color="auto" w:fill="FFFFFF"/>
            <w:tcMar>
              <w:top w:w="40" w:type="dxa"/>
              <w:left w:w="0" w:type="dxa"/>
              <w:bottom w:w="40" w:type="dxa"/>
              <w:right w:w="20" w:type="dxa"/>
            </w:tcMar>
            <w:vAlign w:val="bottom"/>
          </w:tcPr>
          <w:p w14:paraId="1E8039F3"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9F4"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9F5" w14:textId="77777777" w:rsidR="00F20ABF" w:rsidRDefault="00CA4D2F">
            <w:pPr>
              <w:jc w:val="right"/>
              <w:textAlignment w:val="bottom"/>
            </w:pPr>
            <w:r>
              <w:rPr>
                <w:rFonts w:ascii="sans-serif" w:eastAsia="sans-serif" w:hAnsi="sans-serif" w:cs="sans-serif"/>
                <w:color w:val="000000"/>
                <w:sz w:val="20"/>
                <w:szCs w:val="20"/>
              </w:rPr>
              <w:t>(13)</w:t>
            </w:r>
          </w:p>
        </w:tc>
        <w:tc>
          <w:tcPr>
            <w:tcW w:w="0" w:type="auto"/>
            <w:shd w:val="clear" w:color="auto" w:fill="FFFFFF"/>
            <w:tcMar>
              <w:top w:w="40" w:type="dxa"/>
              <w:left w:w="0" w:type="dxa"/>
              <w:bottom w:w="40" w:type="dxa"/>
              <w:right w:w="20" w:type="dxa"/>
            </w:tcMar>
            <w:vAlign w:val="bottom"/>
          </w:tcPr>
          <w:p w14:paraId="1E8039F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9F7"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9F8" w14:textId="77777777" w:rsidR="00F20ABF" w:rsidRDefault="00CA4D2F">
            <w:pPr>
              <w:jc w:val="right"/>
              <w:textAlignment w:val="bottom"/>
            </w:pPr>
            <w:r>
              <w:rPr>
                <w:rFonts w:ascii="sans-serif" w:eastAsia="sans-serif" w:hAnsi="sans-serif" w:cs="sans-serif"/>
                <w:color w:val="000000"/>
                <w:sz w:val="20"/>
                <w:szCs w:val="20"/>
              </w:rPr>
              <w:t>(131)</w:t>
            </w:r>
          </w:p>
        </w:tc>
        <w:tc>
          <w:tcPr>
            <w:tcW w:w="0" w:type="auto"/>
            <w:shd w:val="clear" w:color="auto" w:fill="FFFFFF"/>
            <w:tcMar>
              <w:top w:w="40" w:type="dxa"/>
              <w:left w:w="0" w:type="dxa"/>
              <w:bottom w:w="40" w:type="dxa"/>
              <w:right w:w="20" w:type="dxa"/>
            </w:tcMar>
            <w:vAlign w:val="bottom"/>
          </w:tcPr>
          <w:p w14:paraId="1E8039F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9FA"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9FB" w14:textId="77777777" w:rsidR="00F20ABF" w:rsidRDefault="00CA4D2F">
            <w:pPr>
              <w:jc w:val="right"/>
              <w:textAlignment w:val="bottom"/>
            </w:pPr>
            <w:r>
              <w:rPr>
                <w:rFonts w:ascii="sans-serif" w:eastAsia="sans-serif" w:hAnsi="sans-serif" w:cs="sans-serif"/>
                <w:color w:val="000000"/>
                <w:sz w:val="20"/>
                <w:szCs w:val="20"/>
              </w:rPr>
              <w:t>(39)</w:t>
            </w:r>
          </w:p>
        </w:tc>
        <w:tc>
          <w:tcPr>
            <w:tcW w:w="0" w:type="auto"/>
            <w:shd w:val="clear" w:color="auto" w:fill="FFFFFF"/>
            <w:tcMar>
              <w:top w:w="40" w:type="dxa"/>
              <w:left w:w="0" w:type="dxa"/>
              <w:bottom w:w="40" w:type="dxa"/>
              <w:right w:w="20" w:type="dxa"/>
            </w:tcMar>
            <w:vAlign w:val="bottom"/>
          </w:tcPr>
          <w:p w14:paraId="1E8039FC" w14:textId="77777777" w:rsidR="00F20ABF" w:rsidRDefault="00F20ABF">
            <w:pPr>
              <w:jc w:val="right"/>
              <w:rPr>
                <w:rFonts w:ascii="宋体"/>
              </w:rPr>
            </w:pPr>
          </w:p>
        </w:tc>
      </w:tr>
      <w:tr w:rsidR="00F20ABF" w14:paraId="1E803A0A" w14:textId="77777777">
        <w:tc>
          <w:tcPr>
            <w:tcW w:w="0" w:type="auto"/>
            <w:gridSpan w:val="3"/>
            <w:shd w:val="clear" w:color="auto" w:fill="E2EFD9"/>
            <w:tcMar>
              <w:top w:w="40" w:type="dxa"/>
              <w:left w:w="515" w:type="dxa"/>
              <w:bottom w:w="40" w:type="dxa"/>
              <w:right w:w="20" w:type="dxa"/>
            </w:tcMar>
            <w:vAlign w:val="bottom"/>
          </w:tcPr>
          <w:p w14:paraId="1E8039FE" w14:textId="77777777" w:rsidR="00F20ABF" w:rsidRDefault="00CA4D2F">
            <w:pPr>
              <w:textAlignment w:val="bottom"/>
            </w:pPr>
            <w:r>
              <w:rPr>
                <w:rFonts w:ascii="sans-serif" w:eastAsia="sans-serif" w:hAnsi="sans-serif" w:cs="sans-serif"/>
                <w:color w:val="000000"/>
                <w:sz w:val="20"/>
                <w:szCs w:val="20"/>
              </w:rPr>
              <w:t>Other, net</w:t>
            </w:r>
          </w:p>
        </w:tc>
        <w:tc>
          <w:tcPr>
            <w:tcW w:w="0" w:type="auto"/>
            <w:gridSpan w:val="2"/>
            <w:shd w:val="clear" w:color="auto" w:fill="E2EFD9"/>
            <w:tcMar>
              <w:top w:w="40" w:type="dxa"/>
              <w:left w:w="20" w:type="dxa"/>
              <w:bottom w:w="40" w:type="dxa"/>
              <w:right w:w="0" w:type="dxa"/>
            </w:tcMar>
            <w:vAlign w:val="bottom"/>
          </w:tcPr>
          <w:p w14:paraId="1E8039FF" w14:textId="77777777" w:rsidR="00F20ABF" w:rsidRDefault="00CA4D2F">
            <w:pPr>
              <w:jc w:val="right"/>
              <w:textAlignment w:val="bottom"/>
            </w:pPr>
            <w:r>
              <w:rPr>
                <w:rFonts w:ascii="sans-serif" w:eastAsia="sans-serif" w:hAnsi="sans-serif" w:cs="sans-serif"/>
                <w:color w:val="000000"/>
                <w:sz w:val="20"/>
                <w:szCs w:val="20"/>
              </w:rPr>
              <w:t>(4)</w:t>
            </w:r>
          </w:p>
        </w:tc>
        <w:tc>
          <w:tcPr>
            <w:tcW w:w="0" w:type="auto"/>
            <w:shd w:val="clear" w:color="auto" w:fill="E2EFD9"/>
            <w:tcMar>
              <w:top w:w="40" w:type="dxa"/>
              <w:left w:w="0" w:type="dxa"/>
              <w:bottom w:w="40" w:type="dxa"/>
              <w:right w:w="20" w:type="dxa"/>
            </w:tcMar>
            <w:vAlign w:val="bottom"/>
          </w:tcPr>
          <w:p w14:paraId="1E803A00"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A01"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A02"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3A0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A04"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A05" w14:textId="77777777" w:rsidR="00F20ABF" w:rsidRDefault="00CA4D2F">
            <w:pPr>
              <w:jc w:val="right"/>
              <w:textAlignment w:val="bottom"/>
            </w:pPr>
            <w:r>
              <w:rPr>
                <w:rFonts w:ascii="sans-serif" w:eastAsia="sans-serif" w:hAnsi="sans-serif" w:cs="sans-serif"/>
                <w:color w:val="000000"/>
                <w:sz w:val="20"/>
                <w:szCs w:val="20"/>
              </w:rPr>
              <w:t>(5)</w:t>
            </w:r>
          </w:p>
        </w:tc>
        <w:tc>
          <w:tcPr>
            <w:tcW w:w="0" w:type="auto"/>
            <w:shd w:val="clear" w:color="auto" w:fill="E2EFD9"/>
            <w:tcMar>
              <w:top w:w="40" w:type="dxa"/>
              <w:left w:w="0" w:type="dxa"/>
              <w:bottom w:w="40" w:type="dxa"/>
              <w:right w:w="20" w:type="dxa"/>
            </w:tcMar>
            <w:vAlign w:val="bottom"/>
          </w:tcPr>
          <w:p w14:paraId="1E803A0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A07"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A08"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3A09" w14:textId="77777777" w:rsidR="00F20ABF" w:rsidRDefault="00F20ABF">
            <w:pPr>
              <w:jc w:val="right"/>
              <w:rPr>
                <w:rFonts w:ascii="宋体"/>
              </w:rPr>
            </w:pPr>
          </w:p>
        </w:tc>
      </w:tr>
      <w:tr w:rsidR="00F20ABF" w14:paraId="1E803A17" w14:textId="77777777">
        <w:tc>
          <w:tcPr>
            <w:tcW w:w="0" w:type="auto"/>
            <w:gridSpan w:val="3"/>
            <w:shd w:val="clear" w:color="auto" w:fill="FFFFFF"/>
            <w:tcMar>
              <w:top w:w="40" w:type="dxa"/>
              <w:left w:w="20" w:type="dxa"/>
              <w:bottom w:w="40" w:type="dxa"/>
              <w:right w:w="20" w:type="dxa"/>
            </w:tcMar>
            <w:vAlign w:val="bottom"/>
          </w:tcPr>
          <w:p w14:paraId="1E803A0B" w14:textId="77777777" w:rsidR="00F20ABF" w:rsidRDefault="00CA4D2F">
            <w:pP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A0C" w14:textId="77777777" w:rsidR="00F20ABF" w:rsidRDefault="00CA4D2F">
            <w:pPr>
              <w:jc w:val="right"/>
              <w:textAlignment w:val="bottom"/>
            </w:pPr>
            <w:r>
              <w:rPr>
                <w:rFonts w:ascii="sans-serif" w:eastAsia="sans-serif" w:hAnsi="sans-serif" w:cs="sans-serif"/>
                <w:color w:val="000000"/>
                <w:sz w:val="20"/>
                <w:szCs w:val="20"/>
              </w:rPr>
              <w:t>(50)</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A0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A0E"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A0F" w14:textId="77777777" w:rsidR="00F20ABF" w:rsidRDefault="00CA4D2F">
            <w:pPr>
              <w:jc w:val="right"/>
              <w:textAlignment w:val="bottom"/>
            </w:pPr>
            <w:r>
              <w:rPr>
                <w:rFonts w:ascii="sans-serif" w:eastAsia="sans-serif" w:hAnsi="sans-serif" w:cs="sans-serif"/>
                <w:color w:val="000000"/>
                <w:sz w:val="20"/>
                <w:szCs w:val="20"/>
              </w:rPr>
              <w:t>32 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A10"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A11"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A12" w14:textId="77777777" w:rsidR="00F20ABF" w:rsidRDefault="00CA4D2F">
            <w:pPr>
              <w:jc w:val="right"/>
              <w:textAlignment w:val="bottom"/>
            </w:pPr>
            <w:r>
              <w:rPr>
                <w:rFonts w:ascii="sans-serif" w:eastAsia="sans-serif" w:hAnsi="sans-serif" w:cs="sans-serif"/>
                <w:color w:val="000000"/>
                <w:sz w:val="20"/>
                <w:szCs w:val="20"/>
              </w:rPr>
              <w:t>(86)</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A13"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A14"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A15" w14:textId="77777777" w:rsidR="00F20ABF" w:rsidRDefault="00CA4D2F">
            <w:pPr>
              <w:jc w:val="right"/>
              <w:textAlignment w:val="bottom"/>
            </w:pPr>
            <w:r>
              <w:rPr>
                <w:rFonts w:ascii="sans-serif" w:eastAsia="sans-serif" w:hAnsi="sans-serif" w:cs="sans-serif"/>
                <w:color w:val="000000"/>
                <w:sz w:val="20"/>
                <w:szCs w:val="20"/>
              </w:rPr>
              <w:t>98 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A16" w14:textId="77777777" w:rsidR="00F20ABF" w:rsidRDefault="00F20ABF">
            <w:pPr>
              <w:jc w:val="right"/>
              <w:rPr>
                <w:rFonts w:ascii="宋体"/>
              </w:rPr>
            </w:pPr>
          </w:p>
        </w:tc>
      </w:tr>
      <w:tr w:rsidR="00F20ABF" w14:paraId="1E803A24" w14:textId="77777777">
        <w:tc>
          <w:tcPr>
            <w:tcW w:w="0" w:type="auto"/>
            <w:gridSpan w:val="3"/>
            <w:shd w:val="clear" w:color="auto" w:fill="E2EFD9"/>
            <w:tcMar>
              <w:top w:w="40" w:type="dxa"/>
              <w:left w:w="20" w:type="dxa"/>
              <w:bottom w:w="40" w:type="dxa"/>
              <w:right w:w="20" w:type="dxa"/>
            </w:tcMar>
            <w:vAlign w:val="bottom"/>
          </w:tcPr>
          <w:p w14:paraId="1E803A18" w14:textId="77777777" w:rsidR="00F20ABF" w:rsidRDefault="00CA4D2F">
            <w:pPr>
              <w:textAlignment w:val="bottom"/>
            </w:pPr>
            <w:r>
              <w:rPr>
                <w:rFonts w:ascii="sans-serif" w:eastAsia="sans-serif" w:hAnsi="sans-serif" w:cs="sans-serif"/>
                <w:color w:val="000000"/>
                <w:sz w:val="20"/>
                <w:szCs w:val="20"/>
              </w:rPr>
              <w:t>Income before income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A19" w14:textId="77777777" w:rsidR="00F20ABF" w:rsidRDefault="00CA4D2F">
            <w:pPr>
              <w:jc w:val="right"/>
              <w:textAlignment w:val="bottom"/>
            </w:pPr>
            <w:r>
              <w:rPr>
                <w:rFonts w:ascii="sans-serif" w:eastAsia="sans-serif" w:hAnsi="sans-serif" w:cs="sans-serif"/>
                <w:color w:val="000000"/>
                <w:sz w:val="20"/>
                <w:szCs w:val="20"/>
              </w:rPr>
              <w:t>1,348 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A1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A1B"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A1C" w14:textId="77777777" w:rsidR="00F20ABF" w:rsidRDefault="00CA4D2F">
            <w:pPr>
              <w:jc w:val="right"/>
              <w:textAlignment w:val="bottom"/>
            </w:pPr>
            <w:r>
              <w:rPr>
                <w:rFonts w:ascii="sans-serif" w:eastAsia="sans-serif" w:hAnsi="sans-serif" w:cs="sans-serif"/>
                <w:color w:val="000000"/>
                <w:sz w:val="20"/>
                <w:szCs w:val="20"/>
              </w:rPr>
              <w:t>959 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A1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A1E"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A1F" w14:textId="77777777" w:rsidR="00F20ABF" w:rsidRDefault="00CA4D2F">
            <w:pPr>
              <w:jc w:val="right"/>
              <w:textAlignment w:val="bottom"/>
            </w:pPr>
            <w:r>
              <w:rPr>
                <w:rFonts w:ascii="sans-serif" w:eastAsia="sans-serif" w:hAnsi="sans-serif" w:cs="sans-serif"/>
                <w:color w:val="000000"/>
                <w:sz w:val="20"/>
                <w:szCs w:val="20"/>
              </w:rPr>
              <w:t>2,939 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A20"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A21"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A22" w14:textId="77777777" w:rsidR="00F20ABF" w:rsidRDefault="00CA4D2F">
            <w:pPr>
              <w:jc w:val="right"/>
              <w:textAlignment w:val="bottom"/>
            </w:pPr>
            <w:r>
              <w:rPr>
                <w:rFonts w:ascii="sans-serif" w:eastAsia="sans-serif" w:hAnsi="sans-serif" w:cs="sans-serif"/>
                <w:color w:val="000000"/>
                <w:sz w:val="20"/>
                <w:szCs w:val="20"/>
              </w:rPr>
              <w:t>1,954 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A23" w14:textId="77777777" w:rsidR="00F20ABF" w:rsidRDefault="00F20ABF">
            <w:pPr>
              <w:jc w:val="right"/>
              <w:rPr>
                <w:rFonts w:ascii="宋体"/>
              </w:rPr>
            </w:pPr>
          </w:p>
        </w:tc>
      </w:tr>
      <w:tr w:rsidR="00F20ABF" w14:paraId="1E803A31" w14:textId="77777777">
        <w:tc>
          <w:tcPr>
            <w:tcW w:w="0" w:type="auto"/>
            <w:gridSpan w:val="3"/>
            <w:shd w:val="clear" w:color="auto" w:fill="FFFFFF"/>
            <w:tcMar>
              <w:top w:w="40" w:type="dxa"/>
              <w:left w:w="20" w:type="dxa"/>
              <w:bottom w:w="40" w:type="dxa"/>
              <w:right w:w="20" w:type="dxa"/>
            </w:tcMar>
            <w:vAlign w:val="bottom"/>
          </w:tcPr>
          <w:p w14:paraId="1E803A25" w14:textId="77777777" w:rsidR="00F20ABF" w:rsidRDefault="00CA4D2F">
            <w:pPr>
              <w:textAlignment w:val="bottom"/>
            </w:pPr>
            <w:r>
              <w:rPr>
                <w:rFonts w:ascii="sans-serif" w:eastAsia="sans-serif" w:hAnsi="sans-serif" w:cs="sans-serif"/>
                <w:color w:val="000000"/>
                <w:sz w:val="20"/>
                <w:szCs w:val="20"/>
              </w:rPr>
              <w:t>Income tax expense</w:t>
            </w:r>
          </w:p>
        </w:tc>
        <w:tc>
          <w:tcPr>
            <w:tcW w:w="0" w:type="auto"/>
            <w:gridSpan w:val="2"/>
            <w:shd w:val="clear" w:color="auto" w:fill="FFFFFF"/>
            <w:tcMar>
              <w:top w:w="40" w:type="dxa"/>
              <w:left w:w="20" w:type="dxa"/>
              <w:bottom w:w="40" w:type="dxa"/>
              <w:right w:w="0" w:type="dxa"/>
            </w:tcMar>
            <w:vAlign w:val="bottom"/>
          </w:tcPr>
          <w:p w14:paraId="1E803A26" w14:textId="77777777" w:rsidR="00F20ABF" w:rsidRDefault="00CA4D2F">
            <w:pPr>
              <w:jc w:val="right"/>
              <w:textAlignment w:val="bottom"/>
            </w:pPr>
            <w:r>
              <w:rPr>
                <w:rFonts w:ascii="sans-serif" w:eastAsia="sans-serif" w:hAnsi="sans-serif" w:cs="sans-serif"/>
                <w:color w:val="000000"/>
                <w:sz w:val="20"/>
                <w:szCs w:val="20"/>
              </w:rPr>
              <w:t>12 </w:t>
            </w:r>
          </w:p>
        </w:tc>
        <w:tc>
          <w:tcPr>
            <w:tcW w:w="0" w:type="auto"/>
            <w:shd w:val="clear" w:color="auto" w:fill="FFFFFF"/>
            <w:tcMar>
              <w:top w:w="40" w:type="dxa"/>
              <w:left w:w="0" w:type="dxa"/>
              <w:bottom w:w="40" w:type="dxa"/>
              <w:right w:w="20" w:type="dxa"/>
            </w:tcMar>
            <w:vAlign w:val="bottom"/>
          </w:tcPr>
          <w:p w14:paraId="1E803A27"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A28"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A29" w14:textId="77777777" w:rsidR="00F20ABF" w:rsidRDefault="00CA4D2F">
            <w:pPr>
              <w:jc w:val="right"/>
              <w:textAlignment w:val="bottom"/>
            </w:pPr>
            <w:r>
              <w:rPr>
                <w:rFonts w:ascii="sans-serif" w:eastAsia="sans-serif" w:hAnsi="sans-serif" w:cs="sans-serif"/>
                <w:color w:val="000000"/>
                <w:sz w:val="20"/>
                <w:szCs w:val="20"/>
              </w:rPr>
              <w:t>60 </w:t>
            </w:r>
          </w:p>
        </w:tc>
        <w:tc>
          <w:tcPr>
            <w:tcW w:w="0" w:type="auto"/>
            <w:shd w:val="clear" w:color="auto" w:fill="FFFFFF"/>
            <w:tcMar>
              <w:top w:w="40" w:type="dxa"/>
              <w:left w:w="0" w:type="dxa"/>
              <w:bottom w:w="40" w:type="dxa"/>
              <w:right w:w="20" w:type="dxa"/>
            </w:tcMar>
            <w:vAlign w:val="bottom"/>
          </w:tcPr>
          <w:p w14:paraId="1E803A2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A2B"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A2C" w14:textId="77777777" w:rsidR="00F20ABF" w:rsidRDefault="00CA4D2F">
            <w:pPr>
              <w:jc w:val="right"/>
              <w:textAlignment w:val="bottom"/>
            </w:pPr>
            <w:r>
              <w:rPr>
                <w:rFonts w:ascii="sans-serif" w:eastAsia="sans-serif" w:hAnsi="sans-serif" w:cs="sans-serif"/>
                <w:color w:val="000000"/>
                <w:sz w:val="20"/>
                <w:szCs w:val="20"/>
              </w:rPr>
              <w:t>64 </w:t>
            </w:r>
          </w:p>
        </w:tc>
        <w:tc>
          <w:tcPr>
            <w:tcW w:w="0" w:type="auto"/>
            <w:shd w:val="clear" w:color="auto" w:fill="FFFFFF"/>
            <w:tcMar>
              <w:top w:w="40" w:type="dxa"/>
              <w:left w:w="0" w:type="dxa"/>
              <w:bottom w:w="40" w:type="dxa"/>
              <w:right w:w="20" w:type="dxa"/>
            </w:tcMar>
            <w:vAlign w:val="bottom"/>
          </w:tcPr>
          <w:p w14:paraId="1E803A2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A2E"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A2F" w14:textId="77777777" w:rsidR="00F20ABF" w:rsidRDefault="00CA4D2F">
            <w:pPr>
              <w:jc w:val="right"/>
              <w:textAlignment w:val="bottom"/>
            </w:pPr>
            <w:r>
              <w:rPr>
                <w:rFonts w:ascii="sans-serif" w:eastAsia="sans-serif" w:hAnsi="sans-serif" w:cs="sans-serif"/>
                <w:color w:val="000000"/>
                <w:sz w:val="20"/>
                <w:szCs w:val="20"/>
              </w:rPr>
              <w:t>109 </w:t>
            </w:r>
          </w:p>
        </w:tc>
        <w:tc>
          <w:tcPr>
            <w:tcW w:w="0" w:type="auto"/>
            <w:shd w:val="clear" w:color="auto" w:fill="FFFFFF"/>
            <w:tcMar>
              <w:top w:w="40" w:type="dxa"/>
              <w:left w:w="0" w:type="dxa"/>
              <w:bottom w:w="40" w:type="dxa"/>
              <w:right w:w="20" w:type="dxa"/>
            </w:tcMar>
            <w:vAlign w:val="bottom"/>
          </w:tcPr>
          <w:p w14:paraId="1E803A30" w14:textId="77777777" w:rsidR="00F20ABF" w:rsidRDefault="00F20ABF">
            <w:pPr>
              <w:jc w:val="right"/>
              <w:rPr>
                <w:rFonts w:ascii="宋体"/>
              </w:rPr>
            </w:pPr>
          </w:p>
        </w:tc>
      </w:tr>
      <w:tr w:rsidR="00F20ABF" w14:paraId="1E803A42" w14:textId="77777777">
        <w:tc>
          <w:tcPr>
            <w:tcW w:w="0" w:type="auto"/>
            <w:gridSpan w:val="3"/>
            <w:shd w:val="clear" w:color="auto" w:fill="E2EFD9"/>
            <w:tcMar>
              <w:top w:w="40" w:type="dxa"/>
              <w:left w:w="20" w:type="dxa"/>
              <w:bottom w:w="40" w:type="dxa"/>
              <w:right w:w="20" w:type="dxa"/>
            </w:tcMar>
            <w:vAlign w:val="bottom"/>
          </w:tcPr>
          <w:p w14:paraId="1E803A32" w14:textId="77777777" w:rsidR="00F20ABF" w:rsidRDefault="00CA4D2F">
            <w:pPr>
              <w:textAlignment w:val="bottom"/>
            </w:pPr>
            <w:r>
              <w:rPr>
                <w:rFonts w:ascii="sans-serif" w:eastAsia="sans-serif" w:hAnsi="sans-serif" w:cs="sans-serif"/>
                <w:color w:val="000000"/>
                <w:sz w:val="20"/>
                <w:szCs w:val="20"/>
              </w:rPr>
              <w:t>Net income</w:t>
            </w:r>
          </w:p>
        </w:tc>
        <w:tc>
          <w:tcPr>
            <w:tcW w:w="0" w:type="auto"/>
            <w:tcBorders>
              <w:top w:val="single" w:sz="8" w:space="0" w:color="000000"/>
            </w:tcBorders>
            <w:shd w:val="clear" w:color="auto" w:fill="E2EFD9"/>
            <w:tcMar>
              <w:top w:w="40" w:type="dxa"/>
              <w:left w:w="20" w:type="dxa"/>
              <w:bottom w:w="40" w:type="dxa"/>
              <w:right w:w="0" w:type="dxa"/>
            </w:tcMar>
            <w:vAlign w:val="bottom"/>
          </w:tcPr>
          <w:p w14:paraId="1E803A33"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A34" w14:textId="77777777" w:rsidR="00F20ABF" w:rsidRDefault="00CA4D2F">
            <w:pPr>
              <w:jc w:val="right"/>
              <w:textAlignment w:val="bottom"/>
            </w:pPr>
            <w:r>
              <w:rPr>
                <w:rFonts w:ascii="sans-serif" w:eastAsia="sans-serif" w:hAnsi="sans-serif" w:cs="sans-serif"/>
                <w:color w:val="000000"/>
                <w:sz w:val="20"/>
                <w:szCs w:val="20"/>
              </w:rPr>
              <w:t>1,336 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A3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A36"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A37"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A38" w14:textId="77777777" w:rsidR="00F20ABF" w:rsidRDefault="00CA4D2F">
            <w:pPr>
              <w:jc w:val="right"/>
              <w:textAlignment w:val="bottom"/>
            </w:pPr>
            <w:r>
              <w:rPr>
                <w:rFonts w:ascii="sans-serif" w:eastAsia="sans-serif" w:hAnsi="sans-serif" w:cs="sans-serif"/>
                <w:color w:val="000000"/>
                <w:sz w:val="20"/>
                <w:szCs w:val="20"/>
              </w:rPr>
              <w:t>899 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A3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A3A"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A3B"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A3C" w14:textId="77777777" w:rsidR="00F20ABF" w:rsidRDefault="00CA4D2F">
            <w:pPr>
              <w:jc w:val="right"/>
              <w:textAlignment w:val="bottom"/>
            </w:pPr>
            <w:r>
              <w:rPr>
                <w:rFonts w:ascii="sans-serif" w:eastAsia="sans-serif" w:hAnsi="sans-serif" w:cs="sans-serif"/>
                <w:color w:val="000000"/>
                <w:sz w:val="20"/>
                <w:szCs w:val="20"/>
              </w:rPr>
              <w:t>2,875 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A3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A3E"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A3F"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A40" w14:textId="77777777" w:rsidR="00F20ABF" w:rsidRDefault="00CA4D2F">
            <w:pPr>
              <w:jc w:val="right"/>
              <w:textAlignment w:val="bottom"/>
            </w:pPr>
            <w:r>
              <w:rPr>
                <w:rFonts w:ascii="sans-serif" w:eastAsia="sans-serif" w:hAnsi="sans-serif" w:cs="sans-serif"/>
                <w:color w:val="000000"/>
                <w:sz w:val="20"/>
                <w:szCs w:val="20"/>
              </w:rPr>
              <w:t>1,845 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A41" w14:textId="77777777" w:rsidR="00F20ABF" w:rsidRDefault="00F20ABF">
            <w:pPr>
              <w:jc w:val="right"/>
              <w:rPr>
                <w:rFonts w:ascii="宋体"/>
              </w:rPr>
            </w:pPr>
          </w:p>
        </w:tc>
      </w:tr>
      <w:tr w:rsidR="00F20ABF" w14:paraId="1E803A4B" w14:textId="77777777">
        <w:trPr>
          <w:trHeight w:val="300"/>
        </w:trPr>
        <w:tc>
          <w:tcPr>
            <w:tcW w:w="0" w:type="auto"/>
            <w:gridSpan w:val="3"/>
            <w:shd w:val="clear" w:color="auto" w:fill="FFFFFF"/>
            <w:tcMar>
              <w:top w:w="0" w:type="dxa"/>
              <w:left w:w="20" w:type="dxa"/>
              <w:bottom w:w="0" w:type="dxa"/>
              <w:right w:w="20" w:type="dxa"/>
            </w:tcMar>
          </w:tcPr>
          <w:p w14:paraId="1E803A43" w14:textId="77777777" w:rsidR="00F20ABF" w:rsidRDefault="00F20A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E803A44"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3A45" w14:textId="77777777" w:rsidR="00F20ABF" w:rsidRDefault="00F20A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E803A46"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3A47" w14:textId="77777777" w:rsidR="00F20ABF" w:rsidRDefault="00F20A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E803A48"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3A49" w14:textId="77777777" w:rsidR="00F20ABF" w:rsidRDefault="00F20A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E803A4A" w14:textId="77777777" w:rsidR="00F20ABF" w:rsidRDefault="00F20ABF">
            <w:pPr>
              <w:rPr>
                <w:rFonts w:ascii="宋体"/>
              </w:rPr>
            </w:pPr>
          </w:p>
        </w:tc>
      </w:tr>
      <w:tr w:rsidR="00F20ABF" w14:paraId="1E803A54" w14:textId="77777777">
        <w:tc>
          <w:tcPr>
            <w:tcW w:w="0" w:type="auto"/>
            <w:gridSpan w:val="3"/>
            <w:shd w:val="clear" w:color="auto" w:fill="E2EFD9"/>
            <w:tcMar>
              <w:top w:w="40" w:type="dxa"/>
              <w:left w:w="20" w:type="dxa"/>
              <w:bottom w:w="40" w:type="dxa"/>
              <w:right w:w="20" w:type="dxa"/>
            </w:tcMar>
            <w:vAlign w:val="bottom"/>
          </w:tcPr>
          <w:p w14:paraId="1E803A4C" w14:textId="77777777" w:rsidR="00F20ABF" w:rsidRDefault="00CA4D2F">
            <w:pPr>
              <w:textAlignment w:val="bottom"/>
            </w:pPr>
            <w:r>
              <w:rPr>
                <w:rFonts w:ascii="sans-serif" w:eastAsia="sans-serif" w:hAnsi="sans-serif" w:cs="sans-serif"/>
                <w:color w:val="000000"/>
                <w:sz w:val="20"/>
                <w:szCs w:val="20"/>
              </w:rPr>
              <w:t>Net income per share:</w:t>
            </w:r>
          </w:p>
        </w:tc>
        <w:tc>
          <w:tcPr>
            <w:tcW w:w="0" w:type="auto"/>
            <w:gridSpan w:val="3"/>
            <w:shd w:val="clear" w:color="auto" w:fill="E2EFD9"/>
            <w:tcMar>
              <w:top w:w="0" w:type="dxa"/>
              <w:left w:w="20" w:type="dxa"/>
              <w:bottom w:w="0" w:type="dxa"/>
              <w:right w:w="20" w:type="dxa"/>
            </w:tcMar>
          </w:tcPr>
          <w:p w14:paraId="1E803A4D"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A4E"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A4F"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A50"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A51"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A52"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A53" w14:textId="77777777" w:rsidR="00F20ABF" w:rsidRDefault="00F20ABF">
            <w:pPr>
              <w:rPr>
                <w:rFonts w:ascii="宋体"/>
              </w:rPr>
            </w:pPr>
          </w:p>
        </w:tc>
      </w:tr>
      <w:tr w:rsidR="00F20ABF" w14:paraId="1E803A65" w14:textId="77777777">
        <w:tc>
          <w:tcPr>
            <w:tcW w:w="0" w:type="auto"/>
            <w:gridSpan w:val="3"/>
            <w:shd w:val="clear" w:color="auto" w:fill="FFFFFF"/>
            <w:tcMar>
              <w:top w:w="40" w:type="dxa"/>
              <w:left w:w="515" w:type="dxa"/>
              <w:bottom w:w="40" w:type="dxa"/>
              <w:right w:w="20" w:type="dxa"/>
            </w:tcMar>
            <w:vAlign w:val="bottom"/>
          </w:tcPr>
          <w:p w14:paraId="1E803A55" w14:textId="77777777" w:rsidR="00F20ABF" w:rsidRDefault="00CA4D2F">
            <w:pPr>
              <w:textAlignment w:val="bottom"/>
            </w:pPr>
            <w:r>
              <w:rPr>
                <w:rFonts w:ascii="sans-serif" w:eastAsia="sans-serif" w:hAnsi="sans-serif" w:cs="sans-serif"/>
                <w:color w:val="000000"/>
                <w:sz w:val="20"/>
                <w:szCs w:val="20"/>
              </w:rPr>
              <w:t>Basic</w:t>
            </w:r>
          </w:p>
        </w:tc>
        <w:tc>
          <w:tcPr>
            <w:tcW w:w="0" w:type="auto"/>
            <w:shd w:val="clear" w:color="auto" w:fill="FFFFFF"/>
            <w:tcMar>
              <w:top w:w="40" w:type="dxa"/>
              <w:left w:w="20" w:type="dxa"/>
              <w:bottom w:w="40" w:type="dxa"/>
              <w:right w:w="0" w:type="dxa"/>
            </w:tcMar>
            <w:vAlign w:val="bottom"/>
          </w:tcPr>
          <w:p w14:paraId="1E803A56"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3A57" w14:textId="77777777" w:rsidR="00F20ABF" w:rsidRDefault="00CA4D2F">
            <w:pPr>
              <w:jc w:val="right"/>
              <w:textAlignment w:val="bottom"/>
            </w:pPr>
            <w:r>
              <w:rPr>
                <w:rFonts w:ascii="sans-serif" w:eastAsia="sans-serif" w:hAnsi="sans-serif" w:cs="sans-serif"/>
                <w:color w:val="000000"/>
                <w:sz w:val="20"/>
                <w:szCs w:val="20"/>
              </w:rPr>
              <w:t>2.16 </w:t>
            </w:r>
          </w:p>
        </w:tc>
        <w:tc>
          <w:tcPr>
            <w:tcW w:w="0" w:type="auto"/>
            <w:shd w:val="clear" w:color="auto" w:fill="FFFFFF"/>
            <w:tcMar>
              <w:top w:w="40" w:type="dxa"/>
              <w:left w:w="0" w:type="dxa"/>
              <w:bottom w:w="40" w:type="dxa"/>
              <w:right w:w="20" w:type="dxa"/>
            </w:tcMar>
            <w:vAlign w:val="bottom"/>
          </w:tcPr>
          <w:p w14:paraId="1E803A5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A59"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3A5A"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3A5B" w14:textId="77777777" w:rsidR="00F20ABF" w:rsidRDefault="00CA4D2F">
            <w:pPr>
              <w:jc w:val="right"/>
              <w:textAlignment w:val="bottom"/>
            </w:pPr>
            <w:r>
              <w:rPr>
                <w:rFonts w:ascii="sans-serif" w:eastAsia="sans-serif" w:hAnsi="sans-serif" w:cs="sans-serif"/>
                <w:color w:val="000000"/>
                <w:sz w:val="20"/>
                <w:szCs w:val="20"/>
              </w:rPr>
              <w:t>1.47 </w:t>
            </w:r>
          </w:p>
        </w:tc>
        <w:tc>
          <w:tcPr>
            <w:tcW w:w="0" w:type="auto"/>
            <w:shd w:val="clear" w:color="auto" w:fill="FFFFFF"/>
            <w:tcMar>
              <w:top w:w="40" w:type="dxa"/>
              <w:left w:w="0" w:type="dxa"/>
              <w:bottom w:w="40" w:type="dxa"/>
              <w:right w:w="20" w:type="dxa"/>
            </w:tcMar>
            <w:vAlign w:val="bottom"/>
          </w:tcPr>
          <w:p w14:paraId="1E803A5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A5D"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3A5E"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3A5F" w14:textId="77777777" w:rsidR="00F20ABF" w:rsidRDefault="00CA4D2F">
            <w:pPr>
              <w:jc w:val="right"/>
              <w:textAlignment w:val="bottom"/>
            </w:pPr>
            <w:r>
              <w:rPr>
                <w:rFonts w:ascii="sans-serif" w:eastAsia="sans-serif" w:hAnsi="sans-serif" w:cs="sans-serif"/>
                <w:color w:val="000000"/>
                <w:sz w:val="20"/>
                <w:szCs w:val="20"/>
              </w:rPr>
              <w:t>4.67 </w:t>
            </w:r>
          </w:p>
        </w:tc>
        <w:tc>
          <w:tcPr>
            <w:tcW w:w="0" w:type="auto"/>
            <w:shd w:val="clear" w:color="auto" w:fill="FFFFFF"/>
            <w:tcMar>
              <w:top w:w="40" w:type="dxa"/>
              <w:left w:w="0" w:type="dxa"/>
              <w:bottom w:w="40" w:type="dxa"/>
              <w:right w:w="20" w:type="dxa"/>
            </w:tcMar>
            <w:vAlign w:val="bottom"/>
          </w:tcPr>
          <w:p w14:paraId="1E803A60"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A61"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3A62"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3A63" w14:textId="77777777" w:rsidR="00F20ABF" w:rsidRDefault="00CA4D2F">
            <w:pPr>
              <w:jc w:val="right"/>
              <w:textAlignment w:val="bottom"/>
            </w:pPr>
            <w:r>
              <w:rPr>
                <w:rFonts w:ascii="sans-serif" w:eastAsia="sans-serif" w:hAnsi="sans-serif" w:cs="sans-serif"/>
                <w:color w:val="000000"/>
                <w:sz w:val="20"/>
                <w:szCs w:val="20"/>
              </w:rPr>
              <w:t>3.03 </w:t>
            </w:r>
          </w:p>
        </w:tc>
        <w:tc>
          <w:tcPr>
            <w:tcW w:w="0" w:type="auto"/>
            <w:shd w:val="clear" w:color="auto" w:fill="FFFFFF"/>
            <w:tcMar>
              <w:top w:w="40" w:type="dxa"/>
              <w:left w:w="0" w:type="dxa"/>
              <w:bottom w:w="40" w:type="dxa"/>
              <w:right w:w="20" w:type="dxa"/>
            </w:tcMar>
            <w:vAlign w:val="bottom"/>
          </w:tcPr>
          <w:p w14:paraId="1E803A64" w14:textId="77777777" w:rsidR="00F20ABF" w:rsidRDefault="00F20ABF">
            <w:pPr>
              <w:jc w:val="right"/>
              <w:rPr>
                <w:rFonts w:ascii="宋体"/>
              </w:rPr>
            </w:pPr>
          </w:p>
        </w:tc>
      </w:tr>
      <w:tr w:rsidR="00F20ABF" w14:paraId="1E803A76" w14:textId="77777777">
        <w:tc>
          <w:tcPr>
            <w:tcW w:w="0" w:type="auto"/>
            <w:gridSpan w:val="3"/>
            <w:shd w:val="clear" w:color="auto" w:fill="E2EFD9"/>
            <w:tcMar>
              <w:top w:w="40" w:type="dxa"/>
              <w:left w:w="515" w:type="dxa"/>
              <w:bottom w:w="40" w:type="dxa"/>
              <w:right w:w="20" w:type="dxa"/>
            </w:tcMar>
            <w:vAlign w:val="bottom"/>
          </w:tcPr>
          <w:p w14:paraId="1E803A66" w14:textId="77777777" w:rsidR="00F20ABF" w:rsidRDefault="00CA4D2F">
            <w:pPr>
              <w:textAlignment w:val="bottom"/>
            </w:pPr>
            <w:r>
              <w:rPr>
                <w:rFonts w:ascii="sans-serif" w:eastAsia="sans-serif" w:hAnsi="sans-serif" w:cs="sans-serif"/>
                <w:color w:val="000000"/>
                <w:sz w:val="20"/>
                <w:szCs w:val="20"/>
              </w:rPr>
              <w:t>Diluted</w:t>
            </w:r>
          </w:p>
        </w:tc>
        <w:tc>
          <w:tcPr>
            <w:tcW w:w="0" w:type="auto"/>
            <w:tcBorders>
              <w:top w:val="double" w:sz="6" w:space="0" w:color="000000"/>
            </w:tcBorders>
            <w:shd w:val="clear" w:color="auto" w:fill="E2EFD9"/>
            <w:tcMar>
              <w:top w:w="40" w:type="dxa"/>
              <w:left w:w="20" w:type="dxa"/>
              <w:bottom w:w="40" w:type="dxa"/>
              <w:right w:w="0" w:type="dxa"/>
            </w:tcMar>
            <w:vAlign w:val="bottom"/>
          </w:tcPr>
          <w:p w14:paraId="1E803A67"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E803A68" w14:textId="77777777" w:rsidR="00F20ABF" w:rsidRDefault="00CA4D2F">
            <w:pPr>
              <w:jc w:val="right"/>
              <w:textAlignment w:val="bottom"/>
            </w:pPr>
            <w:r>
              <w:rPr>
                <w:rFonts w:ascii="sans-serif" w:eastAsia="sans-serif" w:hAnsi="sans-serif" w:cs="sans-serif"/>
                <w:color w:val="000000"/>
                <w:sz w:val="20"/>
                <w:szCs w:val="20"/>
              </w:rPr>
              <w:t>2.12 </w:t>
            </w:r>
          </w:p>
        </w:tc>
        <w:tc>
          <w:tcPr>
            <w:tcW w:w="0" w:type="auto"/>
            <w:tcBorders>
              <w:top w:val="double" w:sz="6" w:space="0" w:color="000000"/>
            </w:tcBorders>
            <w:shd w:val="clear" w:color="auto" w:fill="E2EFD9"/>
            <w:tcMar>
              <w:top w:w="40" w:type="dxa"/>
              <w:left w:w="0" w:type="dxa"/>
              <w:bottom w:w="40" w:type="dxa"/>
              <w:right w:w="20" w:type="dxa"/>
            </w:tcMar>
            <w:vAlign w:val="bottom"/>
          </w:tcPr>
          <w:p w14:paraId="1E803A6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A6A" w14:textId="77777777" w:rsidR="00F20ABF" w:rsidRDefault="00F20ABF">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1E803A6B"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E803A6C" w14:textId="77777777" w:rsidR="00F20ABF" w:rsidRDefault="00CA4D2F">
            <w:pPr>
              <w:jc w:val="right"/>
              <w:textAlignment w:val="bottom"/>
            </w:pPr>
            <w:r>
              <w:rPr>
                <w:rFonts w:ascii="sans-serif" w:eastAsia="sans-serif" w:hAnsi="sans-serif" w:cs="sans-serif"/>
                <w:color w:val="000000"/>
                <w:sz w:val="20"/>
                <w:szCs w:val="20"/>
              </w:rPr>
              <w:t>1.45 </w:t>
            </w:r>
          </w:p>
        </w:tc>
        <w:tc>
          <w:tcPr>
            <w:tcW w:w="0" w:type="auto"/>
            <w:tcBorders>
              <w:top w:val="double" w:sz="6" w:space="0" w:color="000000"/>
            </w:tcBorders>
            <w:shd w:val="clear" w:color="auto" w:fill="E2EFD9"/>
            <w:tcMar>
              <w:top w:w="40" w:type="dxa"/>
              <w:left w:w="0" w:type="dxa"/>
              <w:bottom w:w="40" w:type="dxa"/>
              <w:right w:w="20" w:type="dxa"/>
            </w:tcMar>
            <w:vAlign w:val="bottom"/>
          </w:tcPr>
          <w:p w14:paraId="1E803A6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A6E" w14:textId="77777777" w:rsidR="00F20ABF" w:rsidRDefault="00F20ABF">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1E803A6F"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E803A70" w14:textId="77777777" w:rsidR="00F20ABF" w:rsidRDefault="00CA4D2F">
            <w:pPr>
              <w:jc w:val="right"/>
              <w:textAlignment w:val="bottom"/>
            </w:pPr>
            <w:r>
              <w:rPr>
                <w:rFonts w:ascii="sans-serif" w:eastAsia="sans-serif" w:hAnsi="sans-serif" w:cs="sans-serif"/>
                <w:color w:val="000000"/>
                <w:sz w:val="20"/>
                <w:szCs w:val="20"/>
              </w:rPr>
              <w:t>4.59 </w:t>
            </w:r>
          </w:p>
        </w:tc>
        <w:tc>
          <w:tcPr>
            <w:tcW w:w="0" w:type="auto"/>
            <w:tcBorders>
              <w:top w:val="double" w:sz="6" w:space="0" w:color="000000"/>
            </w:tcBorders>
            <w:shd w:val="clear" w:color="auto" w:fill="E2EFD9"/>
            <w:tcMar>
              <w:top w:w="40" w:type="dxa"/>
              <w:left w:w="0" w:type="dxa"/>
              <w:bottom w:w="40" w:type="dxa"/>
              <w:right w:w="20" w:type="dxa"/>
            </w:tcMar>
            <w:vAlign w:val="bottom"/>
          </w:tcPr>
          <w:p w14:paraId="1E803A7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A72" w14:textId="77777777" w:rsidR="00F20ABF" w:rsidRDefault="00F20ABF">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1E803A73"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E803A74" w14:textId="77777777" w:rsidR="00F20ABF" w:rsidRDefault="00CA4D2F">
            <w:pPr>
              <w:jc w:val="right"/>
              <w:textAlignment w:val="bottom"/>
            </w:pPr>
            <w:r>
              <w:rPr>
                <w:rFonts w:ascii="sans-serif" w:eastAsia="sans-serif" w:hAnsi="sans-serif" w:cs="sans-serif"/>
                <w:color w:val="000000"/>
                <w:sz w:val="20"/>
                <w:szCs w:val="20"/>
              </w:rPr>
              <w:t>2.99 </w:t>
            </w:r>
          </w:p>
        </w:tc>
        <w:tc>
          <w:tcPr>
            <w:tcW w:w="0" w:type="auto"/>
            <w:tcBorders>
              <w:top w:val="double" w:sz="6" w:space="0" w:color="000000"/>
            </w:tcBorders>
            <w:shd w:val="clear" w:color="auto" w:fill="E2EFD9"/>
            <w:tcMar>
              <w:top w:w="40" w:type="dxa"/>
              <w:left w:w="0" w:type="dxa"/>
              <w:bottom w:w="40" w:type="dxa"/>
              <w:right w:w="20" w:type="dxa"/>
            </w:tcMar>
            <w:vAlign w:val="bottom"/>
          </w:tcPr>
          <w:p w14:paraId="1E803A75" w14:textId="77777777" w:rsidR="00F20ABF" w:rsidRDefault="00F20ABF">
            <w:pPr>
              <w:jc w:val="right"/>
              <w:rPr>
                <w:rFonts w:ascii="宋体"/>
              </w:rPr>
            </w:pPr>
          </w:p>
        </w:tc>
      </w:tr>
      <w:tr w:rsidR="00F20ABF" w14:paraId="1E803A7F" w14:textId="77777777">
        <w:trPr>
          <w:trHeight w:val="300"/>
        </w:trPr>
        <w:tc>
          <w:tcPr>
            <w:tcW w:w="0" w:type="auto"/>
            <w:gridSpan w:val="3"/>
            <w:shd w:val="clear" w:color="auto" w:fill="FFFFFF"/>
            <w:tcMar>
              <w:top w:w="0" w:type="dxa"/>
              <w:left w:w="20" w:type="dxa"/>
              <w:bottom w:w="0" w:type="dxa"/>
              <w:right w:w="20" w:type="dxa"/>
            </w:tcMar>
          </w:tcPr>
          <w:p w14:paraId="1E803A77" w14:textId="77777777" w:rsidR="00F20ABF" w:rsidRDefault="00F20A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E803A78"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3A79" w14:textId="77777777" w:rsidR="00F20ABF" w:rsidRDefault="00F20A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E803A7A"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3A7B" w14:textId="77777777" w:rsidR="00F20ABF" w:rsidRDefault="00F20A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E803A7C"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3A7D" w14:textId="77777777" w:rsidR="00F20ABF" w:rsidRDefault="00F20A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E803A7E" w14:textId="77777777" w:rsidR="00F20ABF" w:rsidRDefault="00F20ABF">
            <w:pPr>
              <w:rPr>
                <w:rFonts w:ascii="宋体"/>
              </w:rPr>
            </w:pPr>
          </w:p>
        </w:tc>
      </w:tr>
      <w:tr w:rsidR="00F20ABF" w14:paraId="1E803A88" w14:textId="77777777">
        <w:tc>
          <w:tcPr>
            <w:tcW w:w="0" w:type="auto"/>
            <w:gridSpan w:val="3"/>
            <w:shd w:val="clear" w:color="auto" w:fill="E2EFD9"/>
            <w:tcMar>
              <w:top w:w="40" w:type="dxa"/>
              <w:left w:w="20" w:type="dxa"/>
              <w:bottom w:w="40" w:type="dxa"/>
              <w:right w:w="20" w:type="dxa"/>
            </w:tcMar>
            <w:vAlign w:val="bottom"/>
          </w:tcPr>
          <w:p w14:paraId="1E803A80" w14:textId="77777777" w:rsidR="00F20ABF" w:rsidRDefault="00CA4D2F">
            <w:pPr>
              <w:textAlignment w:val="bottom"/>
            </w:pPr>
            <w:r>
              <w:rPr>
                <w:rFonts w:ascii="sans-serif" w:eastAsia="sans-serif" w:hAnsi="sans-serif" w:cs="sans-serif"/>
                <w:color w:val="000000"/>
                <w:sz w:val="20"/>
                <w:szCs w:val="20"/>
              </w:rPr>
              <w:t>Weighted average shares used in per share computation:</w:t>
            </w:r>
          </w:p>
        </w:tc>
        <w:tc>
          <w:tcPr>
            <w:tcW w:w="0" w:type="auto"/>
            <w:gridSpan w:val="3"/>
            <w:shd w:val="clear" w:color="auto" w:fill="E2EFD9"/>
            <w:tcMar>
              <w:top w:w="0" w:type="dxa"/>
              <w:left w:w="20" w:type="dxa"/>
              <w:bottom w:w="0" w:type="dxa"/>
              <w:right w:w="20" w:type="dxa"/>
            </w:tcMar>
          </w:tcPr>
          <w:p w14:paraId="1E803A81"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A82"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A83"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A84"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A85"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A86"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A87" w14:textId="77777777" w:rsidR="00F20ABF" w:rsidRDefault="00F20ABF">
            <w:pPr>
              <w:rPr>
                <w:rFonts w:ascii="宋体"/>
              </w:rPr>
            </w:pPr>
          </w:p>
        </w:tc>
      </w:tr>
      <w:tr w:rsidR="00F20ABF" w14:paraId="1E803A95" w14:textId="77777777">
        <w:tc>
          <w:tcPr>
            <w:tcW w:w="0" w:type="auto"/>
            <w:gridSpan w:val="3"/>
            <w:shd w:val="clear" w:color="auto" w:fill="FFFFFF"/>
            <w:tcMar>
              <w:top w:w="40" w:type="dxa"/>
              <w:left w:w="515" w:type="dxa"/>
              <w:bottom w:w="40" w:type="dxa"/>
              <w:right w:w="20" w:type="dxa"/>
            </w:tcMar>
            <w:vAlign w:val="bottom"/>
          </w:tcPr>
          <w:p w14:paraId="1E803A89" w14:textId="77777777" w:rsidR="00F20ABF" w:rsidRDefault="00CA4D2F">
            <w:pPr>
              <w:textAlignment w:val="bottom"/>
            </w:pPr>
            <w:r>
              <w:rPr>
                <w:rFonts w:ascii="sans-serif" w:eastAsia="sans-serif" w:hAnsi="sans-serif" w:cs="sans-serif"/>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1E803A8A" w14:textId="77777777" w:rsidR="00F20ABF" w:rsidRDefault="00CA4D2F">
            <w:pPr>
              <w:jc w:val="right"/>
              <w:textAlignment w:val="bottom"/>
            </w:pPr>
            <w:r>
              <w:rPr>
                <w:rFonts w:ascii="sans-serif" w:eastAsia="sans-serif" w:hAnsi="sans-serif" w:cs="sans-serif"/>
                <w:color w:val="000000"/>
                <w:sz w:val="20"/>
                <w:szCs w:val="20"/>
              </w:rPr>
              <w:t>618 </w:t>
            </w:r>
          </w:p>
        </w:tc>
        <w:tc>
          <w:tcPr>
            <w:tcW w:w="0" w:type="auto"/>
            <w:shd w:val="clear" w:color="auto" w:fill="FFFFFF"/>
            <w:tcMar>
              <w:top w:w="40" w:type="dxa"/>
              <w:left w:w="0" w:type="dxa"/>
              <w:bottom w:w="40" w:type="dxa"/>
              <w:right w:w="20" w:type="dxa"/>
            </w:tcMar>
            <w:vAlign w:val="bottom"/>
          </w:tcPr>
          <w:p w14:paraId="1E803A8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A8C"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A8D" w14:textId="77777777" w:rsidR="00F20ABF" w:rsidRDefault="00CA4D2F">
            <w:pPr>
              <w:jc w:val="right"/>
              <w:textAlignment w:val="bottom"/>
            </w:pPr>
            <w:r>
              <w:rPr>
                <w:rFonts w:ascii="sans-serif" w:eastAsia="sans-serif" w:hAnsi="sans-serif" w:cs="sans-serif"/>
                <w:color w:val="000000"/>
                <w:sz w:val="20"/>
                <w:szCs w:val="20"/>
              </w:rPr>
              <w:t>610 </w:t>
            </w:r>
          </w:p>
        </w:tc>
        <w:tc>
          <w:tcPr>
            <w:tcW w:w="0" w:type="auto"/>
            <w:shd w:val="clear" w:color="auto" w:fill="FFFFFF"/>
            <w:tcMar>
              <w:top w:w="40" w:type="dxa"/>
              <w:left w:w="0" w:type="dxa"/>
              <w:bottom w:w="40" w:type="dxa"/>
              <w:right w:w="20" w:type="dxa"/>
            </w:tcMar>
            <w:vAlign w:val="bottom"/>
          </w:tcPr>
          <w:p w14:paraId="1E803A8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A8F"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A90" w14:textId="77777777" w:rsidR="00F20ABF" w:rsidRDefault="00CA4D2F">
            <w:pPr>
              <w:jc w:val="right"/>
              <w:textAlignment w:val="bottom"/>
            </w:pPr>
            <w:r>
              <w:rPr>
                <w:rFonts w:ascii="sans-serif" w:eastAsia="sans-serif" w:hAnsi="sans-serif" w:cs="sans-serif"/>
                <w:color w:val="000000"/>
                <w:sz w:val="20"/>
                <w:szCs w:val="20"/>
              </w:rPr>
              <w:t>616 </w:t>
            </w:r>
          </w:p>
        </w:tc>
        <w:tc>
          <w:tcPr>
            <w:tcW w:w="0" w:type="auto"/>
            <w:shd w:val="clear" w:color="auto" w:fill="FFFFFF"/>
            <w:tcMar>
              <w:top w:w="40" w:type="dxa"/>
              <w:left w:w="0" w:type="dxa"/>
              <w:bottom w:w="40" w:type="dxa"/>
              <w:right w:w="20" w:type="dxa"/>
            </w:tcMar>
            <w:vAlign w:val="bottom"/>
          </w:tcPr>
          <w:p w14:paraId="1E803A9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A92"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A93" w14:textId="77777777" w:rsidR="00F20ABF" w:rsidRDefault="00CA4D2F">
            <w:pPr>
              <w:jc w:val="right"/>
              <w:textAlignment w:val="bottom"/>
            </w:pPr>
            <w:r>
              <w:rPr>
                <w:rFonts w:ascii="sans-serif" w:eastAsia="sans-serif" w:hAnsi="sans-serif" w:cs="sans-serif"/>
                <w:color w:val="000000"/>
                <w:sz w:val="20"/>
                <w:szCs w:val="20"/>
              </w:rPr>
              <w:t>609 </w:t>
            </w:r>
          </w:p>
        </w:tc>
        <w:tc>
          <w:tcPr>
            <w:tcW w:w="0" w:type="auto"/>
            <w:shd w:val="clear" w:color="auto" w:fill="FFFFFF"/>
            <w:tcMar>
              <w:top w:w="40" w:type="dxa"/>
              <w:left w:w="0" w:type="dxa"/>
              <w:bottom w:w="40" w:type="dxa"/>
              <w:right w:w="20" w:type="dxa"/>
            </w:tcMar>
            <w:vAlign w:val="bottom"/>
          </w:tcPr>
          <w:p w14:paraId="1E803A94" w14:textId="77777777" w:rsidR="00F20ABF" w:rsidRDefault="00F20ABF">
            <w:pPr>
              <w:jc w:val="right"/>
              <w:rPr>
                <w:rFonts w:ascii="宋体"/>
              </w:rPr>
            </w:pPr>
          </w:p>
        </w:tc>
      </w:tr>
      <w:tr w:rsidR="00F20ABF" w14:paraId="1E803AA2" w14:textId="77777777">
        <w:tc>
          <w:tcPr>
            <w:tcW w:w="0" w:type="auto"/>
            <w:gridSpan w:val="3"/>
            <w:shd w:val="clear" w:color="auto" w:fill="E2EFD9"/>
            <w:tcMar>
              <w:top w:w="40" w:type="dxa"/>
              <w:left w:w="515" w:type="dxa"/>
              <w:bottom w:w="40" w:type="dxa"/>
              <w:right w:w="20" w:type="dxa"/>
            </w:tcMar>
            <w:vAlign w:val="bottom"/>
          </w:tcPr>
          <w:p w14:paraId="1E803A96" w14:textId="77777777" w:rsidR="00F20ABF" w:rsidRDefault="00CA4D2F">
            <w:pPr>
              <w:textAlignment w:val="bottom"/>
            </w:pPr>
            <w:r>
              <w:rPr>
                <w:rFonts w:ascii="sans-serif" w:eastAsia="sans-serif" w:hAnsi="sans-serif" w:cs="sans-serif"/>
                <w:color w:val="000000"/>
                <w:sz w:val="20"/>
                <w:szCs w:val="20"/>
              </w:rPr>
              <w:t>Diluted</w:t>
            </w: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1E803A97" w14:textId="77777777" w:rsidR="00F20ABF" w:rsidRDefault="00CA4D2F">
            <w:pPr>
              <w:jc w:val="right"/>
              <w:textAlignment w:val="bottom"/>
            </w:pPr>
            <w:r>
              <w:rPr>
                <w:rFonts w:ascii="sans-serif" w:eastAsia="sans-serif" w:hAnsi="sans-serif" w:cs="sans-serif"/>
                <w:color w:val="000000"/>
                <w:sz w:val="20"/>
                <w:szCs w:val="20"/>
              </w:rPr>
              <w:t>630 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1E803A9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A99" w14:textId="77777777" w:rsidR="00F20ABF" w:rsidRDefault="00F20ABF">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1E803A9A" w14:textId="77777777" w:rsidR="00F20ABF" w:rsidRDefault="00CA4D2F">
            <w:pPr>
              <w:jc w:val="right"/>
              <w:textAlignment w:val="bottom"/>
            </w:pPr>
            <w:r>
              <w:rPr>
                <w:rFonts w:ascii="sans-serif" w:eastAsia="sans-serif" w:hAnsi="sans-serif" w:cs="sans-serif"/>
                <w:color w:val="000000"/>
                <w:sz w:val="20"/>
                <w:szCs w:val="20"/>
              </w:rPr>
              <w:t>618 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1E803A9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A9C" w14:textId="77777777" w:rsidR="00F20ABF" w:rsidRDefault="00F20ABF">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1E803A9D" w14:textId="77777777" w:rsidR="00F20ABF" w:rsidRDefault="00CA4D2F">
            <w:pPr>
              <w:jc w:val="right"/>
              <w:textAlignment w:val="bottom"/>
            </w:pPr>
            <w:r>
              <w:rPr>
                <w:rFonts w:ascii="sans-serif" w:eastAsia="sans-serif" w:hAnsi="sans-serif" w:cs="sans-serif"/>
                <w:color w:val="000000"/>
                <w:sz w:val="20"/>
                <w:szCs w:val="20"/>
              </w:rPr>
              <w:t>626 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1E803A9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A9F" w14:textId="77777777" w:rsidR="00F20ABF" w:rsidRDefault="00F20ABF">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1E803AA0" w14:textId="77777777" w:rsidR="00F20ABF" w:rsidRDefault="00CA4D2F">
            <w:pPr>
              <w:jc w:val="right"/>
              <w:textAlignment w:val="bottom"/>
            </w:pPr>
            <w:r>
              <w:rPr>
                <w:rFonts w:ascii="sans-serif" w:eastAsia="sans-serif" w:hAnsi="sans-serif" w:cs="sans-serif"/>
                <w:color w:val="000000"/>
                <w:sz w:val="20"/>
                <w:szCs w:val="20"/>
              </w:rPr>
              <w:t>617 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1E803AA1" w14:textId="77777777" w:rsidR="00F20ABF" w:rsidRDefault="00F20ABF">
            <w:pPr>
              <w:jc w:val="right"/>
              <w:rPr>
                <w:rFonts w:ascii="宋体"/>
              </w:rPr>
            </w:pPr>
          </w:p>
        </w:tc>
      </w:tr>
      <w:tr w:rsidR="00F20ABF" w14:paraId="1E803AAB" w14:textId="77777777">
        <w:trPr>
          <w:hidden/>
        </w:trPr>
        <w:tc>
          <w:tcPr>
            <w:tcW w:w="0" w:type="auto"/>
            <w:gridSpan w:val="3"/>
            <w:shd w:val="clear" w:color="auto" w:fill="auto"/>
          </w:tcPr>
          <w:p w14:paraId="1E803AA3" w14:textId="77777777" w:rsidR="00F20ABF" w:rsidRDefault="00F20ABF">
            <w:pPr>
              <w:rPr>
                <w:rFonts w:ascii="宋体"/>
                <w:vanish/>
              </w:rPr>
            </w:pPr>
          </w:p>
        </w:tc>
        <w:tc>
          <w:tcPr>
            <w:tcW w:w="0" w:type="auto"/>
            <w:gridSpan w:val="3"/>
            <w:shd w:val="clear" w:color="auto" w:fill="auto"/>
          </w:tcPr>
          <w:p w14:paraId="1E803AA4" w14:textId="77777777" w:rsidR="00F20ABF" w:rsidRDefault="00F20ABF">
            <w:pPr>
              <w:rPr>
                <w:rFonts w:ascii="宋体"/>
                <w:vanish/>
              </w:rPr>
            </w:pPr>
          </w:p>
        </w:tc>
        <w:tc>
          <w:tcPr>
            <w:tcW w:w="0" w:type="auto"/>
            <w:gridSpan w:val="3"/>
            <w:shd w:val="clear" w:color="auto" w:fill="auto"/>
          </w:tcPr>
          <w:p w14:paraId="1E803AA5" w14:textId="77777777" w:rsidR="00F20ABF" w:rsidRDefault="00F20ABF">
            <w:pPr>
              <w:rPr>
                <w:rFonts w:ascii="宋体"/>
                <w:vanish/>
              </w:rPr>
            </w:pPr>
          </w:p>
        </w:tc>
        <w:tc>
          <w:tcPr>
            <w:tcW w:w="0" w:type="auto"/>
            <w:gridSpan w:val="3"/>
            <w:shd w:val="clear" w:color="auto" w:fill="auto"/>
          </w:tcPr>
          <w:p w14:paraId="1E803AA6" w14:textId="77777777" w:rsidR="00F20ABF" w:rsidRDefault="00F20ABF">
            <w:pPr>
              <w:rPr>
                <w:rFonts w:ascii="宋体"/>
                <w:vanish/>
              </w:rPr>
            </w:pPr>
          </w:p>
        </w:tc>
        <w:tc>
          <w:tcPr>
            <w:tcW w:w="0" w:type="auto"/>
            <w:gridSpan w:val="3"/>
            <w:shd w:val="clear" w:color="auto" w:fill="auto"/>
          </w:tcPr>
          <w:p w14:paraId="1E803AA7" w14:textId="77777777" w:rsidR="00F20ABF" w:rsidRDefault="00F20ABF">
            <w:pPr>
              <w:rPr>
                <w:rFonts w:ascii="宋体"/>
                <w:vanish/>
              </w:rPr>
            </w:pPr>
          </w:p>
        </w:tc>
        <w:tc>
          <w:tcPr>
            <w:tcW w:w="0" w:type="auto"/>
            <w:gridSpan w:val="3"/>
            <w:shd w:val="clear" w:color="auto" w:fill="auto"/>
          </w:tcPr>
          <w:p w14:paraId="1E803AA8" w14:textId="77777777" w:rsidR="00F20ABF" w:rsidRDefault="00F20ABF">
            <w:pPr>
              <w:rPr>
                <w:rFonts w:ascii="宋体"/>
                <w:vanish/>
              </w:rPr>
            </w:pPr>
          </w:p>
        </w:tc>
        <w:tc>
          <w:tcPr>
            <w:tcW w:w="0" w:type="auto"/>
            <w:gridSpan w:val="3"/>
            <w:shd w:val="clear" w:color="auto" w:fill="auto"/>
          </w:tcPr>
          <w:p w14:paraId="1E803AA9" w14:textId="77777777" w:rsidR="00F20ABF" w:rsidRDefault="00F20ABF">
            <w:pPr>
              <w:rPr>
                <w:rFonts w:ascii="宋体"/>
                <w:vanish/>
              </w:rPr>
            </w:pPr>
          </w:p>
        </w:tc>
        <w:tc>
          <w:tcPr>
            <w:tcW w:w="0" w:type="auto"/>
            <w:gridSpan w:val="3"/>
            <w:shd w:val="clear" w:color="auto" w:fill="auto"/>
          </w:tcPr>
          <w:p w14:paraId="1E803AAA" w14:textId="77777777" w:rsidR="00F20ABF" w:rsidRDefault="00F20ABF">
            <w:pPr>
              <w:rPr>
                <w:rFonts w:ascii="宋体"/>
                <w:vanish/>
              </w:rPr>
            </w:pPr>
          </w:p>
        </w:tc>
      </w:tr>
      <w:tr w:rsidR="00F20ABF" w14:paraId="1E803AB4" w14:textId="77777777">
        <w:trPr>
          <w:hidden/>
        </w:trPr>
        <w:tc>
          <w:tcPr>
            <w:tcW w:w="0" w:type="auto"/>
            <w:gridSpan w:val="3"/>
            <w:shd w:val="clear" w:color="auto" w:fill="auto"/>
          </w:tcPr>
          <w:p w14:paraId="1E803AAC" w14:textId="77777777" w:rsidR="00F20ABF" w:rsidRDefault="00F20ABF">
            <w:pPr>
              <w:rPr>
                <w:rFonts w:ascii="宋体"/>
                <w:vanish/>
              </w:rPr>
            </w:pPr>
          </w:p>
        </w:tc>
        <w:tc>
          <w:tcPr>
            <w:tcW w:w="0" w:type="auto"/>
            <w:gridSpan w:val="3"/>
            <w:shd w:val="clear" w:color="auto" w:fill="auto"/>
          </w:tcPr>
          <w:p w14:paraId="1E803AAD" w14:textId="77777777" w:rsidR="00F20ABF" w:rsidRDefault="00F20ABF">
            <w:pPr>
              <w:rPr>
                <w:rFonts w:ascii="宋体"/>
                <w:vanish/>
              </w:rPr>
            </w:pPr>
          </w:p>
        </w:tc>
        <w:tc>
          <w:tcPr>
            <w:tcW w:w="0" w:type="auto"/>
            <w:gridSpan w:val="3"/>
            <w:shd w:val="clear" w:color="auto" w:fill="auto"/>
          </w:tcPr>
          <w:p w14:paraId="1E803AAE" w14:textId="77777777" w:rsidR="00F20ABF" w:rsidRDefault="00F20ABF">
            <w:pPr>
              <w:rPr>
                <w:rFonts w:ascii="宋体"/>
                <w:vanish/>
              </w:rPr>
            </w:pPr>
          </w:p>
        </w:tc>
        <w:tc>
          <w:tcPr>
            <w:tcW w:w="0" w:type="auto"/>
            <w:gridSpan w:val="3"/>
            <w:shd w:val="clear" w:color="auto" w:fill="auto"/>
          </w:tcPr>
          <w:p w14:paraId="1E803AAF" w14:textId="77777777" w:rsidR="00F20ABF" w:rsidRDefault="00F20ABF">
            <w:pPr>
              <w:rPr>
                <w:rFonts w:ascii="宋体"/>
                <w:vanish/>
              </w:rPr>
            </w:pPr>
          </w:p>
        </w:tc>
        <w:tc>
          <w:tcPr>
            <w:tcW w:w="0" w:type="auto"/>
            <w:gridSpan w:val="3"/>
            <w:shd w:val="clear" w:color="auto" w:fill="auto"/>
          </w:tcPr>
          <w:p w14:paraId="1E803AB0" w14:textId="77777777" w:rsidR="00F20ABF" w:rsidRDefault="00F20ABF">
            <w:pPr>
              <w:rPr>
                <w:rFonts w:ascii="宋体"/>
                <w:vanish/>
              </w:rPr>
            </w:pPr>
          </w:p>
        </w:tc>
        <w:tc>
          <w:tcPr>
            <w:tcW w:w="0" w:type="auto"/>
            <w:gridSpan w:val="3"/>
            <w:shd w:val="clear" w:color="auto" w:fill="auto"/>
          </w:tcPr>
          <w:p w14:paraId="1E803AB1" w14:textId="77777777" w:rsidR="00F20ABF" w:rsidRDefault="00F20ABF">
            <w:pPr>
              <w:rPr>
                <w:rFonts w:ascii="宋体"/>
                <w:vanish/>
              </w:rPr>
            </w:pPr>
          </w:p>
        </w:tc>
        <w:tc>
          <w:tcPr>
            <w:tcW w:w="0" w:type="auto"/>
            <w:gridSpan w:val="3"/>
            <w:shd w:val="clear" w:color="auto" w:fill="auto"/>
          </w:tcPr>
          <w:p w14:paraId="1E803AB2" w14:textId="77777777" w:rsidR="00F20ABF" w:rsidRDefault="00F20ABF">
            <w:pPr>
              <w:rPr>
                <w:rFonts w:ascii="宋体"/>
                <w:vanish/>
              </w:rPr>
            </w:pPr>
          </w:p>
        </w:tc>
        <w:tc>
          <w:tcPr>
            <w:tcW w:w="0" w:type="auto"/>
            <w:gridSpan w:val="3"/>
            <w:shd w:val="clear" w:color="auto" w:fill="auto"/>
          </w:tcPr>
          <w:p w14:paraId="1E803AB3" w14:textId="77777777" w:rsidR="00F20ABF" w:rsidRDefault="00F20ABF">
            <w:pPr>
              <w:rPr>
                <w:rFonts w:ascii="宋体"/>
                <w:vanish/>
              </w:rPr>
            </w:pPr>
          </w:p>
        </w:tc>
      </w:tr>
    </w:tbl>
    <w:p w14:paraId="1E803AB5" w14:textId="77777777" w:rsidR="00F20ABF" w:rsidRDefault="00CA4D2F">
      <w:pPr>
        <w:spacing w:after="180"/>
        <w:jc w:val="center"/>
      </w:pPr>
      <w:r>
        <w:rPr>
          <w:rFonts w:ascii="sans-serif" w:eastAsia="sans-serif" w:hAnsi="sans-serif" w:cs="sans-serif"/>
          <w:color w:val="000000"/>
          <w:sz w:val="20"/>
          <w:szCs w:val="20"/>
        </w:rPr>
        <w:t>See accompanying Notes to Condensed Consolidated Financial Statements.</w:t>
      </w:r>
    </w:p>
    <w:p w14:paraId="1E803AB6" w14:textId="77777777" w:rsidR="00F20ABF" w:rsidRDefault="00F20ABF">
      <w:pPr>
        <w:spacing w:after="180"/>
        <w:jc w:val="center"/>
      </w:pPr>
    </w:p>
    <w:p w14:paraId="1E803AB7" w14:textId="77777777" w:rsidR="00F20ABF" w:rsidRDefault="00CA4D2F">
      <w:pPr>
        <w:spacing w:after="180"/>
        <w:jc w:val="center"/>
      </w:pPr>
      <w:r>
        <w:rPr>
          <w:rFonts w:ascii="sans-serif" w:eastAsia="sans-serif" w:hAnsi="sans-serif" w:cs="sans-serif"/>
          <w:color w:val="000000"/>
          <w:sz w:val="20"/>
          <w:szCs w:val="20"/>
        </w:rPr>
        <w:t>3</w:t>
      </w:r>
    </w:p>
    <w:p w14:paraId="1E803AB8" w14:textId="77777777" w:rsidR="00F20ABF" w:rsidRDefault="00CA4D2F">
      <w:r>
        <w:pict w14:anchorId="1E80557E">
          <v:rect id="_x0000_i1027" style="width:415.3pt;height:1.5pt" o:hralign="center" o:hrstd="t" o:hr="t" fillcolor="#a0a0a0" stroked="f"/>
        </w:pict>
      </w:r>
    </w:p>
    <w:p w14:paraId="1E803AB9" w14:textId="77777777" w:rsidR="00F20ABF" w:rsidRDefault="00F20ABF">
      <w:pPr>
        <w:spacing w:after="180"/>
        <w:jc w:val="both"/>
      </w:pPr>
    </w:p>
    <w:p w14:paraId="1E803ABA" w14:textId="77777777" w:rsidR="00F20ABF" w:rsidRDefault="00CA4D2F">
      <w:pPr>
        <w:jc w:val="center"/>
      </w:pPr>
      <w:r>
        <w:rPr>
          <w:rFonts w:ascii="sans-serif" w:eastAsia="sans-serif" w:hAnsi="sans-serif" w:cs="sans-serif"/>
          <w:b/>
          <w:bCs/>
          <w:color w:val="000000"/>
          <w:sz w:val="20"/>
          <w:szCs w:val="20"/>
        </w:rPr>
        <w:t xml:space="preserve">NVIDIA </w:t>
      </w:r>
      <w:r>
        <w:rPr>
          <w:rFonts w:ascii="sans-serif" w:eastAsia="sans-serif" w:hAnsi="sans-serif" w:cs="sans-serif"/>
          <w:b/>
          <w:bCs/>
          <w:color w:val="000000"/>
          <w:sz w:val="20"/>
          <w:szCs w:val="20"/>
        </w:rPr>
        <w:t>CORPORATION AND SUBSIDIARIES</w:t>
      </w:r>
    </w:p>
    <w:p w14:paraId="1E803ABB" w14:textId="77777777" w:rsidR="00F20ABF" w:rsidRDefault="00CA4D2F">
      <w:pPr>
        <w:jc w:val="center"/>
      </w:pPr>
      <w:r>
        <w:rPr>
          <w:rFonts w:ascii="sans-serif" w:eastAsia="sans-serif" w:hAnsi="sans-serif" w:cs="sans-serif"/>
          <w:b/>
          <w:bCs/>
          <w:color w:val="000000"/>
          <w:sz w:val="20"/>
          <w:szCs w:val="20"/>
        </w:rPr>
        <w:t>CONDENSED CONSOLIDATED STATEMENTS OF COMPREHENSIVE INCOME</w:t>
      </w:r>
    </w:p>
    <w:p w14:paraId="1E803ABC" w14:textId="77777777" w:rsidR="00F20ABF" w:rsidRDefault="00CA4D2F">
      <w:pPr>
        <w:jc w:val="center"/>
      </w:pPr>
      <w:r>
        <w:rPr>
          <w:rFonts w:ascii="sans-serif" w:eastAsia="sans-serif" w:hAnsi="sans-serif" w:cs="sans-serif"/>
          <w:b/>
          <w:bCs/>
          <w:color w:val="000000"/>
          <w:sz w:val="20"/>
          <w:szCs w:val="20"/>
        </w:rPr>
        <w:t>(In millions)</w:t>
      </w:r>
    </w:p>
    <w:p w14:paraId="1E803ABD" w14:textId="77777777" w:rsidR="00F20ABF" w:rsidRDefault="00CA4D2F">
      <w:pPr>
        <w:jc w:val="center"/>
      </w:pPr>
      <w:r>
        <w:rPr>
          <w:rFonts w:ascii="sans-serif" w:eastAsia="sans-serif" w:hAnsi="sans-serif" w:cs="sans-serif"/>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3761"/>
        <w:gridCol w:w="38"/>
        <w:gridCol w:w="123"/>
        <w:gridCol w:w="917"/>
        <w:gridCol w:w="37"/>
        <w:gridCol w:w="36"/>
        <w:gridCol w:w="36"/>
        <w:gridCol w:w="36"/>
        <w:gridCol w:w="123"/>
        <w:gridCol w:w="872"/>
        <w:gridCol w:w="36"/>
        <w:gridCol w:w="36"/>
        <w:gridCol w:w="36"/>
        <w:gridCol w:w="36"/>
        <w:gridCol w:w="123"/>
        <w:gridCol w:w="872"/>
        <w:gridCol w:w="37"/>
        <w:gridCol w:w="36"/>
        <w:gridCol w:w="36"/>
        <w:gridCol w:w="36"/>
        <w:gridCol w:w="123"/>
        <w:gridCol w:w="873"/>
        <w:gridCol w:w="37"/>
      </w:tblGrid>
      <w:tr w:rsidR="00F20ABF" w14:paraId="1E803AD6" w14:textId="77777777">
        <w:tc>
          <w:tcPr>
            <w:tcW w:w="50" w:type="pct"/>
            <w:shd w:val="clear" w:color="auto" w:fill="auto"/>
          </w:tcPr>
          <w:p w14:paraId="1E803ABE" w14:textId="77777777" w:rsidR="00F20ABF" w:rsidRDefault="00F20ABF">
            <w:pPr>
              <w:rPr>
                <w:rFonts w:ascii="宋体"/>
              </w:rPr>
            </w:pPr>
          </w:p>
        </w:tc>
        <w:tc>
          <w:tcPr>
            <w:tcW w:w="2291" w:type="pct"/>
            <w:shd w:val="clear" w:color="auto" w:fill="auto"/>
          </w:tcPr>
          <w:p w14:paraId="1E803ABF" w14:textId="77777777" w:rsidR="00F20ABF" w:rsidRDefault="00F20ABF">
            <w:pPr>
              <w:rPr>
                <w:rFonts w:ascii="宋体"/>
              </w:rPr>
            </w:pPr>
          </w:p>
        </w:tc>
        <w:tc>
          <w:tcPr>
            <w:tcW w:w="5" w:type="pct"/>
            <w:shd w:val="clear" w:color="auto" w:fill="auto"/>
          </w:tcPr>
          <w:p w14:paraId="1E803AC0" w14:textId="77777777" w:rsidR="00F20ABF" w:rsidRDefault="00F20ABF">
            <w:pPr>
              <w:rPr>
                <w:rFonts w:ascii="宋体"/>
              </w:rPr>
            </w:pPr>
          </w:p>
        </w:tc>
        <w:tc>
          <w:tcPr>
            <w:tcW w:w="50" w:type="pct"/>
            <w:shd w:val="clear" w:color="auto" w:fill="auto"/>
          </w:tcPr>
          <w:p w14:paraId="1E803AC1" w14:textId="77777777" w:rsidR="00F20ABF" w:rsidRDefault="00F20ABF">
            <w:pPr>
              <w:rPr>
                <w:rFonts w:ascii="宋体"/>
              </w:rPr>
            </w:pPr>
          </w:p>
        </w:tc>
        <w:tc>
          <w:tcPr>
            <w:tcW w:w="580" w:type="pct"/>
            <w:shd w:val="clear" w:color="auto" w:fill="auto"/>
          </w:tcPr>
          <w:p w14:paraId="1E803AC2" w14:textId="77777777" w:rsidR="00F20ABF" w:rsidRDefault="00F20ABF">
            <w:pPr>
              <w:rPr>
                <w:rFonts w:ascii="宋体"/>
              </w:rPr>
            </w:pPr>
          </w:p>
        </w:tc>
        <w:tc>
          <w:tcPr>
            <w:tcW w:w="5" w:type="pct"/>
            <w:shd w:val="clear" w:color="auto" w:fill="auto"/>
          </w:tcPr>
          <w:p w14:paraId="1E803AC3" w14:textId="77777777" w:rsidR="00F20ABF" w:rsidRDefault="00F20ABF">
            <w:pPr>
              <w:rPr>
                <w:rFonts w:ascii="宋体"/>
              </w:rPr>
            </w:pPr>
          </w:p>
        </w:tc>
        <w:tc>
          <w:tcPr>
            <w:tcW w:w="5" w:type="pct"/>
            <w:shd w:val="clear" w:color="auto" w:fill="auto"/>
          </w:tcPr>
          <w:p w14:paraId="1E803AC4" w14:textId="77777777" w:rsidR="00F20ABF" w:rsidRDefault="00F20ABF">
            <w:pPr>
              <w:rPr>
                <w:rFonts w:ascii="宋体"/>
              </w:rPr>
            </w:pPr>
          </w:p>
        </w:tc>
        <w:tc>
          <w:tcPr>
            <w:tcW w:w="26" w:type="pct"/>
            <w:shd w:val="clear" w:color="auto" w:fill="auto"/>
          </w:tcPr>
          <w:p w14:paraId="1E803AC5" w14:textId="77777777" w:rsidR="00F20ABF" w:rsidRDefault="00F20ABF">
            <w:pPr>
              <w:rPr>
                <w:rFonts w:ascii="宋体"/>
              </w:rPr>
            </w:pPr>
          </w:p>
        </w:tc>
        <w:tc>
          <w:tcPr>
            <w:tcW w:w="5" w:type="pct"/>
            <w:shd w:val="clear" w:color="auto" w:fill="auto"/>
          </w:tcPr>
          <w:p w14:paraId="1E803AC6" w14:textId="77777777" w:rsidR="00F20ABF" w:rsidRDefault="00F20ABF">
            <w:pPr>
              <w:rPr>
                <w:rFonts w:ascii="宋体"/>
              </w:rPr>
            </w:pPr>
          </w:p>
        </w:tc>
        <w:tc>
          <w:tcPr>
            <w:tcW w:w="50" w:type="pct"/>
            <w:shd w:val="clear" w:color="auto" w:fill="auto"/>
          </w:tcPr>
          <w:p w14:paraId="1E803AC7" w14:textId="77777777" w:rsidR="00F20ABF" w:rsidRDefault="00F20ABF">
            <w:pPr>
              <w:rPr>
                <w:rFonts w:ascii="宋体"/>
              </w:rPr>
            </w:pPr>
          </w:p>
        </w:tc>
        <w:tc>
          <w:tcPr>
            <w:tcW w:w="580" w:type="pct"/>
            <w:shd w:val="clear" w:color="auto" w:fill="auto"/>
          </w:tcPr>
          <w:p w14:paraId="1E803AC8" w14:textId="77777777" w:rsidR="00F20ABF" w:rsidRDefault="00F20ABF">
            <w:pPr>
              <w:rPr>
                <w:rFonts w:ascii="宋体"/>
              </w:rPr>
            </w:pPr>
          </w:p>
        </w:tc>
        <w:tc>
          <w:tcPr>
            <w:tcW w:w="5" w:type="pct"/>
            <w:shd w:val="clear" w:color="auto" w:fill="auto"/>
          </w:tcPr>
          <w:p w14:paraId="1E803AC9" w14:textId="77777777" w:rsidR="00F20ABF" w:rsidRDefault="00F20ABF">
            <w:pPr>
              <w:rPr>
                <w:rFonts w:ascii="宋体"/>
              </w:rPr>
            </w:pPr>
          </w:p>
        </w:tc>
        <w:tc>
          <w:tcPr>
            <w:tcW w:w="5" w:type="pct"/>
            <w:shd w:val="clear" w:color="auto" w:fill="auto"/>
          </w:tcPr>
          <w:p w14:paraId="1E803ACA" w14:textId="77777777" w:rsidR="00F20ABF" w:rsidRDefault="00F20ABF">
            <w:pPr>
              <w:rPr>
                <w:rFonts w:ascii="宋体"/>
              </w:rPr>
            </w:pPr>
          </w:p>
        </w:tc>
        <w:tc>
          <w:tcPr>
            <w:tcW w:w="26" w:type="pct"/>
            <w:shd w:val="clear" w:color="auto" w:fill="auto"/>
          </w:tcPr>
          <w:p w14:paraId="1E803ACB" w14:textId="77777777" w:rsidR="00F20ABF" w:rsidRDefault="00F20ABF">
            <w:pPr>
              <w:rPr>
                <w:rFonts w:ascii="宋体"/>
              </w:rPr>
            </w:pPr>
          </w:p>
        </w:tc>
        <w:tc>
          <w:tcPr>
            <w:tcW w:w="5" w:type="pct"/>
            <w:shd w:val="clear" w:color="auto" w:fill="auto"/>
          </w:tcPr>
          <w:p w14:paraId="1E803ACC" w14:textId="77777777" w:rsidR="00F20ABF" w:rsidRDefault="00F20ABF">
            <w:pPr>
              <w:rPr>
                <w:rFonts w:ascii="宋体"/>
              </w:rPr>
            </w:pPr>
          </w:p>
        </w:tc>
        <w:tc>
          <w:tcPr>
            <w:tcW w:w="50" w:type="pct"/>
            <w:shd w:val="clear" w:color="auto" w:fill="auto"/>
          </w:tcPr>
          <w:p w14:paraId="1E803ACD" w14:textId="77777777" w:rsidR="00F20ABF" w:rsidRDefault="00F20ABF">
            <w:pPr>
              <w:rPr>
                <w:rFonts w:ascii="宋体"/>
              </w:rPr>
            </w:pPr>
          </w:p>
        </w:tc>
        <w:tc>
          <w:tcPr>
            <w:tcW w:w="580" w:type="pct"/>
            <w:shd w:val="clear" w:color="auto" w:fill="auto"/>
          </w:tcPr>
          <w:p w14:paraId="1E803ACE" w14:textId="77777777" w:rsidR="00F20ABF" w:rsidRDefault="00F20ABF">
            <w:pPr>
              <w:rPr>
                <w:rFonts w:ascii="宋体"/>
              </w:rPr>
            </w:pPr>
          </w:p>
        </w:tc>
        <w:tc>
          <w:tcPr>
            <w:tcW w:w="5" w:type="pct"/>
            <w:shd w:val="clear" w:color="auto" w:fill="auto"/>
          </w:tcPr>
          <w:p w14:paraId="1E803ACF" w14:textId="77777777" w:rsidR="00F20ABF" w:rsidRDefault="00F20ABF">
            <w:pPr>
              <w:rPr>
                <w:rFonts w:ascii="宋体"/>
              </w:rPr>
            </w:pPr>
          </w:p>
        </w:tc>
        <w:tc>
          <w:tcPr>
            <w:tcW w:w="5" w:type="pct"/>
            <w:shd w:val="clear" w:color="auto" w:fill="auto"/>
          </w:tcPr>
          <w:p w14:paraId="1E803AD0" w14:textId="77777777" w:rsidR="00F20ABF" w:rsidRDefault="00F20ABF">
            <w:pPr>
              <w:rPr>
                <w:rFonts w:ascii="宋体"/>
              </w:rPr>
            </w:pPr>
          </w:p>
        </w:tc>
        <w:tc>
          <w:tcPr>
            <w:tcW w:w="26" w:type="pct"/>
            <w:shd w:val="clear" w:color="auto" w:fill="auto"/>
          </w:tcPr>
          <w:p w14:paraId="1E803AD1" w14:textId="77777777" w:rsidR="00F20ABF" w:rsidRDefault="00F20ABF">
            <w:pPr>
              <w:rPr>
                <w:rFonts w:ascii="宋体"/>
              </w:rPr>
            </w:pPr>
          </w:p>
        </w:tc>
        <w:tc>
          <w:tcPr>
            <w:tcW w:w="5" w:type="pct"/>
            <w:shd w:val="clear" w:color="auto" w:fill="auto"/>
          </w:tcPr>
          <w:p w14:paraId="1E803AD2" w14:textId="77777777" w:rsidR="00F20ABF" w:rsidRDefault="00F20ABF">
            <w:pPr>
              <w:rPr>
                <w:rFonts w:ascii="宋体"/>
              </w:rPr>
            </w:pPr>
          </w:p>
        </w:tc>
        <w:tc>
          <w:tcPr>
            <w:tcW w:w="50" w:type="pct"/>
            <w:shd w:val="clear" w:color="auto" w:fill="auto"/>
          </w:tcPr>
          <w:p w14:paraId="1E803AD3" w14:textId="77777777" w:rsidR="00F20ABF" w:rsidRDefault="00F20ABF">
            <w:pPr>
              <w:rPr>
                <w:rFonts w:ascii="宋体"/>
              </w:rPr>
            </w:pPr>
          </w:p>
        </w:tc>
        <w:tc>
          <w:tcPr>
            <w:tcW w:w="581" w:type="pct"/>
            <w:shd w:val="clear" w:color="auto" w:fill="auto"/>
          </w:tcPr>
          <w:p w14:paraId="1E803AD4" w14:textId="77777777" w:rsidR="00F20ABF" w:rsidRDefault="00F20ABF">
            <w:pPr>
              <w:rPr>
                <w:rFonts w:ascii="宋体"/>
              </w:rPr>
            </w:pPr>
          </w:p>
        </w:tc>
        <w:tc>
          <w:tcPr>
            <w:tcW w:w="5" w:type="pct"/>
            <w:shd w:val="clear" w:color="auto" w:fill="auto"/>
          </w:tcPr>
          <w:p w14:paraId="1E803AD5" w14:textId="77777777" w:rsidR="00F20ABF" w:rsidRDefault="00F20ABF">
            <w:pPr>
              <w:rPr>
                <w:rFonts w:ascii="宋体"/>
              </w:rPr>
            </w:pPr>
          </w:p>
        </w:tc>
      </w:tr>
      <w:tr w:rsidR="00F20ABF" w14:paraId="1E803ADB" w14:textId="77777777">
        <w:tc>
          <w:tcPr>
            <w:tcW w:w="0" w:type="auto"/>
            <w:gridSpan w:val="3"/>
            <w:shd w:val="clear" w:color="auto" w:fill="auto"/>
            <w:tcMar>
              <w:top w:w="40" w:type="dxa"/>
              <w:left w:w="20" w:type="dxa"/>
              <w:bottom w:w="40" w:type="dxa"/>
              <w:right w:w="20" w:type="dxa"/>
            </w:tcMar>
            <w:vAlign w:val="bottom"/>
          </w:tcPr>
          <w:p w14:paraId="1E803AD7" w14:textId="77777777" w:rsidR="00F20ABF" w:rsidRDefault="00CA4D2F">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E803AD8" w14:textId="77777777" w:rsidR="00F20ABF" w:rsidRDefault="00CA4D2F">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1E803AD9"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3ADA" w14:textId="77777777" w:rsidR="00F20ABF" w:rsidRDefault="00CA4D2F">
            <w:pPr>
              <w:jc w:val="center"/>
              <w:textAlignment w:val="bottom"/>
            </w:pPr>
            <w:r>
              <w:rPr>
                <w:rFonts w:ascii="sans-serif" w:eastAsia="sans-serif" w:hAnsi="sans-serif" w:cs="sans-serif"/>
                <w:b/>
                <w:bCs/>
                <w:color w:val="000000"/>
                <w:sz w:val="20"/>
                <w:szCs w:val="20"/>
              </w:rPr>
              <w:t>Nine Months Ended</w:t>
            </w:r>
          </w:p>
        </w:tc>
      </w:tr>
      <w:tr w:rsidR="00F20ABF" w14:paraId="1E803AE4" w14:textId="77777777">
        <w:tc>
          <w:tcPr>
            <w:tcW w:w="0" w:type="auto"/>
            <w:gridSpan w:val="3"/>
            <w:shd w:val="clear" w:color="auto" w:fill="auto"/>
            <w:tcMar>
              <w:top w:w="40" w:type="dxa"/>
              <w:left w:w="20" w:type="dxa"/>
              <w:bottom w:w="40" w:type="dxa"/>
              <w:right w:w="20" w:type="dxa"/>
            </w:tcMar>
            <w:vAlign w:val="bottom"/>
          </w:tcPr>
          <w:p w14:paraId="1E803ADC"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3ADD" w14:textId="77777777" w:rsidR="00F20ABF" w:rsidRDefault="00CA4D2F">
            <w:pPr>
              <w:jc w:val="center"/>
              <w:textAlignment w:val="bottom"/>
            </w:pPr>
            <w:r>
              <w:rPr>
                <w:rFonts w:ascii="sans-serif" w:eastAsia="sans-serif" w:hAnsi="sans-serif" w:cs="sans-serif"/>
                <w:b/>
                <w:bCs/>
                <w:color w:val="000000"/>
                <w:sz w:val="20"/>
                <w:szCs w:val="20"/>
              </w:rPr>
              <w:t>October 25,</w:t>
            </w:r>
          </w:p>
        </w:tc>
        <w:tc>
          <w:tcPr>
            <w:tcW w:w="0" w:type="auto"/>
            <w:gridSpan w:val="3"/>
            <w:tcBorders>
              <w:top w:val="single" w:sz="8" w:space="0" w:color="000000"/>
            </w:tcBorders>
            <w:shd w:val="clear" w:color="auto" w:fill="auto"/>
            <w:tcMar>
              <w:top w:w="0" w:type="dxa"/>
              <w:left w:w="20" w:type="dxa"/>
              <w:bottom w:w="0" w:type="dxa"/>
              <w:right w:w="20" w:type="dxa"/>
            </w:tcMar>
          </w:tcPr>
          <w:p w14:paraId="1E803ADE"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3ADF" w14:textId="77777777" w:rsidR="00F20ABF" w:rsidRDefault="00CA4D2F">
            <w:pPr>
              <w:jc w:val="center"/>
              <w:textAlignment w:val="bottom"/>
            </w:pPr>
            <w:r>
              <w:rPr>
                <w:rFonts w:ascii="sans-serif" w:eastAsia="sans-serif" w:hAnsi="sans-serif" w:cs="sans-serif"/>
                <w:b/>
                <w:bCs/>
                <w:color w:val="000000"/>
                <w:sz w:val="20"/>
                <w:szCs w:val="20"/>
              </w:rPr>
              <w:t>October 27,</w:t>
            </w:r>
          </w:p>
        </w:tc>
        <w:tc>
          <w:tcPr>
            <w:tcW w:w="0" w:type="auto"/>
            <w:gridSpan w:val="3"/>
            <w:shd w:val="clear" w:color="auto" w:fill="auto"/>
            <w:tcMar>
              <w:top w:w="0" w:type="dxa"/>
              <w:left w:w="20" w:type="dxa"/>
              <w:bottom w:w="0" w:type="dxa"/>
              <w:right w:w="20" w:type="dxa"/>
            </w:tcMar>
          </w:tcPr>
          <w:p w14:paraId="1E803AE0"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3AE1" w14:textId="77777777" w:rsidR="00F20ABF" w:rsidRDefault="00CA4D2F">
            <w:pPr>
              <w:jc w:val="center"/>
              <w:textAlignment w:val="bottom"/>
            </w:pPr>
            <w:r>
              <w:rPr>
                <w:rFonts w:ascii="sans-serif" w:eastAsia="sans-serif" w:hAnsi="sans-serif" w:cs="sans-serif"/>
                <w:b/>
                <w:bCs/>
                <w:color w:val="000000"/>
                <w:sz w:val="20"/>
                <w:szCs w:val="20"/>
              </w:rPr>
              <w:t>October 25,</w:t>
            </w:r>
          </w:p>
        </w:tc>
        <w:tc>
          <w:tcPr>
            <w:tcW w:w="0" w:type="auto"/>
            <w:gridSpan w:val="3"/>
            <w:tcBorders>
              <w:top w:val="single" w:sz="8" w:space="0" w:color="000000"/>
            </w:tcBorders>
            <w:shd w:val="clear" w:color="auto" w:fill="auto"/>
            <w:tcMar>
              <w:top w:w="0" w:type="dxa"/>
              <w:left w:w="20" w:type="dxa"/>
              <w:bottom w:w="0" w:type="dxa"/>
              <w:right w:w="20" w:type="dxa"/>
            </w:tcMar>
          </w:tcPr>
          <w:p w14:paraId="1E803AE2"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3AE3" w14:textId="77777777" w:rsidR="00F20ABF" w:rsidRDefault="00CA4D2F">
            <w:pPr>
              <w:jc w:val="center"/>
              <w:textAlignment w:val="bottom"/>
            </w:pPr>
            <w:r>
              <w:rPr>
                <w:rFonts w:ascii="sans-serif" w:eastAsia="sans-serif" w:hAnsi="sans-serif" w:cs="sans-serif"/>
                <w:b/>
                <w:bCs/>
                <w:color w:val="000000"/>
                <w:sz w:val="20"/>
                <w:szCs w:val="20"/>
              </w:rPr>
              <w:t>October 27,</w:t>
            </w:r>
          </w:p>
        </w:tc>
      </w:tr>
      <w:tr w:rsidR="00F20ABF" w14:paraId="1E803AED" w14:textId="77777777">
        <w:tc>
          <w:tcPr>
            <w:tcW w:w="0" w:type="auto"/>
            <w:gridSpan w:val="3"/>
            <w:shd w:val="clear" w:color="auto" w:fill="auto"/>
            <w:tcMar>
              <w:top w:w="0" w:type="dxa"/>
              <w:left w:w="20" w:type="dxa"/>
              <w:bottom w:w="0" w:type="dxa"/>
              <w:right w:w="20" w:type="dxa"/>
            </w:tcMar>
          </w:tcPr>
          <w:p w14:paraId="1E803AE5"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3AE6" w14:textId="77777777" w:rsidR="00F20ABF" w:rsidRDefault="00CA4D2F">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tcPr>
          <w:p w14:paraId="1E803AE7"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3AE8" w14:textId="77777777" w:rsidR="00F20ABF" w:rsidRDefault="00CA4D2F">
            <w:pPr>
              <w:jc w:val="center"/>
              <w:textAlignment w:val="bottom"/>
            </w:pPr>
            <w:r>
              <w:rPr>
                <w:rFonts w:ascii="sans-serif" w:eastAsia="sans-serif" w:hAnsi="sans-serif" w:cs="sans-serif"/>
                <w:b/>
                <w:bCs/>
                <w:color w:val="000000"/>
                <w:sz w:val="20"/>
                <w:szCs w:val="20"/>
              </w:rPr>
              <w:t>2019</w:t>
            </w:r>
          </w:p>
        </w:tc>
        <w:tc>
          <w:tcPr>
            <w:tcW w:w="0" w:type="auto"/>
            <w:gridSpan w:val="3"/>
            <w:shd w:val="clear" w:color="auto" w:fill="auto"/>
            <w:tcMar>
              <w:top w:w="0" w:type="dxa"/>
              <w:left w:w="20" w:type="dxa"/>
              <w:bottom w:w="0" w:type="dxa"/>
              <w:right w:w="20" w:type="dxa"/>
            </w:tcMar>
          </w:tcPr>
          <w:p w14:paraId="1E803AE9"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3AEA" w14:textId="77777777" w:rsidR="00F20ABF" w:rsidRDefault="00CA4D2F">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tcPr>
          <w:p w14:paraId="1E803AEB"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3AEC" w14:textId="77777777" w:rsidR="00F20ABF" w:rsidRDefault="00CA4D2F">
            <w:pPr>
              <w:jc w:val="center"/>
              <w:textAlignment w:val="bottom"/>
            </w:pPr>
            <w:r>
              <w:rPr>
                <w:rFonts w:ascii="sans-serif" w:eastAsia="sans-serif" w:hAnsi="sans-serif" w:cs="sans-serif"/>
                <w:b/>
                <w:bCs/>
                <w:color w:val="000000"/>
                <w:sz w:val="20"/>
                <w:szCs w:val="20"/>
              </w:rPr>
              <w:t>2019</w:t>
            </w:r>
          </w:p>
        </w:tc>
      </w:tr>
      <w:tr w:rsidR="00F20ABF" w14:paraId="1E803AF6" w14:textId="77777777">
        <w:tc>
          <w:tcPr>
            <w:tcW w:w="0" w:type="auto"/>
            <w:gridSpan w:val="3"/>
            <w:shd w:val="clear" w:color="auto" w:fill="auto"/>
            <w:tcMar>
              <w:top w:w="40" w:type="dxa"/>
              <w:left w:w="20" w:type="dxa"/>
              <w:bottom w:w="40" w:type="dxa"/>
              <w:right w:w="20" w:type="dxa"/>
            </w:tcMar>
            <w:vAlign w:val="bottom"/>
          </w:tcPr>
          <w:p w14:paraId="1E803AEE"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0" w:type="dxa"/>
              <w:left w:w="20" w:type="dxa"/>
              <w:bottom w:w="0" w:type="dxa"/>
              <w:right w:w="20" w:type="dxa"/>
            </w:tcMar>
          </w:tcPr>
          <w:p w14:paraId="1E803AEF"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AF0"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3AF1"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AF2"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3AF3"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3AF4"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3AF5" w14:textId="77777777" w:rsidR="00F20ABF" w:rsidRDefault="00F20ABF">
            <w:pPr>
              <w:rPr>
                <w:rFonts w:ascii="宋体"/>
              </w:rPr>
            </w:pPr>
          </w:p>
        </w:tc>
      </w:tr>
      <w:tr w:rsidR="00F20ABF" w14:paraId="1E803B07" w14:textId="77777777">
        <w:tc>
          <w:tcPr>
            <w:tcW w:w="0" w:type="auto"/>
            <w:gridSpan w:val="3"/>
            <w:shd w:val="clear" w:color="auto" w:fill="E2EFD9"/>
            <w:tcMar>
              <w:top w:w="40" w:type="dxa"/>
              <w:left w:w="20" w:type="dxa"/>
              <w:bottom w:w="40" w:type="dxa"/>
              <w:right w:w="20" w:type="dxa"/>
            </w:tcMar>
            <w:vAlign w:val="bottom"/>
          </w:tcPr>
          <w:p w14:paraId="1E803AF7" w14:textId="77777777" w:rsidR="00F20ABF" w:rsidRDefault="00CA4D2F">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right w:w="0" w:type="dxa"/>
            </w:tcMar>
            <w:vAlign w:val="bottom"/>
          </w:tcPr>
          <w:p w14:paraId="1E803AF8"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3AF9" w14:textId="77777777" w:rsidR="00F20ABF" w:rsidRDefault="00CA4D2F">
            <w:pPr>
              <w:jc w:val="right"/>
              <w:textAlignment w:val="bottom"/>
            </w:pPr>
            <w:r>
              <w:rPr>
                <w:rFonts w:ascii="sans-serif" w:eastAsia="sans-serif" w:hAnsi="sans-serif" w:cs="sans-serif"/>
                <w:color w:val="000000"/>
                <w:sz w:val="20"/>
                <w:szCs w:val="20"/>
              </w:rPr>
              <w:t>1,336 </w:t>
            </w:r>
          </w:p>
        </w:tc>
        <w:tc>
          <w:tcPr>
            <w:tcW w:w="0" w:type="auto"/>
            <w:shd w:val="clear" w:color="auto" w:fill="E2EFD9"/>
            <w:tcMar>
              <w:top w:w="40" w:type="dxa"/>
              <w:left w:w="0" w:type="dxa"/>
              <w:bottom w:w="40" w:type="dxa"/>
              <w:right w:w="20" w:type="dxa"/>
            </w:tcMar>
            <w:vAlign w:val="bottom"/>
          </w:tcPr>
          <w:p w14:paraId="1E803AF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AFB"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3AFC"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3AFD" w14:textId="77777777" w:rsidR="00F20ABF" w:rsidRDefault="00CA4D2F">
            <w:pPr>
              <w:jc w:val="right"/>
              <w:textAlignment w:val="bottom"/>
            </w:pPr>
            <w:r>
              <w:rPr>
                <w:rFonts w:ascii="sans-serif" w:eastAsia="sans-serif" w:hAnsi="sans-serif" w:cs="sans-serif"/>
                <w:color w:val="000000"/>
                <w:sz w:val="20"/>
                <w:szCs w:val="20"/>
              </w:rPr>
              <w:t>899 </w:t>
            </w:r>
          </w:p>
        </w:tc>
        <w:tc>
          <w:tcPr>
            <w:tcW w:w="0" w:type="auto"/>
            <w:shd w:val="clear" w:color="auto" w:fill="E2EFD9"/>
            <w:tcMar>
              <w:top w:w="40" w:type="dxa"/>
              <w:left w:w="0" w:type="dxa"/>
              <w:bottom w:w="40" w:type="dxa"/>
              <w:right w:w="20" w:type="dxa"/>
            </w:tcMar>
            <w:vAlign w:val="bottom"/>
          </w:tcPr>
          <w:p w14:paraId="1E803AF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AFF"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3B00"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3B01" w14:textId="77777777" w:rsidR="00F20ABF" w:rsidRDefault="00CA4D2F">
            <w:pPr>
              <w:jc w:val="right"/>
              <w:textAlignment w:val="bottom"/>
            </w:pPr>
            <w:r>
              <w:rPr>
                <w:rFonts w:ascii="sans-serif" w:eastAsia="sans-serif" w:hAnsi="sans-serif" w:cs="sans-serif"/>
                <w:color w:val="000000"/>
                <w:sz w:val="20"/>
                <w:szCs w:val="20"/>
              </w:rPr>
              <w:t>2,875 </w:t>
            </w:r>
          </w:p>
        </w:tc>
        <w:tc>
          <w:tcPr>
            <w:tcW w:w="0" w:type="auto"/>
            <w:shd w:val="clear" w:color="auto" w:fill="E2EFD9"/>
            <w:tcMar>
              <w:top w:w="40" w:type="dxa"/>
              <w:left w:w="0" w:type="dxa"/>
              <w:bottom w:w="40" w:type="dxa"/>
              <w:right w:w="20" w:type="dxa"/>
            </w:tcMar>
            <w:vAlign w:val="bottom"/>
          </w:tcPr>
          <w:p w14:paraId="1E803B0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B03"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3B04"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3B05" w14:textId="77777777" w:rsidR="00F20ABF" w:rsidRDefault="00CA4D2F">
            <w:pPr>
              <w:jc w:val="right"/>
              <w:textAlignment w:val="bottom"/>
            </w:pPr>
            <w:r>
              <w:rPr>
                <w:rFonts w:ascii="sans-serif" w:eastAsia="sans-serif" w:hAnsi="sans-serif" w:cs="sans-serif"/>
                <w:color w:val="000000"/>
                <w:sz w:val="20"/>
                <w:szCs w:val="20"/>
              </w:rPr>
              <w:t>1,845 </w:t>
            </w:r>
          </w:p>
        </w:tc>
        <w:tc>
          <w:tcPr>
            <w:tcW w:w="0" w:type="auto"/>
            <w:shd w:val="clear" w:color="auto" w:fill="E2EFD9"/>
            <w:tcMar>
              <w:top w:w="40" w:type="dxa"/>
              <w:left w:w="0" w:type="dxa"/>
              <w:bottom w:w="40" w:type="dxa"/>
              <w:right w:w="20" w:type="dxa"/>
            </w:tcMar>
            <w:vAlign w:val="bottom"/>
          </w:tcPr>
          <w:p w14:paraId="1E803B06" w14:textId="77777777" w:rsidR="00F20ABF" w:rsidRDefault="00F20ABF">
            <w:pPr>
              <w:jc w:val="right"/>
              <w:rPr>
                <w:rFonts w:ascii="宋体"/>
              </w:rPr>
            </w:pPr>
          </w:p>
        </w:tc>
      </w:tr>
      <w:tr w:rsidR="00F20ABF" w14:paraId="1E803B10" w14:textId="77777777">
        <w:tc>
          <w:tcPr>
            <w:tcW w:w="0" w:type="auto"/>
            <w:gridSpan w:val="3"/>
            <w:shd w:val="clear" w:color="auto" w:fill="FFFFFF"/>
            <w:tcMar>
              <w:top w:w="40" w:type="dxa"/>
              <w:left w:w="20" w:type="dxa"/>
              <w:bottom w:w="40" w:type="dxa"/>
              <w:right w:w="20" w:type="dxa"/>
            </w:tcMar>
            <w:vAlign w:val="bottom"/>
          </w:tcPr>
          <w:p w14:paraId="1E803B08" w14:textId="77777777" w:rsidR="00F20ABF" w:rsidRDefault="00CA4D2F">
            <w:pPr>
              <w:textAlignment w:val="bottom"/>
            </w:pPr>
            <w:r>
              <w:rPr>
                <w:rFonts w:ascii="sans-serif" w:eastAsia="sans-serif" w:hAnsi="sans-serif" w:cs="sans-serif"/>
                <w:color w:val="000000"/>
                <w:sz w:val="20"/>
                <w:szCs w:val="20"/>
              </w:rPr>
              <w:t>Other comprehensive income (loss), net of tax</w:t>
            </w:r>
          </w:p>
        </w:tc>
        <w:tc>
          <w:tcPr>
            <w:tcW w:w="0" w:type="auto"/>
            <w:gridSpan w:val="3"/>
            <w:shd w:val="clear" w:color="auto" w:fill="FFFFFF"/>
            <w:tcMar>
              <w:top w:w="0" w:type="dxa"/>
              <w:left w:w="20" w:type="dxa"/>
              <w:bottom w:w="0" w:type="dxa"/>
              <w:right w:w="20" w:type="dxa"/>
            </w:tcMar>
          </w:tcPr>
          <w:p w14:paraId="1E803B09"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3B0A"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3B0B"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3B0C"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3B0D"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3B0E"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3B0F" w14:textId="77777777" w:rsidR="00F20ABF" w:rsidRDefault="00F20ABF">
            <w:pPr>
              <w:rPr>
                <w:rFonts w:ascii="宋体"/>
              </w:rPr>
            </w:pPr>
          </w:p>
        </w:tc>
      </w:tr>
      <w:tr w:rsidR="00F20ABF" w14:paraId="1E803B19" w14:textId="77777777">
        <w:tc>
          <w:tcPr>
            <w:tcW w:w="0" w:type="auto"/>
            <w:gridSpan w:val="3"/>
            <w:shd w:val="clear" w:color="auto" w:fill="E2EFD9"/>
            <w:tcMar>
              <w:top w:w="40" w:type="dxa"/>
              <w:left w:w="20" w:type="dxa"/>
              <w:bottom w:w="40" w:type="dxa"/>
              <w:right w:w="20" w:type="dxa"/>
            </w:tcMar>
            <w:vAlign w:val="bottom"/>
          </w:tcPr>
          <w:p w14:paraId="1E803B11" w14:textId="77777777" w:rsidR="00F20ABF" w:rsidRDefault="00CA4D2F">
            <w:pPr>
              <w:textAlignment w:val="bottom"/>
            </w:pPr>
            <w:r>
              <w:rPr>
                <w:rFonts w:ascii="sans-serif" w:eastAsia="sans-serif" w:hAnsi="sans-serif" w:cs="sans-serif"/>
                <w:color w:val="000000"/>
                <w:sz w:val="20"/>
                <w:szCs w:val="20"/>
              </w:rPr>
              <w:t>Available-for-sale securities:</w:t>
            </w:r>
          </w:p>
        </w:tc>
        <w:tc>
          <w:tcPr>
            <w:tcW w:w="0" w:type="auto"/>
            <w:gridSpan w:val="3"/>
            <w:shd w:val="clear" w:color="auto" w:fill="E2EFD9"/>
            <w:tcMar>
              <w:top w:w="0" w:type="dxa"/>
              <w:left w:w="20" w:type="dxa"/>
              <w:bottom w:w="0" w:type="dxa"/>
              <w:right w:w="20" w:type="dxa"/>
            </w:tcMar>
          </w:tcPr>
          <w:p w14:paraId="1E803B12"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B13"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B14"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B15"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B16"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B17"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B18" w14:textId="77777777" w:rsidR="00F20ABF" w:rsidRDefault="00F20ABF">
            <w:pPr>
              <w:rPr>
                <w:rFonts w:ascii="宋体"/>
              </w:rPr>
            </w:pPr>
          </w:p>
        </w:tc>
      </w:tr>
      <w:tr w:rsidR="00F20ABF" w14:paraId="1E803B26" w14:textId="77777777">
        <w:tc>
          <w:tcPr>
            <w:tcW w:w="0" w:type="auto"/>
            <w:gridSpan w:val="3"/>
            <w:shd w:val="clear" w:color="auto" w:fill="FFFFFF"/>
            <w:tcMar>
              <w:top w:w="40" w:type="dxa"/>
              <w:left w:w="245" w:type="dxa"/>
              <w:bottom w:w="40" w:type="dxa"/>
              <w:right w:w="20" w:type="dxa"/>
            </w:tcMar>
            <w:vAlign w:val="bottom"/>
          </w:tcPr>
          <w:p w14:paraId="1E803B1A" w14:textId="77777777" w:rsidR="00F20ABF" w:rsidRDefault="00CA4D2F">
            <w:pPr>
              <w:textAlignment w:val="bottom"/>
            </w:pPr>
            <w:r>
              <w:rPr>
                <w:rFonts w:ascii="sans-serif" w:eastAsia="sans-serif" w:hAnsi="sans-serif" w:cs="sans-serif"/>
                <w:color w:val="000000"/>
                <w:sz w:val="20"/>
                <w:szCs w:val="20"/>
              </w:rPr>
              <w:t>Net change in unrealized gain (loss)</w:t>
            </w:r>
          </w:p>
        </w:tc>
        <w:tc>
          <w:tcPr>
            <w:tcW w:w="0" w:type="auto"/>
            <w:gridSpan w:val="2"/>
            <w:shd w:val="clear" w:color="auto" w:fill="FFFFFF"/>
            <w:tcMar>
              <w:top w:w="40" w:type="dxa"/>
              <w:left w:w="20" w:type="dxa"/>
              <w:bottom w:w="40" w:type="dxa"/>
              <w:right w:w="0" w:type="dxa"/>
            </w:tcMar>
            <w:vAlign w:val="bottom"/>
          </w:tcPr>
          <w:p w14:paraId="1E803B1B" w14:textId="77777777" w:rsidR="00F20ABF" w:rsidRDefault="00CA4D2F">
            <w:pPr>
              <w:jc w:val="right"/>
              <w:textAlignment w:val="bottom"/>
            </w:pPr>
            <w:r>
              <w:rPr>
                <w:rFonts w:ascii="sans-serif" w:eastAsia="sans-serif" w:hAnsi="sans-serif" w:cs="sans-serif"/>
                <w:color w:val="000000"/>
                <w:sz w:val="20"/>
                <w:szCs w:val="20"/>
              </w:rPr>
              <w:t>(1)</w:t>
            </w:r>
          </w:p>
        </w:tc>
        <w:tc>
          <w:tcPr>
            <w:tcW w:w="0" w:type="auto"/>
            <w:shd w:val="clear" w:color="auto" w:fill="FFFFFF"/>
            <w:tcMar>
              <w:top w:w="40" w:type="dxa"/>
              <w:left w:w="0" w:type="dxa"/>
              <w:bottom w:w="40" w:type="dxa"/>
              <w:right w:w="20" w:type="dxa"/>
            </w:tcMar>
            <w:vAlign w:val="bottom"/>
          </w:tcPr>
          <w:p w14:paraId="1E803B1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1D"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B1E"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3B1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20"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B21" w14:textId="77777777" w:rsidR="00F20ABF" w:rsidRDefault="00CA4D2F">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left w:w="0" w:type="dxa"/>
              <w:bottom w:w="40" w:type="dxa"/>
              <w:right w:w="20" w:type="dxa"/>
            </w:tcMar>
            <w:vAlign w:val="bottom"/>
          </w:tcPr>
          <w:p w14:paraId="1E803B2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2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B24" w14:textId="77777777" w:rsidR="00F20ABF" w:rsidRDefault="00CA4D2F">
            <w:pPr>
              <w:jc w:val="right"/>
              <w:textAlignment w:val="bottom"/>
            </w:pPr>
            <w:r>
              <w:rPr>
                <w:rFonts w:ascii="sans-serif" w:eastAsia="sans-serif" w:hAnsi="sans-serif" w:cs="sans-serif"/>
                <w:color w:val="000000"/>
                <w:sz w:val="20"/>
                <w:szCs w:val="20"/>
              </w:rPr>
              <w:t>9 </w:t>
            </w:r>
          </w:p>
        </w:tc>
        <w:tc>
          <w:tcPr>
            <w:tcW w:w="0" w:type="auto"/>
            <w:shd w:val="clear" w:color="auto" w:fill="FFFFFF"/>
            <w:tcMar>
              <w:top w:w="40" w:type="dxa"/>
              <w:left w:w="0" w:type="dxa"/>
              <w:bottom w:w="40" w:type="dxa"/>
              <w:right w:w="20" w:type="dxa"/>
            </w:tcMar>
            <w:vAlign w:val="bottom"/>
          </w:tcPr>
          <w:p w14:paraId="1E803B25" w14:textId="77777777" w:rsidR="00F20ABF" w:rsidRDefault="00F20ABF">
            <w:pPr>
              <w:jc w:val="right"/>
              <w:rPr>
                <w:rFonts w:ascii="宋体"/>
              </w:rPr>
            </w:pPr>
          </w:p>
        </w:tc>
      </w:tr>
      <w:tr w:rsidR="00F20ABF" w14:paraId="1E803B33" w14:textId="77777777">
        <w:tc>
          <w:tcPr>
            <w:tcW w:w="0" w:type="auto"/>
            <w:gridSpan w:val="3"/>
            <w:shd w:val="clear" w:color="auto" w:fill="E2EFD9"/>
            <w:tcMar>
              <w:top w:w="40" w:type="dxa"/>
              <w:left w:w="245" w:type="dxa"/>
              <w:bottom w:w="40" w:type="dxa"/>
              <w:right w:w="20" w:type="dxa"/>
            </w:tcMar>
            <w:vAlign w:val="bottom"/>
          </w:tcPr>
          <w:p w14:paraId="1E803B27" w14:textId="77777777" w:rsidR="00F20ABF" w:rsidRDefault="00CA4D2F">
            <w:pPr>
              <w:textAlignment w:val="bottom"/>
            </w:pPr>
            <w:r>
              <w:rPr>
                <w:rFonts w:ascii="sans-serif" w:eastAsia="sans-serif" w:hAnsi="sans-serif" w:cs="sans-serif"/>
                <w:color w:val="000000"/>
                <w:sz w:val="20"/>
                <w:szCs w:val="20"/>
              </w:rPr>
              <w:t>Reclassification adjustments for net realized gain (loss) included in net income</w:t>
            </w:r>
          </w:p>
        </w:tc>
        <w:tc>
          <w:tcPr>
            <w:tcW w:w="0" w:type="auto"/>
            <w:gridSpan w:val="2"/>
            <w:shd w:val="clear" w:color="auto" w:fill="E2EFD9"/>
            <w:tcMar>
              <w:top w:w="40" w:type="dxa"/>
              <w:left w:w="20" w:type="dxa"/>
              <w:bottom w:w="40" w:type="dxa"/>
              <w:right w:w="0" w:type="dxa"/>
            </w:tcMar>
            <w:vAlign w:val="bottom"/>
          </w:tcPr>
          <w:p w14:paraId="1E803B28"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3B2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B2A"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B2B"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3B2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B2D"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B2E" w14:textId="77777777" w:rsidR="00F20ABF" w:rsidRDefault="00CA4D2F">
            <w:pPr>
              <w:jc w:val="right"/>
              <w:textAlignment w:val="bottom"/>
            </w:pPr>
            <w:r>
              <w:rPr>
                <w:rFonts w:ascii="sans-serif" w:eastAsia="sans-serif" w:hAnsi="sans-serif" w:cs="sans-serif"/>
                <w:color w:val="000000"/>
                <w:sz w:val="20"/>
                <w:szCs w:val="20"/>
              </w:rPr>
              <w:t>(2)</w:t>
            </w:r>
          </w:p>
        </w:tc>
        <w:tc>
          <w:tcPr>
            <w:tcW w:w="0" w:type="auto"/>
            <w:shd w:val="clear" w:color="auto" w:fill="E2EFD9"/>
            <w:tcMar>
              <w:top w:w="40" w:type="dxa"/>
              <w:left w:w="0" w:type="dxa"/>
              <w:bottom w:w="40" w:type="dxa"/>
              <w:right w:w="20" w:type="dxa"/>
            </w:tcMar>
            <w:vAlign w:val="bottom"/>
          </w:tcPr>
          <w:p w14:paraId="1E803B2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B30"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B31"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3B32" w14:textId="77777777" w:rsidR="00F20ABF" w:rsidRDefault="00F20ABF">
            <w:pPr>
              <w:jc w:val="right"/>
              <w:rPr>
                <w:rFonts w:ascii="宋体"/>
              </w:rPr>
            </w:pPr>
          </w:p>
        </w:tc>
      </w:tr>
      <w:tr w:rsidR="00F20ABF" w14:paraId="1E803B40" w14:textId="77777777">
        <w:tc>
          <w:tcPr>
            <w:tcW w:w="0" w:type="auto"/>
            <w:gridSpan w:val="3"/>
            <w:shd w:val="clear" w:color="auto" w:fill="FFFFFF"/>
            <w:tcMar>
              <w:top w:w="40" w:type="dxa"/>
              <w:left w:w="245" w:type="dxa"/>
              <w:bottom w:w="40" w:type="dxa"/>
              <w:right w:w="20" w:type="dxa"/>
            </w:tcMar>
            <w:vAlign w:val="bottom"/>
          </w:tcPr>
          <w:p w14:paraId="1E803B34" w14:textId="77777777" w:rsidR="00F20ABF" w:rsidRDefault="00CA4D2F">
            <w:pPr>
              <w:textAlignment w:val="bottom"/>
            </w:pPr>
            <w:r>
              <w:rPr>
                <w:rFonts w:ascii="sans-serif" w:eastAsia="sans-serif" w:hAnsi="sans-serif" w:cs="sans-serif"/>
                <w:color w:val="000000"/>
                <w:sz w:val="20"/>
                <w:szCs w:val="20"/>
              </w:rPr>
              <w:t>Net change in unrealized gain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B35" w14:textId="77777777" w:rsidR="00F20ABF" w:rsidRDefault="00CA4D2F">
            <w:pPr>
              <w:jc w:val="right"/>
              <w:textAlignment w:val="bottom"/>
            </w:pPr>
            <w:r>
              <w:rPr>
                <w:rFonts w:ascii="sans-serif" w:eastAsia="sans-serif" w:hAnsi="sans-serif" w:cs="sans-serif"/>
                <w:color w:val="000000"/>
                <w:sz w:val="20"/>
                <w:szCs w:val="20"/>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B3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37"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B38" w14:textId="77777777" w:rsidR="00F20ABF" w:rsidRDefault="00CA4D2F">
            <w:pPr>
              <w:jc w:val="right"/>
              <w:textAlignment w:val="bottom"/>
            </w:pPr>
            <w:r>
              <w:rPr>
                <w:rFonts w:ascii="sans-serif" w:eastAsia="sans-serif" w:hAnsi="sans-serif" w:cs="sans-serif"/>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B3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3A"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B3B" w14:textId="77777777" w:rsidR="00F20ABF" w:rsidRDefault="00CA4D2F">
            <w:pPr>
              <w:jc w:val="right"/>
              <w:textAlignment w:val="bottom"/>
            </w:pPr>
            <w:r>
              <w:rPr>
                <w:rFonts w:ascii="sans-serif" w:eastAsia="sans-serif" w:hAnsi="sans-serif" w:cs="sans-serif"/>
                <w:color w:val="000000"/>
                <w:sz w:val="20"/>
                <w:szCs w:val="20"/>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B3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3D"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B3E" w14:textId="77777777" w:rsidR="00F20ABF" w:rsidRDefault="00CA4D2F">
            <w:pPr>
              <w:jc w:val="right"/>
              <w:textAlignment w:val="bottom"/>
            </w:pPr>
            <w:r>
              <w:rPr>
                <w:rFonts w:ascii="sans-serif" w:eastAsia="sans-serif" w:hAnsi="sans-serif" w:cs="sans-serif"/>
                <w:color w:val="000000"/>
                <w:sz w:val="20"/>
                <w:szCs w:val="20"/>
              </w:rPr>
              <w:t>9 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B3F" w14:textId="77777777" w:rsidR="00F20ABF" w:rsidRDefault="00F20ABF">
            <w:pPr>
              <w:jc w:val="right"/>
              <w:rPr>
                <w:rFonts w:ascii="宋体"/>
              </w:rPr>
            </w:pPr>
          </w:p>
        </w:tc>
      </w:tr>
      <w:tr w:rsidR="00F20ABF" w14:paraId="1E803B49" w14:textId="77777777">
        <w:tc>
          <w:tcPr>
            <w:tcW w:w="0" w:type="auto"/>
            <w:gridSpan w:val="3"/>
            <w:shd w:val="clear" w:color="auto" w:fill="E2EFD9"/>
            <w:tcMar>
              <w:top w:w="40" w:type="dxa"/>
              <w:left w:w="20" w:type="dxa"/>
              <w:bottom w:w="40" w:type="dxa"/>
              <w:right w:w="20" w:type="dxa"/>
            </w:tcMar>
            <w:vAlign w:val="bottom"/>
          </w:tcPr>
          <w:p w14:paraId="1E803B41" w14:textId="77777777" w:rsidR="00F20ABF" w:rsidRDefault="00CA4D2F">
            <w:pPr>
              <w:textAlignment w:val="bottom"/>
            </w:pPr>
            <w:r>
              <w:rPr>
                <w:rFonts w:ascii="sans-serif" w:eastAsia="sans-serif" w:hAnsi="sans-serif" w:cs="sans-serif"/>
                <w:color w:val="000000"/>
                <w:sz w:val="20"/>
                <w:szCs w:val="20"/>
              </w:rPr>
              <w:t>Cash flow hedges:</w:t>
            </w:r>
          </w:p>
        </w:tc>
        <w:tc>
          <w:tcPr>
            <w:tcW w:w="0" w:type="auto"/>
            <w:gridSpan w:val="3"/>
            <w:tcBorders>
              <w:top w:val="single" w:sz="8" w:space="0" w:color="000000"/>
            </w:tcBorders>
            <w:shd w:val="clear" w:color="auto" w:fill="E2EFD9"/>
            <w:tcMar>
              <w:top w:w="0" w:type="dxa"/>
              <w:left w:w="20" w:type="dxa"/>
              <w:bottom w:w="0" w:type="dxa"/>
              <w:right w:w="20" w:type="dxa"/>
            </w:tcMar>
          </w:tcPr>
          <w:p w14:paraId="1E803B42"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B43" w14:textId="77777777" w:rsidR="00F20ABF" w:rsidRDefault="00F20ABF">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tcPr>
          <w:p w14:paraId="1E803B44"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B45" w14:textId="77777777" w:rsidR="00F20ABF" w:rsidRDefault="00F20ABF">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tcPr>
          <w:p w14:paraId="1E803B46"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B47" w14:textId="77777777" w:rsidR="00F20ABF" w:rsidRDefault="00F20ABF">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tcPr>
          <w:p w14:paraId="1E803B48" w14:textId="77777777" w:rsidR="00F20ABF" w:rsidRDefault="00F20ABF">
            <w:pPr>
              <w:rPr>
                <w:rFonts w:ascii="宋体"/>
              </w:rPr>
            </w:pPr>
          </w:p>
        </w:tc>
      </w:tr>
      <w:tr w:rsidR="00F20ABF" w14:paraId="1E803B56" w14:textId="77777777">
        <w:tc>
          <w:tcPr>
            <w:tcW w:w="0" w:type="auto"/>
            <w:gridSpan w:val="3"/>
            <w:shd w:val="clear" w:color="auto" w:fill="FFFFFF"/>
            <w:tcMar>
              <w:top w:w="40" w:type="dxa"/>
              <w:left w:w="245" w:type="dxa"/>
              <w:bottom w:w="40" w:type="dxa"/>
              <w:right w:w="20" w:type="dxa"/>
            </w:tcMar>
            <w:vAlign w:val="bottom"/>
          </w:tcPr>
          <w:p w14:paraId="1E803B4A" w14:textId="77777777" w:rsidR="00F20ABF" w:rsidRDefault="00CA4D2F">
            <w:pPr>
              <w:textAlignment w:val="bottom"/>
            </w:pPr>
            <w:r>
              <w:rPr>
                <w:rFonts w:ascii="sans-serif" w:eastAsia="sans-serif" w:hAnsi="sans-serif" w:cs="sans-serif"/>
                <w:color w:val="000000"/>
                <w:sz w:val="20"/>
                <w:szCs w:val="20"/>
              </w:rPr>
              <w:t>Net unrealized gain</w:t>
            </w:r>
          </w:p>
        </w:tc>
        <w:tc>
          <w:tcPr>
            <w:tcW w:w="0" w:type="auto"/>
            <w:gridSpan w:val="2"/>
            <w:shd w:val="clear" w:color="auto" w:fill="FFFFFF"/>
            <w:tcMar>
              <w:top w:w="40" w:type="dxa"/>
              <w:left w:w="20" w:type="dxa"/>
              <w:bottom w:w="40" w:type="dxa"/>
              <w:right w:w="0" w:type="dxa"/>
            </w:tcMar>
            <w:vAlign w:val="bottom"/>
          </w:tcPr>
          <w:p w14:paraId="1E803B4B" w14:textId="77777777" w:rsidR="00F20ABF" w:rsidRDefault="00CA4D2F">
            <w:pPr>
              <w:jc w:val="right"/>
              <w:textAlignment w:val="bottom"/>
            </w:pPr>
            <w:r>
              <w:rPr>
                <w:rFonts w:ascii="sans-serif" w:eastAsia="sans-serif" w:hAnsi="sans-serif" w:cs="sans-serif"/>
                <w:color w:val="000000"/>
                <w:sz w:val="20"/>
                <w:szCs w:val="20"/>
              </w:rPr>
              <w:t>5 </w:t>
            </w:r>
          </w:p>
        </w:tc>
        <w:tc>
          <w:tcPr>
            <w:tcW w:w="0" w:type="auto"/>
            <w:shd w:val="clear" w:color="auto" w:fill="FFFFFF"/>
            <w:tcMar>
              <w:top w:w="40" w:type="dxa"/>
              <w:left w:w="0" w:type="dxa"/>
              <w:bottom w:w="40" w:type="dxa"/>
              <w:right w:w="20" w:type="dxa"/>
            </w:tcMar>
            <w:vAlign w:val="bottom"/>
          </w:tcPr>
          <w:p w14:paraId="1E803B4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4D"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B4E"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3B4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50"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B51" w14:textId="77777777" w:rsidR="00F20ABF" w:rsidRDefault="00CA4D2F">
            <w:pPr>
              <w:jc w:val="right"/>
              <w:textAlignment w:val="bottom"/>
            </w:pPr>
            <w:r>
              <w:rPr>
                <w:rFonts w:ascii="sans-serif" w:eastAsia="sans-serif" w:hAnsi="sans-serif" w:cs="sans-serif"/>
                <w:color w:val="000000"/>
                <w:sz w:val="20"/>
                <w:szCs w:val="20"/>
              </w:rPr>
              <w:t>10 </w:t>
            </w:r>
          </w:p>
        </w:tc>
        <w:tc>
          <w:tcPr>
            <w:tcW w:w="0" w:type="auto"/>
            <w:shd w:val="clear" w:color="auto" w:fill="FFFFFF"/>
            <w:tcMar>
              <w:top w:w="40" w:type="dxa"/>
              <w:left w:w="0" w:type="dxa"/>
              <w:bottom w:w="40" w:type="dxa"/>
              <w:right w:w="20" w:type="dxa"/>
            </w:tcMar>
            <w:vAlign w:val="bottom"/>
          </w:tcPr>
          <w:p w14:paraId="1E803B5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5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B54" w14:textId="77777777" w:rsidR="00F20ABF" w:rsidRDefault="00CA4D2F">
            <w:pPr>
              <w:jc w:val="right"/>
              <w:textAlignment w:val="bottom"/>
            </w:pPr>
            <w:r>
              <w:rPr>
                <w:rFonts w:ascii="sans-serif" w:eastAsia="sans-serif" w:hAnsi="sans-serif" w:cs="sans-serif"/>
                <w:color w:val="000000"/>
                <w:sz w:val="20"/>
                <w:szCs w:val="20"/>
              </w:rPr>
              <w:t>4 </w:t>
            </w:r>
          </w:p>
        </w:tc>
        <w:tc>
          <w:tcPr>
            <w:tcW w:w="0" w:type="auto"/>
            <w:shd w:val="clear" w:color="auto" w:fill="FFFFFF"/>
            <w:tcMar>
              <w:top w:w="40" w:type="dxa"/>
              <w:left w:w="0" w:type="dxa"/>
              <w:bottom w:w="40" w:type="dxa"/>
              <w:right w:w="20" w:type="dxa"/>
            </w:tcMar>
            <w:vAlign w:val="bottom"/>
          </w:tcPr>
          <w:p w14:paraId="1E803B55" w14:textId="77777777" w:rsidR="00F20ABF" w:rsidRDefault="00F20ABF">
            <w:pPr>
              <w:jc w:val="right"/>
              <w:rPr>
                <w:rFonts w:ascii="宋体"/>
              </w:rPr>
            </w:pPr>
          </w:p>
        </w:tc>
      </w:tr>
      <w:tr w:rsidR="00F20ABF" w14:paraId="1E803B63" w14:textId="77777777">
        <w:tc>
          <w:tcPr>
            <w:tcW w:w="0" w:type="auto"/>
            <w:gridSpan w:val="3"/>
            <w:shd w:val="clear" w:color="auto" w:fill="E2EFD9"/>
            <w:tcMar>
              <w:top w:w="40" w:type="dxa"/>
              <w:left w:w="245" w:type="dxa"/>
              <w:bottom w:w="40" w:type="dxa"/>
              <w:right w:w="20" w:type="dxa"/>
            </w:tcMar>
            <w:vAlign w:val="bottom"/>
          </w:tcPr>
          <w:p w14:paraId="1E803B57" w14:textId="77777777" w:rsidR="00F20ABF" w:rsidRDefault="00CA4D2F">
            <w:pPr>
              <w:textAlignment w:val="bottom"/>
            </w:pPr>
            <w:r>
              <w:rPr>
                <w:rFonts w:ascii="sans-serif" w:eastAsia="sans-serif" w:hAnsi="sans-serif" w:cs="sans-serif"/>
                <w:color w:val="000000"/>
                <w:sz w:val="20"/>
                <w:szCs w:val="20"/>
              </w:rPr>
              <w:t>Reclassification adjustments for net realized gain included in net income</w:t>
            </w:r>
          </w:p>
        </w:tc>
        <w:tc>
          <w:tcPr>
            <w:tcW w:w="0" w:type="auto"/>
            <w:gridSpan w:val="2"/>
            <w:shd w:val="clear" w:color="auto" w:fill="E2EFD9"/>
            <w:tcMar>
              <w:top w:w="40" w:type="dxa"/>
              <w:left w:w="20" w:type="dxa"/>
              <w:bottom w:w="40" w:type="dxa"/>
              <w:right w:w="0" w:type="dxa"/>
            </w:tcMar>
            <w:vAlign w:val="bottom"/>
          </w:tcPr>
          <w:p w14:paraId="1E803B58" w14:textId="77777777" w:rsidR="00F20ABF" w:rsidRDefault="00CA4D2F">
            <w:pPr>
              <w:jc w:val="right"/>
              <w:textAlignment w:val="bottom"/>
            </w:pPr>
            <w:r>
              <w:rPr>
                <w:rFonts w:ascii="sans-serif" w:eastAsia="sans-serif" w:hAnsi="sans-serif" w:cs="sans-serif"/>
                <w:color w:val="000000"/>
                <w:sz w:val="20"/>
                <w:szCs w:val="20"/>
              </w:rPr>
              <w:t>4 </w:t>
            </w:r>
          </w:p>
        </w:tc>
        <w:tc>
          <w:tcPr>
            <w:tcW w:w="0" w:type="auto"/>
            <w:shd w:val="clear" w:color="auto" w:fill="E2EFD9"/>
            <w:tcMar>
              <w:top w:w="40" w:type="dxa"/>
              <w:left w:w="0" w:type="dxa"/>
              <w:bottom w:w="40" w:type="dxa"/>
              <w:right w:w="20" w:type="dxa"/>
            </w:tcMar>
            <w:vAlign w:val="bottom"/>
          </w:tcPr>
          <w:p w14:paraId="1E803B5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B5A"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B5B" w14:textId="77777777" w:rsidR="00F20ABF" w:rsidRDefault="00CA4D2F">
            <w:pPr>
              <w:jc w:val="right"/>
              <w:textAlignment w:val="bottom"/>
            </w:pPr>
            <w:r>
              <w:rPr>
                <w:rFonts w:ascii="sans-serif" w:eastAsia="sans-serif" w:hAnsi="sans-serif" w:cs="sans-serif"/>
                <w:color w:val="000000"/>
                <w:sz w:val="20"/>
                <w:szCs w:val="20"/>
              </w:rPr>
              <w:t>(2)</w:t>
            </w:r>
          </w:p>
        </w:tc>
        <w:tc>
          <w:tcPr>
            <w:tcW w:w="0" w:type="auto"/>
            <w:shd w:val="clear" w:color="auto" w:fill="E2EFD9"/>
            <w:tcMar>
              <w:top w:w="40" w:type="dxa"/>
              <w:left w:w="0" w:type="dxa"/>
              <w:bottom w:w="40" w:type="dxa"/>
              <w:right w:w="20" w:type="dxa"/>
            </w:tcMar>
            <w:vAlign w:val="bottom"/>
          </w:tcPr>
          <w:p w14:paraId="1E803B5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B5D"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B5E"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3B5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B60"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B61" w14:textId="77777777" w:rsidR="00F20ABF" w:rsidRDefault="00CA4D2F">
            <w:pPr>
              <w:jc w:val="right"/>
              <w:textAlignment w:val="bottom"/>
            </w:pPr>
            <w:r>
              <w:rPr>
                <w:rFonts w:ascii="sans-serif" w:eastAsia="sans-serif" w:hAnsi="sans-serif" w:cs="sans-serif"/>
                <w:color w:val="000000"/>
                <w:sz w:val="20"/>
                <w:szCs w:val="20"/>
              </w:rPr>
              <w:t>(4)</w:t>
            </w:r>
          </w:p>
        </w:tc>
        <w:tc>
          <w:tcPr>
            <w:tcW w:w="0" w:type="auto"/>
            <w:shd w:val="clear" w:color="auto" w:fill="E2EFD9"/>
            <w:tcMar>
              <w:top w:w="40" w:type="dxa"/>
              <w:left w:w="0" w:type="dxa"/>
              <w:bottom w:w="40" w:type="dxa"/>
              <w:right w:w="20" w:type="dxa"/>
            </w:tcMar>
            <w:vAlign w:val="bottom"/>
          </w:tcPr>
          <w:p w14:paraId="1E803B62" w14:textId="77777777" w:rsidR="00F20ABF" w:rsidRDefault="00F20ABF">
            <w:pPr>
              <w:jc w:val="right"/>
              <w:rPr>
                <w:rFonts w:ascii="宋体"/>
              </w:rPr>
            </w:pPr>
          </w:p>
        </w:tc>
      </w:tr>
      <w:tr w:rsidR="00F20ABF" w14:paraId="1E803B70" w14:textId="77777777">
        <w:tc>
          <w:tcPr>
            <w:tcW w:w="0" w:type="auto"/>
            <w:gridSpan w:val="3"/>
            <w:shd w:val="clear" w:color="auto" w:fill="FFFFFF"/>
            <w:tcMar>
              <w:top w:w="40" w:type="dxa"/>
              <w:left w:w="245" w:type="dxa"/>
              <w:bottom w:w="40" w:type="dxa"/>
              <w:right w:w="20" w:type="dxa"/>
            </w:tcMar>
            <w:vAlign w:val="bottom"/>
          </w:tcPr>
          <w:p w14:paraId="1E803B64" w14:textId="77777777" w:rsidR="00F20ABF" w:rsidRDefault="00CA4D2F">
            <w:pPr>
              <w:textAlignment w:val="bottom"/>
            </w:pPr>
            <w:r>
              <w:rPr>
                <w:rFonts w:ascii="sans-serif" w:eastAsia="sans-serif" w:hAnsi="sans-serif" w:cs="sans-serif"/>
                <w:color w:val="000000"/>
                <w:sz w:val="20"/>
                <w:szCs w:val="20"/>
              </w:rPr>
              <w:t>Net change in unrealized gain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B65" w14:textId="77777777" w:rsidR="00F20ABF" w:rsidRDefault="00CA4D2F">
            <w:pPr>
              <w:jc w:val="right"/>
              <w:textAlignment w:val="bottom"/>
            </w:pPr>
            <w:r>
              <w:rPr>
                <w:rFonts w:ascii="sans-serif" w:eastAsia="sans-serif" w:hAnsi="sans-serif" w:cs="sans-serif"/>
                <w:color w:val="000000"/>
                <w:sz w:val="20"/>
                <w:szCs w:val="20"/>
              </w:rPr>
              <w:t>9 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B6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67"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B68" w14:textId="77777777" w:rsidR="00F20ABF" w:rsidRDefault="00CA4D2F">
            <w:pPr>
              <w:jc w:val="right"/>
              <w:textAlignment w:val="bottom"/>
            </w:pPr>
            <w:r>
              <w:rPr>
                <w:rFonts w:ascii="sans-serif" w:eastAsia="sans-serif" w:hAnsi="sans-serif" w:cs="sans-serif"/>
                <w:color w:val="000000"/>
                <w:sz w:val="20"/>
                <w:szCs w:val="20"/>
              </w:rPr>
              <w:t>(2)</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B6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6A"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B6B" w14:textId="77777777" w:rsidR="00F20ABF" w:rsidRDefault="00CA4D2F">
            <w:pPr>
              <w:jc w:val="right"/>
              <w:textAlignment w:val="bottom"/>
            </w:pPr>
            <w:r>
              <w:rPr>
                <w:rFonts w:ascii="sans-serif" w:eastAsia="sans-serif" w:hAnsi="sans-serif" w:cs="sans-serif"/>
                <w:color w:val="000000"/>
                <w:sz w:val="20"/>
                <w:szCs w:val="20"/>
              </w:rPr>
              <w:t>10 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B6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6D"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B6E" w14:textId="77777777" w:rsidR="00F20ABF" w:rsidRDefault="00CA4D2F">
            <w:pPr>
              <w:jc w:val="right"/>
              <w:textAlignment w:val="bottom"/>
            </w:pPr>
            <w:r>
              <w:rPr>
                <w:rFonts w:ascii="sans-serif" w:eastAsia="sans-serif" w:hAnsi="sans-serif" w:cs="sans-serif"/>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B6F" w14:textId="77777777" w:rsidR="00F20ABF" w:rsidRDefault="00F20ABF">
            <w:pPr>
              <w:jc w:val="right"/>
              <w:rPr>
                <w:rFonts w:ascii="宋体"/>
              </w:rPr>
            </w:pPr>
          </w:p>
        </w:tc>
      </w:tr>
      <w:tr w:rsidR="00F20ABF" w14:paraId="1E803B7D" w14:textId="77777777">
        <w:tc>
          <w:tcPr>
            <w:tcW w:w="0" w:type="auto"/>
            <w:gridSpan w:val="3"/>
            <w:shd w:val="clear" w:color="auto" w:fill="E2EFD9"/>
            <w:tcMar>
              <w:top w:w="40" w:type="dxa"/>
              <w:left w:w="20" w:type="dxa"/>
              <w:bottom w:w="40" w:type="dxa"/>
              <w:right w:w="20" w:type="dxa"/>
            </w:tcMar>
            <w:vAlign w:val="bottom"/>
          </w:tcPr>
          <w:p w14:paraId="1E803B71" w14:textId="77777777" w:rsidR="00F20ABF" w:rsidRDefault="00CA4D2F">
            <w:pPr>
              <w:textAlignment w:val="bottom"/>
            </w:pPr>
            <w:r>
              <w:rPr>
                <w:rFonts w:ascii="sans-serif" w:eastAsia="sans-serif" w:hAnsi="sans-serif" w:cs="sans-serif"/>
                <w:color w:val="000000"/>
                <w:sz w:val="20"/>
                <w:szCs w:val="20"/>
              </w:rPr>
              <w:t>Other comprehensive income (loss), net of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B72" w14:textId="77777777" w:rsidR="00F20ABF" w:rsidRDefault="00CA4D2F">
            <w:pPr>
              <w:jc w:val="right"/>
              <w:textAlignment w:val="bottom"/>
            </w:pPr>
            <w:r>
              <w:rPr>
                <w:rFonts w:ascii="sans-serif" w:eastAsia="sans-serif" w:hAnsi="sans-serif" w:cs="sans-serif"/>
                <w:color w:val="000000"/>
                <w:sz w:val="20"/>
                <w:szCs w:val="20"/>
              </w:rPr>
              <w:t>8 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B7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B74"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B75" w14:textId="77777777" w:rsidR="00F20ABF" w:rsidRDefault="00CA4D2F">
            <w:pPr>
              <w:jc w:val="right"/>
              <w:textAlignment w:val="bottom"/>
            </w:pPr>
            <w:r>
              <w:rPr>
                <w:rFonts w:ascii="sans-serif" w:eastAsia="sans-serif" w:hAnsi="sans-serif" w:cs="sans-serif"/>
                <w:color w:val="000000"/>
                <w:sz w:val="20"/>
                <w:szCs w:val="20"/>
              </w:rPr>
              <w:t>(2)</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B7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B77"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B78" w14:textId="77777777" w:rsidR="00F20ABF" w:rsidRDefault="00CA4D2F">
            <w:pPr>
              <w:jc w:val="right"/>
              <w:textAlignment w:val="bottom"/>
            </w:pPr>
            <w:r>
              <w:rPr>
                <w:rFonts w:ascii="sans-serif" w:eastAsia="sans-serif" w:hAnsi="sans-serif" w:cs="sans-serif"/>
                <w:color w:val="000000"/>
                <w:sz w:val="20"/>
                <w:szCs w:val="20"/>
              </w:rPr>
              <w:t>11 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B7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B7A"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B7B" w14:textId="77777777" w:rsidR="00F20ABF" w:rsidRDefault="00CA4D2F">
            <w:pPr>
              <w:jc w:val="right"/>
              <w:textAlignment w:val="bottom"/>
            </w:pPr>
            <w:r>
              <w:rPr>
                <w:rFonts w:ascii="sans-serif" w:eastAsia="sans-serif" w:hAnsi="sans-serif" w:cs="sans-serif"/>
                <w:color w:val="000000"/>
                <w:sz w:val="20"/>
                <w:szCs w:val="20"/>
              </w:rPr>
              <w:t>9 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B7C" w14:textId="77777777" w:rsidR="00F20ABF" w:rsidRDefault="00F20ABF">
            <w:pPr>
              <w:jc w:val="right"/>
              <w:rPr>
                <w:rFonts w:ascii="宋体"/>
              </w:rPr>
            </w:pPr>
          </w:p>
        </w:tc>
      </w:tr>
      <w:tr w:rsidR="00F20ABF" w14:paraId="1E803B8E" w14:textId="77777777">
        <w:tc>
          <w:tcPr>
            <w:tcW w:w="0" w:type="auto"/>
            <w:gridSpan w:val="3"/>
            <w:shd w:val="clear" w:color="auto" w:fill="FFFFFF"/>
            <w:tcMar>
              <w:top w:w="40" w:type="dxa"/>
              <w:left w:w="20" w:type="dxa"/>
              <w:bottom w:w="40" w:type="dxa"/>
              <w:right w:w="20" w:type="dxa"/>
            </w:tcMar>
            <w:vAlign w:val="bottom"/>
          </w:tcPr>
          <w:p w14:paraId="1E803B7E" w14:textId="77777777" w:rsidR="00F20ABF" w:rsidRDefault="00CA4D2F">
            <w:pPr>
              <w:textAlignment w:val="bottom"/>
            </w:pPr>
            <w:r>
              <w:rPr>
                <w:rFonts w:ascii="sans-serif" w:eastAsia="sans-serif" w:hAnsi="sans-serif" w:cs="sans-serif"/>
                <w:color w:val="000000"/>
                <w:sz w:val="20"/>
                <w:szCs w:val="20"/>
              </w:rPr>
              <w:t>Total comprehensive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3B7F"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3B80" w14:textId="77777777" w:rsidR="00F20ABF" w:rsidRDefault="00CA4D2F">
            <w:pPr>
              <w:jc w:val="right"/>
              <w:textAlignment w:val="bottom"/>
            </w:pPr>
            <w:r>
              <w:rPr>
                <w:rFonts w:ascii="sans-serif" w:eastAsia="sans-serif" w:hAnsi="sans-serif" w:cs="sans-serif"/>
                <w:color w:val="000000"/>
                <w:sz w:val="20"/>
                <w:szCs w:val="20"/>
              </w:rPr>
              <w:t>1,344 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3B8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82"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3B83"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3B84" w14:textId="77777777" w:rsidR="00F20ABF" w:rsidRDefault="00CA4D2F">
            <w:pPr>
              <w:jc w:val="right"/>
              <w:textAlignment w:val="bottom"/>
            </w:pPr>
            <w:r>
              <w:rPr>
                <w:rFonts w:ascii="sans-serif" w:eastAsia="sans-serif" w:hAnsi="sans-serif" w:cs="sans-serif"/>
                <w:color w:val="000000"/>
                <w:sz w:val="20"/>
                <w:szCs w:val="20"/>
              </w:rPr>
              <w:t>897 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3B8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86"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3B87"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3B88" w14:textId="77777777" w:rsidR="00F20ABF" w:rsidRDefault="00CA4D2F">
            <w:pPr>
              <w:jc w:val="right"/>
              <w:textAlignment w:val="bottom"/>
            </w:pPr>
            <w:r>
              <w:rPr>
                <w:rFonts w:ascii="sans-serif" w:eastAsia="sans-serif" w:hAnsi="sans-serif" w:cs="sans-serif"/>
                <w:color w:val="000000"/>
                <w:sz w:val="20"/>
                <w:szCs w:val="20"/>
              </w:rPr>
              <w:t>2,886 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3B8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8A"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3B8B"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3B8C" w14:textId="77777777" w:rsidR="00F20ABF" w:rsidRDefault="00CA4D2F">
            <w:pPr>
              <w:jc w:val="right"/>
              <w:textAlignment w:val="bottom"/>
            </w:pPr>
            <w:r>
              <w:rPr>
                <w:rFonts w:ascii="sans-serif" w:eastAsia="sans-serif" w:hAnsi="sans-serif" w:cs="sans-serif"/>
                <w:color w:val="000000"/>
                <w:sz w:val="20"/>
                <w:szCs w:val="20"/>
              </w:rPr>
              <w:t>1,854 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3B8D" w14:textId="77777777" w:rsidR="00F20ABF" w:rsidRDefault="00F20ABF">
            <w:pPr>
              <w:jc w:val="right"/>
              <w:rPr>
                <w:rFonts w:ascii="宋体"/>
              </w:rPr>
            </w:pPr>
          </w:p>
        </w:tc>
      </w:tr>
    </w:tbl>
    <w:p w14:paraId="1E803B8F" w14:textId="77777777" w:rsidR="00F20ABF" w:rsidRDefault="00CA4D2F">
      <w:pPr>
        <w:spacing w:after="180"/>
        <w:jc w:val="center"/>
      </w:pPr>
      <w:r>
        <w:rPr>
          <w:rFonts w:ascii="sans-serif" w:eastAsia="sans-serif" w:hAnsi="sans-serif" w:cs="sans-serif"/>
          <w:color w:val="000000"/>
          <w:sz w:val="20"/>
          <w:szCs w:val="20"/>
        </w:rPr>
        <w:t>See accompanying Notes to Condensed Consolidated Financial Statements.</w:t>
      </w:r>
    </w:p>
    <w:p w14:paraId="1E803B90" w14:textId="77777777" w:rsidR="00F20ABF" w:rsidRDefault="00F20ABF">
      <w:pPr>
        <w:spacing w:after="180"/>
        <w:jc w:val="both"/>
      </w:pPr>
    </w:p>
    <w:p w14:paraId="1E803B91" w14:textId="77777777" w:rsidR="00F20ABF" w:rsidRDefault="00CA4D2F">
      <w:pPr>
        <w:spacing w:after="180"/>
        <w:jc w:val="center"/>
      </w:pPr>
      <w:r>
        <w:rPr>
          <w:rFonts w:ascii="sans-serif" w:eastAsia="sans-serif" w:hAnsi="sans-serif" w:cs="sans-serif"/>
          <w:color w:val="000000"/>
          <w:sz w:val="20"/>
          <w:szCs w:val="20"/>
        </w:rPr>
        <w:t>4</w:t>
      </w:r>
    </w:p>
    <w:p w14:paraId="1E803B92" w14:textId="77777777" w:rsidR="00F20ABF" w:rsidRDefault="00CA4D2F">
      <w:r>
        <w:pict w14:anchorId="1E80557F">
          <v:rect id="_x0000_i1028" style="width:415.3pt;height:1.5pt" o:hralign="center" o:hrstd="t" o:hr="t" fillcolor="#a0a0a0" stroked="f"/>
        </w:pict>
      </w:r>
    </w:p>
    <w:p w14:paraId="1E803B93" w14:textId="77777777" w:rsidR="00F20ABF" w:rsidRDefault="00F20ABF">
      <w:pPr>
        <w:spacing w:after="180"/>
        <w:jc w:val="both"/>
      </w:pPr>
    </w:p>
    <w:p w14:paraId="1E803B94" w14:textId="77777777" w:rsidR="00F20ABF" w:rsidRDefault="00CA4D2F">
      <w:pPr>
        <w:jc w:val="center"/>
      </w:pPr>
      <w:r>
        <w:rPr>
          <w:rFonts w:ascii="sans-serif" w:eastAsia="sans-serif" w:hAnsi="sans-serif" w:cs="sans-serif"/>
          <w:b/>
          <w:bCs/>
          <w:color w:val="000000"/>
          <w:sz w:val="20"/>
          <w:szCs w:val="20"/>
        </w:rPr>
        <w:t xml:space="preserve">NVIDIA </w:t>
      </w:r>
      <w:r>
        <w:rPr>
          <w:rFonts w:ascii="sans-serif" w:eastAsia="sans-serif" w:hAnsi="sans-serif" w:cs="sans-serif"/>
          <w:b/>
          <w:bCs/>
          <w:color w:val="000000"/>
          <w:sz w:val="20"/>
          <w:szCs w:val="20"/>
        </w:rPr>
        <w:t>CORPORATION AND SUBSIDIARIES </w:t>
      </w:r>
    </w:p>
    <w:p w14:paraId="1E803B95" w14:textId="77777777" w:rsidR="00F20ABF" w:rsidRDefault="00CA4D2F">
      <w:pPr>
        <w:jc w:val="center"/>
      </w:pPr>
      <w:r>
        <w:rPr>
          <w:rFonts w:ascii="sans-serif" w:eastAsia="sans-serif" w:hAnsi="sans-serif" w:cs="sans-serif"/>
          <w:b/>
          <w:bCs/>
          <w:color w:val="000000"/>
          <w:sz w:val="20"/>
          <w:szCs w:val="20"/>
        </w:rPr>
        <w:t>CONDENSED CONSOLIDATED BALANCE SHEETS</w:t>
      </w:r>
    </w:p>
    <w:p w14:paraId="1E803B96" w14:textId="77777777" w:rsidR="00F20ABF" w:rsidRDefault="00CA4D2F">
      <w:pPr>
        <w:jc w:val="center"/>
      </w:pPr>
      <w:r>
        <w:rPr>
          <w:rFonts w:ascii="sans-serif" w:eastAsia="sans-serif" w:hAnsi="sans-serif" w:cs="sans-serif"/>
          <w:b/>
          <w:bCs/>
          <w:color w:val="000000"/>
          <w:sz w:val="20"/>
          <w:szCs w:val="20"/>
        </w:rPr>
        <w:t>(In millions)</w:t>
      </w:r>
    </w:p>
    <w:p w14:paraId="1E803B97" w14:textId="77777777" w:rsidR="00F20ABF" w:rsidRDefault="00CA4D2F">
      <w:pPr>
        <w:jc w:val="center"/>
      </w:pPr>
      <w:r>
        <w:rPr>
          <w:rFonts w:ascii="sans-serif" w:eastAsia="sans-serif" w:hAnsi="sans-serif" w:cs="sans-serif"/>
          <w:b/>
          <w:bCs/>
          <w:color w:val="000000"/>
          <w:sz w:val="20"/>
          <w:szCs w:val="20"/>
        </w:rPr>
        <w:t>(Unaudited)</w:t>
      </w:r>
    </w:p>
    <w:tbl>
      <w:tblPr>
        <w:tblW w:w="4978" w:type="pct"/>
        <w:tblCellMar>
          <w:top w:w="15" w:type="dxa"/>
          <w:left w:w="15" w:type="dxa"/>
          <w:bottom w:w="15" w:type="dxa"/>
          <w:right w:w="15" w:type="dxa"/>
        </w:tblCellMar>
        <w:tblLook w:val="04A0" w:firstRow="1" w:lastRow="0" w:firstColumn="1" w:lastColumn="0" w:noHBand="0" w:noVBand="1"/>
      </w:tblPr>
      <w:tblGrid>
        <w:gridCol w:w="40"/>
        <w:gridCol w:w="6007"/>
        <w:gridCol w:w="39"/>
        <w:gridCol w:w="122"/>
        <w:gridCol w:w="924"/>
        <w:gridCol w:w="36"/>
        <w:gridCol w:w="36"/>
        <w:gridCol w:w="36"/>
        <w:gridCol w:w="36"/>
        <w:gridCol w:w="122"/>
        <w:gridCol w:w="865"/>
        <w:gridCol w:w="36"/>
      </w:tblGrid>
      <w:tr w:rsidR="00F20ABF" w14:paraId="1E803BA4" w14:textId="77777777">
        <w:tc>
          <w:tcPr>
            <w:tcW w:w="50" w:type="pct"/>
            <w:shd w:val="clear" w:color="auto" w:fill="auto"/>
          </w:tcPr>
          <w:p w14:paraId="1E803B98" w14:textId="77777777" w:rsidR="00F20ABF" w:rsidRDefault="00F20ABF">
            <w:pPr>
              <w:rPr>
                <w:rFonts w:ascii="宋体"/>
              </w:rPr>
            </w:pPr>
          </w:p>
        </w:tc>
        <w:tc>
          <w:tcPr>
            <w:tcW w:w="3645" w:type="pct"/>
            <w:shd w:val="clear" w:color="auto" w:fill="auto"/>
          </w:tcPr>
          <w:p w14:paraId="1E803B99" w14:textId="77777777" w:rsidR="00F20ABF" w:rsidRDefault="00F20ABF">
            <w:pPr>
              <w:rPr>
                <w:rFonts w:ascii="宋体"/>
              </w:rPr>
            </w:pPr>
          </w:p>
        </w:tc>
        <w:tc>
          <w:tcPr>
            <w:tcW w:w="5" w:type="pct"/>
            <w:shd w:val="clear" w:color="auto" w:fill="auto"/>
          </w:tcPr>
          <w:p w14:paraId="1E803B9A" w14:textId="77777777" w:rsidR="00F20ABF" w:rsidRDefault="00F20ABF">
            <w:pPr>
              <w:rPr>
                <w:rFonts w:ascii="宋体"/>
              </w:rPr>
            </w:pPr>
          </w:p>
        </w:tc>
        <w:tc>
          <w:tcPr>
            <w:tcW w:w="50" w:type="pct"/>
            <w:shd w:val="clear" w:color="auto" w:fill="auto"/>
          </w:tcPr>
          <w:p w14:paraId="1E803B9B" w14:textId="77777777" w:rsidR="00F20ABF" w:rsidRDefault="00F20ABF">
            <w:pPr>
              <w:rPr>
                <w:rFonts w:ascii="宋体"/>
              </w:rPr>
            </w:pPr>
          </w:p>
        </w:tc>
        <w:tc>
          <w:tcPr>
            <w:tcW w:w="583" w:type="pct"/>
            <w:shd w:val="clear" w:color="auto" w:fill="auto"/>
          </w:tcPr>
          <w:p w14:paraId="1E803B9C" w14:textId="77777777" w:rsidR="00F20ABF" w:rsidRDefault="00F20ABF">
            <w:pPr>
              <w:rPr>
                <w:rFonts w:ascii="宋体"/>
              </w:rPr>
            </w:pPr>
          </w:p>
        </w:tc>
        <w:tc>
          <w:tcPr>
            <w:tcW w:w="5" w:type="pct"/>
            <w:shd w:val="clear" w:color="auto" w:fill="auto"/>
          </w:tcPr>
          <w:p w14:paraId="1E803B9D" w14:textId="77777777" w:rsidR="00F20ABF" w:rsidRDefault="00F20ABF">
            <w:pPr>
              <w:rPr>
                <w:rFonts w:ascii="宋体"/>
              </w:rPr>
            </w:pPr>
          </w:p>
        </w:tc>
        <w:tc>
          <w:tcPr>
            <w:tcW w:w="5" w:type="pct"/>
            <w:shd w:val="clear" w:color="auto" w:fill="auto"/>
          </w:tcPr>
          <w:p w14:paraId="1E803B9E" w14:textId="77777777" w:rsidR="00F20ABF" w:rsidRDefault="00F20ABF">
            <w:pPr>
              <w:rPr>
                <w:rFonts w:ascii="宋体"/>
              </w:rPr>
            </w:pPr>
          </w:p>
        </w:tc>
        <w:tc>
          <w:tcPr>
            <w:tcW w:w="26" w:type="pct"/>
            <w:shd w:val="clear" w:color="auto" w:fill="auto"/>
          </w:tcPr>
          <w:p w14:paraId="1E803B9F" w14:textId="77777777" w:rsidR="00F20ABF" w:rsidRDefault="00F20ABF">
            <w:pPr>
              <w:rPr>
                <w:rFonts w:ascii="宋体"/>
              </w:rPr>
            </w:pPr>
          </w:p>
        </w:tc>
        <w:tc>
          <w:tcPr>
            <w:tcW w:w="5" w:type="pct"/>
            <w:shd w:val="clear" w:color="auto" w:fill="auto"/>
          </w:tcPr>
          <w:p w14:paraId="1E803BA0" w14:textId="77777777" w:rsidR="00F20ABF" w:rsidRDefault="00F20ABF">
            <w:pPr>
              <w:rPr>
                <w:rFonts w:ascii="宋体"/>
              </w:rPr>
            </w:pPr>
          </w:p>
        </w:tc>
        <w:tc>
          <w:tcPr>
            <w:tcW w:w="50" w:type="pct"/>
            <w:shd w:val="clear" w:color="auto" w:fill="auto"/>
          </w:tcPr>
          <w:p w14:paraId="1E803BA1" w14:textId="77777777" w:rsidR="00F20ABF" w:rsidRDefault="00F20ABF">
            <w:pPr>
              <w:rPr>
                <w:rFonts w:ascii="宋体"/>
              </w:rPr>
            </w:pPr>
          </w:p>
        </w:tc>
        <w:tc>
          <w:tcPr>
            <w:tcW w:w="569" w:type="pct"/>
            <w:shd w:val="clear" w:color="auto" w:fill="auto"/>
          </w:tcPr>
          <w:p w14:paraId="1E803BA2" w14:textId="77777777" w:rsidR="00F20ABF" w:rsidRDefault="00F20ABF">
            <w:pPr>
              <w:rPr>
                <w:rFonts w:ascii="宋体"/>
              </w:rPr>
            </w:pPr>
          </w:p>
        </w:tc>
        <w:tc>
          <w:tcPr>
            <w:tcW w:w="5" w:type="pct"/>
            <w:shd w:val="clear" w:color="auto" w:fill="auto"/>
          </w:tcPr>
          <w:p w14:paraId="1E803BA3" w14:textId="77777777" w:rsidR="00F20ABF" w:rsidRDefault="00F20ABF">
            <w:pPr>
              <w:rPr>
                <w:rFonts w:ascii="宋体"/>
              </w:rPr>
            </w:pPr>
          </w:p>
        </w:tc>
      </w:tr>
      <w:tr w:rsidR="00F20ABF" w14:paraId="1E803BA9" w14:textId="77777777">
        <w:tc>
          <w:tcPr>
            <w:tcW w:w="0" w:type="auto"/>
            <w:gridSpan w:val="3"/>
            <w:shd w:val="clear" w:color="auto" w:fill="auto"/>
            <w:tcMar>
              <w:top w:w="0" w:type="dxa"/>
              <w:left w:w="20" w:type="dxa"/>
              <w:bottom w:w="0" w:type="dxa"/>
              <w:right w:w="20" w:type="dxa"/>
            </w:tcMar>
          </w:tcPr>
          <w:p w14:paraId="1E803BA5"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3BA6" w14:textId="77777777" w:rsidR="00F20ABF" w:rsidRDefault="00CA4D2F">
            <w:pPr>
              <w:jc w:val="center"/>
              <w:textAlignment w:val="bottom"/>
            </w:pPr>
            <w:r>
              <w:rPr>
                <w:rFonts w:ascii="sans-serif" w:eastAsia="sans-serif" w:hAnsi="sans-serif" w:cs="sans-serif"/>
                <w:b/>
                <w:bCs/>
                <w:color w:val="000000"/>
                <w:sz w:val="20"/>
                <w:szCs w:val="20"/>
              </w:rPr>
              <w:t>October 25,</w:t>
            </w:r>
          </w:p>
        </w:tc>
        <w:tc>
          <w:tcPr>
            <w:tcW w:w="0" w:type="auto"/>
            <w:gridSpan w:val="3"/>
            <w:shd w:val="clear" w:color="auto" w:fill="auto"/>
            <w:tcMar>
              <w:top w:w="0" w:type="dxa"/>
              <w:left w:w="20" w:type="dxa"/>
              <w:bottom w:w="0" w:type="dxa"/>
              <w:right w:w="20" w:type="dxa"/>
            </w:tcMar>
          </w:tcPr>
          <w:p w14:paraId="1E803BA7"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3BA8" w14:textId="77777777" w:rsidR="00F20ABF" w:rsidRDefault="00CA4D2F">
            <w:pPr>
              <w:jc w:val="center"/>
              <w:textAlignment w:val="bottom"/>
            </w:pPr>
            <w:r>
              <w:rPr>
                <w:rFonts w:ascii="sans-serif" w:eastAsia="sans-serif" w:hAnsi="sans-serif" w:cs="sans-serif"/>
                <w:b/>
                <w:bCs/>
                <w:color w:val="000000"/>
                <w:sz w:val="20"/>
                <w:szCs w:val="20"/>
              </w:rPr>
              <w:t>January 26,</w:t>
            </w:r>
          </w:p>
        </w:tc>
      </w:tr>
      <w:tr w:rsidR="00F20ABF" w14:paraId="1E803BAE" w14:textId="77777777">
        <w:tc>
          <w:tcPr>
            <w:tcW w:w="0" w:type="auto"/>
            <w:gridSpan w:val="3"/>
            <w:shd w:val="clear" w:color="auto" w:fill="auto"/>
            <w:tcMar>
              <w:top w:w="40" w:type="dxa"/>
              <w:left w:w="20" w:type="dxa"/>
              <w:bottom w:w="40" w:type="dxa"/>
              <w:right w:w="20" w:type="dxa"/>
            </w:tcMar>
            <w:vAlign w:val="bottom"/>
          </w:tcPr>
          <w:p w14:paraId="1E803BAA"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3BAB" w14:textId="77777777" w:rsidR="00F20ABF" w:rsidRDefault="00CA4D2F">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tcPr>
          <w:p w14:paraId="1E803BAC"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3BAD" w14:textId="77777777" w:rsidR="00F20ABF" w:rsidRDefault="00CA4D2F">
            <w:pPr>
              <w:jc w:val="center"/>
              <w:textAlignment w:val="bottom"/>
            </w:pPr>
            <w:r>
              <w:rPr>
                <w:rFonts w:ascii="sans-serif" w:eastAsia="sans-serif" w:hAnsi="sans-serif" w:cs="sans-serif"/>
                <w:b/>
                <w:bCs/>
                <w:color w:val="000000"/>
                <w:sz w:val="20"/>
                <w:szCs w:val="20"/>
              </w:rPr>
              <w:t>2020</w:t>
            </w:r>
          </w:p>
        </w:tc>
      </w:tr>
      <w:tr w:rsidR="00F20ABF" w14:paraId="1E803BB3" w14:textId="77777777">
        <w:tc>
          <w:tcPr>
            <w:tcW w:w="0" w:type="auto"/>
            <w:gridSpan w:val="3"/>
            <w:shd w:val="clear" w:color="auto" w:fill="E2EFD9"/>
            <w:tcMar>
              <w:top w:w="40" w:type="dxa"/>
              <w:left w:w="20" w:type="dxa"/>
              <w:bottom w:w="40" w:type="dxa"/>
              <w:right w:w="20" w:type="dxa"/>
            </w:tcMar>
            <w:vAlign w:val="bottom"/>
          </w:tcPr>
          <w:p w14:paraId="1E803BAF" w14:textId="77777777" w:rsidR="00F20ABF" w:rsidRDefault="00CA4D2F">
            <w:pPr>
              <w:textAlignment w:val="bottom"/>
            </w:pPr>
            <w:r>
              <w:rPr>
                <w:rFonts w:ascii="sans-serif" w:eastAsia="sans-serif" w:hAnsi="sans-serif" w:cs="sans-serif"/>
                <w:b/>
                <w:bCs/>
                <w:color w:val="000000"/>
                <w:sz w:val="20"/>
                <w:szCs w:val="20"/>
              </w:rPr>
              <w:t>ASSETS</w:t>
            </w:r>
          </w:p>
        </w:tc>
        <w:tc>
          <w:tcPr>
            <w:tcW w:w="0" w:type="auto"/>
            <w:gridSpan w:val="3"/>
            <w:tcBorders>
              <w:top w:val="single" w:sz="8" w:space="0" w:color="000000"/>
            </w:tcBorders>
            <w:shd w:val="clear" w:color="auto" w:fill="E2EFD9"/>
            <w:tcMar>
              <w:top w:w="0" w:type="dxa"/>
              <w:left w:w="20" w:type="dxa"/>
              <w:bottom w:w="0" w:type="dxa"/>
              <w:right w:w="20" w:type="dxa"/>
            </w:tcMar>
          </w:tcPr>
          <w:p w14:paraId="1E803BB0"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BB1" w14:textId="77777777" w:rsidR="00F20ABF" w:rsidRDefault="00F20ABF">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tcPr>
          <w:p w14:paraId="1E803BB2" w14:textId="77777777" w:rsidR="00F20ABF" w:rsidRDefault="00F20ABF">
            <w:pPr>
              <w:rPr>
                <w:rFonts w:ascii="宋体"/>
              </w:rPr>
            </w:pPr>
          </w:p>
        </w:tc>
      </w:tr>
      <w:tr w:rsidR="00F20ABF" w14:paraId="1E803BB8" w14:textId="77777777">
        <w:tc>
          <w:tcPr>
            <w:tcW w:w="0" w:type="auto"/>
            <w:gridSpan w:val="3"/>
            <w:shd w:val="clear" w:color="auto" w:fill="FFFFFF"/>
            <w:tcMar>
              <w:top w:w="40" w:type="dxa"/>
              <w:left w:w="20" w:type="dxa"/>
              <w:bottom w:w="40" w:type="dxa"/>
              <w:right w:w="20" w:type="dxa"/>
            </w:tcMar>
            <w:vAlign w:val="bottom"/>
          </w:tcPr>
          <w:p w14:paraId="1E803BB4" w14:textId="77777777" w:rsidR="00F20ABF" w:rsidRDefault="00CA4D2F">
            <w:pPr>
              <w:textAlignment w:val="bottom"/>
            </w:pPr>
            <w:r>
              <w:rPr>
                <w:rFonts w:ascii="sans-serif" w:eastAsia="sans-serif" w:hAnsi="sans-serif" w:cs="sans-serif"/>
                <w:color w:val="000000"/>
                <w:sz w:val="20"/>
                <w:szCs w:val="20"/>
              </w:rPr>
              <w:t>Current assets:</w:t>
            </w:r>
          </w:p>
        </w:tc>
        <w:tc>
          <w:tcPr>
            <w:tcW w:w="0" w:type="auto"/>
            <w:gridSpan w:val="3"/>
            <w:shd w:val="clear" w:color="auto" w:fill="FFFFFF"/>
            <w:tcMar>
              <w:top w:w="40" w:type="dxa"/>
              <w:left w:w="20" w:type="dxa"/>
              <w:bottom w:w="40" w:type="dxa"/>
              <w:right w:w="20" w:type="dxa"/>
            </w:tcMar>
            <w:vAlign w:val="bottom"/>
          </w:tcPr>
          <w:p w14:paraId="1E803BB5"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tcPr>
          <w:p w14:paraId="1E803BB6"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3BB7" w14:textId="77777777" w:rsidR="00F20ABF" w:rsidRDefault="00CA4D2F">
            <w:pPr>
              <w:textAlignment w:val="bottom"/>
            </w:pPr>
            <w:r>
              <w:rPr>
                <w:rFonts w:ascii="sans-serif" w:eastAsia="sans-serif" w:hAnsi="sans-serif" w:cs="sans-serif"/>
                <w:color w:val="000000"/>
                <w:sz w:val="20"/>
                <w:szCs w:val="20"/>
              </w:rPr>
              <w:t> </w:t>
            </w:r>
          </w:p>
        </w:tc>
      </w:tr>
      <w:tr w:rsidR="00F20ABF" w14:paraId="1E803BC1" w14:textId="77777777">
        <w:tc>
          <w:tcPr>
            <w:tcW w:w="0" w:type="auto"/>
            <w:gridSpan w:val="3"/>
            <w:shd w:val="clear" w:color="auto" w:fill="E2EFD9"/>
            <w:tcMar>
              <w:top w:w="40" w:type="dxa"/>
              <w:left w:w="245" w:type="dxa"/>
              <w:bottom w:w="40" w:type="dxa"/>
              <w:right w:w="20" w:type="dxa"/>
            </w:tcMar>
            <w:vAlign w:val="bottom"/>
          </w:tcPr>
          <w:p w14:paraId="1E803BB9" w14:textId="77777777" w:rsidR="00F20ABF" w:rsidRDefault="00CA4D2F">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right w:w="0" w:type="dxa"/>
            </w:tcMar>
            <w:vAlign w:val="bottom"/>
          </w:tcPr>
          <w:p w14:paraId="1E803BBA"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3BBB" w14:textId="77777777" w:rsidR="00F20ABF" w:rsidRDefault="00CA4D2F">
            <w:pPr>
              <w:jc w:val="right"/>
              <w:textAlignment w:val="bottom"/>
            </w:pPr>
            <w:r>
              <w:rPr>
                <w:rFonts w:ascii="sans-serif" w:eastAsia="sans-serif" w:hAnsi="sans-serif" w:cs="sans-serif"/>
                <w:color w:val="000000"/>
                <w:sz w:val="20"/>
                <w:szCs w:val="20"/>
              </w:rPr>
              <w:t>2,251 </w:t>
            </w:r>
          </w:p>
        </w:tc>
        <w:tc>
          <w:tcPr>
            <w:tcW w:w="0" w:type="auto"/>
            <w:shd w:val="clear" w:color="auto" w:fill="E2EFD9"/>
            <w:tcMar>
              <w:top w:w="40" w:type="dxa"/>
              <w:left w:w="0" w:type="dxa"/>
              <w:bottom w:w="40" w:type="dxa"/>
              <w:right w:w="20" w:type="dxa"/>
            </w:tcMar>
            <w:vAlign w:val="bottom"/>
          </w:tcPr>
          <w:p w14:paraId="1E803BB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BBD"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3BBE"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3BBF" w14:textId="77777777" w:rsidR="00F20ABF" w:rsidRDefault="00CA4D2F">
            <w:pPr>
              <w:jc w:val="right"/>
              <w:textAlignment w:val="bottom"/>
            </w:pPr>
            <w:r>
              <w:rPr>
                <w:rFonts w:ascii="sans-serif" w:eastAsia="sans-serif" w:hAnsi="sans-serif" w:cs="sans-serif"/>
                <w:color w:val="000000"/>
                <w:sz w:val="20"/>
                <w:szCs w:val="20"/>
              </w:rPr>
              <w:t>10,896 </w:t>
            </w:r>
          </w:p>
        </w:tc>
        <w:tc>
          <w:tcPr>
            <w:tcW w:w="0" w:type="auto"/>
            <w:shd w:val="clear" w:color="auto" w:fill="E2EFD9"/>
            <w:tcMar>
              <w:top w:w="40" w:type="dxa"/>
              <w:left w:w="0" w:type="dxa"/>
              <w:bottom w:w="40" w:type="dxa"/>
              <w:right w:w="20" w:type="dxa"/>
            </w:tcMar>
            <w:vAlign w:val="bottom"/>
          </w:tcPr>
          <w:p w14:paraId="1E803BC0" w14:textId="77777777" w:rsidR="00F20ABF" w:rsidRDefault="00F20ABF">
            <w:pPr>
              <w:jc w:val="right"/>
              <w:rPr>
                <w:rFonts w:ascii="宋体"/>
              </w:rPr>
            </w:pPr>
          </w:p>
        </w:tc>
      </w:tr>
      <w:tr w:rsidR="00F20ABF" w14:paraId="1E803BC8" w14:textId="77777777">
        <w:tc>
          <w:tcPr>
            <w:tcW w:w="0" w:type="auto"/>
            <w:gridSpan w:val="3"/>
            <w:shd w:val="clear" w:color="auto" w:fill="FFFFFF"/>
            <w:tcMar>
              <w:top w:w="40" w:type="dxa"/>
              <w:left w:w="245" w:type="dxa"/>
              <w:bottom w:w="40" w:type="dxa"/>
              <w:right w:w="20" w:type="dxa"/>
            </w:tcMar>
            <w:vAlign w:val="bottom"/>
          </w:tcPr>
          <w:p w14:paraId="1E803BC2" w14:textId="77777777" w:rsidR="00F20ABF" w:rsidRDefault="00CA4D2F">
            <w:pPr>
              <w:textAlignment w:val="bottom"/>
            </w:pPr>
            <w:r>
              <w:rPr>
                <w:rFonts w:ascii="sans-serif" w:eastAsia="sans-serif" w:hAnsi="sans-serif" w:cs="sans-serif"/>
                <w:color w:val="000000"/>
                <w:sz w:val="20"/>
                <w:szCs w:val="20"/>
              </w:rPr>
              <w:t xml:space="preserve">Marketable </w:t>
            </w:r>
            <w:r>
              <w:rPr>
                <w:rFonts w:ascii="sans-serif" w:eastAsia="sans-serif" w:hAnsi="sans-serif" w:cs="sans-serif"/>
                <w:color w:val="000000"/>
                <w:sz w:val="20"/>
                <w:szCs w:val="20"/>
              </w:rPr>
              <w:t>securities</w:t>
            </w:r>
          </w:p>
        </w:tc>
        <w:tc>
          <w:tcPr>
            <w:tcW w:w="0" w:type="auto"/>
            <w:gridSpan w:val="2"/>
            <w:shd w:val="clear" w:color="auto" w:fill="FFFFFF"/>
            <w:tcMar>
              <w:top w:w="40" w:type="dxa"/>
              <w:left w:w="20" w:type="dxa"/>
              <w:bottom w:w="40" w:type="dxa"/>
              <w:right w:w="0" w:type="dxa"/>
            </w:tcMar>
            <w:vAlign w:val="bottom"/>
          </w:tcPr>
          <w:p w14:paraId="1E803BC3" w14:textId="77777777" w:rsidR="00F20ABF" w:rsidRDefault="00CA4D2F">
            <w:pPr>
              <w:jc w:val="right"/>
              <w:textAlignment w:val="bottom"/>
            </w:pPr>
            <w:r>
              <w:rPr>
                <w:rFonts w:ascii="sans-serif" w:eastAsia="sans-serif" w:hAnsi="sans-serif" w:cs="sans-serif"/>
                <w:color w:val="000000"/>
                <w:sz w:val="20"/>
                <w:szCs w:val="20"/>
              </w:rPr>
              <w:t>7,888 </w:t>
            </w:r>
          </w:p>
        </w:tc>
        <w:tc>
          <w:tcPr>
            <w:tcW w:w="0" w:type="auto"/>
            <w:shd w:val="clear" w:color="auto" w:fill="FFFFFF"/>
            <w:tcMar>
              <w:top w:w="40" w:type="dxa"/>
              <w:left w:w="0" w:type="dxa"/>
              <w:bottom w:w="40" w:type="dxa"/>
              <w:right w:w="20" w:type="dxa"/>
            </w:tcMar>
            <w:vAlign w:val="bottom"/>
          </w:tcPr>
          <w:p w14:paraId="1E803BC4"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C5"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BC6" w14:textId="77777777" w:rsidR="00F20ABF" w:rsidRDefault="00CA4D2F">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1E803BC7" w14:textId="77777777" w:rsidR="00F20ABF" w:rsidRDefault="00F20ABF">
            <w:pPr>
              <w:jc w:val="right"/>
              <w:rPr>
                <w:rFonts w:ascii="宋体"/>
              </w:rPr>
            </w:pPr>
          </w:p>
        </w:tc>
      </w:tr>
      <w:tr w:rsidR="00F20ABF" w14:paraId="1E803BCF" w14:textId="77777777">
        <w:tc>
          <w:tcPr>
            <w:tcW w:w="0" w:type="auto"/>
            <w:gridSpan w:val="3"/>
            <w:shd w:val="clear" w:color="auto" w:fill="E2EFD9"/>
            <w:tcMar>
              <w:top w:w="40" w:type="dxa"/>
              <w:left w:w="245" w:type="dxa"/>
              <w:bottom w:w="40" w:type="dxa"/>
              <w:right w:w="20" w:type="dxa"/>
            </w:tcMar>
            <w:vAlign w:val="bottom"/>
          </w:tcPr>
          <w:p w14:paraId="1E803BC9" w14:textId="77777777" w:rsidR="00F20ABF" w:rsidRDefault="00CA4D2F">
            <w:pPr>
              <w:textAlignment w:val="bottom"/>
            </w:pPr>
            <w:r>
              <w:rPr>
                <w:rFonts w:ascii="sans-serif" w:eastAsia="sans-serif" w:hAnsi="sans-serif" w:cs="sans-serif"/>
                <w:color w:val="000000"/>
                <w:sz w:val="20"/>
                <w:szCs w:val="20"/>
              </w:rPr>
              <w:t>Accounts receivable, net</w:t>
            </w:r>
          </w:p>
        </w:tc>
        <w:tc>
          <w:tcPr>
            <w:tcW w:w="0" w:type="auto"/>
            <w:gridSpan w:val="2"/>
            <w:shd w:val="clear" w:color="auto" w:fill="E2EFD9"/>
            <w:tcMar>
              <w:top w:w="40" w:type="dxa"/>
              <w:left w:w="20" w:type="dxa"/>
              <w:bottom w:w="40" w:type="dxa"/>
              <w:right w:w="0" w:type="dxa"/>
            </w:tcMar>
            <w:vAlign w:val="bottom"/>
          </w:tcPr>
          <w:p w14:paraId="1E803BCA" w14:textId="77777777" w:rsidR="00F20ABF" w:rsidRDefault="00CA4D2F">
            <w:pPr>
              <w:jc w:val="right"/>
              <w:textAlignment w:val="bottom"/>
            </w:pPr>
            <w:r>
              <w:rPr>
                <w:rFonts w:ascii="sans-serif" w:eastAsia="sans-serif" w:hAnsi="sans-serif" w:cs="sans-serif"/>
                <w:color w:val="000000"/>
                <w:sz w:val="20"/>
                <w:szCs w:val="20"/>
              </w:rPr>
              <w:t>2,546 </w:t>
            </w:r>
          </w:p>
        </w:tc>
        <w:tc>
          <w:tcPr>
            <w:tcW w:w="0" w:type="auto"/>
            <w:shd w:val="clear" w:color="auto" w:fill="E2EFD9"/>
            <w:tcMar>
              <w:top w:w="40" w:type="dxa"/>
              <w:left w:w="0" w:type="dxa"/>
              <w:bottom w:w="40" w:type="dxa"/>
              <w:right w:w="20" w:type="dxa"/>
            </w:tcMar>
            <w:vAlign w:val="bottom"/>
          </w:tcPr>
          <w:p w14:paraId="1E803BC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BCC"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BCD" w14:textId="77777777" w:rsidR="00F20ABF" w:rsidRDefault="00CA4D2F">
            <w:pPr>
              <w:jc w:val="right"/>
              <w:textAlignment w:val="bottom"/>
            </w:pPr>
            <w:r>
              <w:rPr>
                <w:rFonts w:ascii="sans-serif" w:eastAsia="sans-serif" w:hAnsi="sans-serif" w:cs="sans-serif"/>
                <w:color w:val="000000"/>
                <w:sz w:val="20"/>
                <w:szCs w:val="20"/>
              </w:rPr>
              <w:t>1,657 </w:t>
            </w:r>
          </w:p>
        </w:tc>
        <w:tc>
          <w:tcPr>
            <w:tcW w:w="0" w:type="auto"/>
            <w:shd w:val="clear" w:color="auto" w:fill="E2EFD9"/>
            <w:tcMar>
              <w:top w:w="40" w:type="dxa"/>
              <w:left w:w="0" w:type="dxa"/>
              <w:bottom w:w="40" w:type="dxa"/>
              <w:right w:w="20" w:type="dxa"/>
            </w:tcMar>
            <w:vAlign w:val="bottom"/>
          </w:tcPr>
          <w:p w14:paraId="1E803BCE" w14:textId="77777777" w:rsidR="00F20ABF" w:rsidRDefault="00F20ABF">
            <w:pPr>
              <w:jc w:val="right"/>
              <w:rPr>
                <w:rFonts w:ascii="宋体"/>
              </w:rPr>
            </w:pPr>
          </w:p>
        </w:tc>
      </w:tr>
      <w:tr w:rsidR="00F20ABF" w14:paraId="1E803BD6" w14:textId="77777777">
        <w:tc>
          <w:tcPr>
            <w:tcW w:w="0" w:type="auto"/>
            <w:gridSpan w:val="3"/>
            <w:shd w:val="clear" w:color="auto" w:fill="FFFFFF"/>
            <w:tcMar>
              <w:top w:w="40" w:type="dxa"/>
              <w:left w:w="245" w:type="dxa"/>
              <w:bottom w:w="40" w:type="dxa"/>
              <w:right w:w="20" w:type="dxa"/>
            </w:tcMar>
            <w:vAlign w:val="bottom"/>
          </w:tcPr>
          <w:p w14:paraId="1E803BD0" w14:textId="77777777" w:rsidR="00F20ABF" w:rsidRDefault="00CA4D2F">
            <w:pPr>
              <w:textAlignment w:val="bottom"/>
            </w:pPr>
            <w:r>
              <w:rPr>
                <w:rFonts w:ascii="sans-serif" w:eastAsia="sans-serif" w:hAnsi="sans-serif" w:cs="sans-serif"/>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1E803BD1" w14:textId="77777777" w:rsidR="00F20ABF" w:rsidRDefault="00CA4D2F">
            <w:pPr>
              <w:jc w:val="right"/>
              <w:textAlignment w:val="bottom"/>
            </w:pPr>
            <w:r>
              <w:rPr>
                <w:rFonts w:ascii="sans-serif" w:eastAsia="sans-serif" w:hAnsi="sans-serif" w:cs="sans-serif"/>
                <w:color w:val="000000"/>
                <w:sz w:val="20"/>
                <w:szCs w:val="20"/>
              </w:rPr>
              <w:t>1,495 </w:t>
            </w:r>
          </w:p>
        </w:tc>
        <w:tc>
          <w:tcPr>
            <w:tcW w:w="0" w:type="auto"/>
            <w:shd w:val="clear" w:color="auto" w:fill="FFFFFF"/>
            <w:tcMar>
              <w:top w:w="40" w:type="dxa"/>
              <w:left w:w="0" w:type="dxa"/>
              <w:bottom w:w="40" w:type="dxa"/>
              <w:right w:w="20" w:type="dxa"/>
            </w:tcMar>
            <w:vAlign w:val="bottom"/>
          </w:tcPr>
          <w:p w14:paraId="1E803BD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D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BD4" w14:textId="77777777" w:rsidR="00F20ABF" w:rsidRDefault="00CA4D2F">
            <w:pPr>
              <w:jc w:val="right"/>
              <w:textAlignment w:val="bottom"/>
            </w:pPr>
            <w:r>
              <w:rPr>
                <w:rFonts w:ascii="sans-serif" w:eastAsia="sans-serif" w:hAnsi="sans-serif" w:cs="sans-serif"/>
                <w:color w:val="000000"/>
                <w:sz w:val="20"/>
                <w:szCs w:val="20"/>
              </w:rPr>
              <w:t>979 </w:t>
            </w:r>
          </w:p>
        </w:tc>
        <w:tc>
          <w:tcPr>
            <w:tcW w:w="0" w:type="auto"/>
            <w:shd w:val="clear" w:color="auto" w:fill="FFFFFF"/>
            <w:tcMar>
              <w:top w:w="40" w:type="dxa"/>
              <w:left w:w="0" w:type="dxa"/>
              <w:bottom w:w="40" w:type="dxa"/>
              <w:right w:w="20" w:type="dxa"/>
            </w:tcMar>
            <w:vAlign w:val="bottom"/>
          </w:tcPr>
          <w:p w14:paraId="1E803BD5" w14:textId="77777777" w:rsidR="00F20ABF" w:rsidRDefault="00F20ABF">
            <w:pPr>
              <w:jc w:val="right"/>
              <w:rPr>
                <w:rFonts w:ascii="宋体"/>
              </w:rPr>
            </w:pPr>
          </w:p>
        </w:tc>
      </w:tr>
      <w:tr w:rsidR="00F20ABF" w14:paraId="1E803BDD" w14:textId="77777777">
        <w:tc>
          <w:tcPr>
            <w:tcW w:w="0" w:type="auto"/>
            <w:gridSpan w:val="3"/>
            <w:shd w:val="clear" w:color="auto" w:fill="E2EFD9"/>
            <w:tcMar>
              <w:top w:w="40" w:type="dxa"/>
              <w:left w:w="245" w:type="dxa"/>
              <w:bottom w:w="40" w:type="dxa"/>
              <w:right w:w="20" w:type="dxa"/>
            </w:tcMar>
            <w:vAlign w:val="bottom"/>
          </w:tcPr>
          <w:p w14:paraId="1E803BD7" w14:textId="77777777" w:rsidR="00F20ABF" w:rsidRDefault="00CA4D2F">
            <w:pPr>
              <w:textAlignment w:val="bottom"/>
            </w:pPr>
            <w:r>
              <w:rPr>
                <w:rFonts w:ascii="sans-serif" w:eastAsia="sans-serif" w:hAnsi="sans-serif" w:cs="sans-serif"/>
                <w:color w:val="000000"/>
                <w:sz w:val="20"/>
                <w:szCs w:val="20"/>
              </w:rPr>
              <w:t>Prepaid expenses and other current assets</w:t>
            </w:r>
          </w:p>
        </w:tc>
        <w:tc>
          <w:tcPr>
            <w:tcW w:w="0" w:type="auto"/>
            <w:gridSpan w:val="2"/>
            <w:shd w:val="clear" w:color="auto" w:fill="E2EFD9"/>
            <w:tcMar>
              <w:top w:w="40" w:type="dxa"/>
              <w:left w:w="20" w:type="dxa"/>
              <w:bottom w:w="40" w:type="dxa"/>
              <w:right w:w="0" w:type="dxa"/>
            </w:tcMar>
            <w:vAlign w:val="bottom"/>
          </w:tcPr>
          <w:p w14:paraId="1E803BD8" w14:textId="77777777" w:rsidR="00F20ABF" w:rsidRDefault="00CA4D2F">
            <w:pPr>
              <w:jc w:val="right"/>
              <w:textAlignment w:val="bottom"/>
            </w:pPr>
            <w:r>
              <w:rPr>
                <w:rFonts w:ascii="sans-serif" w:eastAsia="sans-serif" w:hAnsi="sans-serif" w:cs="sans-serif"/>
                <w:color w:val="000000"/>
                <w:sz w:val="20"/>
                <w:szCs w:val="20"/>
              </w:rPr>
              <w:t>213 </w:t>
            </w:r>
          </w:p>
        </w:tc>
        <w:tc>
          <w:tcPr>
            <w:tcW w:w="0" w:type="auto"/>
            <w:shd w:val="clear" w:color="auto" w:fill="E2EFD9"/>
            <w:tcMar>
              <w:top w:w="40" w:type="dxa"/>
              <w:left w:w="0" w:type="dxa"/>
              <w:bottom w:w="40" w:type="dxa"/>
              <w:right w:w="20" w:type="dxa"/>
            </w:tcMar>
            <w:vAlign w:val="bottom"/>
          </w:tcPr>
          <w:p w14:paraId="1E803BD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BDA"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BDB" w14:textId="77777777" w:rsidR="00F20ABF" w:rsidRDefault="00CA4D2F">
            <w:pPr>
              <w:jc w:val="right"/>
              <w:textAlignment w:val="bottom"/>
            </w:pPr>
            <w:r>
              <w:rPr>
                <w:rFonts w:ascii="sans-serif" w:eastAsia="sans-serif" w:hAnsi="sans-serif" w:cs="sans-serif"/>
                <w:color w:val="000000"/>
                <w:sz w:val="20"/>
                <w:szCs w:val="20"/>
              </w:rPr>
              <w:t>157 </w:t>
            </w:r>
          </w:p>
        </w:tc>
        <w:tc>
          <w:tcPr>
            <w:tcW w:w="0" w:type="auto"/>
            <w:shd w:val="clear" w:color="auto" w:fill="E2EFD9"/>
            <w:tcMar>
              <w:top w:w="40" w:type="dxa"/>
              <w:left w:w="0" w:type="dxa"/>
              <w:bottom w:w="40" w:type="dxa"/>
              <w:right w:w="20" w:type="dxa"/>
            </w:tcMar>
            <w:vAlign w:val="bottom"/>
          </w:tcPr>
          <w:p w14:paraId="1E803BDC" w14:textId="77777777" w:rsidR="00F20ABF" w:rsidRDefault="00F20ABF">
            <w:pPr>
              <w:jc w:val="right"/>
              <w:rPr>
                <w:rFonts w:ascii="宋体"/>
              </w:rPr>
            </w:pPr>
          </w:p>
        </w:tc>
      </w:tr>
      <w:tr w:rsidR="00F20ABF" w14:paraId="1E803BE4" w14:textId="77777777">
        <w:tc>
          <w:tcPr>
            <w:tcW w:w="0" w:type="auto"/>
            <w:gridSpan w:val="3"/>
            <w:shd w:val="clear" w:color="auto" w:fill="FFFFFF"/>
            <w:tcMar>
              <w:top w:w="40" w:type="dxa"/>
              <w:left w:w="20" w:type="dxa"/>
              <w:bottom w:w="40" w:type="dxa"/>
              <w:right w:w="20" w:type="dxa"/>
            </w:tcMar>
            <w:vAlign w:val="bottom"/>
          </w:tcPr>
          <w:p w14:paraId="1E803BDE" w14:textId="77777777" w:rsidR="00F20ABF" w:rsidRDefault="00CA4D2F">
            <w:pPr>
              <w:textAlignment w:val="bottom"/>
            </w:pPr>
            <w:r>
              <w:rPr>
                <w:rFonts w:ascii="sans-serif" w:eastAsia="sans-serif" w:hAnsi="sans-serif" w:cs="sans-serif"/>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BDF" w14:textId="77777777" w:rsidR="00F20ABF" w:rsidRDefault="00CA4D2F">
            <w:pPr>
              <w:jc w:val="right"/>
              <w:textAlignment w:val="bottom"/>
            </w:pPr>
            <w:r>
              <w:rPr>
                <w:rFonts w:ascii="sans-serif" w:eastAsia="sans-serif" w:hAnsi="sans-serif" w:cs="sans-serif"/>
                <w:color w:val="000000"/>
                <w:sz w:val="20"/>
                <w:szCs w:val="20"/>
              </w:rPr>
              <w:t>14,393 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BE0"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E1"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BE2" w14:textId="77777777" w:rsidR="00F20ABF" w:rsidRDefault="00CA4D2F">
            <w:pPr>
              <w:jc w:val="right"/>
              <w:textAlignment w:val="bottom"/>
            </w:pPr>
            <w:r>
              <w:rPr>
                <w:rFonts w:ascii="sans-serif" w:eastAsia="sans-serif" w:hAnsi="sans-serif" w:cs="sans-serif"/>
                <w:color w:val="000000"/>
                <w:sz w:val="20"/>
                <w:szCs w:val="20"/>
              </w:rPr>
              <w:t>13,690 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BE3" w14:textId="77777777" w:rsidR="00F20ABF" w:rsidRDefault="00F20ABF">
            <w:pPr>
              <w:jc w:val="right"/>
              <w:rPr>
                <w:rFonts w:ascii="宋体"/>
              </w:rPr>
            </w:pPr>
          </w:p>
        </w:tc>
      </w:tr>
      <w:tr w:rsidR="00F20ABF" w14:paraId="1E803BEB" w14:textId="77777777">
        <w:tc>
          <w:tcPr>
            <w:tcW w:w="0" w:type="auto"/>
            <w:gridSpan w:val="3"/>
            <w:shd w:val="clear" w:color="auto" w:fill="E2EFD9"/>
            <w:tcMar>
              <w:top w:w="40" w:type="dxa"/>
              <w:left w:w="20" w:type="dxa"/>
              <w:bottom w:w="40" w:type="dxa"/>
              <w:right w:w="20" w:type="dxa"/>
            </w:tcMar>
            <w:vAlign w:val="bottom"/>
          </w:tcPr>
          <w:p w14:paraId="1E803BE5" w14:textId="77777777" w:rsidR="00F20ABF" w:rsidRDefault="00CA4D2F">
            <w:pPr>
              <w:textAlignment w:val="bottom"/>
            </w:pPr>
            <w:r>
              <w:rPr>
                <w:rFonts w:ascii="sans-serif" w:eastAsia="sans-serif" w:hAnsi="sans-serif" w:cs="sans-serif"/>
                <w:color w:val="000000"/>
                <w:sz w:val="20"/>
                <w:szCs w:val="20"/>
              </w:rPr>
              <w:t>Property and equipment, net</w:t>
            </w:r>
          </w:p>
        </w:tc>
        <w:tc>
          <w:tcPr>
            <w:tcW w:w="0" w:type="auto"/>
            <w:gridSpan w:val="2"/>
            <w:shd w:val="clear" w:color="auto" w:fill="E2EFD9"/>
            <w:tcMar>
              <w:top w:w="40" w:type="dxa"/>
              <w:left w:w="20" w:type="dxa"/>
              <w:bottom w:w="40" w:type="dxa"/>
              <w:right w:w="0" w:type="dxa"/>
            </w:tcMar>
            <w:vAlign w:val="bottom"/>
          </w:tcPr>
          <w:p w14:paraId="1E803BE6" w14:textId="77777777" w:rsidR="00F20ABF" w:rsidRDefault="00CA4D2F">
            <w:pPr>
              <w:jc w:val="right"/>
              <w:textAlignment w:val="bottom"/>
            </w:pPr>
            <w:r>
              <w:rPr>
                <w:rFonts w:ascii="sans-serif" w:eastAsia="sans-serif" w:hAnsi="sans-serif" w:cs="sans-serif"/>
                <w:color w:val="000000"/>
                <w:sz w:val="20"/>
                <w:szCs w:val="20"/>
              </w:rPr>
              <w:t>2,059 </w:t>
            </w:r>
          </w:p>
        </w:tc>
        <w:tc>
          <w:tcPr>
            <w:tcW w:w="0" w:type="auto"/>
            <w:shd w:val="clear" w:color="auto" w:fill="E2EFD9"/>
            <w:tcMar>
              <w:top w:w="40" w:type="dxa"/>
              <w:left w:w="0" w:type="dxa"/>
              <w:bottom w:w="40" w:type="dxa"/>
              <w:right w:w="20" w:type="dxa"/>
            </w:tcMar>
            <w:vAlign w:val="bottom"/>
          </w:tcPr>
          <w:p w14:paraId="1E803BE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BE8"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BE9" w14:textId="77777777" w:rsidR="00F20ABF" w:rsidRDefault="00CA4D2F">
            <w:pPr>
              <w:jc w:val="right"/>
              <w:textAlignment w:val="bottom"/>
            </w:pPr>
            <w:r>
              <w:rPr>
                <w:rFonts w:ascii="sans-serif" w:eastAsia="sans-serif" w:hAnsi="sans-serif" w:cs="sans-serif"/>
                <w:color w:val="000000"/>
                <w:sz w:val="20"/>
                <w:szCs w:val="20"/>
              </w:rPr>
              <w:t>1,674 </w:t>
            </w:r>
          </w:p>
        </w:tc>
        <w:tc>
          <w:tcPr>
            <w:tcW w:w="0" w:type="auto"/>
            <w:shd w:val="clear" w:color="auto" w:fill="E2EFD9"/>
            <w:tcMar>
              <w:top w:w="40" w:type="dxa"/>
              <w:left w:w="0" w:type="dxa"/>
              <w:bottom w:w="40" w:type="dxa"/>
              <w:right w:w="20" w:type="dxa"/>
            </w:tcMar>
            <w:vAlign w:val="bottom"/>
          </w:tcPr>
          <w:p w14:paraId="1E803BEA" w14:textId="77777777" w:rsidR="00F20ABF" w:rsidRDefault="00F20ABF">
            <w:pPr>
              <w:jc w:val="right"/>
              <w:rPr>
                <w:rFonts w:ascii="宋体"/>
              </w:rPr>
            </w:pPr>
          </w:p>
        </w:tc>
      </w:tr>
      <w:tr w:rsidR="00F20ABF" w14:paraId="1E803BF2" w14:textId="77777777">
        <w:tc>
          <w:tcPr>
            <w:tcW w:w="0" w:type="auto"/>
            <w:gridSpan w:val="3"/>
            <w:shd w:val="clear" w:color="auto" w:fill="FFFFFF"/>
            <w:tcMar>
              <w:top w:w="40" w:type="dxa"/>
              <w:left w:w="20" w:type="dxa"/>
              <w:bottom w:w="40" w:type="dxa"/>
              <w:right w:w="20" w:type="dxa"/>
            </w:tcMar>
            <w:vAlign w:val="bottom"/>
          </w:tcPr>
          <w:p w14:paraId="1E803BEC" w14:textId="77777777" w:rsidR="00F20ABF" w:rsidRDefault="00CA4D2F">
            <w:pPr>
              <w:textAlignment w:val="bottom"/>
            </w:pPr>
            <w:r>
              <w:rPr>
                <w:rFonts w:ascii="sans-serif" w:eastAsia="sans-serif" w:hAnsi="sans-serif" w:cs="sans-serif"/>
                <w:color w:val="000000"/>
                <w:sz w:val="20"/>
                <w:szCs w:val="20"/>
              </w:rPr>
              <w:t>Operating lease assets</w:t>
            </w:r>
          </w:p>
        </w:tc>
        <w:tc>
          <w:tcPr>
            <w:tcW w:w="0" w:type="auto"/>
            <w:gridSpan w:val="2"/>
            <w:shd w:val="clear" w:color="auto" w:fill="FFFFFF"/>
            <w:tcMar>
              <w:top w:w="40" w:type="dxa"/>
              <w:left w:w="20" w:type="dxa"/>
              <w:bottom w:w="40" w:type="dxa"/>
              <w:right w:w="0" w:type="dxa"/>
            </w:tcMar>
            <w:vAlign w:val="bottom"/>
          </w:tcPr>
          <w:p w14:paraId="1E803BED" w14:textId="77777777" w:rsidR="00F20ABF" w:rsidRDefault="00CA4D2F">
            <w:pPr>
              <w:jc w:val="right"/>
              <w:textAlignment w:val="bottom"/>
            </w:pPr>
            <w:r>
              <w:rPr>
                <w:rFonts w:ascii="sans-serif" w:eastAsia="sans-serif" w:hAnsi="sans-serif" w:cs="sans-serif"/>
                <w:color w:val="000000"/>
                <w:sz w:val="20"/>
                <w:szCs w:val="20"/>
              </w:rPr>
              <w:t>681 </w:t>
            </w:r>
          </w:p>
        </w:tc>
        <w:tc>
          <w:tcPr>
            <w:tcW w:w="0" w:type="auto"/>
            <w:shd w:val="clear" w:color="auto" w:fill="FFFFFF"/>
            <w:tcMar>
              <w:top w:w="40" w:type="dxa"/>
              <w:left w:w="0" w:type="dxa"/>
              <w:bottom w:w="40" w:type="dxa"/>
              <w:right w:w="20" w:type="dxa"/>
            </w:tcMar>
            <w:vAlign w:val="bottom"/>
          </w:tcPr>
          <w:p w14:paraId="1E803BE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EF"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BF0" w14:textId="77777777" w:rsidR="00F20ABF" w:rsidRDefault="00CA4D2F">
            <w:pPr>
              <w:jc w:val="right"/>
              <w:textAlignment w:val="bottom"/>
            </w:pPr>
            <w:r>
              <w:rPr>
                <w:rFonts w:ascii="sans-serif" w:eastAsia="sans-serif" w:hAnsi="sans-serif" w:cs="sans-serif"/>
                <w:color w:val="000000"/>
                <w:sz w:val="20"/>
                <w:szCs w:val="20"/>
              </w:rPr>
              <w:t>618 </w:t>
            </w:r>
          </w:p>
        </w:tc>
        <w:tc>
          <w:tcPr>
            <w:tcW w:w="0" w:type="auto"/>
            <w:shd w:val="clear" w:color="auto" w:fill="FFFFFF"/>
            <w:tcMar>
              <w:top w:w="40" w:type="dxa"/>
              <w:left w:w="0" w:type="dxa"/>
              <w:bottom w:w="40" w:type="dxa"/>
              <w:right w:w="20" w:type="dxa"/>
            </w:tcMar>
            <w:vAlign w:val="bottom"/>
          </w:tcPr>
          <w:p w14:paraId="1E803BF1" w14:textId="77777777" w:rsidR="00F20ABF" w:rsidRDefault="00F20ABF">
            <w:pPr>
              <w:jc w:val="right"/>
              <w:rPr>
                <w:rFonts w:ascii="宋体"/>
              </w:rPr>
            </w:pPr>
          </w:p>
        </w:tc>
      </w:tr>
      <w:tr w:rsidR="00F20ABF" w14:paraId="1E803BF9" w14:textId="77777777">
        <w:tc>
          <w:tcPr>
            <w:tcW w:w="0" w:type="auto"/>
            <w:gridSpan w:val="3"/>
            <w:shd w:val="clear" w:color="auto" w:fill="E2EFD9"/>
            <w:tcMar>
              <w:top w:w="40" w:type="dxa"/>
              <w:left w:w="20" w:type="dxa"/>
              <w:bottom w:w="40" w:type="dxa"/>
              <w:right w:w="20" w:type="dxa"/>
            </w:tcMar>
            <w:vAlign w:val="bottom"/>
          </w:tcPr>
          <w:p w14:paraId="1E803BF3" w14:textId="77777777" w:rsidR="00F20ABF" w:rsidRDefault="00CA4D2F">
            <w:pPr>
              <w:textAlignment w:val="bottom"/>
            </w:pPr>
            <w:r>
              <w:rPr>
                <w:rFonts w:ascii="sans-serif" w:eastAsia="sans-serif" w:hAnsi="sans-serif" w:cs="sans-serif"/>
                <w:color w:val="000000"/>
                <w:sz w:val="20"/>
                <w:szCs w:val="20"/>
              </w:rPr>
              <w:t>Goodwill</w:t>
            </w:r>
          </w:p>
        </w:tc>
        <w:tc>
          <w:tcPr>
            <w:tcW w:w="0" w:type="auto"/>
            <w:gridSpan w:val="2"/>
            <w:shd w:val="clear" w:color="auto" w:fill="E2EFD9"/>
            <w:tcMar>
              <w:top w:w="40" w:type="dxa"/>
              <w:left w:w="20" w:type="dxa"/>
              <w:bottom w:w="40" w:type="dxa"/>
              <w:right w:w="0" w:type="dxa"/>
            </w:tcMar>
            <w:vAlign w:val="bottom"/>
          </w:tcPr>
          <w:p w14:paraId="1E803BF4" w14:textId="77777777" w:rsidR="00F20ABF" w:rsidRDefault="00CA4D2F">
            <w:pPr>
              <w:jc w:val="right"/>
              <w:textAlignment w:val="bottom"/>
            </w:pPr>
            <w:r>
              <w:rPr>
                <w:rFonts w:ascii="sans-serif" w:eastAsia="sans-serif" w:hAnsi="sans-serif" w:cs="sans-serif"/>
                <w:color w:val="000000"/>
                <w:sz w:val="20"/>
                <w:szCs w:val="20"/>
              </w:rPr>
              <w:t>4,193 </w:t>
            </w:r>
          </w:p>
        </w:tc>
        <w:tc>
          <w:tcPr>
            <w:tcW w:w="0" w:type="auto"/>
            <w:shd w:val="clear" w:color="auto" w:fill="E2EFD9"/>
            <w:tcMar>
              <w:top w:w="40" w:type="dxa"/>
              <w:left w:w="0" w:type="dxa"/>
              <w:bottom w:w="40" w:type="dxa"/>
              <w:right w:w="20" w:type="dxa"/>
            </w:tcMar>
            <w:vAlign w:val="bottom"/>
          </w:tcPr>
          <w:p w14:paraId="1E803BF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BF6"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BF7" w14:textId="77777777" w:rsidR="00F20ABF" w:rsidRDefault="00CA4D2F">
            <w:pPr>
              <w:jc w:val="right"/>
              <w:textAlignment w:val="bottom"/>
            </w:pPr>
            <w:r>
              <w:rPr>
                <w:rFonts w:ascii="sans-serif" w:eastAsia="sans-serif" w:hAnsi="sans-serif" w:cs="sans-serif"/>
                <w:color w:val="000000"/>
                <w:sz w:val="20"/>
                <w:szCs w:val="20"/>
              </w:rPr>
              <w:t>618 </w:t>
            </w:r>
          </w:p>
        </w:tc>
        <w:tc>
          <w:tcPr>
            <w:tcW w:w="0" w:type="auto"/>
            <w:shd w:val="clear" w:color="auto" w:fill="E2EFD9"/>
            <w:tcMar>
              <w:top w:w="40" w:type="dxa"/>
              <w:left w:w="0" w:type="dxa"/>
              <w:bottom w:w="40" w:type="dxa"/>
              <w:right w:w="20" w:type="dxa"/>
            </w:tcMar>
            <w:vAlign w:val="bottom"/>
          </w:tcPr>
          <w:p w14:paraId="1E803BF8" w14:textId="77777777" w:rsidR="00F20ABF" w:rsidRDefault="00F20ABF">
            <w:pPr>
              <w:jc w:val="right"/>
              <w:rPr>
                <w:rFonts w:ascii="宋体"/>
              </w:rPr>
            </w:pPr>
          </w:p>
        </w:tc>
      </w:tr>
      <w:tr w:rsidR="00F20ABF" w14:paraId="1E803C00" w14:textId="77777777">
        <w:tc>
          <w:tcPr>
            <w:tcW w:w="0" w:type="auto"/>
            <w:gridSpan w:val="3"/>
            <w:shd w:val="clear" w:color="auto" w:fill="FFFFFF"/>
            <w:tcMar>
              <w:top w:w="40" w:type="dxa"/>
              <w:left w:w="20" w:type="dxa"/>
              <w:bottom w:w="40" w:type="dxa"/>
              <w:right w:w="20" w:type="dxa"/>
            </w:tcMar>
            <w:vAlign w:val="bottom"/>
          </w:tcPr>
          <w:p w14:paraId="1E803BFA" w14:textId="77777777" w:rsidR="00F20ABF" w:rsidRDefault="00CA4D2F">
            <w:pPr>
              <w:textAlignment w:val="bottom"/>
            </w:pPr>
            <w:r>
              <w:rPr>
                <w:rFonts w:ascii="sans-serif" w:eastAsia="sans-serif" w:hAnsi="sans-serif" w:cs="sans-serif"/>
                <w:color w:val="000000"/>
                <w:sz w:val="20"/>
                <w:szCs w:val="20"/>
              </w:rPr>
              <w:t>Intangible assets, net</w:t>
            </w:r>
          </w:p>
        </w:tc>
        <w:tc>
          <w:tcPr>
            <w:tcW w:w="0" w:type="auto"/>
            <w:gridSpan w:val="2"/>
            <w:shd w:val="clear" w:color="auto" w:fill="FFFFFF"/>
            <w:tcMar>
              <w:top w:w="40" w:type="dxa"/>
              <w:left w:w="20" w:type="dxa"/>
              <w:bottom w:w="40" w:type="dxa"/>
              <w:right w:w="0" w:type="dxa"/>
            </w:tcMar>
            <w:vAlign w:val="bottom"/>
          </w:tcPr>
          <w:p w14:paraId="1E803BFB" w14:textId="77777777" w:rsidR="00F20ABF" w:rsidRDefault="00CA4D2F">
            <w:pPr>
              <w:jc w:val="right"/>
              <w:textAlignment w:val="bottom"/>
            </w:pPr>
            <w:r>
              <w:rPr>
                <w:rFonts w:ascii="sans-serif" w:eastAsia="sans-serif" w:hAnsi="sans-serif" w:cs="sans-serif"/>
                <w:color w:val="000000"/>
                <w:sz w:val="20"/>
                <w:szCs w:val="20"/>
              </w:rPr>
              <w:t>2,861 </w:t>
            </w:r>
          </w:p>
        </w:tc>
        <w:tc>
          <w:tcPr>
            <w:tcW w:w="0" w:type="auto"/>
            <w:shd w:val="clear" w:color="auto" w:fill="FFFFFF"/>
            <w:tcMar>
              <w:top w:w="40" w:type="dxa"/>
              <w:left w:w="0" w:type="dxa"/>
              <w:bottom w:w="40" w:type="dxa"/>
              <w:right w:w="20" w:type="dxa"/>
            </w:tcMar>
            <w:vAlign w:val="bottom"/>
          </w:tcPr>
          <w:p w14:paraId="1E803BF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BFD"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BFE" w14:textId="77777777" w:rsidR="00F20ABF" w:rsidRDefault="00CA4D2F">
            <w:pPr>
              <w:jc w:val="right"/>
              <w:textAlignment w:val="bottom"/>
            </w:pPr>
            <w:r>
              <w:rPr>
                <w:rFonts w:ascii="sans-serif" w:eastAsia="sans-serif" w:hAnsi="sans-serif" w:cs="sans-serif"/>
                <w:color w:val="000000"/>
                <w:sz w:val="20"/>
                <w:szCs w:val="20"/>
              </w:rPr>
              <w:t>49 </w:t>
            </w:r>
          </w:p>
        </w:tc>
        <w:tc>
          <w:tcPr>
            <w:tcW w:w="0" w:type="auto"/>
            <w:shd w:val="clear" w:color="auto" w:fill="FFFFFF"/>
            <w:tcMar>
              <w:top w:w="40" w:type="dxa"/>
              <w:left w:w="0" w:type="dxa"/>
              <w:bottom w:w="40" w:type="dxa"/>
              <w:right w:w="20" w:type="dxa"/>
            </w:tcMar>
            <w:vAlign w:val="bottom"/>
          </w:tcPr>
          <w:p w14:paraId="1E803BFF" w14:textId="77777777" w:rsidR="00F20ABF" w:rsidRDefault="00F20ABF">
            <w:pPr>
              <w:jc w:val="right"/>
              <w:rPr>
                <w:rFonts w:ascii="宋体"/>
              </w:rPr>
            </w:pPr>
          </w:p>
        </w:tc>
      </w:tr>
      <w:tr w:rsidR="00F20ABF" w14:paraId="1E803C07" w14:textId="77777777">
        <w:tc>
          <w:tcPr>
            <w:tcW w:w="0" w:type="auto"/>
            <w:gridSpan w:val="3"/>
            <w:shd w:val="clear" w:color="auto" w:fill="E2EFD9"/>
            <w:tcMar>
              <w:top w:w="40" w:type="dxa"/>
              <w:left w:w="20" w:type="dxa"/>
              <w:bottom w:w="40" w:type="dxa"/>
              <w:right w:w="20" w:type="dxa"/>
            </w:tcMar>
            <w:vAlign w:val="bottom"/>
          </w:tcPr>
          <w:p w14:paraId="1E803C01" w14:textId="77777777" w:rsidR="00F20ABF" w:rsidRDefault="00CA4D2F">
            <w:pPr>
              <w:textAlignment w:val="bottom"/>
            </w:pPr>
            <w:r>
              <w:rPr>
                <w:rFonts w:ascii="sans-serif" w:eastAsia="sans-serif" w:hAnsi="sans-serif" w:cs="sans-serif"/>
                <w:color w:val="000000"/>
                <w:sz w:val="20"/>
                <w:szCs w:val="20"/>
              </w:rPr>
              <w:t>Deferred income tax assets</w:t>
            </w:r>
          </w:p>
        </w:tc>
        <w:tc>
          <w:tcPr>
            <w:tcW w:w="0" w:type="auto"/>
            <w:gridSpan w:val="2"/>
            <w:shd w:val="clear" w:color="auto" w:fill="E2EFD9"/>
            <w:tcMar>
              <w:top w:w="40" w:type="dxa"/>
              <w:left w:w="20" w:type="dxa"/>
              <w:bottom w:w="40" w:type="dxa"/>
              <w:right w:w="0" w:type="dxa"/>
            </w:tcMar>
            <w:vAlign w:val="bottom"/>
          </w:tcPr>
          <w:p w14:paraId="1E803C02" w14:textId="77777777" w:rsidR="00F20ABF" w:rsidRDefault="00CA4D2F">
            <w:pPr>
              <w:jc w:val="right"/>
              <w:textAlignment w:val="bottom"/>
            </w:pPr>
            <w:r>
              <w:rPr>
                <w:rFonts w:ascii="sans-serif" w:eastAsia="sans-serif" w:hAnsi="sans-serif" w:cs="sans-serif"/>
                <w:color w:val="000000"/>
                <w:sz w:val="20"/>
                <w:szCs w:val="20"/>
              </w:rPr>
              <w:t>666 </w:t>
            </w:r>
          </w:p>
        </w:tc>
        <w:tc>
          <w:tcPr>
            <w:tcW w:w="0" w:type="auto"/>
            <w:shd w:val="clear" w:color="auto" w:fill="E2EFD9"/>
            <w:tcMar>
              <w:top w:w="40" w:type="dxa"/>
              <w:left w:w="0" w:type="dxa"/>
              <w:bottom w:w="40" w:type="dxa"/>
              <w:right w:w="20" w:type="dxa"/>
            </w:tcMar>
            <w:vAlign w:val="bottom"/>
          </w:tcPr>
          <w:p w14:paraId="1E803C0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C04"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C05" w14:textId="77777777" w:rsidR="00F20ABF" w:rsidRDefault="00CA4D2F">
            <w:pPr>
              <w:jc w:val="right"/>
              <w:textAlignment w:val="bottom"/>
            </w:pPr>
            <w:r>
              <w:rPr>
                <w:rFonts w:ascii="sans-serif" w:eastAsia="sans-serif" w:hAnsi="sans-serif" w:cs="sans-serif"/>
                <w:color w:val="000000"/>
                <w:sz w:val="20"/>
                <w:szCs w:val="20"/>
              </w:rPr>
              <w:t>548 </w:t>
            </w:r>
          </w:p>
        </w:tc>
        <w:tc>
          <w:tcPr>
            <w:tcW w:w="0" w:type="auto"/>
            <w:shd w:val="clear" w:color="auto" w:fill="E2EFD9"/>
            <w:tcMar>
              <w:top w:w="40" w:type="dxa"/>
              <w:left w:w="0" w:type="dxa"/>
              <w:bottom w:w="40" w:type="dxa"/>
              <w:right w:w="20" w:type="dxa"/>
            </w:tcMar>
            <w:vAlign w:val="bottom"/>
          </w:tcPr>
          <w:p w14:paraId="1E803C06" w14:textId="77777777" w:rsidR="00F20ABF" w:rsidRDefault="00F20ABF">
            <w:pPr>
              <w:jc w:val="right"/>
              <w:rPr>
                <w:rFonts w:ascii="宋体"/>
              </w:rPr>
            </w:pPr>
          </w:p>
        </w:tc>
      </w:tr>
      <w:tr w:rsidR="00F20ABF" w14:paraId="1E803C0E" w14:textId="77777777">
        <w:tc>
          <w:tcPr>
            <w:tcW w:w="0" w:type="auto"/>
            <w:gridSpan w:val="3"/>
            <w:shd w:val="clear" w:color="auto" w:fill="FFFFFF"/>
            <w:tcMar>
              <w:top w:w="40" w:type="dxa"/>
              <w:left w:w="20" w:type="dxa"/>
              <w:bottom w:w="40" w:type="dxa"/>
              <w:right w:w="20" w:type="dxa"/>
            </w:tcMar>
            <w:vAlign w:val="bottom"/>
          </w:tcPr>
          <w:p w14:paraId="1E803C08" w14:textId="77777777" w:rsidR="00F20ABF" w:rsidRDefault="00CA4D2F">
            <w:pPr>
              <w:textAlignment w:val="bottom"/>
            </w:pPr>
            <w:r>
              <w:rPr>
                <w:rFonts w:ascii="sans-serif" w:eastAsia="sans-serif" w:hAnsi="sans-serif" w:cs="sans-serif"/>
                <w:color w:val="000000"/>
                <w:sz w:val="20"/>
                <w:szCs w:val="20"/>
              </w:rPr>
              <w:t>Other assets</w:t>
            </w:r>
          </w:p>
        </w:tc>
        <w:tc>
          <w:tcPr>
            <w:tcW w:w="0" w:type="auto"/>
            <w:gridSpan w:val="2"/>
            <w:shd w:val="clear" w:color="auto" w:fill="FFFFFF"/>
            <w:tcMar>
              <w:top w:w="40" w:type="dxa"/>
              <w:left w:w="20" w:type="dxa"/>
              <w:bottom w:w="40" w:type="dxa"/>
              <w:right w:w="0" w:type="dxa"/>
            </w:tcMar>
            <w:vAlign w:val="bottom"/>
          </w:tcPr>
          <w:p w14:paraId="1E803C09" w14:textId="77777777" w:rsidR="00F20ABF" w:rsidRDefault="00CA4D2F">
            <w:pPr>
              <w:jc w:val="right"/>
              <w:textAlignment w:val="bottom"/>
            </w:pPr>
            <w:r>
              <w:rPr>
                <w:rFonts w:ascii="sans-serif" w:eastAsia="sans-serif" w:hAnsi="sans-serif" w:cs="sans-serif"/>
                <w:color w:val="000000"/>
                <w:sz w:val="20"/>
                <w:szCs w:val="20"/>
              </w:rPr>
              <w:t>2,028 </w:t>
            </w:r>
          </w:p>
        </w:tc>
        <w:tc>
          <w:tcPr>
            <w:tcW w:w="0" w:type="auto"/>
            <w:shd w:val="clear" w:color="auto" w:fill="FFFFFF"/>
            <w:tcMar>
              <w:top w:w="40" w:type="dxa"/>
              <w:left w:w="0" w:type="dxa"/>
              <w:bottom w:w="40" w:type="dxa"/>
              <w:right w:w="20" w:type="dxa"/>
            </w:tcMar>
            <w:vAlign w:val="bottom"/>
          </w:tcPr>
          <w:p w14:paraId="1E803C0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C0B"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C0C" w14:textId="77777777" w:rsidR="00F20ABF" w:rsidRDefault="00CA4D2F">
            <w:pPr>
              <w:jc w:val="right"/>
              <w:textAlignment w:val="bottom"/>
            </w:pPr>
            <w:r>
              <w:rPr>
                <w:rFonts w:ascii="sans-serif" w:eastAsia="sans-serif" w:hAnsi="sans-serif" w:cs="sans-serif"/>
                <w:color w:val="000000"/>
                <w:sz w:val="20"/>
                <w:szCs w:val="20"/>
              </w:rPr>
              <w:t>118 </w:t>
            </w:r>
          </w:p>
        </w:tc>
        <w:tc>
          <w:tcPr>
            <w:tcW w:w="0" w:type="auto"/>
            <w:shd w:val="clear" w:color="auto" w:fill="FFFFFF"/>
            <w:tcMar>
              <w:top w:w="40" w:type="dxa"/>
              <w:left w:w="0" w:type="dxa"/>
              <w:bottom w:w="40" w:type="dxa"/>
              <w:right w:w="20" w:type="dxa"/>
            </w:tcMar>
            <w:vAlign w:val="bottom"/>
          </w:tcPr>
          <w:p w14:paraId="1E803C0D" w14:textId="77777777" w:rsidR="00F20ABF" w:rsidRDefault="00F20ABF">
            <w:pPr>
              <w:jc w:val="right"/>
              <w:rPr>
                <w:rFonts w:ascii="宋体"/>
              </w:rPr>
            </w:pPr>
          </w:p>
        </w:tc>
      </w:tr>
      <w:tr w:rsidR="00F20ABF" w14:paraId="1E803C17" w14:textId="77777777">
        <w:tc>
          <w:tcPr>
            <w:tcW w:w="0" w:type="auto"/>
            <w:gridSpan w:val="3"/>
            <w:shd w:val="clear" w:color="auto" w:fill="E2EFD9"/>
            <w:tcMar>
              <w:top w:w="40" w:type="dxa"/>
              <w:left w:w="20" w:type="dxa"/>
              <w:bottom w:w="40" w:type="dxa"/>
              <w:right w:w="20" w:type="dxa"/>
            </w:tcMar>
            <w:vAlign w:val="bottom"/>
          </w:tcPr>
          <w:p w14:paraId="1E803C0F" w14:textId="77777777" w:rsidR="00F20ABF" w:rsidRDefault="00CA4D2F">
            <w:pPr>
              <w:textAlignment w:val="bottom"/>
            </w:pPr>
            <w:r>
              <w:rPr>
                <w:rFonts w:ascii="sans-serif" w:eastAsia="sans-serif" w:hAnsi="sans-serif" w:cs="sans-serif"/>
                <w:color w:val="000000"/>
                <w:sz w:val="20"/>
                <w:szCs w:val="20"/>
              </w:rPr>
              <w:t>Total assets</w:t>
            </w:r>
          </w:p>
        </w:tc>
        <w:tc>
          <w:tcPr>
            <w:tcW w:w="0" w:type="auto"/>
            <w:tcBorders>
              <w:top w:val="single" w:sz="8" w:space="0" w:color="000000"/>
            </w:tcBorders>
            <w:shd w:val="clear" w:color="auto" w:fill="E2EFD9"/>
            <w:tcMar>
              <w:top w:w="40" w:type="dxa"/>
              <w:left w:w="20" w:type="dxa"/>
              <w:bottom w:w="40" w:type="dxa"/>
              <w:right w:w="0" w:type="dxa"/>
            </w:tcMar>
            <w:vAlign w:val="bottom"/>
          </w:tcPr>
          <w:p w14:paraId="1E803C10"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C11" w14:textId="77777777" w:rsidR="00F20ABF" w:rsidRDefault="00CA4D2F">
            <w:pPr>
              <w:jc w:val="right"/>
              <w:textAlignment w:val="bottom"/>
            </w:pPr>
            <w:r>
              <w:rPr>
                <w:rFonts w:ascii="sans-serif" w:eastAsia="sans-serif" w:hAnsi="sans-serif" w:cs="sans-serif"/>
                <w:color w:val="000000"/>
                <w:sz w:val="20"/>
                <w:szCs w:val="20"/>
              </w:rPr>
              <w:t>26,881 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C1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C13"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C14"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C15" w14:textId="77777777" w:rsidR="00F20ABF" w:rsidRDefault="00CA4D2F">
            <w:pPr>
              <w:jc w:val="right"/>
              <w:textAlignment w:val="bottom"/>
            </w:pPr>
            <w:r>
              <w:rPr>
                <w:rFonts w:ascii="sans-serif" w:eastAsia="sans-serif" w:hAnsi="sans-serif" w:cs="sans-serif"/>
                <w:color w:val="000000"/>
                <w:sz w:val="20"/>
                <w:szCs w:val="20"/>
              </w:rPr>
              <w:t>17,315 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C16" w14:textId="77777777" w:rsidR="00F20ABF" w:rsidRDefault="00F20ABF">
            <w:pPr>
              <w:jc w:val="right"/>
              <w:rPr>
                <w:rFonts w:ascii="宋体"/>
              </w:rPr>
            </w:pPr>
          </w:p>
        </w:tc>
      </w:tr>
      <w:tr w:rsidR="00F20ABF" w14:paraId="1E803C1C" w14:textId="77777777">
        <w:trPr>
          <w:trHeight w:val="300"/>
        </w:trPr>
        <w:tc>
          <w:tcPr>
            <w:tcW w:w="0" w:type="auto"/>
            <w:gridSpan w:val="3"/>
            <w:shd w:val="clear" w:color="auto" w:fill="FFFFFF"/>
            <w:tcMar>
              <w:top w:w="0" w:type="dxa"/>
              <w:left w:w="20" w:type="dxa"/>
              <w:bottom w:w="0" w:type="dxa"/>
              <w:right w:w="20" w:type="dxa"/>
            </w:tcMar>
          </w:tcPr>
          <w:p w14:paraId="1E803C18" w14:textId="77777777" w:rsidR="00F20ABF" w:rsidRDefault="00F20A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E803C19"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3C1A" w14:textId="77777777" w:rsidR="00F20ABF" w:rsidRDefault="00F20A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E803C1B" w14:textId="77777777" w:rsidR="00F20ABF" w:rsidRDefault="00F20ABF">
            <w:pPr>
              <w:rPr>
                <w:rFonts w:ascii="宋体"/>
              </w:rPr>
            </w:pPr>
          </w:p>
        </w:tc>
      </w:tr>
      <w:tr w:rsidR="00F20ABF" w14:paraId="1E803C21" w14:textId="77777777">
        <w:tc>
          <w:tcPr>
            <w:tcW w:w="0" w:type="auto"/>
            <w:gridSpan w:val="3"/>
            <w:shd w:val="clear" w:color="auto" w:fill="E2EFD9"/>
            <w:tcMar>
              <w:top w:w="40" w:type="dxa"/>
              <w:left w:w="20" w:type="dxa"/>
              <w:bottom w:w="40" w:type="dxa"/>
              <w:right w:w="20" w:type="dxa"/>
            </w:tcMar>
            <w:vAlign w:val="bottom"/>
          </w:tcPr>
          <w:p w14:paraId="1E803C1D" w14:textId="77777777" w:rsidR="00F20ABF" w:rsidRDefault="00CA4D2F">
            <w:pPr>
              <w:textAlignment w:val="bottom"/>
            </w:pPr>
            <w:r>
              <w:rPr>
                <w:rFonts w:ascii="sans-serif" w:eastAsia="sans-serif" w:hAnsi="sans-serif" w:cs="sans-serif"/>
                <w:b/>
                <w:bCs/>
                <w:color w:val="000000"/>
                <w:sz w:val="20"/>
                <w:szCs w:val="20"/>
              </w:rPr>
              <w:t>LIABILITIES AND SHAREHOLDERS’ EQUITY</w:t>
            </w:r>
          </w:p>
        </w:tc>
        <w:tc>
          <w:tcPr>
            <w:tcW w:w="0" w:type="auto"/>
            <w:gridSpan w:val="3"/>
            <w:shd w:val="clear" w:color="auto" w:fill="E2EFD9"/>
            <w:tcMar>
              <w:top w:w="40" w:type="dxa"/>
              <w:left w:w="20" w:type="dxa"/>
              <w:bottom w:w="40" w:type="dxa"/>
              <w:right w:w="20" w:type="dxa"/>
            </w:tcMar>
            <w:vAlign w:val="bottom"/>
          </w:tcPr>
          <w:p w14:paraId="1E803C1E"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1E803C1F" w14:textId="77777777" w:rsidR="00F20ABF" w:rsidRDefault="00F20ABF">
            <w:pPr>
              <w:rPr>
                <w:rFonts w:ascii="宋体"/>
              </w:rPr>
            </w:pPr>
          </w:p>
        </w:tc>
        <w:tc>
          <w:tcPr>
            <w:tcW w:w="0" w:type="auto"/>
            <w:gridSpan w:val="3"/>
            <w:shd w:val="clear" w:color="auto" w:fill="E2EFD9"/>
            <w:tcMar>
              <w:top w:w="40" w:type="dxa"/>
              <w:left w:w="20" w:type="dxa"/>
              <w:bottom w:w="40" w:type="dxa"/>
              <w:right w:w="20" w:type="dxa"/>
            </w:tcMar>
            <w:vAlign w:val="bottom"/>
          </w:tcPr>
          <w:p w14:paraId="1E803C20" w14:textId="77777777" w:rsidR="00F20ABF" w:rsidRDefault="00CA4D2F">
            <w:pPr>
              <w:textAlignment w:val="bottom"/>
            </w:pPr>
            <w:r>
              <w:rPr>
                <w:rFonts w:ascii="sans-serif" w:eastAsia="sans-serif" w:hAnsi="sans-serif" w:cs="sans-serif"/>
                <w:color w:val="000000"/>
                <w:sz w:val="20"/>
                <w:szCs w:val="20"/>
              </w:rPr>
              <w:t> </w:t>
            </w:r>
          </w:p>
        </w:tc>
      </w:tr>
      <w:tr w:rsidR="00F20ABF" w14:paraId="1E803C26" w14:textId="77777777">
        <w:tc>
          <w:tcPr>
            <w:tcW w:w="0" w:type="auto"/>
            <w:gridSpan w:val="3"/>
            <w:shd w:val="clear" w:color="auto" w:fill="FFFFFF"/>
            <w:tcMar>
              <w:top w:w="40" w:type="dxa"/>
              <w:left w:w="20" w:type="dxa"/>
              <w:bottom w:w="40" w:type="dxa"/>
              <w:right w:w="20" w:type="dxa"/>
            </w:tcMar>
            <w:vAlign w:val="bottom"/>
          </w:tcPr>
          <w:p w14:paraId="1E803C22" w14:textId="77777777" w:rsidR="00F20ABF" w:rsidRDefault="00CA4D2F">
            <w:pPr>
              <w:textAlignment w:val="bottom"/>
            </w:pPr>
            <w:r>
              <w:rPr>
                <w:rFonts w:ascii="sans-serif" w:eastAsia="sans-serif" w:hAnsi="sans-serif" w:cs="sans-serif"/>
                <w:color w:val="000000"/>
                <w:sz w:val="20"/>
                <w:szCs w:val="20"/>
              </w:rPr>
              <w:t>Current liabilities:</w:t>
            </w:r>
          </w:p>
        </w:tc>
        <w:tc>
          <w:tcPr>
            <w:tcW w:w="0" w:type="auto"/>
            <w:gridSpan w:val="3"/>
            <w:shd w:val="clear" w:color="auto" w:fill="FFFFFF"/>
            <w:tcMar>
              <w:top w:w="40" w:type="dxa"/>
              <w:left w:w="20" w:type="dxa"/>
              <w:bottom w:w="40" w:type="dxa"/>
              <w:right w:w="20" w:type="dxa"/>
            </w:tcMar>
            <w:vAlign w:val="bottom"/>
          </w:tcPr>
          <w:p w14:paraId="1E803C23"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tcPr>
          <w:p w14:paraId="1E803C24"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3C25" w14:textId="77777777" w:rsidR="00F20ABF" w:rsidRDefault="00CA4D2F">
            <w:pPr>
              <w:textAlignment w:val="bottom"/>
            </w:pPr>
            <w:r>
              <w:rPr>
                <w:rFonts w:ascii="sans-serif" w:eastAsia="sans-serif" w:hAnsi="sans-serif" w:cs="sans-serif"/>
                <w:color w:val="000000"/>
                <w:sz w:val="20"/>
                <w:szCs w:val="20"/>
              </w:rPr>
              <w:t> </w:t>
            </w:r>
          </w:p>
        </w:tc>
      </w:tr>
      <w:tr w:rsidR="00F20ABF" w14:paraId="1E803C2F" w14:textId="77777777">
        <w:tc>
          <w:tcPr>
            <w:tcW w:w="0" w:type="auto"/>
            <w:gridSpan w:val="3"/>
            <w:shd w:val="clear" w:color="auto" w:fill="E2EFD9"/>
            <w:tcMar>
              <w:top w:w="40" w:type="dxa"/>
              <w:left w:w="245" w:type="dxa"/>
              <w:bottom w:w="40" w:type="dxa"/>
              <w:right w:w="20" w:type="dxa"/>
            </w:tcMar>
            <w:vAlign w:val="bottom"/>
          </w:tcPr>
          <w:p w14:paraId="1E803C27" w14:textId="77777777" w:rsidR="00F20ABF" w:rsidRDefault="00CA4D2F">
            <w:pPr>
              <w:textAlignment w:val="bottom"/>
            </w:pPr>
            <w:r>
              <w:rPr>
                <w:rFonts w:ascii="sans-serif" w:eastAsia="sans-serif" w:hAnsi="sans-serif" w:cs="sans-serif"/>
                <w:color w:val="000000"/>
                <w:sz w:val="20"/>
                <w:szCs w:val="20"/>
              </w:rPr>
              <w:t>Accounts payable</w:t>
            </w:r>
          </w:p>
        </w:tc>
        <w:tc>
          <w:tcPr>
            <w:tcW w:w="0" w:type="auto"/>
            <w:shd w:val="clear" w:color="auto" w:fill="E2EFD9"/>
            <w:tcMar>
              <w:top w:w="40" w:type="dxa"/>
              <w:left w:w="20" w:type="dxa"/>
              <w:bottom w:w="40" w:type="dxa"/>
              <w:right w:w="0" w:type="dxa"/>
            </w:tcMar>
            <w:vAlign w:val="bottom"/>
          </w:tcPr>
          <w:p w14:paraId="1E803C28"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3C29" w14:textId="77777777" w:rsidR="00F20ABF" w:rsidRDefault="00CA4D2F">
            <w:pPr>
              <w:jc w:val="right"/>
              <w:textAlignment w:val="bottom"/>
            </w:pPr>
            <w:r>
              <w:rPr>
                <w:rFonts w:ascii="sans-serif" w:eastAsia="sans-serif" w:hAnsi="sans-serif" w:cs="sans-serif"/>
                <w:color w:val="000000"/>
                <w:sz w:val="20"/>
                <w:szCs w:val="20"/>
              </w:rPr>
              <w:t>1,097 </w:t>
            </w:r>
          </w:p>
        </w:tc>
        <w:tc>
          <w:tcPr>
            <w:tcW w:w="0" w:type="auto"/>
            <w:shd w:val="clear" w:color="auto" w:fill="E2EFD9"/>
            <w:tcMar>
              <w:top w:w="40" w:type="dxa"/>
              <w:left w:w="0" w:type="dxa"/>
              <w:bottom w:w="40" w:type="dxa"/>
              <w:right w:w="20" w:type="dxa"/>
            </w:tcMar>
            <w:vAlign w:val="bottom"/>
          </w:tcPr>
          <w:p w14:paraId="1E803C2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C2B"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3C2C"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3C2D" w14:textId="77777777" w:rsidR="00F20ABF" w:rsidRDefault="00CA4D2F">
            <w:pPr>
              <w:jc w:val="right"/>
              <w:textAlignment w:val="bottom"/>
            </w:pPr>
            <w:r>
              <w:rPr>
                <w:rFonts w:ascii="sans-serif" w:eastAsia="sans-serif" w:hAnsi="sans-serif" w:cs="sans-serif"/>
                <w:color w:val="000000"/>
                <w:sz w:val="20"/>
                <w:szCs w:val="20"/>
              </w:rPr>
              <w:t>687 </w:t>
            </w:r>
          </w:p>
        </w:tc>
        <w:tc>
          <w:tcPr>
            <w:tcW w:w="0" w:type="auto"/>
            <w:shd w:val="clear" w:color="auto" w:fill="E2EFD9"/>
            <w:tcMar>
              <w:top w:w="40" w:type="dxa"/>
              <w:left w:w="0" w:type="dxa"/>
              <w:bottom w:w="40" w:type="dxa"/>
              <w:right w:w="20" w:type="dxa"/>
            </w:tcMar>
            <w:vAlign w:val="bottom"/>
          </w:tcPr>
          <w:p w14:paraId="1E803C2E" w14:textId="77777777" w:rsidR="00F20ABF" w:rsidRDefault="00F20ABF">
            <w:pPr>
              <w:jc w:val="right"/>
              <w:rPr>
                <w:rFonts w:ascii="宋体"/>
              </w:rPr>
            </w:pPr>
          </w:p>
        </w:tc>
      </w:tr>
      <w:tr w:rsidR="00F20ABF" w14:paraId="1E803C36" w14:textId="77777777">
        <w:tc>
          <w:tcPr>
            <w:tcW w:w="0" w:type="auto"/>
            <w:gridSpan w:val="3"/>
            <w:shd w:val="clear" w:color="auto" w:fill="FFFFFF"/>
            <w:tcMar>
              <w:top w:w="40" w:type="dxa"/>
              <w:left w:w="245" w:type="dxa"/>
              <w:bottom w:w="40" w:type="dxa"/>
              <w:right w:w="20" w:type="dxa"/>
            </w:tcMar>
            <w:vAlign w:val="bottom"/>
          </w:tcPr>
          <w:p w14:paraId="1E803C30" w14:textId="77777777" w:rsidR="00F20ABF" w:rsidRDefault="00CA4D2F">
            <w:pPr>
              <w:textAlignment w:val="bottom"/>
            </w:pPr>
            <w:r>
              <w:rPr>
                <w:rFonts w:ascii="sans-serif" w:eastAsia="sans-serif" w:hAnsi="sans-serif" w:cs="sans-serif"/>
                <w:color w:val="000000"/>
                <w:sz w:val="20"/>
                <w:szCs w:val="20"/>
              </w:rPr>
              <w:t>Accrued and other current liabilities</w:t>
            </w:r>
          </w:p>
        </w:tc>
        <w:tc>
          <w:tcPr>
            <w:tcW w:w="0" w:type="auto"/>
            <w:gridSpan w:val="2"/>
            <w:shd w:val="clear" w:color="auto" w:fill="FFFFFF"/>
            <w:tcMar>
              <w:top w:w="40" w:type="dxa"/>
              <w:left w:w="20" w:type="dxa"/>
              <w:bottom w:w="40" w:type="dxa"/>
              <w:right w:w="0" w:type="dxa"/>
            </w:tcMar>
            <w:vAlign w:val="bottom"/>
          </w:tcPr>
          <w:p w14:paraId="1E803C31" w14:textId="77777777" w:rsidR="00F20ABF" w:rsidRDefault="00CA4D2F">
            <w:pPr>
              <w:jc w:val="right"/>
              <w:textAlignment w:val="bottom"/>
            </w:pPr>
            <w:r>
              <w:rPr>
                <w:rFonts w:ascii="sans-serif" w:eastAsia="sans-serif" w:hAnsi="sans-serif" w:cs="sans-serif"/>
                <w:color w:val="000000"/>
                <w:sz w:val="20"/>
                <w:szCs w:val="20"/>
              </w:rPr>
              <w:t>1,574 </w:t>
            </w:r>
          </w:p>
        </w:tc>
        <w:tc>
          <w:tcPr>
            <w:tcW w:w="0" w:type="auto"/>
            <w:shd w:val="clear" w:color="auto" w:fill="FFFFFF"/>
            <w:tcMar>
              <w:top w:w="40" w:type="dxa"/>
              <w:left w:w="0" w:type="dxa"/>
              <w:bottom w:w="40" w:type="dxa"/>
              <w:right w:w="20" w:type="dxa"/>
            </w:tcMar>
            <w:vAlign w:val="bottom"/>
          </w:tcPr>
          <w:p w14:paraId="1E803C3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C3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C34" w14:textId="77777777" w:rsidR="00F20ABF" w:rsidRDefault="00CA4D2F">
            <w:pPr>
              <w:jc w:val="right"/>
              <w:textAlignment w:val="bottom"/>
            </w:pPr>
            <w:r>
              <w:rPr>
                <w:rFonts w:ascii="sans-serif" w:eastAsia="sans-serif" w:hAnsi="sans-serif" w:cs="sans-serif"/>
                <w:color w:val="000000"/>
                <w:sz w:val="20"/>
                <w:szCs w:val="20"/>
              </w:rPr>
              <w:t>1,097 </w:t>
            </w:r>
          </w:p>
        </w:tc>
        <w:tc>
          <w:tcPr>
            <w:tcW w:w="0" w:type="auto"/>
            <w:shd w:val="clear" w:color="auto" w:fill="FFFFFF"/>
            <w:tcMar>
              <w:top w:w="40" w:type="dxa"/>
              <w:left w:w="0" w:type="dxa"/>
              <w:bottom w:w="40" w:type="dxa"/>
              <w:right w:w="20" w:type="dxa"/>
            </w:tcMar>
            <w:vAlign w:val="bottom"/>
          </w:tcPr>
          <w:p w14:paraId="1E803C35" w14:textId="77777777" w:rsidR="00F20ABF" w:rsidRDefault="00F20ABF">
            <w:pPr>
              <w:jc w:val="right"/>
              <w:rPr>
                <w:rFonts w:ascii="宋体"/>
              </w:rPr>
            </w:pPr>
          </w:p>
        </w:tc>
      </w:tr>
      <w:tr w:rsidR="00F20ABF" w14:paraId="1E803C3D" w14:textId="77777777">
        <w:tc>
          <w:tcPr>
            <w:tcW w:w="0" w:type="auto"/>
            <w:gridSpan w:val="3"/>
            <w:shd w:val="clear" w:color="auto" w:fill="E2EFD9"/>
            <w:tcMar>
              <w:top w:w="40" w:type="dxa"/>
              <w:left w:w="245" w:type="dxa"/>
              <w:bottom w:w="40" w:type="dxa"/>
              <w:right w:w="20" w:type="dxa"/>
            </w:tcMar>
            <w:vAlign w:val="bottom"/>
          </w:tcPr>
          <w:p w14:paraId="1E803C37" w14:textId="77777777" w:rsidR="00F20ABF" w:rsidRDefault="00CA4D2F">
            <w:pPr>
              <w:textAlignment w:val="bottom"/>
            </w:pPr>
            <w:r>
              <w:rPr>
                <w:rFonts w:ascii="sans-serif" w:eastAsia="sans-serif" w:hAnsi="sans-serif" w:cs="sans-serif"/>
                <w:color w:val="000000"/>
                <w:sz w:val="20"/>
                <w:szCs w:val="20"/>
              </w:rPr>
              <w:t>Short-term debt</w:t>
            </w:r>
          </w:p>
        </w:tc>
        <w:tc>
          <w:tcPr>
            <w:tcW w:w="0" w:type="auto"/>
            <w:gridSpan w:val="2"/>
            <w:shd w:val="clear" w:color="auto" w:fill="E2EFD9"/>
            <w:tcMar>
              <w:top w:w="40" w:type="dxa"/>
              <w:left w:w="20" w:type="dxa"/>
              <w:bottom w:w="40" w:type="dxa"/>
              <w:right w:w="0" w:type="dxa"/>
            </w:tcMar>
            <w:vAlign w:val="bottom"/>
          </w:tcPr>
          <w:p w14:paraId="1E803C38" w14:textId="77777777" w:rsidR="00F20ABF" w:rsidRDefault="00CA4D2F">
            <w:pPr>
              <w:jc w:val="right"/>
              <w:textAlignment w:val="bottom"/>
            </w:pPr>
            <w:r>
              <w:rPr>
                <w:rFonts w:ascii="sans-serif" w:eastAsia="sans-serif" w:hAnsi="sans-serif" w:cs="sans-serif"/>
                <w:color w:val="000000"/>
                <w:sz w:val="20"/>
                <w:szCs w:val="20"/>
              </w:rPr>
              <w:t>998 </w:t>
            </w:r>
          </w:p>
        </w:tc>
        <w:tc>
          <w:tcPr>
            <w:tcW w:w="0" w:type="auto"/>
            <w:shd w:val="clear" w:color="auto" w:fill="E2EFD9"/>
            <w:tcMar>
              <w:top w:w="40" w:type="dxa"/>
              <w:left w:w="0" w:type="dxa"/>
              <w:bottom w:w="40" w:type="dxa"/>
              <w:right w:w="20" w:type="dxa"/>
            </w:tcMar>
            <w:vAlign w:val="bottom"/>
          </w:tcPr>
          <w:p w14:paraId="1E803C3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C3A"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C3B"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3C3C" w14:textId="77777777" w:rsidR="00F20ABF" w:rsidRDefault="00F20ABF">
            <w:pPr>
              <w:jc w:val="right"/>
              <w:rPr>
                <w:rFonts w:ascii="宋体"/>
              </w:rPr>
            </w:pPr>
          </w:p>
        </w:tc>
      </w:tr>
      <w:tr w:rsidR="00F20ABF" w14:paraId="1E803C44" w14:textId="77777777">
        <w:tc>
          <w:tcPr>
            <w:tcW w:w="0" w:type="auto"/>
            <w:gridSpan w:val="3"/>
            <w:shd w:val="clear" w:color="auto" w:fill="FFFFFF"/>
            <w:tcMar>
              <w:top w:w="40" w:type="dxa"/>
              <w:left w:w="20" w:type="dxa"/>
              <w:bottom w:w="40" w:type="dxa"/>
              <w:right w:w="20" w:type="dxa"/>
            </w:tcMar>
            <w:vAlign w:val="bottom"/>
          </w:tcPr>
          <w:p w14:paraId="1E803C3E" w14:textId="77777777" w:rsidR="00F20ABF" w:rsidRDefault="00CA4D2F">
            <w:pPr>
              <w:textAlignment w:val="bottom"/>
            </w:pPr>
            <w:r>
              <w:rPr>
                <w:rFonts w:ascii="sans-serif" w:eastAsia="sans-serif" w:hAnsi="sans-serif" w:cs="sans-serif"/>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C3F" w14:textId="77777777" w:rsidR="00F20ABF" w:rsidRDefault="00CA4D2F">
            <w:pPr>
              <w:jc w:val="right"/>
              <w:textAlignment w:val="bottom"/>
            </w:pPr>
            <w:r>
              <w:rPr>
                <w:rFonts w:ascii="sans-serif" w:eastAsia="sans-serif" w:hAnsi="sans-serif" w:cs="sans-serif"/>
                <w:color w:val="000000"/>
                <w:sz w:val="20"/>
                <w:szCs w:val="20"/>
              </w:rPr>
              <w:t>3,669 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C40"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C41"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C42" w14:textId="77777777" w:rsidR="00F20ABF" w:rsidRDefault="00CA4D2F">
            <w:pPr>
              <w:jc w:val="right"/>
              <w:textAlignment w:val="bottom"/>
            </w:pPr>
            <w:r>
              <w:rPr>
                <w:rFonts w:ascii="sans-serif" w:eastAsia="sans-serif" w:hAnsi="sans-serif" w:cs="sans-serif"/>
                <w:color w:val="000000"/>
                <w:sz w:val="20"/>
                <w:szCs w:val="20"/>
              </w:rPr>
              <w:t>1,784 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C43" w14:textId="77777777" w:rsidR="00F20ABF" w:rsidRDefault="00F20ABF">
            <w:pPr>
              <w:jc w:val="right"/>
              <w:rPr>
                <w:rFonts w:ascii="宋体"/>
              </w:rPr>
            </w:pPr>
          </w:p>
        </w:tc>
      </w:tr>
      <w:tr w:rsidR="00F20ABF" w14:paraId="1E803C4B" w14:textId="77777777">
        <w:tc>
          <w:tcPr>
            <w:tcW w:w="0" w:type="auto"/>
            <w:gridSpan w:val="3"/>
            <w:shd w:val="clear" w:color="auto" w:fill="E2EFD9"/>
            <w:tcMar>
              <w:top w:w="40" w:type="dxa"/>
              <w:left w:w="20" w:type="dxa"/>
              <w:bottom w:w="40" w:type="dxa"/>
              <w:right w:w="20" w:type="dxa"/>
            </w:tcMar>
            <w:vAlign w:val="bottom"/>
          </w:tcPr>
          <w:p w14:paraId="1E803C45" w14:textId="77777777" w:rsidR="00F20ABF" w:rsidRDefault="00CA4D2F">
            <w:pPr>
              <w:textAlignment w:val="bottom"/>
            </w:pPr>
            <w:r>
              <w:rPr>
                <w:rFonts w:ascii="sans-serif" w:eastAsia="sans-serif" w:hAnsi="sans-serif" w:cs="sans-serif"/>
                <w:color w:val="000000"/>
                <w:sz w:val="20"/>
                <w:szCs w:val="20"/>
              </w:rPr>
              <w:t>Long-term debt</w:t>
            </w:r>
          </w:p>
        </w:tc>
        <w:tc>
          <w:tcPr>
            <w:tcW w:w="0" w:type="auto"/>
            <w:gridSpan w:val="2"/>
            <w:shd w:val="clear" w:color="auto" w:fill="E2EFD9"/>
            <w:tcMar>
              <w:top w:w="40" w:type="dxa"/>
              <w:left w:w="20" w:type="dxa"/>
              <w:bottom w:w="40" w:type="dxa"/>
              <w:right w:w="0" w:type="dxa"/>
            </w:tcMar>
            <w:vAlign w:val="bottom"/>
          </w:tcPr>
          <w:p w14:paraId="1E803C46" w14:textId="77777777" w:rsidR="00F20ABF" w:rsidRDefault="00CA4D2F">
            <w:pPr>
              <w:jc w:val="right"/>
              <w:textAlignment w:val="bottom"/>
            </w:pPr>
            <w:r>
              <w:rPr>
                <w:rFonts w:ascii="sans-serif" w:eastAsia="sans-serif" w:hAnsi="sans-serif" w:cs="sans-serif"/>
                <w:color w:val="000000"/>
                <w:sz w:val="20"/>
                <w:szCs w:val="20"/>
              </w:rPr>
              <w:t>5,963 </w:t>
            </w:r>
          </w:p>
        </w:tc>
        <w:tc>
          <w:tcPr>
            <w:tcW w:w="0" w:type="auto"/>
            <w:shd w:val="clear" w:color="auto" w:fill="E2EFD9"/>
            <w:tcMar>
              <w:top w:w="40" w:type="dxa"/>
              <w:left w:w="0" w:type="dxa"/>
              <w:bottom w:w="40" w:type="dxa"/>
              <w:right w:w="20" w:type="dxa"/>
            </w:tcMar>
            <w:vAlign w:val="bottom"/>
          </w:tcPr>
          <w:p w14:paraId="1E803C4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C48"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C49" w14:textId="77777777" w:rsidR="00F20ABF" w:rsidRDefault="00CA4D2F">
            <w:pPr>
              <w:jc w:val="right"/>
              <w:textAlignment w:val="bottom"/>
            </w:pPr>
            <w:r>
              <w:rPr>
                <w:rFonts w:ascii="sans-serif" w:eastAsia="sans-serif" w:hAnsi="sans-serif" w:cs="sans-serif"/>
                <w:color w:val="000000"/>
                <w:sz w:val="20"/>
                <w:szCs w:val="20"/>
              </w:rPr>
              <w:t>1,991 </w:t>
            </w:r>
          </w:p>
        </w:tc>
        <w:tc>
          <w:tcPr>
            <w:tcW w:w="0" w:type="auto"/>
            <w:shd w:val="clear" w:color="auto" w:fill="E2EFD9"/>
            <w:tcMar>
              <w:top w:w="40" w:type="dxa"/>
              <w:left w:w="0" w:type="dxa"/>
              <w:bottom w:w="40" w:type="dxa"/>
              <w:right w:w="20" w:type="dxa"/>
            </w:tcMar>
            <w:vAlign w:val="bottom"/>
          </w:tcPr>
          <w:p w14:paraId="1E803C4A" w14:textId="77777777" w:rsidR="00F20ABF" w:rsidRDefault="00F20ABF">
            <w:pPr>
              <w:jc w:val="right"/>
              <w:rPr>
                <w:rFonts w:ascii="宋体"/>
              </w:rPr>
            </w:pPr>
          </w:p>
        </w:tc>
      </w:tr>
      <w:tr w:rsidR="00F20ABF" w14:paraId="1E803C52" w14:textId="77777777">
        <w:tc>
          <w:tcPr>
            <w:tcW w:w="0" w:type="auto"/>
            <w:gridSpan w:val="3"/>
            <w:shd w:val="clear" w:color="auto" w:fill="FFFFFF"/>
            <w:tcMar>
              <w:top w:w="40" w:type="dxa"/>
              <w:left w:w="20" w:type="dxa"/>
              <w:bottom w:w="40" w:type="dxa"/>
              <w:right w:w="20" w:type="dxa"/>
            </w:tcMar>
            <w:vAlign w:val="bottom"/>
          </w:tcPr>
          <w:p w14:paraId="1E803C4C" w14:textId="77777777" w:rsidR="00F20ABF" w:rsidRDefault="00CA4D2F">
            <w:pPr>
              <w:textAlignment w:val="bottom"/>
            </w:pPr>
            <w:r>
              <w:rPr>
                <w:rFonts w:ascii="sans-serif" w:eastAsia="sans-serif" w:hAnsi="sans-serif" w:cs="sans-serif"/>
                <w:color w:val="000000"/>
                <w:sz w:val="20"/>
                <w:szCs w:val="20"/>
              </w:rPr>
              <w:t xml:space="preserve">Long-term operating lease </w:t>
            </w:r>
            <w:r>
              <w:rPr>
                <w:rFonts w:ascii="sans-serif" w:eastAsia="sans-serif" w:hAnsi="sans-serif" w:cs="sans-serif"/>
                <w:color w:val="000000"/>
                <w:sz w:val="20"/>
                <w:szCs w:val="20"/>
              </w:rPr>
              <w:t>liabilities</w:t>
            </w:r>
          </w:p>
        </w:tc>
        <w:tc>
          <w:tcPr>
            <w:tcW w:w="0" w:type="auto"/>
            <w:gridSpan w:val="2"/>
            <w:shd w:val="clear" w:color="auto" w:fill="FFFFFF"/>
            <w:tcMar>
              <w:top w:w="40" w:type="dxa"/>
              <w:left w:w="20" w:type="dxa"/>
              <w:bottom w:w="40" w:type="dxa"/>
              <w:right w:w="0" w:type="dxa"/>
            </w:tcMar>
            <w:vAlign w:val="bottom"/>
          </w:tcPr>
          <w:p w14:paraId="1E803C4D" w14:textId="77777777" w:rsidR="00F20ABF" w:rsidRDefault="00CA4D2F">
            <w:pPr>
              <w:jc w:val="right"/>
              <w:textAlignment w:val="bottom"/>
            </w:pPr>
            <w:r>
              <w:rPr>
                <w:rFonts w:ascii="sans-serif" w:eastAsia="sans-serif" w:hAnsi="sans-serif" w:cs="sans-serif"/>
                <w:color w:val="000000"/>
                <w:sz w:val="20"/>
                <w:szCs w:val="20"/>
              </w:rPr>
              <w:t>604 </w:t>
            </w:r>
          </w:p>
        </w:tc>
        <w:tc>
          <w:tcPr>
            <w:tcW w:w="0" w:type="auto"/>
            <w:shd w:val="clear" w:color="auto" w:fill="FFFFFF"/>
            <w:tcMar>
              <w:top w:w="40" w:type="dxa"/>
              <w:left w:w="0" w:type="dxa"/>
              <w:bottom w:w="40" w:type="dxa"/>
              <w:right w:w="20" w:type="dxa"/>
            </w:tcMar>
            <w:vAlign w:val="bottom"/>
          </w:tcPr>
          <w:p w14:paraId="1E803C4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C4F"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C50" w14:textId="77777777" w:rsidR="00F20ABF" w:rsidRDefault="00CA4D2F">
            <w:pPr>
              <w:jc w:val="right"/>
              <w:textAlignment w:val="bottom"/>
            </w:pPr>
            <w:r>
              <w:rPr>
                <w:rFonts w:ascii="sans-serif" w:eastAsia="sans-serif" w:hAnsi="sans-serif" w:cs="sans-serif"/>
                <w:color w:val="000000"/>
                <w:sz w:val="20"/>
                <w:szCs w:val="20"/>
              </w:rPr>
              <w:t>561 </w:t>
            </w:r>
          </w:p>
        </w:tc>
        <w:tc>
          <w:tcPr>
            <w:tcW w:w="0" w:type="auto"/>
            <w:shd w:val="clear" w:color="auto" w:fill="FFFFFF"/>
            <w:tcMar>
              <w:top w:w="40" w:type="dxa"/>
              <w:left w:w="0" w:type="dxa"/>
              <w:bottom w:w="40" w:type="dxa"/>
              <w:right w:w="20" w:type="dxa"/>
            </w:tcMar>
            <w:vAlign w:val="bottom"/>
          </w:tcPr>
          <w:p w14:paraId="1E803C51" w14:textId="77777777" w:rsidR="00F20ABF" w:rsidRDefault="00F20ABF">
            <w:pPr>
              <w:jc w:val="right"/>
              <w:rPr>
                <w:rFonts w:ascii="宋体"/>
              </w:rPr>
            </w:pPr>
          </w:p>
        </w:tc>
      </w:tr>
      <w:tr w:rsidR="00F20ABF" w14:paraId="1E803C59" w14:textId="77777777">
        <w:tc>
          <w:tcPr>
            <w:tcW w:w="0" w:type="auto"/>
            <w:gridSpan w:val="3"/>
            <w:shd w:val="clear" w:color="auto" w:fill="E2EFD9"/>
            <w:tcMar>
              <w:top w:w="40" w:type="dxa"/>
              <w:left w:w="20" w:type="dxa"/>
              <w:bottom w:w="40" w:type="dxa"/>
              <w:right w:w="20" w:type="dxa"/>
            </w:tcMar>
            <w:vAlign w:val="bottom"/>
          </w:tcPr>
          <w:p w14:paraId="1E803C53" w14:textId="77777777" w:rsidR="00F20ABF" w:rsidRDefault="00CA4D2F">
            <w:pPr>
              <w:textAlignment w:val="bottom"/>
            </w:pPr>
            <w:r>
              <w:rPr>
                <w:rFonts w:ascii="sans-serif" w:eastAsia="sans-serif" w:hAnsi="sans-serif" w:cs="sans-serif"/>
                <w:color w:val="000000"/>
                <w:sz w:val="20"/>
                <w:szCs w:val="20"/>
              </w:rPr>
              <w:t>Other long-term liabilities</w:t>
            </w:r>
          </w:p>
        </w:tc>
        <w:tc>
          <w:tcPr>
            <w:tcW w:w="0" w:type="auto"/>
            <w:gridSpan w:val="2"/>
            <w:shd w:val="clear" w:color="auto" w:fill="E2EFD9"/>
            <w:tcMar>
              <w:top w:w="40" w:type="dxa"/>
              <w:left w:w="20" w:type="dxa"/>
              <w:bottom w:w="40" w:type="dxa"/>
              <w:right w:w="0" w:type="dxa"/>
            </w:tcMar>
            <w:vAlign w:val="bottom"/>
          </w:tcPr>
          <w:p w14:paraId="1E803C54" w14:textId="77777777" w:rsidR="00F20ABF" w:rsidRDefault="00CA4D2F">
            <w:pPr>
              <w:jc w:val="right"/>
              <w:textAlignment w:val="bottom"/>
            </w:pPr>
            <w:r>
              <w:rPr>
                <w:rFonts w:ascii="sans-serif" w:eastAsia="sans-serif" w:hAnsi="sans-serif" w:cs="sans-serif"/>
                <w:color w:val="000000"/>
                <w:sz w:val="20"/>
                <w:szCs w:val="20"/>
              </w:rPr>
              <w:t>1,311 </w:t>
            </w:r>
          </w:p>
        </w:tc>
        <w:tc>
          <w:tcPr>
            <w:tcW w:w="0" w:type="auto"/>
            <w:shd w:val="clear" w:color="auto" w:fill="E2EFD9"/>
            <w:tcMar>
              <w:top w:w="40" w:type="dxa"/>
              <w:left w:w="0" w:type="dxa"/>
              <w:bottom w:w="40" w:type="dxa"/>
              <w:right w:w="20" w:type="dxa"/>
            </w:tcMar>
            <w:vAlign w:val="bottom"/>
          </w:tcPr>
          <w:p w14:paraId="1E803C5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C56"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C57" w14:textId="77777777" w:rsidR="00F20ABF" w:rsidRDefault="00CA4D2F">
            <w:pPr>
              <w:jc w:val="right"/>
              <w:textAlignment w:val="bottom"/>
            </w:pPr>
            <w:r>
              <w:rPr>
                <w:rFonts w:ascii="sans-serif" w:eastAsia="sans-serif" w:hAnsi="sans-serif" w:cs="sans-serif"/>
                <w:color w:val="000000"/>
                <w:sz w:val="20"/>
                <w:szCs w:val="20"/>
              </w:rPr>
              <w:t>775 </w:t>
            </w:r>
          </w:p>
        </w:tc>
        <w:tc>
          <w:tcPr>
            <w:tcW w:w="0" w:type="auto"/>
            <w:shd w:val="clear" w:color="auto" w:fill="E2EFD9"/>
            <w:tcMar>
              <w:top w:w="40" w:type="dxa"/>
              <w:left w:w="0" w:type="dxa"/>
              <w:bottom w:w="40" w:type="dxa"/>
              <w:right w:w="20" w:type="dxa"/>
            </w:tcMar>
            <w:vAlign w:val="bottom"/>
          </w:tcPr>
          <w:p w14:paraId="1E803C58" w14:textId="77777777" w:rsidR="00F20ABF" w:rsidRDefault="00F20ABF">
            <w:pPr>
              <w:jc w:val="right"/>
              <w:rPr>
                <w:rFonts w:ascii="宋体"/>
              </w:rPr>
            </w:pPr>
          </w:p>
        </w:tc>
      </w:tr>
      <w:tr w:rsidR="00F20ABF" w14:paraId="1E803C60" w14:textId="77777777">
        <w:tc>
          <w:tcPr>
            <w:tcW w:w="0" w:type="auto"/>
            <w:gridSpan w:val="3"/>
            <w:shd w:val="clear" w:color="auto" w:fill="FFFFFF"/>
            <w:tcMar>
              <w:top w:w="40" w:type="dxa"/>
              <w:left w:w="20" w:type="dxa"/>
              <w:bottom w:w="40" w:type="dxa"/>
              <w:right w:w="20" w:type="dxa"/>
            </w:tcMar>
            <w:vAlign w:val="bottom"/>
          </w:tcPr>
          <w:p w14:paraId="1E803C5A" w14:textId="77777777" w:rsidR="00F20ABF" w:rsidRDefault="00CA4D2F">
            <w:pPr>
              <w:textAlignment w:val="bottom"/>
            </w:pPr>
            <w:r>
              <w:rPr>
                <w:rFonts w:ascii="sans-serif" w:eastAsia="sans-serif" w:hAnsi="sans-serif" w:cs="sans-serif"/>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C5B" w14:textId="77777777" w:rsidR="00F20ABF" w:rsidRDefault="00CA4D2F">
            <w:pPr>
              <w:jc w:val="right"/>
              <w:textAlignment w:val="bottom"/>
            </w:pPr>
            <w:r>
              <w:rPr>
                <w:rFonts w:ascii="sans-serif" w:eastAsia="sans-serif" w:hAnsi="sans-serif" w:cs="sans-serif"/>
                <w:color w:val="000000"/>
                <w:sz w:val="20"/>
                <w:szCs w:val="20"/>
              </w:rPr>
              <w:t>11,547 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C5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C5D"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C5E" w14:textId="77777777" w:rsidR="00F20ABF" w:rsidRDefault="00CA4D2F">
            <w:pPr>
              <w:jc w:val="right"/>
              <w:textAlignment w:val="bottom"/>
            </w:pPr>
            <w:r>
              <w:rPr>
                <w:rFonts w:ascii="sans-serif" w:eastAsia="sans-serif" w:hAnsi="sans-serif" w:cs="sans-serif"/>
                <w:color w:val="000000"/>
                <w:sz w:val="20"/>
                <w:szCs w:val="20"/>
              </w:rPr>
              <w:t>5,111 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C5F" w14:textId="77777777" w:rsidR="00F20ABF" w:rsidRDefault="00F20ABF">
            <w:pPr>
              <w:jc w:val="right"/>
              <w:rPr>
                <w:rFonts w:ascii="宋体"/>
              </w:rPr>
            </w:pPr>
          </w:p>
        </w:tc>
      </w:tr>
      <w:tr w:rsidR="00F20ABF" w14:paraId="1E803C65" w14:textId="77777777">
        <w:tc>
          <w:tcPr>
            <w:tcW w:w="0" w:type="auto"/>
            <w:gridSpan w:val="3"/>
            <w:shd w:val="clear" w:color="auto" w:fill="E2EFD9"/>
            <w:tcMar>
              <w:top w:w="40" w:type="dxa"/>
              <w:left w:w="20" w:type="dxa"/>
              <w:bottom w:w="40" w:type="dxa"/>
              <w:right w:w="20" w:type="dxa"/>
            </w:tcMar>
            <w:vAlign w:val="bottom"/>
          </w:tcPr>
          <w:p w14:paraId="1E803C61" w14:textId="77777777" w:rsidR="00F20ABF" w:rsidRDefault="00CA4D2F">
            <w:pPr>
              <w:textAlignment w:val="bottom"/>
            </w:pPr>
            <w:r>
              <w:rPr>
                <w:rFonts w:ascii="sans-serif" w:eastAsia="sans-serif" w:hAnsi="sans-serif" w:cs="sans-serif"/>
                <w:color w:val="000000"/>
                <w:sz w:val="20"/>
                <w:szCs w:val="20"/>
              </w:rPr>
              <w:t>Commitments and contingencies - see Note 13</w:t>
            </w:r>
          </w:p>
        </w:tc>
        <w:tc>
          <w:tcPr>
            <w:tcW w:w="0" w:type="auto"/>
            <w:gridSpan w:val="3"/>
            <w:shd w:val="clear" w:color="auto" w:fill="E2EFD9"/>
            <w:tcMar>
              <w:top w:w="0" w:type="dxa"/>
              <w:left w:w="20" w:type="dxa"/>
              <w:bottom w:w="0" w:type="dxa"/>
              <w:right w:w="20" w:type="dxa"/>
            </w:tcMar>
          </w:tcPr>
          <w:p w14:paraId="1E803C62"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C63"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3C64" w14:textId="77777777" w:rsidR="00F20ABF" w:rsidRDefault="00F20ABF">
            <w:pPr>
              <w:rPr>
                <w:rFonts w:ascii="宋体"/>
              </w:rPr>
            </w:pPr>
          </w:p>
        </w:tc>
      </w:tr>
      <w:tr w:rsidR="00F20ABF" w14:paraId="1E803C6A" w14:textId="77777777">
        <w:trPr>
          <w:hidden/>
        </w:trPr>
        <w:tc>
          <w:tcPr>
            <w:tcW w:w="0" w:type="auto"/>
            <w:gridSpan w:val="3"/>
            <w:shd w:val="clear" w:color="auto" w:fill="auto"/>
          </w:tcPr>
          <w:p w14:paraId="1E803C66" w14:textId="77777777" w:rsidR="00F20ABF" w:rsidRDefault="00F20ABF">
            <w:pPr>
              <w:rPr>
                <w:rFonts w:ascii="宋体"/>
                <w:vanish/>
              </w:rPr>
            </w:pPr>
          </w:p>
        </w:tc>
        <w:tc>
          <w:tcPr>
            <w:tcW w:w="0" w:type="auto"/>
            <w:gridSpan w:val="3"/>
            <w:shd w:val="clear" w:color="auto" w:fill="auto"/>
          </w:tcPr>
          <w:p w14:paraId="1E803C67" w14:textId="77777777" w:rsidR="00F20ABF" w:rsidRDefault="00F20ABF">
            <w:pPr>
              <w:rPr>
                <w:rFonts w:ascii="宋体"/>
                <w:vanish/>
              </w:rPr>
            </w:pPr>
          </w:p>
        </w:tc>
        <w:tc>
          <w:tcPr>
            <w:tcW w:w="0" w:type="auto"/>
            <w:gridSpan w:val="3"/>
            <w:shd w:val="clear" w:color="auto" w:fill="auto"/>
          </w:tcPr>
          <w:p w14:paraId="1E803C68" w14:textId="77777777" w:rsidR="00F20ABF" w:rsidRDefault="00F20ABF">
            <w:pPr>
              <w:rPr>
                <w:rFonts w:ascii="宋体"/>
                <w:vanish/>
              </w:rPr>
            </w:pPr>
          </w:p>
        </w:tc>
        <w:tc>
          <w:tcPr>
            <w:tcW w:w="0" w:type="auto"/>
            <w:gridSpan w:val="3"/>
            <w:shd w:val="clear" w:color="auto" w:fill="auto"/>
          </w:tcPr>
          <w:p w14:paraId="1E803C69" w14:textId="77777777" w:rsidR="00F20ABF" w:rsidRDefault="00F20ABF">
            <w:pPr>
              <w:rPr>
                <w:rFonts w:ascii="宋体"/>
                <w:vanish/>
              </w:rPr>
            </w:pPr>
          </w:p>
        </w:tc>
      </w:tr>
      <w:tr w:rsidR="00F20ABF" w14:paraId="1E803C6F" w14:textId="77777777">
        <w:tc>
          <w:tcPr>
            <w:tcW w:w="0" w:type="auto"/>
            <w:gridSpan w:val="3"/>
            <w:shd w:val="clear" w:color="auto" w:fill="FFFFFF"/>
            <w:tcMar>
              <w:top w:w="40" w:type="dxa"/>
              <w:left w:w="20" w:type="dxa"/>
              <w:bottom w:w="40" w:type="dxa"/>
              <w:right w:w="20" w:type="dxa"/>
            </w:tcMar>
            <w:vAlign w:val="bottom"/>
          </w:tcPr>
          <w:p w14:paraId="1E803C6B" w14:textId="77777777" w:rsidR="00F20ABF" w:rsidRDefault="00CA4D2F">
            <w:pPr>
              <w:textAlignment w:val="bottom"/>
            </w:pPr>
            <w:r>
              <w:rPr>
                <w:rFonts w:ascii="sans-serif" w:eastAsia="sans-serif" w:hAnsi="sans-serif" w:cs="sans-serif"/>
                <w:color w:val="000000"/>
                <w:sz w:val="20"/>
                <w:szCs w:val="20"/>
              </w:rPr>
              <w:t>Shareholders’ equity:</w:t>
            </w:r>
          </w:p>
        </w:tc>
        <w:tc>
          <w:tcPr>
            <w:tcW w:w="0" w:type="auto"/>
            <w:gridSpan w:val="3"/>
            <w:shd w:val="clear" w:color="auto" w:fill="FFFFFF"/>
            <w:tcMar>
              <w:top w:w="40" w:type="dxa"/>
              <w:left w:w="20" w:type="dxa"/>
              <w:bottom w:w="40" w:type="dxa"/>
              <w:right w:w="20" w:type="dxa"/>
            </w:tcMar>
            <w:vAlign w:val="bottom"/>
          </w:tcPr>
          <w:p w14:paraId="1E803C6C"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tcPr>
          <w:p w14:paraId="1E803C6D"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3C6E" w14:textId="77777777" w:rsidR="00F20ABF" w:rsidRDefault="00CA4D2F">
            <w:pPr>
              <w:textAlignment w:val="bottom"/>
            </w:pPr>
            <w:r>
              <w:rPr>
                <w:rFonts w:ascii="sans-serif" w:eastAsia="sans-serif" w:hAnsi="sans-serif" w:cs="sans-serif"/>
                <w:color w:val="000000"/>
                <w:sz w:val="20"/>
                <w:szCs w:val="20"/>
              </w:rPr>
              <w:t> </w:t>
            </w:r>
          </w:p>
        </w:tc>
      </w:tr>
      <w:tr w:rsidR="00F20ABF" w14:paraId="1E803C76" w14:textId="77777777">
        <w:tc>
          <w:tcPr>
            <w:tcW w:w="0" w:type="auto"/>
            <w:gridSpan w:val="3"/>
            <w:shd w:val="clear" w:color="auto" w:fill="E2EFD9"/>
            <w:tcMar>
              <w:top w:w="40" w:type="dxa"/>
              <w:left w:w="245" w:type="dxa"/>
              <w:bottom w:w="40" w:type="dxa"/>
              <w:right w:w="20" w:type="dxa"/>
            </w:tcMar>
            <w:vAlign w:val="bottom"/>
          </w:tcPr>
          <w:p w14:paraId="1E803C70" w14:textId="77777777" w:rsidR="00F20ABF" w:rsidRDefault="00CA4D2F">
            <w:pPr>
              <w:textAlignment w:val="bottom"/>
            </w:pPr>
            <w:r>
              <w:rPr>
                <w:rFonts w:ascii="sans-serif" w:eastAsia="sans-serif" w:hAnsi="sans-serif" w:cs="sans-serif"/>
                <w:color w:val="000000"/>
                <w:sz w:val="20"/>
                <w:szCs w:val="20"/>
              </w:rPr>
              <w:t>Preferred stock</w:t>
            </w:r>
          </w:p>
        </w:tc>
        <w:tc>
          <w:tcPr>
            <w:tcW w:w="0" w:type="auto"/>
            <w:gridSpan w:val="2"/>
            <w:shd w:val="clear" w:color="auto" w:fill="E2EFD9"/>
            <w:tcMar>
              <w:top w:w="40" w:type="dxa"/>
              <w:left w:w="20" w:type="dxa"/>
              <w:bottom w:w="40" w:type="dxa"/>
              <w:right w:w="0" w:type="dxa"/>
            </w:tcMar>
            <w:vAlign w:val="bottom"/>
          </w:tcPr>
          <w:p w14:paraId="1E803C71"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3C7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C73"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C74"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3C75" w14:textId="77777777" w:rsidR="00F20ABF" w:rsidRDefault="00F20ABF">
            <w:pPr>
              <w:jc w:val="right"/>
              <w:rPr>
                <w:rFonts w:ascii="宋体"/>
              </w:rPr>
            </w:pPr>
          </w:p>
        </w:tc>
      </w:tr>
      <w:tr w:rsidR="00F20ABF" w14:paraId="1E803C7D" w14:textId="77777777">
        <w:tc>
          <w:tcPr>
            <w:tcW w:w="0" w:type="auto"/>
            <w:gridSpan w:val="3"/>
            <w:shd w:val="clear" w:color="auto" w:fill="FFFFFF"/>
            <w:tcMar>
              <w:top w:w="40" w:type="dxa"/>
              <w:left w:w="245" w:type="dxa"/>
              <w:bottom w:w="40" w:type="dxa"/>
              <w:right w:w="20" w:type="dxa"/>
            </w:tcMar>
            <w:vAlign w:val="bottom"/>
          </w:tcPr>
          <w:p w14:paraId="1E803C77" w14:textId="77777777" w:rsidR="00F20ABF" w:rsidRDefault="00CA4D2F">
            <w:pPr>
              <w:textAlignment w:val="bottom"/>
            </w:pPr>
            <w:r>
              <w:rPr>
                <w:rFonts w:ascii="sans-serif" w:eastAsia="sans-serif" w:hAnsi="sans-serif" w:cs="sans-serif"/>
                <w:color w:val="000000"/>
                <w:sz w:val="20"/>
                <w:szCs w:val="20"/>
              </w:rPr>
              <w:t>Common stock</w:t>
            </w:r>
          </w:p>
        </w:tc>
        <w:tc>
          <w:tcPr>
            <w:tcW w:w="0" w:type="auto"/>
            <w:gridSpan w:val="2"/>
            <w:shd w:val="clear" w:color="auto" w:fill="FFFFFF"/>
            <w:tcMar>
              <w:top w:w="40" w:type="dxa"/>
              <w:left w:w="20" w:type="dxa"/>
              <w:bottom w:w="40" w:type="dxa"/>
              <w:right w:w="0" w:type="dxa"/>
            </w:tcMar>
            <w:vAlign w:val="bottom"/>
          </w:tcPr>
          <w:p w14:paraId="1E803C78" w14:textId="77777777" w:rsidR="00F20ABF" w:rsidRDefault="00CA4D2F">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1E803C7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C7A"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C7B" w14:textId="77777777" w:rsidR="00F20ABF" w:rsidRDefault="00CA4D2F">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1E803C7C" w14:textId="77777777" w:rsidR="00F20ABF" w:rsidRDefault="00F20ABF">
            <w:pPr>
              <w:jc w:val="right"/>
              <w:rPr>
                <w:rFonts w:ascii="宋体"/>
              </w:rPr>
            </w:pPr>
          </w:p>
        </w:tc>
      </w:tr>
      <w:tr w:rsidR="00F20ABF" w14:paraId="1E803C84" w14:textId="77777777">
        <w:tc>
          <w:tcPr>
            <w:tcW w:w="0" w:type="auto"/>
            <w:gridSpan w:val="3"/>
            <w:shd w:val="clear" w:color="auto" w:fill="E2EFD9"/>
            <w:tcMar>
              <w:top w:w="40" w:type="dxa"/>
              <w:left w:w="245" w:type="dxa"/>
              <w:bottom w:w="40" w:type="dxa"/>
              <w:right w:w="20" w:type="dxa"/>
            </w:tcMar>
            <w:vAlign w:val="bottom"/>
          </w:tcPr>
          <w:p w14:paraId="1E803C7E" w14:textId="77777777" w:rsidR="00F20ABF" w:rsidRDefault="00CA4D2F">
            <w:pPr>
              <w:textAlignment w:val="bottom"/>
            </w:pPr>
            <w:r>
              <w:rPr>
                <w:rFonts w:ascii="sans-serif" w:eastAsia="sans-serif" w:hAnsi="sans-serif" w:cs="sans-serif"/>
                <w:color w:val="000000"/>
                <w:sz w:val="20"/>
                <w:szCs w:val="20"/>
              </w:rPr>
              <w:t>Additional paid-in capital</w:t>
            </w:r>
          </w:p>
        </w:tc>
        <w:tc>
          <w:tcPr>
            <w:tcW w:w="0" w:type="auto"/>
            <w:gridSpan w:val="2"/>
            <w:shd w:val="clear" w:color="auto" w:fill="E2EFD9"/>
            <w:tcMar>
              <w:top w:w="40" w:type="dxa"/>
              <w:left w:w="20" w:type="dxa"/>
              <w:bottom w:w="40" w:type="dxa"/>
              <w:right w:w="0" w:type="dxa"/>
            </w:tcMar>
            <w:vAlign w:val="bottom"/>
          </w:tcPr>
          <w:p w14:paraId="1E803C7F" w14:textId="77777777" w:rsidR="00F20ABF" w:rsidRDefault="00CA4D2F">
            <w:pPr>
              <w:jc w:val="right"/>
              <w:textAlignment w:val="bottom"/>
            </w:pPr>
            <w:r>
              <w:rPr>
                <w:rFonts w:ascii="sans-serif" w:eastAsia="sans-serif" w:hAnsi="sans-serif" w:cs="sans-serif"/>
                <w:color w:val="000000"/>
                <w:sz w:val="20"/>
                <w:szCs w:val="20"/>
              </w:rPr>
              <w:t>8,301 </w:t>
            </w:r>
          </w:p>
        </w:tc>
        <w:tc>
          <w:tcPr>
            <w:tcW w:w="0" w:type="auto"/>
            <w:shd w:val="clear" w:color="auto" w:fill="E2EFD9"/>
            <w:tcMar>
              <w:top w:w="40" w:type="dxa"/>
              <w:left w:w="0" w:type="dxa"/>
              <w:bottom w:w="40" w:type="dxa"/>
              <w:right w:w="20" w:type="dxa"/>
            </w:tcMar>
            <w:vAlign w:val="bottom"/>
          </w:tcPr>
          <w:p w14:paraId="1E803C80"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C81"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C82" w14:textId="77777777" w:rsidR="00F20ABF" w:rsidRDefault="00CA4D2F">
            <w:pPr>
              <w:jc w:val="right"/>
              <w:textAlignment w:val="bottom"/>
            </w:pPr>
            <w:r>
              <w:rPr>
                <w:rFonts w:ascii="sans-serif" w:eastAsia="sans-serif" w:hAnsi="sans-serif" w:cs="sans-serif"/>
                <w:color w:val="000000"/>
                <w:sz w:val="20"/>
                <w:szCs w:val="20"/>
              </w:rPr>
              <w:t>7,045 </w:t>
            </w:r>
          </w:p>
        </w:tc>
        <w:tc>
          <w:tcPr>
            <w:tcW w:w="0" w:type="auto"/>
            <w:shd w:val="clear" w:color="auto" w:fill="E2EFD9"/>
            <w:tcMar>
              <w:top w:w="40" w:type="dxa"/>
              <w:left w:w="0" w:type="dxa"/>
              <w:bottom w:w="40" w:type="dxa"/>
              <w:right w:w="20" w:type="dxa"/>
            </w:tcMar>
            <w:vAlign w:val="bottom"/>
          </w:tcPr>
          <w:p w14:paraId="1E803C83" w14:textId="77777777" w:rsidR="00F20ABF" w:rsidRDefault="00F20ABF">
            <w:pPr>
              <w:jc w:val="right"/>
              <w:rPr>
                <w:rFonts w:ascii="宋体"/>
              </w:rPr>
            </w:pPr>
          </w:p>
        </w:tc>
      </w:tr>
      <w:tr w:rsidR="00F20ABF" w14:paraId="1E803C8B" w14:textId="77777777">
        <w:tc>
          <w:tcPr>
            <w:tcW w:w="0" w:type="auto"/>
            <w:gridSpan w:val="3"/>
            <w:shd w:val="clear" w:color="auto" w:fill="FFFFFF"/>
            <w:tcMar>
              <w:top w:w="40" w:type="dxa"/>
              <w:left w:w="245" w:type="dxa"/>
              <w:bottom w:w="40" w:type="dxa"/>
              <w:right w:w="20" w:type="dxa"/>
            </w:tcMar>
            <w:vAlign w:val="bottom"/>
          </w:tcPr>
          <w:p w14:paraId="1E803C85" w14:textId="77777777" w:rsidR="00F20ABF" w:rsidRDefault="00CA4D2F">
            <w:pPr>
              <w:textAlignment w:val="bottom"/>
            </w:pPr>
            <w:r>
              <w:rPr>
                <w:rFonts w:ascii="sans-serif" w:eastAsia="sans-serif" w:hAnsi="sans-serif" w:cs="sans-serif"/>
                <w:color w:val="000000"/>
                <w:sz w:val="20"/>
                <w:szCs w:val="20"/>
              </w:rPr>
              <w:t>Treasury stock, at cost</w:t>
            </w:r>
          </w:p>
        </w:tc>
        <w:tc>
          <w:tcPr>
            <w:tcW w:w="0" w:type="auto"/>
            <w:gridSpan w:val="2"/>
            <w:shd w:val="clear" w:color="auto" w:fill="FFFFFF"/>
            <w:tcMar>
              <w:top w:w="40" w:type="dxa"/>
              <w:left w:w="20" w:type="dxa"/>
              <w:bottom w:w="40" w:type="dxa"/>
              <w:right w:w="0" w:type="dxa"/>
            </w:tcMar>
            <w:vAlign w:val="bottom"/>
          </w:tcPr>
          <w:p w14:paraId="1E803C86" w14:textId="77777777" w:rsidR="00F20ABF" w:rsidRDefault="00CA4D2F">
            <w:pPr>
              <w:jc w:val="right"/>
              <w:textAlignment w:val="bottom"/>
            </w:pPr>
            <w:r>
              <w:rPr>
                <w:rFonts w:ascii="sans-serif" w:eastAsia="sans-serif" w:hAnsi="sans-serif" w:cs="sans-serif"/>
                <w:color w:val="000000"/>
                <w:sz w:val="20"/>
                <w:szCs w:val="20"/>
              </w:rPr>
              <w:t>(10,530)</w:t>
            </w:r>
          </w:p>
        </w:tc>
        <w:tc>
          <w:tcPr>
            <w:tcW w:w="0" w:type="auto"/>
            <w:shd w:val="clear" w:color="auto" w:fill="FFFFFF"/>
            <w:tcMar>
              <w:top w:w="40" w:type="dxa"/>
              <w:left w:w="0" w:type="dxa"/>
              <w:bottom w:w="40" w:type="dxa"/>
              <w:right w:w="20" w:type="dxa"/>
            </w:tcMar>
            <w:vAlign w:val="bottom"/>
          </w:tcPr>
          <w:p w14:paraId="1E803C87"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C88"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C89" w14:textId="77777777" w:rsidR="00F20ABF" w:rsidRDefault="00CA4D2F">
            <w:pPr>
              <w:jc w:val="right"/>
              <w:textAlignment w:val="bottom"/>
            </w:pPr>
            <w:r>
              <w:rPr>
                <w:rFonts w:ascii="sans-serif" w:eastAsia="sans-serif" w:hAnsi="sans-serif" w:cs="sans-serif"/>
                <w:color w:val="000000"/>
                <w:sz w:val="20"/>
                <w:szCs w:val="20"/>
              </w:rPr>
              <w:t>(9,814)</w:t>
            </w:r>
          </w:p>
        </w:tc>
        <w:tc>
          <w:tcPr>
            <w:tcW w:w="0" w:type="auto"/>
            <w:shd w:val="clear" w:color="auto" w:fill="FFFFFF"/>
            <w:tcMar>
              <w:top w:w="40" w:type="dxa"/>
              <w:left w:w="0" w:type="dxa"/>
              <w:bottom w:w="40" w:type="dxa"/>
              <w:right w:w="20" w:type="dxa"/>
            </w:tcMar>
            <w:vAlign w:val="bottom"/>
          </w:tcPr>
          <w:p w14:paraId="1E803C8A" w14:textId="77777777" w:rsidR="00F20ABF" w:rsidRDefault="00F20ABF">
            <w:pPr>
              <w:jc w:val="right"/>
              <w:rPr>
                <w:rFonts w:ascii="宋体"/>
              </w:rPr>
            </w:pPr>
          </w:p>
        </w:tc>
      </w:tr>
      <w:tr w:rsidR="00F20ABF" w14:paraId="1E803C92" w14:textId="77777777">
        <w:tc>
          <w:tcPr>
            <w:tcW w:w="0" w:type="auto"/>
            <w:gridSpan w:val="3"/>
            <w:shd w:val="clear" w:color="auto" w:fill="E2EFD9"/>
            <w:tcMar>
              <w:top w:w="40" w:type="dxa"/>
              <w:left w:w="245" w:type="dxa"/>
              <w:bottom w:w="40" w:type="dxa"/>
              <w:right w:w="20" w:type="dxa"/>
            </w:tcMar>
            <w:vAlign w:val="bottom"/>
          </w:tcPr>
          <w:p w14:paraId="1E803C8C" w14:textId="77777777" w:rsidR="00F20ABF" w:rsidRDefault="00CA4D2F">
            <w:pPr>
              <w:textAlignment w:val="bottom"/>
            </w:pPr>
            <w:r>
              <w:rPr>
                <w:rFonts w:ascii="sans-serif" w:eastAsia="sans-serif" w:hAnsi="sans-serif" w:cs="sans-serif"/>
                <w:color w:val="000000"/>
                <w:sz w:val="20"/>
                <w:szCs w:val="20"/>
              </w:rPr>
              <w:t>Accumulated other comprehensive income</w:t>
            </w:r>
          </w:p>
        </w:tc>
        <w:tc>
          <w:tcPr>
            <w:tcW w:w="0" w:type="auto"/>
            <w:gridSpan w:val="2"/>
            <w:shd w:val="clear" w:color="auto" w:fill="E2EFD9"/>
            <w:tcMar>
              <w:top w:w="40" w:type="dxa"/>
              <w:left w:w="20" w:type="dxa"/>
              <w:bottom w:w="40" w:type="dxa"/>
              <w:right w:w="0" w:type="dxa"/>
            </w:tcMar>
            <w:vAlign w:val="bottom"/>
          </w:tcPr>
          <w:p w14:paraId="1E803C8D" w14:textId="77777777" w:rsidR="00F20ABF" w:rsidRDefault="00CA4D2F">
            <w:pPr>
              <w:jc w:val="right"/>
              <w:textAlignment w:val="bottom"/>
            </w:pPr>
            <w:r>
              <w:rPr>
                <w:rFonts w:ascii="sans-serif" w:eastAsia="sans-serif" w:hAnsi="sans-serif" w:cs="sans-serif"/>
                <w:color w:val="000000"/>
                <w:sz w:val="20"/>
                <w:szCs w:val="20"/>
              </w:rPr>
              <w:t>12 </w:t>
            </w:r>
          </w:p>
        </w:tc>
        <w:tc>
          <w:tcPr>
            <w:tcW w:w="0" w:type="auto"/>
            <w:shd w:val="clear" w:color="auto" w:fill="E2EFD9"/>
            <w:tcMar>
              <w:top w:w="40" w:type="dxa"/>
              <w:left w:w="0" w:type="dxa"/>
              <w:bottom w:w="40" w:type="dxa"/>
              <w:right w:w="20" w:type="dxa"/>
            </w:tcMar>
            <w:vAlign w:val="bottom"/>
          </w:tcPr>
          <w:p w14:paraId="1E803C8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C8F"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C90" w14:textId="77777777" w:rsidR="00F20ABF" w:rsidRDefault="00CA4D2F">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left w:w="0" w:type="dxa"/>
              <w:bottom w:w="40" w:type="dxa"/>
              <w:right w:w="20" w:type="dxa"/>
            </w:tcMar>
            <w:vAlign w:val="bottom"/>
          </w:tcPr>
          <w:p w14:paraId="1E803C91" w14:textId="77777777" w:rsidR="00F20ABF" w:rsidRDefault="00F20ABF">
            <w:pPr>
              <w:jc w:val="right"/>
              <w:rPr>
                <w:rFonts w:ascii="宋体"/>
              </w:rPr>
            </w:pPr>
          </w:p>
        </w:tc>
      </w:tr>
      <w:tr w:rsidR="00F20ABF" w14:paraId="1E803C99" w14:textId="77777777">
        <w:tc>
          <w:tcPr>
            <w:tcW w:w="0" w:type="auto"/>
            <w:gridSpan w:val="3"/>
            <w:shd w:val="clear" w:color="auto" w:fill="FFFFFF"/>
            <w:tcMar>
              <w:top w:w="40" w:type="dxa"/>
              <w:left w:w="245" w:type="dxa"/>
              <w:bottom w:w="40" w:type="dxa"/>
              <w:right w:w="20" w:type="dxa"/>
            </w:tcMar>
            <w:vAlign w:val="bottom"/>
          </w:tcPr>
          <w:p w14:paraId="1E803C93" w14:textId="77777777" w:rsidR="00F20ABF" w:rsidRDefault="00CA4D2F">
            <w:pPr>
              <w:textAlignment w:val="bottom"/>
            </w:pPr>
            <w:r>
              <w:rPr>
                <w:rFonts w:ascii="sans-serif" w:eastAsia="sans-serif" w:hAnsi="sans-serif" w:cs="sans-serif"/>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14:paraId="1E803C94" w14:textId="77777777" w:rsidR="00F20ABF" w:rsidRDefault="00CA4D2F">
            <w:pPr>
              <w:jc w:val="right"/>
              <w:textAlignment w:val="bottom"/>
            </w:pPr>
            <w:r>
              <w:rPr>
                <w:rFonts w:ascii="sans-serif" w:eastAsia="sans-serif" w:hAnsi="sans-serif" w:cs="sans-serif"/>
                <w:color w:val="000000"/>
                <w:sz w:val="20"/>
                <w:szCs w:val="20"/>
              </w:rPr>
              <w:t>17,550 </w:t>
            </w:r>
          </w:p>
        </w:tc>
        <w:tc>
          <w:tcPr>
            <w:tcW w:w="0" w:type="auto"/>
            <w:shd w:val="clear" w:color="auto" w:fill="FFFFFF"/>
            <w:tcMar>
              <w:top w:w="40" w:type="dxa"/>
              <w:left w:w="0" w:type="dxa"/>
              <w:bottom w:w="40" w:type="dxa"/>
              <w:right w:w="20" w:type="dxa"/>
            </w:tcMar>
            <w:vAlign w:val="bottom"/>
          </w:tcPr>
          <w:p w14:paraId="1E803C9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C9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C97" w14:textId="77777777" w:rsidR="00F20ABF" w:rsidRDefault="00CA4D2F">
            <w:pPr>
              <w:jc w:val="right"/>
              <w:textAlignment w:val="bottom"/>
            </w:pPr>
            <w:r>
              <w:rPr>
                <w:rFonts w:ascii="sans-serif" w:eastAsia="sans-serif" w:hAnsi="sans-serif" w:cs="sans-serif"/>
                <w:color w:val="000000"/>
                <w:sz w:val="20"/>
                <w:szCs w:val="20"/>
              </w:rPr>
              <w:t>14,971 </w:t>
            </w:r>
          </w:p>
        </w:tc>
        <w:tc>
          <w:tcPr>
            <w:tcW w:w="0" w:type="auto"/>
            <w:shd w:val="clear" w:color="auto" w:fill="FFFFFF"/>
            <w:tcMar>
              <w:top w:w="40" w:type="dxa"/>
              <w:left w:w="0" w:type="dxa"/>
              <w:bottom w:w="40" w:type="dxa"/>
              <w:right w:w="20" w:type="dxa"/>
            </w:tcMar>
            <w:vAlign w:val="bottom"/>
          </w:tcPr>
          <w:p w14:paraId="1E803C98" w14:textId="77777777" w:rsidR="00F20ABF" w:rsidRDefault="00F20ABF">
            <w:pPr>
              <w:jc w:val="right"/>
              <w:rPr>
                <w:rFonts w:ascii="宋体"/>
              </w:rPr>
            </w:pPr>
          </w:p>
        </w:tc>
      </w:tr>
      <w:tr w:rsidR="00F20ABF" w14:paraId="1E803CA0" w14:textId="77777777">
        <w:tc>
          <w:tcPr>
            <w:tcW w:w="0" w:type="auto"/>
            <w:gridSpan w:val="3"/>
            <w:shd w:val="clear" w:color="auto" w:fill="E2EFD9"/>
            <w:tcMar>
              <w:top w:w="40" w:type="dxa"/>
              <w:left w:w="20" w:type="dxa"/>
              <w:bottom w:w="40" w:type="dxa"/>
              <w:right w:w="20" w:type="dxa"/>
            </w:tcMar>
            <w:vAlign w:val="bottom"/>
          </w:tcPr>
          <w:p w14:paraId="1E803C9A" w14:textId="77777777" w:rsidR="00F20ABF" w:rsidRDefault="00CA4D2F">
            <w:pPr>
              <w:textAlignment w:val="bottom"/>
            </w:pPr>
            <w:r>
              <w:rPr>
                <w:rFonts w:ascii="sans-serif" w:eastAsia="sans-serif" w:hAnsi="sans-serif" w:cs="sans-serif"/>
                <w:color w:val="000000"/>
                <w:sz w:val="20"/>
                <w:szCs w:val="20"/>
              </w:rPr>
              <w:t>Total shareholders' equity</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C9B" w14:textId="77777777" w:rsidR="00F20ABF" w:rsidRDefault="00CA4D2F">
            <w:pPr>
              <w:jc w:val="right"/>
              <w:textAlignment w:val="bottom"/>
            </w:pPr>
            <w:r>
              <w:rPr>
                <w:rFonts w:ascii="sans-serif" w:eastAsia="sans-serif" w:hAnsi="sans-serif" w:cs="sans-serif"/>
                <w:color w:val="000000"/>
                <w:sz w:val="20"/>
                <w:szCs w:val="20"/>
              </w:rPr>
              <w:t>15,334 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C9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C9D"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C9E" w14:textId="77777777" w:rsidR="00F20ABF" w:rsidRDefault="00CA4D2F">
            <w:pPr>
              <w:jc w:val="right"/>
              <w:textAlignment w:val="bottom"/>
            </w:pPr>
            <w:r>
              <w:rPr>
                <w:rFonts w:ascii="sans-serif" w:eastAsia="sans-serif" w:hAnsi="sans-serif" w:cs="sans-serif"/>
                <w:color w:val="000000"/>
                <w:sz w:val="20"/>
                <w:szCs w:val="20"/>
              </w:rPr>
              <w:t>12,204 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C9F" w14:textId="77777777" w:rsidR="00F20ABF" w:rsidRDefault="00F20ABF">
            <w:pPr>
              <w:jc w:val="right"/>
              <w:rPr>
                <w:rFonts w:ascii="宋体"/>
              </w:rPr>
            </w:pPr>
          </w:p>
        </w:tc>
      </w:tr>
      <w:tr w:rsidR="00F20ABF" w14:paraId="1E803CA9" w14:textId="77777777">
        <w:tc>
          <w:tcPr>
            <w:tcW w:w="0" w:type="auto"/>
            <w:gridSpan w:val="3"/>
            <w:shd w:val="clear" w:color="auto" w:fill="FFFFFF"/>
            <w:tcMar>
              <w:top w:w="40" w:type="dxa"/>
              <w:left w:w="20" w:type="dxa"/>
              <w:bottom w:w="40" w:type="dxa"/>
              <w:right w:w="20" w:type="dxa"/>
            </w:tcMar>
            <w:vAlign w:val="bottom"/>
          </w:tcPr>
          <w:p w14:paraId="1E803CA1" w14:textId="77777777" w:rsidR="00F20ABF" w:rsidRDefault="00CA4D2F">
            <w:pPr>
              <w:textAlignment w:val="bottom"/>
            </w:pPr>
            <w:r>
              <w:rPr>
                <w:rFonts w:ascii="sans-serif" w:eastAsia="sans-serif" w:hAnsi="sans-serif" w:cs="sans-serif"/>
                <w:color w:val="000000"/>
                <w:sz w:val="20"/>
                <w:szCs w:val="20"/>
              </w:rPr>
              <w:t xml:space="preserve">Total liabilities and </w:t>
            </w:r>
            <w:r>
              <w:rPr>
                <w:rFonts w:ascii="sans-serif" w:eastAsia="sans-serif" w:hAnsi="sans-serif" w:cs="sans-serif"/>
                <w:color w:val="000000"/>
                <w:sz w:val="20"/>
                <w:szCs w:val="20"/>
              </w:rPr>
              <w:t>shareholders'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3CA2"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3CA3" w14:textId="77777777" w:rsidR="00F20ABF" w:rsidRDefault="00CA4D2F">
            <w:pPr>
              <w:jc w:val="right"/>
              <w:textAlignment w:val="bottom"/>
            </w:pPr>
            <w:r>
              <w:rPr>
                <w:rFonts w:ascii="sans-serif" w:eastAsia="sans-serif" w:hAnsi="sans-serif" w:cs="sans-serif"/>
                <w:color w:val="000000"/>
                <w:sz w:val="20"/>
                <w:szCs w:val="20"/>
              </w:rPr>
              <w:t>26,881 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3CA4"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CA5"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3CA6"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3CA7" w14:textId="77777777" w:rsidR="00F20ABF" w:rsidRDefault="00CA4D2F">
            <w:pPr>
              <w:jc w:val="right"/>
              <w:textAlignment w:val="bottom"/>
            </w:pPr>
            <w:r>
              <w:rPr>
                <w:rFonts w:ascii="sans-serif" w:eastAsia="sans-serif" w:hAnsi="sans-serif" w:cs="sans-serif"/>
                <w:color w:val="000000"/>
                <w:sz w:val="20"/>
                <w:szCs w:val="20"/>
              </w:rPr>
              <w:t>17,315 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3CA8" w14:textId="77777777" w:rsidR="00F20ABF" w:rsidRDefault="00F20ABF">
            <w:pPr>
              <w:jc w:val="right"/>
              <w:rPr>
                <w:rFonts w:ascii="宋体"/>
              </w:rPr>
            </w:pPr>
          </w:p>
        </w:tc>
      </w:tr>
    </w:tbl>
    <w:p w14:paraId="1E803CAA" w14:textId="77777777" w:rsidR="00F20ABF" w:rsidRDefault="00CA4D2F">
      <w:pPr>
        <w:spacing w:after="180"/>
        <w:jc w:val="center"/>
      </w:pPr>
      <w:r>
        <w:rPr>
          <w:rFonts w:ascii="sans-serif" w:eastAsia="sans-serif" w:hAnsi="sans-serif" w:cs="sans-serif"/>
          <w:color w:val="000000"/>
          <w:sz w:val="20"/>
          <w:szCs w:val="20"/>
        </w:rPr>
        <w:t>See accompanying Notes to Condensed Consolidated Financial Statements.</w:t>
      </w:r>
    </w:p>
    <w:p w14:paraId="1E803CAB" w14:textId="77777777" w:rsidR="00F20ABF" w:rsidRDefault="00F20ABF">
      <w:pPr>
        <w:spacing w:after="180"/>
        <w:jc w:val="center"/>
      </w:pPr>
    </w:p>
    <w:p w14:paraId="1E803CAC" w14:textId="77777777" w:rsidR="00F20ABF" w:rsidRDefault="00CA4D2F">
      <w:pPr>
        <w:spacing w:after="180"/>
        <w:jc w:val="center"/>
      </w:pPr>
      <w:r>
        <w:rPr>
          <w:rFonts w:ascii="sans-serif" w:eastAsia="sans-serif" w:hAnsi="sans-serif" w:cs="sans-serif"/>
          <w:color w:val="000000"/>
          <w:sz w:val="20"/>
          <w:szCs w:val="20"/>
        </w:rPr>
        <w:t>5</w:t>
      </w:r>
    </w:p>
    <w:p w14:paraId="1E803CAD" w14:textId="77777777" w:rsidR="00F20ABF" w:rsidRDefault="00CA4D2F">
      <w:r>
        <w:pict w14:anchorId="1E805580">
          <v:rect id="_x0000_i1029" style="width:415.3pt;height:1.5pt" o:hralign="center" o:hrstd="t" o:hr="t" fillcolor="#a0a0a0" stroked="f"/>
        </w:pict>
      </w:r>
    </w:p>
    <w:p w14:paraId="1E803CAE" w14:textId="77777777" w:rsidR="00F20ABF" w:rsidRDefault="00F20ABF">
      <w:pPr>
        <w:spacing w:after="180"/>
        <w:jc w:val="both"/>
      </w:pPr>
    </w:p>
    <w:p w14:paraId="1E803CAF" w14:textId="77777777" w:rsidR="00F20ABF" w:rsidRDefault="00CA4D2F">
      <w:pPr>
        <w:jc w:val="center"/>
      </w:pPr>
      <w:r>
        <w:rPr>
          <w:rFonts w:ascii="sans-serif" w:eastAsia="sans-serif" w:hAnsi="sans-serif" w:cs="sans-serif"/>
          <w:b/>
          <w:bCs/>
          <w:color w:val="000000"/>
          <w:sz w:val="20"/>
          <w:szCs w:val="20"/>
        </w:rPr>
        <w:t>NVIDIA CORPORATION AND SUBSIDIARIES</w:t>
      </w:r>
    </w:p>
    <w:p w14:paraId="1E803CB0" w14:textId="77777777" w:rsidR="00F20ABF" w:rsidRDefault="00CA4D2F">
      <w:pPr>
        <w:jc w:val="center"/>
      </w:pPr>
      <w:r>
        <w:rPr>
          <w:rFonts w:ascii="sans-serif" w:eastAsia="sans-serif" w:hAnsi="sans-serif" w:cs="sans-serif"/>
          <w:b/>
          <w:bCs/>
          <w:color w:val="000000"/>
          <w:sz w:val="20"/>
          <w:szCs w:val="20"/>
        </w:rPr>
        <w:t>CONDENSED CONSOLIDATED STATEMENTS OF SHAREHOLDERS’ EQUITY</w:t>
      </w:r>
    </w:p>
    <w:p w14:paraId="1E803CB1" w14:textId="77777777" w:rsidR="00F20ABF" w:rsidRDefault="00CA4D2F">
      <w:pPr>
        <w:jc w:val="center"/>
      </w:pPr>
      <w:r>
        <w:rPr>
          <w:rFonts w:ascii="sans-serif" w:eastAsia="sans-serif" w:hAnsi="sans-serif" w:cs="sans-serif"/>
          <w:b/>
          <w:bCs/>
          <w:color w:val="000000"/>
          <w:sz w:val="20"/>
          <w:szCs w:val="20"/>
        </w:rPr>
        <w:t xml:space="preserve">FOR THE THREE MONTHS ENDED </w:t>
      </w:r>
      <w:r>
        <w:rPr>
          <w:rFonts w:ascii="sans-serif" w:eastAsia="sans-serif" w:hAnsi="sans-serif" w:cs="sans-serif"/>
          <w:b/>
          <w:bCs/>
          <w:color w:val="000000"/>
          <w:sz w:val="20"/>
          <w:szCs w:val="20"/>
        </w:rPr>
        <w:t>OCTOBER 25, 2020 AND OCTOBER 27, 2019</w:t>
      </w:r>
    </w:p>
    <w:p w14:paraId="1E803CB2" w14:textId="77777777" w:rsidR="00F20ABF" w:rsidRDefault="00CA4D2F">
      <w:pPr>
        <w:spacing w:after="180"/>
        <w:jc w:val="center"/>
      </w:pPr>
      <w:r>
        <w:rPr>
          <w:rFonts w:ascii="sans-serif" w:eastAsia="sans-serif" w:hAnsi="sans-serif" w:cs="sans-serif"/>
          <w:b/>
          <w:bCs/>
          <w:color w:val="000000"/>
          <w:sz w:val="20"/>
          <w:szCs w:val="20"/>
        </w:rPr>
        <w:t xml:space="preserve">(Unaudited)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494"/>
        <w:gridCol w:w="37"/>
        <w:gridCol w:w="73"/>
        <w:gridCol w:w="389"/>
        <w:gridCol w:w="37"/>
        <w:gridCol w:w="37"/>
        <w:gridCol w:w="37"/>
        <w:gridCol w:w="36"/>
        <w:gridCol w:w="98"/>
        <w:gridCol w:w="452"/>
        <w:gridCol w:w="36"/>
        <w:gridCol w:w="36"/>
        <w:gridCol w:w="36"/>
        <w:gridCol w:w="36"/>
        <w:gridCol w:w="98"/>
        <w:gridCol w:w="593"/>
        <w:gridCol w:w="36"/>
        <w:gridCol w:w="36"/>
        <w:gridCol w:w="36"/>
        <w:gridCol w:w="36"/>
        <w:gridCol w:w="97"/>
        <w:gridCol w:w="509"/>
        <w:gridCol w:w="36"/>
        <w:gridCol w:w="36"/>
        <w:gridCol w:w="36"/>
        <w:gridCol w:w="36"/>
        <w:gridCol w:w="98"/>
        <w:gridCol w:w="916"/>
        <w:gridCol w:w="36"/>
        <w:gridCol w:w="36"/>
        <w:gridCol w:w="36"/>
        <w:gridCol w:w="36"/>
        <w:gridCol w:w="98"/>
        <w:gridCol w:w="506"/>
        <w:gridCol w:w="36"/>
        <w:gridCol w:w="36"/>
        <w:gridCol w:w="36"/>
        <w:gridCol w:w="36"/>
        <w:gridCol w:w="98"/>
        <w:gridCol w:w="802"/>
        <w:gridCol w:w="36"/>
      </w:tblGrid>
      <w:tr w:rsidR="00F20ABF" w14:paraId="1E803CDD" w14:textId="77777777">
        <w:trPr>
          <w:jc w:val="center"/>
        </w:trPr>
        <w:tc>
          <w:tcPr>
            <w:tcW w:w="50" w:type="pct"/>
            <w:shd w:val="clear" w:color="auto" w:fill="auto"/>
          </w:tcPr>
          <w:p w14:paraId="1E803CB3" w14:textId="77777777" w:rsidR="00F20ABF" w:rsidRDefault="00F20ABF">
            <w:pPr>
              <w:rPr>
                <w:rFonts w:ascii="宋体"/>
              </w:rPr>
            </w:pPr>
          </w:p>
        </w:tc>
        <w:tc>
          <w:tcPr>
            <w:tcW w:w="1883" w:type="pct"/>
            <w:shd w:val="clear" w:color="auto" w:fill="auto"/>
          </w:tcPr>
          <w:p w14:paraId="1E803CB4" w14:textId="77777777" w:rsidR="00F20ABF" w:rsidRDefault="00F20ABF">
            <w:pPr>
              <w:rPr>
                <w:rFonts w:ascii="宋体"/>
              </w:rPr>
            </w:pPr>
          </w:p>
        </w:tc>
        <w:tc>
          <w:tcPr>
            <w:tcW w:w="5" w:type="pct"/>
            <w:shd w:val="clear" w:color="auto" w:fill="auto"/>
          </w:tcPr>
          <w:p w14:paraId="1E803CB5" w14:textId="77777777" w:rsidR="00F20ABF" w:rsidRDefault="00F20ABF">
            <w:pPr>
              <w:rPr>
                <w:rFonts w:ascii="宋体"/>
              </w:rPr>
            </w:pPr>
          </w:p>
        </w:tc>
        <w:tc>
          <w:tcPr>
            <w:tcW w:w="50" w:type="pct"/>
            <w:shd w:val="clear" w:color="auto" w:fill="auto"/>
          </w:tcPr>
          <w:p w14:paraId="1E803CB6" w14:textId="77777777" w:rsidR="00F20ABF" w:rsidRDefault="00F20ABF">
            <w:pPr>
              <w:rPr>
                <w:rFonts w:ascii="宋体"/>
              </w:rPr>
            </w:pPr>
          </w:p>
        </w:tc>
        <w:tc>
          <w:tcPr>
            <w:tcW w:w="268" w:type="pct"/>
            <w:shd w:val="clear" w:color="auto" w:fill="auto"/>
          </w:tcPr>
          <w:p w14:paraId="1E803CB7" w14:textId="77777777" w:rsidR="00F20ABF" w:rsidRDefault="00F20ABF">
            <w:pPr>
              <w:rPr>
                <w:rFonts w:ascii="宋体"/>
              </w:rPr>
            </w:pPr>
          </w:p>
        </w:tc>
        <w:tc>
          <w:tcPr>
            <w:tcW w:w="5" w:type="pct"/>
            <w:shd w:val="clear" w:color="auto" w:fill="auto"/>
          </w:tcPr>
          <w:p w14:paraId="1E803CB8" w14:textId="77777777" w:rsidR="00F20ABF" w:rsidRDefault="00F20ABF">
            <w:pPr>
              <w:rPr>
                <w:rFonts w:ascii="宋体"/>
              </w:rPr>
            </w:pPr>
          </w:p>
        </w:tc>
        <w:tc>
          <w:tcPr>
            <w:tcW w:w="5" w:type="pct"/>
            <w:shd w:val="clear" w:color="auto" w:fill="auto"/>
          </w:tcPr>
          <w:p w14:paraId="1E803CB9" w14:textId="77777777" w:rsidR="00F20ABF" w:rsidRDefault="00F20ABF">
            <w:pPr>
              <w:rPr>
                <w:rFonts w:ascii="宋体"/>
              </w:rPr>
            </w:pPr>
          </w:p>
        </w:tc>
        <w:tc>
          <w:tcPr>
            <w:tcW w:w="26" w:type="pct"/>
            <w:shd w:val="clear" w:color="auto" w:fill="auto"/>
          </w:tcPr>
          <w:p w14:paraId="1E803CBA" w14:textId="77777777" w:rsidR="00F20ABF" w:rsidRDefault="00F20ABF">
            <w:pPr>
              <w:rPr>
                <w:rFonts w:ascii="宋体"/>
              </w:rPr>
            </w:pPr>
          </w:p>
        </w:tc>
        <w:tc>
          <w:tcPr>
            <w:tcW w:w="5" w:type="pct"/>
            <w:shd w:val="clear" w:color="auto" w:fill="auto"/>
          </w:tcPr>
          <w:p w14:paraId="1E803CBB" w14:textId="77777777" w:rsidR="00F20ABF" w:rsidRDefault="00F20ABF">
            <w:pPr>
              <w:rPr>
                <w:rFonts w:ascii="宋体"/>
              </w:rPr>
            </w:pPr>
          </w:p>
        </w:tc>
        <w:tc>
          <w:tcPr>
            <w:tcW w:w="50" w:type="pct"/>
            <w:shd w:val="clear" w:color="auto" w:fill="auto"/>
          </w:tcPr>
          <w:p w14:paraId="1E803CBC" w14:textId="77777777" w:rsidR="00F20ABF" w:rsidRDefault="00F20ABF">
            <w:pPr>
              <w:rPr>
                <w:rFonts w:ascii="宋体"/>
              </w:rPr>
            </w:pPr>
          </w:p>
        </w:tc>
        <w:tc>
          <w:tcPr>
            <w:tcW w:w="260" w:type="pct"/>
            <w:shd w:val="clear" w:color="auto" w:fill="auto"/>
          </w:tcPr>
          <w:p w14:paraId="1E803CBD" w14:textId="77777777" w:rsidR="00F20ABF" w:rsidRDefault="00F20ABF">
            <w:pPr>
              <w:rPr>
                <w:rFonts w:ascii="宋体"/>
              </w:rPr>
            </w:pPr>
          </w:p>
        </w:tc>
        <w:tc>
          <w:tcPr>
            <w:tcW w:w="5" w:type="pct"/>
            <w:shd w:val="clear" w:color="auto" w:fill="auto"/>
          </w:tcPr>
          <w:p w14:paraId="1E803CBE" w14:textId="77777777" w:rsidR="00F20ABF" w:rsidRDefault="00F20ABF">
            <w:pPr>
              <w:rPr>
                <w:rFonts w:ascii="宋体"/>
              </w:rPr>
            </w:pPr>
          </w:p>
        </w:tc>
        <w:tc>
          <w:tcPr>
            <w:tcW w:w="5" w:type="pct"/>
            <w:shd w:val="clear" w:color="auto" w:fill="auto"/>
          </w:tcPr>
          <w:p w14:paraId="1E803CBF" w14:textId="77777777" w:rsidR="00F20ABF" w:rsidRDefault="00F20ABF">
            <w:pPr>
              <w:rPr>
                <w:rFonts w:ascii="宋体"/>
              </w:rPr>
            </w:pPr>
          </w:p>
        </w:tc>
        <w:tc>
          <w:tcPr>
            <w:tcW w:w="26" w:type="pct"/>
            <w:shd w:val="clear" w:color="auto" w:fill="auto"/>
          </w:tcPr>
          <w:p w14:paraId="1E803CC0" w14:textId="77777777" w:rsidR="00F20ABF" w:rsidRDefault="00F20ABF">
            <w:pPr>
              <w:rPr>
                <w:rFonts w:ascii="宋体"/>
              </w:rPr>
            </w:pPr>
          </w:p>
        </w:tc>
        <w:tc>
          <w:tcPr>
            <w:tcW w:w="5" w:type="pct"/>
            <w:shd w:val="clear" w:color="auto" w:fill="auto"/>
          </w:tcPr>
          <w:p w14:paraId="1E803CC1" w14:textId="77777777" w:rsidR="00F20ABF" w:rsidRDefault="00F20ABF">
            <w:pPr>
              <w:rPr>
                <w:rFonts w:ascii="宋体"/>
              </w:rPr>
            </w:pPr>
          </w:p>
        </w:tc>
        <w:tc>
          <w:tcPr>
            <w:tcW w:w="50" w:type="pct"/>
            <w:shd w:val="clear" w:color="auto" w:fill="auto"/>
          </w:tcPr>
          <w:p w14:paraId="1E803CC2" w14:textId="77777777" w:rsidR="00F20ABF" w:rsidRDefault="00F20ABF">
            <w:pPr>
              <w:rPr>
                <w:rFonts w:ascii="宋体"/>
              </w:rPr>
            </w:pPr>
          </w:p>
        </w:tc>
        <w:tc>
          <w:tcPr>
            <w:tcW w:w="334" w:type="pct"/>
            <w:shd w:val="clear" w:color="auto" w:fill="auto"/>
          </w:tcPr>
          <w:p w14:paraId="1E803CC3" w14:textId="77777777" w:rsidR="00F20ABF" w:rsidRDefault="00F20ABF">
            <w:pPr>
              <w:rPr>
                <w:rFonts w:ascii="宋体"/>
              </w:rPr>
            </w:pPr>
          </w:p>
        </w:tc>
        <w:tc>
          <w:tcPr>
            <w:tcW w:w="5" w:type="pct"/>
            <w:shd w:val="clear" w:color="auto" w:fill="auto"/>
          </w:tcPr>
          <w:p w14:paraId="1E803CC4" w14:textId="77777777" w:rsidR="00F20ABF" w:rsidRDefault="00F20ABF">
            <w:pPr>
              <w:rPr>
                <w:rFonts w:ascii="宋体"/>
              </w:rPr>
            </w:pPr>
          </w:p>
        </w:tc>
        <w:tc>
          <w:tcPr>
            <w:tcW w:w="5" w:type="pct"/>
            <w:shd w:val="clear" w:color="auto" w:fill="auto"/>
          </w:tcPr>
          <w:p w14:paraId="1E803CC5" w14:textId="77777777" w:rsidR="00F20ABF" w:rsidRDefault="00F20ABF">
            <w:pPr>
              <w:rPr>
                <w:rFonts w:ascii="宋体"/>
              </w:rPr>
            </w:pPr>
          </w:p>
        </w:tc>
        <w:tc>
          <w:tcPr>
            <w:tcW w:w="26" w:type="pct"/>
            <w:shd w:val="clear" w:color="auto" w:fill="auto"/>
          </w:tcPr>
          <w:p w14:paraId="1E803CC6" w14:textId="77777777" w:rsidR="00F20ABF" w:rsidRDefault="00F20ABF">
            <w:pPr>
              <w:rPr>
                <w:rFonts w:ascii="宋体"/>
              </w:rPr>
            </w:pPr>
          </w:p>
        </w:tc>
        <w:tc>
          <w:tcPr>
            <w:tcW w:w="5" w:type="pct"/>
            <w:shd w:val="clear" w:color="auto" w:fill="auto"/>
          </w:tcPr>
          <w:p w14:paraId="1E803CC7" w14:textId="77777777" w:rsidR="00F20ABF" w:rsidRDefault="00F20ABF">
            <w:pPr>
              <w:rPr>
                <w:rFonts w:ascii="宋体"/>
              </w:rPr>
            </w:pPr>
          </w:p>
        </w:tc>
        <w:tc>
          <w:tcPr>
            <w:tcW w:w="50" w:type="pct"/>
            <w:shd w:val="clear" w:color="auto" w:fill="auto"/>
          </w:tcPr>
          <w:p w14:paraId="1E803CC8" w14:textId="77777777" w:rsidR="00F20ABF" w:rsidRDefault="00F20ABF">
            <w:pPr>
              <w:rPr>
                <w:rFonts w:ascii="宋体"/>
              </w:rPr>
            </w:pPr>
          </w:p>
        </w:tc>
        <w:tc>
          <w:tcPr>
            <w:tcW w:w="304" w:type="pct"/>
            <w:shd w:val="clear" w:color="auto" w:fill="auto"/>
          </w:tcPr>
          <w:p w14:paraId="1E803CC9" w14:textId="77777777" w:rsidR="00F20ABF" w:rsidRDefault="00F20ABF">
            <w:pPr>
              <w:rPr>
                <w:rFonts w:ascii="宋体"/>
              </w:rPr>
            </w:pPr>
          </w:p>
        </w:tc>
        <w:tc>
          <w:tcPr>
            <w:tcW w:w="5" w:type="pct"/>
            <w:shd w:val="clear" w:color="auto" w:fill="auto"/>
          </w:tcPr>
          <w:p w14:paraId="1E803CCA" w14:textId="77777777" w:rsidR="00F20ABF" w:rsidRDefault="00F20ABF">
            <w:pPr>
              <w:rPr>
                <w:rFonts w:ascii="宋体"/>
              </w:rPr>
            </w:pPr>
          </w:p>
        </w:tc>
        <w:tc>
          <w:tcPr>
            <w:tcW w:w="5" w:type="pct"/>
            <w:shd w:val="clear" w:color="auto" w:fill="auto"/>
          </w:tcPr>
          <w:p w14:paraId="1E803CCB" w14:textId="77777777" w:rsidR="00F20ABF" w:rsidRDefault="00F20ABF">
            <w:pPr>
              <w:rPr>
                <w:rFonts w:ascii="宋体"/>
              </w:rPr>
            </w:pPr>
          </w:p>
        </w:tc>
        <w:tc>
          <w:tcPr>
            <w:tcW w:w="26" w:type="pct"/>
            <w:shd w:val="clear" w:color="auto" w:fill="auto"/>
          </w:tcPr>
          <w:p w14:paraId="1E803CCC" w14:textId="77777777" w:rsidR="00F20ABF" w:rsidRDefault="00F20ABF">
            <w:pPr>
              <w:rPr>
                <w:rFonts w:ascii="宋体"/>
              </w:rPr>
            </w:pPr>
          </w:p>
        </w:tc>
        <w:tc>
          <w:tcPr>
            <w:tcW w:w="5" w:type="pct"/>
            <w:shd w:val="clear" w:color="auto" w:fill="auto"/>
          </w:tcPr>
          <w:p w14:paraId="1E803CCD" w14:textId="77777777" w:rsidR="00F20ABF" w:rsidRDefault="00F20ABF">
            <w:pPr>
              <w:rPr>
                <w:rFonts w:ascii="宋体"/>
              </w:rPr>
            </w:pPr>
          </w:p>
        </w:tc>
        <w:tc>
          <w:tcPr>
            <w:tcW w:w="50" w:type="pct"/>
            <w:shd w:val="clear" w:color="auto" w:fill="auto"/>
          </w:tcPr>
          <w:p w14:paraId="1E803CCE" w14:textId="77777777" w:rsidR="00F20ABF" w:rsidRDefault="00F20ABF">
            <w:pPr>
              <w:rPr>
                <w:rFonts w:ascii="宋体"/>
              </w:rPr>
            </w:pPr>
          </w:p>
        </w:tc>
        <w:tc>
          <w:tcPr>
            <w:tcW w:w="525" w:type="pct"/>
            <w:shd w:val="clear" w:color="auto" w:fill="auto"/>
          </w:tcPr>
          <w:p w14:paraId="1E803CCF" w14:textId="77777777" w:rsidR="00F20ABF" w:rsidRDefault="00F20ABF">
            <w:pPr>
              <w:rPr>
                <w:rFonts w:ascii="宋体"/>
              </w:rPr>
            </w:pPr>
          </w:p>
        </w:tc>
        <w:tc>
          <w:tcPr>
            <w:tcW w:w="5" w:type="pct"/>
            <w:shd w:val="clear" w:color="auto" w:fill="auto"/>
          </w:tcPr>
          <w:p w14:paraId="1E803CD0" w14:textId="77777777" w:rsidR="00F20ABF" w:rsidRDefault="00F20ABF">
            <w:pPr>
              <w:rPr>
                <w:rFonts w:ascii="宋体"/>
              </w:rPr>
            </w:pPr>
          </w:p>
        </w:tc>
        <w:tc>
          <w:tcPr>
            <w:tcW w:w="5" w:type="pct"/>
            <w:shd w:val="clear" w:color="auto" w:fill="auto"/>
          </w:tcPr>
          <w:p w14:paraId="1E803CD1" w14:textId="77777777" w:rsidR="00F20ABF" w:rsidRDefault="00F20ABF">
            <w:pPr>
              <w:rPr>
                <w:rFonts w:ascii="宋体"/>
              </w:rPr>
            </w:pPr>
          </w:p>
        </w:tc>
        <w:tc>
          <w:tcPr>
            <w:tcW w:w="26" w:type="pct"/>
            <w:shd w:val="clear" w:color="auto" w:fill="auto"/>
          </w:tcPr>
          <w:p w14:paraId="1E803CD2" w14:textId="77777777" w:rsidR="00F20ABF" w:rsidRDefault="00F20ABF">
            <w:pPr>
              <w:rPr>
                <w:rFonts w:ascii="宋体"/>
              </w:rPr>
            </w:pPr>
          </w:p>
        </w:tc>
        <w:tc>
          <w:tcPr>
            <w:tcW w:w="5" w:type="pct"/>
            <w:shd w:val="clear" w:color="auto" w:fill="auto"/>
          </w:tcPr>
          <w:p w14:paraId="1E803CD3" w14:textId="77777777" w:rsidR="00F20ABF" w:rsidRDefault="00F20ABF">
            <w:pPr>
              <w:rPr>
                <w:rFonts w:ascii="宋体"/>
              </w:rPr>
            </w:pPr>
          </w:p>
        </w:tc>
        <w:tc>
          <w:tcPr>
            <w:tcW w:w="50" w:type="pct"/>
            <w:shd w:val="clear" w:color="auto" w:fill="auto"/>
          </w:tcPr>
          <w:p w14:paraId="1E803CD4" w14:textId="77777777" w:rsidR="00F20ABF" w:rsidRDefault="00F20ABF">
            <w:pPr>
              <w:rPr>
                <w:rFonts w:ascii="宋体"/>
              </w:rPr>
            </w:pPr>
          </w:p>
        </w:tc>
        <w:tc>
          <w:tcPr>
            <w:tcW w:w="297" w:type="pct"/>
            <w:shd w:val="clear" w:color="auto" w:fill="auto"/>
          </w:tcPr>
          <w:p w14:paraId="1E803CD5" w14:textId="77777777" w:rsidR="00F20ABF" w:rsidRDefault="00F20ABF">
            <w:pPr>
              <w:rPr>
                <w:rFonts w:ascii="宋体"/>
              </w:rPr>
            </w:pPr>
          </w:p>
        </w:tc>
        <w:tc>
          <w:tcPr>
            <w:tcW w:w="5" w:type="pct"/>
            <w:shd w:val="clear" w:color="auto" w:fill="auto"/>
          </w:tcPr>
          <w:p w14:paraId="1E803CD6" w14:textId="77777777" w:rsidR="00F20ABF" w:rsidRDefault="00F20ABF">
            <w:pPr>
              <w:rPr>
                <w:rFonts w:ascii="宋体"/>
              </w:rPr>
            </w:pPr>
          </w:p>
        </w:tc>
        <w:tc>
          <w:tcPr>
            <w:tcW w:w="5" w:type="pct"/>
            <w:shd w:val="clear" w:color="auto" w:fill="auto"/>
          </w:tcPr>
          <w:p w14:paraId="1E803CD7" w14:textId="77777777" w:rsidR="00F20ABF" w:rsidRDefault="00F20ABF">
            <w:pPr>
              <w:rPr>
                <w:rFonts w:ascii="宋体"/>
              </w:rPr>
            </w:pPr>
          </w:p>
        </w:tc>
        <w:tc>
          <w:tcPr>
            <w:tcW w:w="26" w:type="pct"/>
            <w:shd w:val="clear" w:color="auto" w:fill="auto"/>
          </w:tcPr>
          <w:p w14:paraId="1E803CD8" w14:textId="77777777" w:rsidR="00F20ABF" w:rsidRDefault="00F20ABF">
            <w:pPr>
              <w:rPr>
                <w:rFonts w:ascii="宋体"/>
              </w:rPr>
            </w:pPr>
          </w:p>
        </w:tc>
        <w:tc>
          <w:tcPr>
            <w:tcW w:w="5" w:type="pct"/>
            <w:shd w:val="clear" w:color="auto" w:fill="auto"/>
          </w:tcPr>
          <w:p w14:paraId="1E803CD9" w14:textId="77777777" w:rsidR="00F20ABF" w:rsidRDefault="00F20ABF">
            <w:pPr>
              <w:rPr>
                <w:rFonts w:ascii="宋体"/>
              </w:rPr>
            </w:pPr>
          </w:p>
        </w:tc>
        <w:tc>
          <w:tcPr>
            <w:tcW w:w="50" w:type="pct"/>
            <w:shd w:val="clear" w:color="auto" w:fill="auto"/>
          </w:tcPr>
          <w:p w14:paraId="1E803CDA" w14:textId="77777777" w:rsidR="00F20ABF" w:rsidRDefault="00F20ABF">
            <w:pPr>
              <w:rPr>
                <w:rFonts w:ascii="宋体"/>
              </w:rPr>
            </w:pPr>
          </w:p>
        </w:tc>
        <w:tc>
          <w:tcPr>
            <w:tcW w:w="466" w:type="pct"/>
            <w:shd w:val="clear" w:color="auto" w:fill="auto"/>
          </w:tcPr>
          <w:p w14:paraId="1E803CDB" w14:textId="77777777" w:rsidR="00F20ABF" w:rsidRDefault="00F20ABF">
            <w:pPr>
              <w:rPr>
                <w:rFonts w:ascii="宋体"/>
              </w:rPr>
            </w:pPr>
          </w:p>
        </w:tc>
        <w:tc>
          <w:tcPr>
            <w:tcW w:w="5" w:type="pct"/>
            <w:shd w:val="clear" w:color="auto" w:fill="auto"/>
          </w:tcPr>
          <w:p w14:paraId="1E803CDC" w14:textId="77777777" w:rsidR="00F20ABF" w:rsidRDefault="00F20ABF">
            <w:pPr>
              <w:rPr>
                <w:rFonts w:ascii="宋体"/>
              </w:rPr>
            </w:pPr>
          </w:p>
        </w:tc>
      </w:tr>
      <w:tr w:rsidR="00F20ABF" w14:paraId="1E803CEB" w14:textId="77777777">
        <w:trPr>
          <w:trHeight w:val="420"/>
          <w:jc w:val="center"/>
        </w:trPr>
        <w:tc>
          <w:tcPr>
            <w:tcW w:w="0" w:type="auto"/>
            <w:gridSpan w:val="3"/>
            <w:shd w:val="clear" w:color="auto" w:fill="auto"/>
            <w:tcMar>
              <w:top w:w="0" w:type="dxa"/>
              <w:left w:w="20" w:type="dxa"/>
              <w:bottom w:w="0" w:type="dxa"/>
              <w:right w:w="20" w:type="dxa"/>
            </w:tcMar>
          </w:tcPr>
          <w:p w14:paraId="1E803CDE"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3CDF" w14:textId="77777777" w:rsidR="00F20ABF" w:rsidRDefault="00CA4D2F">
            <w:pPr>
              <w:jc w:val="center"/>
              <w:textAlignment w:val="bottom"/>
            </w:pPr>
            <w:r>
              <w:rPr>
                <w:rFonts w:ascii="sans-serif" w:eastAsia="sans-serif" w:hAnsi="sans-serif" w:cs="sans-serif"/>
                <w:b/>
                <w:bCs/>
                <w:color w:val="000000"/>
                <w:sz w:val="15"/>
                <w:szCs w:val="15"/>
              </w:rPr>
              <w:t>Common Stock</w:t>
            </w:r>
          </w:p>
          <w:p w14:paraId="1E803CE0" w14:textId="77777777" w:rsidR="00F20ABF" w:rsidRDefault="00CA4D2F">
            <w:pPr>
              <w:jc w:val="center"/>
              <w:textAlignment w:val="bottom"/>
            </w:pPr>
            <w:r>
              <w:rPr>
                <w:rFonts w:ascii="sans-serif" w:eastAsia="sans-serif" w:hAnsi="sans-serif" w:cs="sans-serif"/>
                <w:b/>
                <w:bCs/>
                <w:color w:val="000000"/>
                <w:sz w:val="15"/>
                <w:szCs w:val="15"/>
              </w:rPr>
              <w:t>Outstanding</w:t>
            </w:r>
          </w:p>
        </w:tc>
        <w:tc>
          <w:tcPr>
            <w:tcW w:w="0" w:type="auto"/>
            <w:gridSpan w:val="3"/>
            <w:shd w:val="clear" w:color="auto" w:fill="auto"/>
            <w:tcMar>
              <w:top w:w="0" w:type="dxa"/>
              <w:left w:w="20" w:type="dxa"/>
              <w:bottom w:w="0" w:type="dxa"/>
              <w:right w:w="20" w:type="dxa"/>
            </w:tcMar>
          </w:tcPr>
          <w:p w14:paraId="1E803CE1" w14:textId="77777777" w:rsidR="00F20ABF" w:rsidRDefault="00F20AB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E803CE2" w14:textId="77777777" w:rsidR="00F20ABF" w:rsidRDefault="00CA4D2F">
            <w:pPr>
              <w:jc w:val="center"/>
              <w:textAlignment w:val="bottom"/>
            </w:pPr>
            <w:r>
              <w:rPr>
                <w:rFonts w:ascii="sans-serif" w:eastAsia="sans-serif" w:hAnsi="sans-serif" w:cs="sans-serif"/>
                <w:b/>
                <w:bCs/>
                <w:color w:val="000000"/>
                <w:sz w:val="15"/>
                <w:szCs w:val="15"/>
              </w:rPr>
              <w:t>Additional Paid-in Capital</w:t>
            </w:r>
          </w:p>
        </w:tc>
        <w:tc>
          <w:tcPr>
            <w:tcW w:w="0" w:type="auto"/>
            <w:gridSpan w:val="3"/>
            <w:shd w:val="clear" w:color="auto" w:fill="auto"/>
            <w:tcMar>
              <w:top w:w="0" w:type="dxa"/>
              <w:left w:w="20" w:type="dxa"/>
              <w:bottom w:w="0" w:type="dxa"/>
              <w:right w:w="20" w:type="dxa"/>
            </w:tcMar>
          </w:tcPr>
          <w:p w14:paraId="1E803CE3" w14:textId="77777777" w:rsidR="00F20ABF" w:rsidRDefault="00F20AB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E803CE4" w14:textId="77777777" w:rsidR="00F20ABF" w:rsidRDefault="00CA4D2F">
            <w:pPr>
              <w:jc w:val="center"/>
              <w:textAlignment w:val="bottom"/>
            </w:pPr>
            <w:r>
              <w:rPr>
                <w:rFonts w:ascii="sans-serif" w:eastAsia="sans-serif" w:hAnsi="sans-serif" w:cs="sans-serif"/>
                <w:b/>
                <w:bCs/>
                <w:color w:val="000000"/>
                <w:sz w:val="15"/>
                <w:szCs w:val="15"/>
              </w:rPr>
              <w:t>Treasury Stock</w:t>
            </w:r>
          </w:p>
        </w:tc>
        <w:tc>
          <w:tcPr>
            <w:tcW w:w="0" w:type="auto"/>
            <w:gridSpan w:val="3"/>
            <w:shd w:val="clear" w:color="auto" w:fill="auto"/>
            <w:tcMar>
              <w:top w:w="0" w:type="dxa"/>
              <w:left w:w="20" w:type="dxa"/>
              <w:bottom w:w="0" w:type="dxa"/>
              <w:right w:w="20" w:type="dxa"/>
            </w:tcMar>
          </w:tcPr>
          <w:p w14:paraId="1E803CE5" w14:textId="77777777" w:rsidR="00F20ABF" w:rsidRDefault="00F20AB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E803CE6" w14:textId="77777777" w:rsidR="00F20ABF" w:rsidRDefault="00CA4D2F">
            <w:pPr>
              <w:jc w:val="center"/>
              <w:textAlignment w:val="bottom"/>
            </w:pPr>
            <w:r>
              <w:rPr>
                <w:rFonts w:ascii="sans-serif" w:eastAsia="sans-serif" w:hAnsi="sans-serif" w:cs="sans-serif"/>
                <w:b/>
                <w:bCs/>
                <w:color w:val="000000"/>
                <w:sz w:val="15"/>
                <w:szCs w:val="15"/>
              </w:rPr>
              <w:t>Accumulated Other Comprehensive Income (Loss)</w:t>
            </w:r>
          </w:p>
        </w:tc>
        <w:tc>
          <w:tcPr>
            <w:tcW w:w="0" w:type="auto"/>
            <w:gridSpan w:val="3"/>
            <w:shd w:val="clear" w:color="auto" w:fill="auto"/>
            <w:tcMar>
              <w:top w:w="0" w:type="dxa"/>
              <w:left w:w="20" w:type="dxa"/>
              <w:bottom w:w="0" w:type="dxa"/>
              <w:right w:w="20" w:type="dxa"/>
            </w:tcMar>
          </w:tcPr>
          <w:p w14:paraId="1E803CE7" w14:textId="77777777" w:rsidR="00F20ABF" w:rsidRDefault="00F20AB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E803CE8" w14:textId="77777777" w:rsidR="00F20ABF" w:rsidRDefault="00CA4D2F">
            <w:pPr>
              <w:jc w:val="center"/>
              <w:textAlignment w:val="bottom"/>
            </w:pPr>
            <w:r>
              <w:rPr>
                <w:rFonts w:ascii="sans-serif" w:eastAsia="sans-serif" w:hAnsi="sans-serif" w:cs="sans-serif"/>
                <w:b/>
                <w:bCs/>
                <w:color w:val="000000"/>
                <w:sz w:val="15"/>
                <w:szCs w:val="15"/>
              </w:rPr>
              <w:t>Retained Earnings</w:t>
            </w:r>
          </w:p>
        </w:tc>
        <w:tc>
          <w:tcPr>
            <w:tcW w:w="0" w:type="auto"/>
            <w:gridSpan w:val="3"/>
            <w:shd w:val="clear" w:color="auto" w:fill="auto"/>
            <w:tcMar>
              <w:top w:w="0" w:type="dxa"/>
              <w:left w:w="20" w:type="dxa"/>
              <w:bottom w:w="0" w:type="dxa"/>
              <w:right w:w="20" w:type="dxa"/>
            </w:tcMar>
          </w:tcPr>
          <w:p w14:paraId="1E803CE9" w14:textId="77777777" w:rsidR="00F20ABF" w:rsidRDefault="00F20AB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E803CEA" w14:textId="77777777" w:rsidR="00F20ABF" w:rsidRDefault="00CA4D2F">
            <w:pPr>
              <w:jc w:val="center"/>
              <w:textAlignment w:val="bottom"/>
            </w:pPr>
            <w:r>
              <w:rPr>
                <w:rFonts w:ascii="sans-serif" w:eastAsia="sans-serif" w:hAnsi="sans-serif" w:cs="sans-serif"/>
                <w:b/>
                <w:bCs/>
                <w:color w:val="000000"/>
                <w:sz w:val="15"/>
                <w:szCs w:val="15"/>
              </w:rPr>
              <w:t>Total Shareholders' Equity</w:t>
            </w:r>
          </w:p>
        </w:tc>
      </w:tr>
      <w:tr w:rsidR="00F20ABF" w14:paraId="1E803CFA" w14:textId="77777777">
        <w:trPr>
          <w:trHeight w:val="240"/>
          <w:jc w:val="center"/>
        </w:trPr>
        <w:tc>
          <w:tcPr>
            <w:tcW w:w="0" w:type="auto"/>
            <w:gridSpan w:val="3"/>
            <w:shd w:val="clear" w:color="auto" w:fill="auto"/>
            <w:tcMar>
              <w:top w:w="40" w:type="dxa"/>
              <w:left w:w="20" w:type="dxa"/>
              <w:bottom w:w="40" w:type="dxa"/>
              <w:right w:w="20" w:type="dxa"/>
            </w:tcMar>
            <w:vAlign w:val="bottom"/>
          </w:tcPr>
          <w:p w14:paraId="1E803CEC" w14:textId="77777777" w:rsidR="00F20ABF" w:rsidRDefault="00CA4D2F">
            <w:pPr>
              <w:textAlignment w:val="bottom"/>
            </w:pPr>
            <w:r>
              <w:rPr>
                <w:rFonts w:ascii="sans-serif" w:eastAsia="sans-serif" w:hAnsi="sans-serif" w:cs="sans-serif"/>
                <w:b/>
                <w:bCs/>
                <w:color w:val="000000"/>
                <w:sz w:val="15"/>
                <w:szCs w:val="15"/>
              </w:rPr>
              <w:t>(In millions, except per share data)</w:t>
            </w:r>
          </w:p>
        </w:tc>
        <w:tc>
          <w:tcPr>
            <w:tcW w:w="0" w:type="auto"/>
            <w:gridSpan w:val="3"/>
            <w:shd w:val="clear" w:color="auto" w:fill="auto"/>
            <w:tcMar>
              <w:top w:w="40" w:type="dxa"/>
              <w:left w:w="20" w:type="dxa"/>
              <w:bottom w:w="40" w:type="dxa"/>
              <w:right w:w="20" w:type="dxa"/>
            </w:tcMar>
            <w:vAlign w:val="bottom"/>
          </w:tcPr>
          <w:p w14:paraId="1E803CED" w14:textId="77777777" w:rsidR="00F20ABF" w:rsidRDefault="00CA4D2F">
            <w:pPr>
              <w:jc w:val="center"/>
              <w:textAlignment w:val="bottom"/>
            </w:pPr>
            <w:r>
              <w:rPr>
                <w:rFonts w:ascii="sans-serif" w:eastAsia="sans-serif" w:hAnsi="sans-serif" w:cs="sans-serif"/>
                <w:b/>
                <w:bCs/>
                <w:color w:val="000000"/>
                <w:sz w:val="15"/>
                <w:szCs w:val="15"/>
              </w:rPr>
              <w:t>Shares</w:t>
            </w:r>
          </w:p>
        </w:tc>
        <w:tc>
          <w:tcPr>
            <w:tcW w:w="0" w:type="auto"/>
            <w:gridSpan w:val="3"/>
            <w:shd w:val="clear" w:color="auto" w:fill="auto"/>
            <w:tcMar>
              <w:top w:w="0" w:type="dxa"/>
              <w:left w:w="20" w:type="dxa"/>
              <w:bottom w:w="0" w:type="dxa"/>
              <w:right w:w="20" w:type="dxa"/>
            </w:tcMar>
          </w:tcPr>
          <w:p w14:paraId="1E803CEE"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3CEF" w14:textId="77777777" w:rsidR="00F20ABF" w:rsidRDefault="00CA4D2F">
            <w:pPr>
              <w:jc w:val="center"/>
              <w:textAlignment w:val="bottom"/>
            </w:pPr>
            <w:r>
              <w:rPr>
                <w:rFonts w:ascii="sans-serif" w:eastAsia="sans-serif" w:hAnsi="sans-serif" w:cs="sans-serif"/>
                <w:b/>
                <w:bCs/>
                <w:color w:val="000000"/>
                <w:sz w:val="15"/>
                <w:szCs w:val="15"/>
              </w:rPr>
              <w:t>Amount</w:t>
            </w:r>
          </w:p>
        </w:tc>
        <w:tc>
          <w:tcPr>
            <w:tcW w:w="0" w:type="auto"/>
            <w:gridSpan w:val="3"/>
            <w:shd w:val="clear" w:color="auto" w:fill="auto"/>
            <w:tcMar>
              <w:top w:w="0" w:type="dxa"/>
              <w:left w:w="20" w:type="dxa"/>
              <w:bottom w:w="0" w:type="dxa"/>
              <w:right w:w="20" w:type="dxa"/>
            </w:tcMar>
          </w:tcPr>
          <w:p w14:paraId="1E803CF0" w14:textId="77777777" w:rsidR="00F20ABF" w:rsidRDefault="00F20ABF">
            <w:pPr>
              <w:rPr>
                <w:rFonts w:ascii="宋体"/>
              </w:rPr>
            </w:pPr>
          </w:p>
        </w:tc>
        <w:tc>
          <w:tcPr>
            <w:tcW w:w="0" w:type="auto"/>
            <w:gridSpan w:val="3"/>
            <w:vMerge/>
            <w:shd w:val="clear" w:color="auto" w:fill="auto"/>
            <w:tcMar>
              <w:top w:w="40" w:type="dxa"/>
              <w:left w:w="20" w:type="dxa"/>
              <w:bottom w:w="40" w:type="dxa"/>
              <w:right w:w="20" w:type="dxa"/>
            </w:tcMar>
            <w:vAlign w:val="bottom"/>
          </w:tcPr>
          <w:p w14:paraId="1E803CF1" w14:textId="77777777" w:rsidR="00F20ABF" w:rsidRDefault="00F20ABF">
            <w:pPr>
              <w:jc w:val="center"/>
              <w:rPr>
                <w:rFonts w:ascii="宋体"/>
              </w:rPr>
            </w:pPr>
          </w:p>
        </w:tc>
        <w:tc>
          <w:tcPr>
            <w:tcW w:w="0" w:type="auto"/>
            <w:gridSpan w:val="3"/>
            <w:shd w:val="clear" w:color="auto" w:fill="auto"/>
            <w:tcMar>
              <w:top w:w="0" w:type="dxa"/>
              <w:left w:w="20" w:type="dxa"/>
              <w:bottom w:w="0" w:type="dxa"/>
              <w:right w:w="20" w:type="dxa"/>
            </w:tcMar>
          </w:tcPr>
          <w:p w14:paraId="1E803CF2" w14:textId="77777777" w:rsidR="00F20ABF" w:rsidRDefault="00F20ABF">
            <w:pPr>
              <w:rPr>
                <w:rFonts w:ascii="宋体"/>
              </w:rPr>
            </w:pPr>
          </w:p>
        </w:tc>
        <w:tc>
          <w:tcPr>
            <w:tcW w:w="0" w:type="auto"/>
            <w:gridSpan w:val="3"/>
            <w:vMerge/>
            <w:shd w:val="clear" w:color="auto" w:fill="auto"/>
            <w:tcMar>
              <w:top w:w="40" w:type="dxa"/>
              <w:left w:w="20" w:type="dxa"/>
              <w:bottom w:w="40" w:type="dxa"/>
              <w:right w:w="20" w:type="dxa"/>
            </w:tcMar>
            <w:vAlign w:val="bottom"/>
          </w:tcPr>
          <w:p w14:paraId="1E803CF3" w14:textId="77777777" w:rsidR="00F20ABF" w:rsidRDefault="00F20ABF">
            <w:pPr>
              <w:jc w:val="center"/>
              <w:rPr>
                <w:rFonts w:ascii="宋体"/>
              </w:rPr>
            </w:pPr>
          </w:p>
        </w:tc>
        <w:tc>
          <w:tcPr>
            <w:tcW w:w="0" w:type="auto"/>
            <w:gridSpan w:val="3"/>
            <w:shd w:val="clear" w:color="auto" w:fill="auto"/>
            <w:tcMar>
              <w:top w:w="0" w:type="dxa"/>
              <w:left w:w="20" w:type="dxa"/>
              <w:bottom w:w="0" w:type="dxa"/>
              <w:right w:w="20" w:type="dxa"/>
            </w:tcMar>
          </w:tcPr>
          <w:p w14:paraId="1E803CF4" w14:textId="77777777" w:rsidR="00F20ABF" w:rsidRDefault="00F20ABF">
            <w:pPr>
              <w:rPr>
                <w:rFonts w:ascii="宋体"/>
              </w:rPr>
            </w:pPr>
          </w:p>
        </w:tc>
        <w:tc>
          <w:tcPr>
            <w:tcW w:w="0" w:type="auto"/>
            <w:gridSpan w:val="3"/>
            <w:vMerge/>
            <w:shd w:val="clear" w:color="auto" w:fill="auto"/>
            <w:tcMar>
              <w:top w:w="40" w:type="dxa"/>
              <w:left w:w="20" w:type="dxa"/>
              <w:bottom w:w="40" w:type="dxa"/>
              <w:right w:w="20" w:type="dxa"/>
            </w:tcMar>
            <w:vAlign w:val="bottom"/>
          </w:tcPr>
          <w:p w14:paraId="1E803CF5" w14:textId="77777777" w:rsidR="00F20ABF" w:rsidRDefault="00F20ABF">
            <w:pPr>
              <w:jc w:val="center"/>
              <w:rPr>
                <w:rFonts w:ascii="宋体"/>
              </w:rPr>
            </w:pPr>
          </w:p>
        </w:tc>
        <w:tc>
          <w:tcPr>
            <w:tcW w:w="0" w:type="auto"/>
            <w:gridSpan w:val="3"/>
            <w:shd w:val="clear" w:color="auto" w:fill="auto"/>
            <w:tcMar>
              <w:top w:w="0" w:type="dxa"/>
              <w:left w:w="20" w:type="dxa"/>
              <w:bottom w:w="0" w:type="dxa"/>
              <w:right w:w="20" w:type="dxa"/>
            </w:tcMar>
          </w:tcPr>
          <w:p w14:paraId="1E803CF6" w14:textId="77777777" w:rsidR="00F20ABF" w:rsidRDefault="00F20ABF">
            <w:pPr>
              <w:rPr>
                <w:rFonts w:ascii="宋体"/>
              </w:rPr>
            </w:pPr>
          </w:p>
        </w:tc>
        <w:tc>
          <w:tcPr>
            <w:tcW w:w="0" w:type="auto"/>
            <w:gridSpan w:val="3"/>
            <w:vMerge/>
            <w:shd w:val="clear" w:color="auto" w:fill="auto"/>
            <w:tcMar>
              <w:top w:w="40" w:type="dxa"/>
              <w:left w:w="20" w:type="dxa"/>
              <w:bottom w:w="40" w:type="dxa"/>
              <w:right w:w="20" w:type="dxa"/>
            </w:tcMar>
            <w:vAlign w:val="bottom"/>
          </w:tcPr>
          <w:p w14:paraId="1E803CF7" w14:textId="77777777" w:rsidR="00F20ABF" w:rsidRDefault="00F20ABF">
            <w:pPr>
              <w:jc w:val="center"/>
              <w:rPr>
                <w:rFonts w:ascii="宋体"/>
              </w:rPr>
            </w:pPr>
          </w:p>
        </w:tc>
        <w:tc>
          <w:tcPr>
            <w:tcW w:w="0" w:type="auto"/>
            <w:gridSpan w:val="3"/>
            <w:shd w:val="clear" w:color="auto" w:fill="auto"/>
            <w:tcMar>
              <w:top w:w="0" w:type="dxa"/>
              <w:left w:w="20" w:type="dxa"/>
              <w:bottom w:w="0" w:type="dxa"/>
              <w:right w:w="20" w:type="dxa"/>
            </w:tcMar>
          </w:tcPr>
          <w:p w14:paraId="1E803CF8" w14:textId="77777777" w:rsidR="00F20ABF" w:rsidRDefault="00F20ABF">
            <w:pPr>
              <w:rPr>
                <w:rFonts w:ascii="宋体"/>
              </w:rPr>
            </w:pPr>
          </w:p>
        </w:tc>
        <w:tc>
          <w:tcPr>
            <w:tcW w:w="0" w:type="auto"/>
            <w:gridSpan w:val="3"/>
            <w:vMerge/>
            <w:shd w:val="clear" w:color="auto" w:fill="auto"/>
            <w:tcMar>
              <w:top w:w="40" w:type="dxa"/>
              <w:left w:w="20" w:type="dxa"/>
              <w:bottom w:w="40" w:type="dxa"/>
              <w:right w:w="20" w:type="dxa"/>
            </w:tcMar>
            <w:vAlign w:val="bottom"/>
          </w:tcPr>
          <w:p w14:paraId="1E803CF9" w14:textId="77777777" w:rsidR="00F20ABF" w:rsidRDefault="00F20ABF">
            <w:pPr>
              <w:jc w:val="center"/>
              <w:rPr>
                <w:rFonts w:ascii="宋体"/>
              </w:rPr>
            </w:pPr>
          </w:p>
        </w:tc>
      </w:tr>
      <w:tr w:rsidR="00F20ABF" w14:paraId="1E803D16" w14:textId="77777777">
        <w:trPr>
          <w:jc w:val="center"/>
        </w:trPr>
        <w:tc>
          <w:tcPr>
            <w:tcW w:w="0" w:type="auto"/>
            <w:gridSpan w:val="3"/>
            <w:shd w:val="clear" w:color="auto" w:fill="E2EFD9"/>
            <w:tcMar>
              <w:top w:w="40" w:type="dxa"/>
              <w:left w:w="20" w:type="dxa"/>
              <w:bottom w:w="40" w:type="dxa"/>
              <w:right w:w="20" w:type="dxa"/>
            </w:tcMar>
            <w:vAlign w:val="bottom"/>
          </w:tcPr>
          <w:p w14:paraId="1E803CFB" w14:textId="77777777" w:rsidR="00F20ABF" w:rsidRDefault="00CA4D2F">
            <w:pPr>
              <w:textAlignment w:val="bottom"/>
            </w:pPr>
            <w:r>
              <w:rPr>
                <w:rFonts w:ascii="sans-serif" w:eastAsia="sans-serif" w:hAnsi="sans-serif" w:cs="sans-serif"/>
                <w:color w:val="000000"/>
                <w:sz w:val="15"/>
                <w:szCs w:val="15"/>
              </w:rPr>
              <w:t>Balances, July 26, 2020</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CFC" w14:textId="77777777" w:rsidR="00F20ABF" w:rsidRDefault="00CA4D2F">
            <w:pPr>
              <w:jc w:val="right"/>
              <w:textAlignment w:val="bottom"/>
            </w:pPr>
            <w:r>
              <w:rPr>
                <w:rFonts w:ascii="sans-serif" w:eastAsia="sans-serif" w:hAnsi="sans-serif" w:cs="sans-serif"/>
                <w:color w:val="000000"/>
                <w:sz w:val="15"/>
                <w:szCs w:val="15"/>
              </w:rPr>
              <w:t>617 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CF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CFE"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CFF"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D00" w14:textId="77777777" w:rsidR="00F20ABF" w:rsidRDefault="00CA4D2F">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D0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02"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D03"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D04" w14:textId="77777777" w:rsidR="00F20ABF" w:rsidRDefault="00CA4D2F">
            <w:pPr>
              <w:jc w:val="right"/>
              <w:textAlignment w:val="bottom"/>
            </w:pPr>
            <w:r>
              <w:rPr>
                <w:rFonts w:ascii="sans-serif" w:eastAsia="sans-serif" w:hAnsi="sans-serif" w:cs="sans-serif"/>
                <w:color w:val="000000"/>
                <w:sz w:val="15"/>
                <w:szCs w:val="15"/>
              </w:rPr>
              <w:t>7,828 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D0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06"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D07"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D08" w14:textId="77777777" w:rsidR="00F20ABF" w:rsidRDefault="00CA4D2F">
            <w:pPr>
              <w:jc w:val="right"/>
              <w:textAlignment w:val="bottom"/>
            </w:pPr>
            <w:r>
              <w:rPr>
                <w:rFonts w:ascii="sans-serif" w:eastAsia="sans-serif" w:hAnsi="sans-serif" w:cs="sans-serif"/>
                <w:color w:val="000000"/>
                <w:sz w:val="15"/>
                <w:szCs w:val="15"/>
              </w:rPr>
              <w:t>(10,232)</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D0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0A"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D0B"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D0C" w14:textId="77777777" w:rsidR="00F20ABF" w:rsidRDefault="00CA4D2F">
            <w:pPr>
              <w:jc w:val="right"/>
              <w:textAlignment w:val="bottom"/>
            </w:pPr>
            <w:r>
              <w:rPr>
                <w:rFonts w:ascii="sans-serif" w:eastAsia="sans-serif" w:hAnsi="sans-serif" w:cs="sans-serif"/>
                <w:color w:val="000000"/>
                <w:sz w:val="15"/>
                <w:szCs w:val="15"/>
              </w:rPr>
              <w:t>4 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D0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0E"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D0F"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D10" w14:textId="77777777" w:rsidR="00F20ABF" w:rsidRDefault="00CA4D2F">
            <w:pPr>
              <w:jc w:val="right"/>
              <w:textAlignment w:val="bottom"/>
            </w:pPr>
            <w:r>
              <w:rPr>
                <w:rFonts w:ascii="sans-serif" w:eastAsia="sans-serif" w:hAnsi="sans-serif" w:cs="sans-serif"/>
                <w:color w:val="000000"/>
                <w:sz w:val="15"/>
                <w:szCs w:val="15"/>
              </w:rPr>
              <w:t>16,313 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D1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12"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D13"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D14" w14:textId="77777777" w:rsidR="00F20ABF" w:rsidRDefault="00CA4D2F">
            <w:pPr>
              <w:jc w:val="right"/>
              <w:textAlignment w:val="bottom"/>
            </w:pPr>
            <w:r>
              <w:rPr>
                <w:rFonts w:ascii="sans-serif" w:eastAsia="sans-serif" w:hAnsi="sans-serif" w:cs="sans-serif"/>
                <w:color w:val="000000"/>
                <w:sz w:val="15"/>
                <w:szCs w:val="15"/>
              </w:rPr>
              <w:t>13,914 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D15" w14:textId="77777777" w:rsidR="00F20ABF" w:rsidRDefault="00F20ABF">
            <w:pPr>
              <w:jc w:val="right"/>
              <w:rPr>
                <w:rFonts w:ascii="宋体"/>
              </w:rPr>
            </w:pPr>
          </w:p>
        </w:tc>
      </w:tr>
      <w:tr w:rsidR="00F20ABF" w14:paraId="1E803D2C" w14:textId="77777777">
        <w:trPr>
          <w:jc w:val="center"/>
        </w:trPr>
        <w:tc>
          <w:tcPr>
            <w:tcW w:w="0" w:type="auto"/>
            <w:gridSpan w:val="3"/>
            <w:shd w:val="clear" w:color="auto" w:fill="FFFFFF"/>
            <w:tcMar>
              <w:top w:w="40" w:type="dxa"/>
              <w:left w:w="20" w:type="dxa"/>
              <w:bottom w:w="40" w:type="dxa"/>
              <w:right w:w="20" w:type="dxa"/>
            </w:tcMar>
            <w:vAlign w:val="bottom"/>
          </w:tcPr>
          <w:p w14:paraId="1E803D17" w14:textId="77777777" w:rsidR="00F20ABF" w:rsidRDefault="00CA4D2F">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1E803D18"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1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1A"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1B"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1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1D"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1E"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1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20"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21"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2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2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24"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2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2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27" w14:textId="77777777" w:rsidR="00F20ABF" w:rsidRDefault="00CA4D2F">
            <w:pPr>
              <w:jc w:val="right"/>
              <w:textAlignment w:val="bottom"/>
            </w:pPr>
            <w:r>
              <w:rPr>
                <w:rFonts w:ascii="sans-serif" w:eastAsia="sans-serif" w:hAnsi="sans-serif" w:cs="sans-serif"/>
                <w:color w:val="000000"/>
                <w:sz w:val="15"/>
                <w:szCs w:val="15"/>
              </w:rPr>
              <w:t>1,336 </w:t>
            </w:r>
          </w:p>
        </w:tc>
        <w:tc>
          <w:tcPr>
            <w:tcW w:w="0" w:type="auto"/>
            <w:shd w:val="clear" w:color="auto" w:fill="FFFFFF"/>
            <w:tcMar>
              <w:top w:w="40" w:type="dxa"/>
              <w:left w:w="0" w:type="dxa"/>
              <w:bottom w:w="40" w:type="dxa"/>
              <w:right w:w="20" w:type="dxa"/>
            </w:tcMar>
            <w:vAlign w:val="bottom"/>
          </w:tcPr>
          <w:p w14:paraId="1E803D2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29"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2A" w14:textId="77777777" w:rsidR="00F20ABF" w:rsidRDefault="00CA4D2F">
            <w:pPr>
              <w:jc w:val="right"/>
              <w:textAlignment w:val="bottom"/>
            </w:pPr>
            <w:r>
              <w:rPr>
                <w:rFonts w:ascii="sans-serif" w:eastAsia="sans-serif" w:hAnsi="sans-serif" w:cs="sans-serif"/>
                <w:color w:val="000000"/>
                <w:sz w:val="15"/>
                <w:szCs w:val="15"/>
              </w:rPr>
              <w:t>1,336 </w:t>
            </w:r>
          </w:p>
        </w:tc>
        <w:tc>
          <w:tcPr>
            <w:tcW w:w="0" w:type="auto"/>
            <w:shd w:val="clear" w:color="auto" w:fill="FFFFFF"/>
            <w:tcMar>
              <w:top w:w="40" w:type="dxa"/>
              <w:left w:w="0" w:type="dxa"/>
              <w:bottom w:w="40" w:type="dxa"/>
              <w:right w:w="20" w:type="dxa"/>
            </w:tcMar>
            <w:vAlign w:val="bottom"/>
          </w:tcPr>
          <w:p w14:paraId="1E803D2B" w14:textId="77777777" w:rsidR="00F20ABF" w:rsidRDefault="00F20ABF">
            <w:pPr>
              <w:jc w:val="right"/>
              <w:rPr>
                <w:rFonts w:ascii="宋体"/>
              </w:rPr>
            </w:pPr>
          </w:p>
        </w:tc>
      </w:tr>
      <w:tr w:rsidR="00F20ABF" w14:paraId="1E803D42" w14:textId="77777777">
        <w:trPr>
          <w:jc w:val="center"/>
        </w:trPr>
        <w:tc>
          <w:tcPr>
            <w:tcW w:w="0" w:type="auto"/>
            <w:gridSpan w:val="3"/>
            <w:shd w:val="clear" w:color="auto" w:fill="E2EFD9"/>
            <w:tcMar>
              <w:top w:w="40" w:type="dxa"/>
              <w:left w:w="20" w:type="dxa"/>
              <w:bottom w:w="40" w:type="dxa"/>
              <w:right w:w="20" w:type="dxa"/>
            </w:tcMar>
            <w:vAlign w:val="bottom"/>
          </w:tcPr>
          <w:p w14:paraId="1E803D2D" w14:textId="77777777" w:rsidR="00F20ABF" w:rsidRDefault="00CA4D2F">
            <w:pPr>
              <w:textAlignment w:val="bottom"/>
            </w:pPr>
            <w:r>
              <w:rPr>
                <w:rFonts w:ascii="sans-serif" w:eastAsia="sans-serif" w:hAnsi="sans-serif" w:cs="sans-serif"/>
                <w:color w:val="000000"/>
                <w:sz w:val="15"/>
                <w:szCs w:val="15"/>
              </w:rPr>
              <w:t>Other comprehensive income</w:t>
            </w:r>
          </w:p>
        </w:tc>
        <w:tc>
          <w:tcPr>
            <w:tcW w:w="0" w:type="auto"/>
            <w:gridSpan w:val="2"/>
            <w:shd w:val="clear" w:color="auto" w:fill="E2EFD9"/>
            <w:tcMar>
              <w:top w:w="40" w:type="dxa"/>
              <w:left w:w="20" w:type="dxa"/>
              <w:bottom w:w="40" w:type="dxa"/>
              <w:right w:w="0" w:type="dxa"/>
            </w:tcMar>
            <w:vAlign w:val="bottom"/>
          </w:tcPr>
          <w:p w14:paraId="1E803D2E"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D2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30"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31"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D3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33"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34"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D3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36"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37"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D3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3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3A" w14:textId="77777777" w:rsidR="00F20ABF" w:rsidRDefault="00CA4D2F">
            <w:pPr>
              <w:jc w:val="right"/>
              <w:textAlignment w:val="bottom"/>
            </w:pPr>
            <w:r>
              <w:rPr>
                <w:rFonts w:ascii="sans-serif" w:eastAsia="sans-serif" w:hAnsi="sans-serif" w:cs="sans-serif"/>
                <w:color w:val="000000"/>
                <w:sz w:val="15"/>
                <w:szCs w:val="15"/>
              </w:rPr>
              <w:t>8 </w:t>
            </w:r>
          </w:p>
        </w:tc>
        <w:tc>
          <w:tcPr>
            <w:tcW w:w="0" w:type="auto"/>
            <w:shd w:val="clear" w:color="auto" w:fill="E2EFD9"/>
            <w:tcMar>
              <w:top w:w="40" w:type="dxa"/>
              <w:left w:w="0" w:type="dxa"/>
              <w:bottom w:w="40" w:type="dxa"/>
              <w:right w:w="20" w:type="dxa"/>
            </w:tcMar>
            <w:vAlign w:val="bottom"/>
          </w:tcPr>
          <w:p w14:paraId="1E803D3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3C"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3D"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D3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3F"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40" w14:textId="77777777" w:rsidR="00F20ABF" w:rsidRDefault="00CA4D2F">
            <w:pPr>
              <w:jc w:val="right"/>
              <w:textAlignment w:val="bottom"/>
            </w:pPr>
            <w:r>
              <w:rPr>
                <w:rFonts w:ascii="sans-serif" w:eastAsia="sans-serif" w:hAnsi="sans-serif" w:cs="sans-serif"/>
                <w:color w:val="000000"/>
                <w:sz w:val="15"/>
                <w:szCs w:val="15"/>
              </w:rPr>
              <w:t>8 </w:t>
            </w:r>
          </w:p>
        </w:tc>
        <w:tc>
          <w:tcPr>
            <w:tcW w:w="0" w:type="auto"/>
            <w:shd w:val="clear" w:color="auto" w:fill="E2EFD9"/>
            <w:tcMar>
              <w:top w:w="40" w:type="dxa"/>
              <w:left w:w="0" w:type="dxa"/>
              <w:bottom w:w="40" w:type="dxa"/>
              <w:right w:w="20" w:type="dxa"/>
            </w:tcMar>
            <w:vAlign w:val="bottom"/>
          </w:tcPr>
          <w:p w14:paraId="1E803D41" w14:textId="77777777" w:rsidR="00F20ABF" w:rsidRDefault="00F20ABF">
            <w:pPr>
              <w:jc w:val="right"/>
              <w:rPr>
                <w:rFonts w:ascii="宋体"/>
              </w:rPr>
            </w:pPr>
          </w:p>
        </w:tc>
      </w:tr>
      <w:tr w:rsidR="00F20ABF" w14:paraId="1E803D58" w14:textId="77777777">
        <w:trPr>
          <w:jc w:val="center"/>
        </w:trPr>
        <w:tc>
          <w:tcPr>
            <w:tcW w:w="0" w:type="auto"/>
            <w:gridSpan w:val="3"/>
            <w:shd w:val="clear" w:color="auto" w:fill="FFFFFF"/>
            <w:tcMar>
              <w:top w:w="40" w:type="dxa"/>
              <w:left w:w="20" w:type="dxa"/>
              <w:bottom w:w="40" w:type="dxa"/>
              <w:right w:w="20" w:type="dxa"/>
            </w:tcMar>
            <w:vAlign w:val="bottom"/>
          </w:tcPr>
          <w:p w14:paraId="1E803D43" w14:textId="77777777" w:rsidR="00F20ABF" w:rsidRDefault="00CA4D2F">
            <w:pPr>
              <w:textAlignment w:val="bottom"/>
            </w:pPr>
            <w:r>
              <w:rPr>
                <w:rFonts w:ascii="sans-serif" w:eastAsia="sans-serif" w:hAnsi="sans-serif" w:cs="sans-serif"/>
                <w:color w:val="000000"/>
                <w:sz w:val="15"/>
                <w:szCs w:val="15"/>
              </w:rPr>
              <w:t>Issuance of common stock from stock</w:t>
            </w:r>
            <w:r>
              <w:rPr>
                <w:rFonts w:ascii="sans-serif" w:eastAsia="sans-serif" w:hAnsi="sans-serif" w:cs="sans-serif"/>
                <w:color w:val="000000"/>
                <w:sz w:val="15"/>
                <w:szCs w:val="15"/>
              </w:rPr>
              <w:t xml:space="preserve"> plans </w:t>
            </w:r>
          </w:p>
        </w:tc>
        <w:tc>
          <w:tcPr>
            <w:tcW w:w="0" w:type="auto"/>
            <w:gridSpan w:val="2"/>
            <w:shd w:val="clear" w:color="auto" w:fill="FFFFFF"/>
            <w:tcMar>
              <w:top w:w="40" w:type="dxa"/>
              <w:left w:w="20" w:type="dxa"/>
              <w:bottom w:w="40" w:type="dxa"/>
              <w:right w:w="0" w:type="dxa"/>
            </w:tcMar>
            <w:vAlign w:val="bottom"/>
          </w:tcPr>
          <w:p w14:paraId="1E803D44" w14:textId="77777777" w:rsidR="00F20ABF" w:rsidRDefault="00CA4D2F">
            <w:pPr>
              <w:jc w:val="right"/>
              <w:textAlignment w:val="bottom"/>
            </w:pPr>
            <w:r>
              <w:rPr>
                <w:rFonts w:ascii="sans-serif" w:eastAsia="sans-serif" w:hAnsi="sans-serif" w:cs="sans-serif"/>
                <w:color w:val="000000"/>
                <w:sz w:val="15"/>
                <w:szCs w:val="15"/>
              </w:rPr>
              <w:t>3 </w:t>
            </w:r>
          </w:p>
        </w:tc>
        <w:tc>
          <w:tcPr>
            <w:tcW w:w="0" w:type="auto"/>
            <w:shd w:val="clear" w:color="auto" w:fill="FFFFFF"/>
            <w:tcMar>
              <w:top w:w="40" w:type="dxa"/>
              <w:left w:w="0" w:type="dxa"/>
              <w:bottom w:w="40" w:type="dxa"/>
              <w:right w:w="20" w:type="dxa"/>
            </w:tcMar>
            <w:vAlign w:val="bottom"/>
          </w:tcPr>
          <w:p w14:paraId="1E803D4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4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47"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4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49"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4A" w14:textId="77777777" w:rsidR="00F20ABF" w:rsidRDefault="00CA4D2F">
            <w:pPr>
              <w:jc w:val="right"/>
              <w:textAlignment w:val="bottom"/>
            </w:pPr>
            <w:r>
              <w:rPr>
                <w:rFonts w:ascii="sans-serif" w:eastAsia="sans-serif" w:hAnsi="sans-serif" w:cs="sans-serif"/>
                <w:color w:val="000000"/>
                <w:sz w:val="15"/>
                <w:szCs w:val="15"/>
              </w:rPr>
              <w:t>96 </w:t>
            </w:r>
          </w:p>
        </w:tc>
        <w:tc>
          <w:tcPr>
            <w:tcW w:w="0" w:type="auto"/>
            <w:shd w:val="clear" w:color="auto" w:fill="FFFFFF"/>
            <w:tcMar>
              <w:top w:w="40" w:type="dxa"/>
              <w:left w:w="0" w:type="dxa"/>
              <w:bottom w:w="40" w:type="dxa"/>
              <w:right w:w="20" w:type="dxa"/>
            </w:tcMar>
            <w:vAlign w:val="bottom"/>
          </w:tcPr>
          <w:p w14:paraId="1E803D4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4C"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4D"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4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4F"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50"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5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52"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53"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54"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55"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56" w14:textId="77777777" w:rsidR="00F20ABF" w:rsidRDefault="00CA4D2F">
            <w:pPr>
              <w:jc w:val="right"/>
              <w:textAlignment w:val="bottom"/>
            </w:pPr>
            <w:r>
              <w:rPr>
                <w:rFonts w:ascii="sans-serif" w:eastAsia="sans-serif" w:hAnsi="sans-serif" w:cs="sans-serif"/>
                <w:color w:val="000000"/>
                <w:sz w:val="15"/>
                <w:szCs w:val="15"/>
              </w:rPr>
              <w:t>96 </w:t>
            </w:r>
          </w:p>
        </w:tc>
        <w:tc>
          <w:tcPr>
            <w:tcW w:w="0" w:type="auto"/>
            <w:shd w:val="clear" w:color="auto" w:fill="FFFFFF"/>
            <w:tcMar>
              <w:top w:w="40" w:type="dxa"/>
              <w:left w:w="0" w:type="dxa"/>
              <w:bottom w:w="40" w:type="dxa"/>
              <w:right w:w="20" w:type="dxa"/>
            </w:tcMar>
            <w:vAlign w:val="bottom"/>
          </w:tcPr>
          <w:p w14:paraId="1E803D57" w14:textId="77777777" w:rsidR="00F20ABF" w:rsidRDefault="00F20ABF">
            <w:pPr>
              <w:jc w:val="right"/>
              <w:rPr>
                <w:rFonts w:ascii="宋体"/>
              </w:rPr>
            </w:pPr>
          </w:p>
        </w:tc>
      </w:tr>
      <w:tr w:rsidR="00F20ABF" w14:paraId="1E803D6E" w14:textId="77777777">
        <w:trPr>
          <w:jc w:val="center"/>
        </w:trPr>
        <w:tc>
          <w:tcPr>
            <w:tcW w:w="0" w:type="auto"/>
            <w:gridSpan w:val="3"/>
            <w:shd w:val="clear" w:color="auto" w:fill="E2EFD9"/>
            <w:tcMar>
              <w:top w:w="40" w:type="dxa"/>
              <w:left w:w="20" w:type="dxa"/>
              <w:bottom w:w="40" w:type="dxa"/>
              <w:right w:w="20" w:type="dxa"/>
            </w:tcMar>
            <w:vAlign w:val="bottom"/>
          </w:tcPr>
          <w:p w14:paraId="1E803D59" w14:textId="77777777" w:rsidR="00F20ABF" w:rsidRDefault="00CA4D2F">
            <w:pPr>
              <w:textAlignment w:val="bottom"/>
            </w:pPr>
            <w:r>
              <w:rPr>
                <w:rFonts w:ascii="sans-serif" w:eastAsia="sans-serif" w:hAnsi="sans-serif" w:cs="sans-serif"/>
                <w:color w:val="000000"/>
                <w:sz w:val="15"/>
                <w:szCs w:val="15"/>
              </w:rPr>
              <w:t xml:space="preserve">Tax withholding related to vesting </w:t>
            </w:r>
            <w:r>
              <w:rPr>
                <w:rFonts w:ascii="sans-serif" w:eastAsia="sans-serif" w:hAnsi="sans-serif" w:cs="sans-serif"/>
                <w:color w:val="000000"/>
                <w:sz w:val="15"/>
                <w:szCs w:val="15"/>
              </w:rPr>
              <w:t>of restricted stock units</w:t>
            </w:r>
          </w:p>
        </w:tc>
        <w:tc>
          <w:tcPr>
            <w:tcW w:w="0" w:type="auto"/>
            <w:gridSpan w:val="2"/>
            <w:shd w:val="clear" w:color="auto" w:fill="E2EFD9"/>
            <w:tcMar>
              <w:top w:w="40" w:type="dxa"/>
              <w:left w:w="20" w:type="dxa"/>
              <w:bottom w:w="40" w:type="dxa"/>
              <w:right w:w="0" w:type="dxa"/>
            </w:tcMar>
            <w:vAlign w:val="bottom"/>
          </w:tcPr>
          <w:p w14:paraId="1E803D5A" w14:textId="77777777" w:rsidR="00F20ABF" w:rsidRDefault="00CA4D2F">
            <w:pPr>
              <w:jc w:val="right"/>
              <w:textAlignment w:val="bottom"/>
            </w:pPr>
            <w:r>
              <w:rPr>
                <w:rFonts w:ascii="sans-serif" w:eastAsia="sans-serif" w:hAnsi="sans-serif" w:cs="sans-serif"/>
                <w:color w:val="000000"/>
                <w:sz w:val="15"/>
                <w:szCs w:val="15"/>
              </w:rPr>
              <w:t>(1)</w:t>
            </w:r>
          </w:p>
        </w:tc>
        <w:tc>
          <w:tcPr>
            <w:tcW w:w="0" w:type="auto"/>
            <w:shd w:val="clear" w:color="auto" w:fill="E2EFD9"/>
            <w:tcMar>
              <w:top w:w="40" w:type="dxa"/>
              <w:left w:w="0" w:type="dxa"/>
              <w:bottom w:w="40" w:type="dxa"/>
              <w:right w:w="20" w:type="dxa"/>
            </w:tcMar>
            <w:vAlign w:val="bottom"/>
          </w:tcPr>
          <w:p w14:paraId="1E803D5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5C"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5D"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D5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5F"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60"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D6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62"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63" w14:textId="77777777" w:rsidR="00F20ABF" w:rsidRDefault="00CA4D2F">
            <w:pPr>
              <w:jc w:val="right"/>
              <w:textAlignment w:val="bottom"/>
            </w:pPr>
            <w:r>
              <w:rPr>
                <w:rFonts w:ascii="sans-serif" w:eastAsia="sans-serif" w:hAnsi="sans-serif" w:cs="sans-serif"/>
                <w:color w:val="000000"/>
                <w:sz w:val="15"/>
                <w:szCs w:val="15"/>
              </w:rPr>
              <w:t>(298)</w:t>
            </w:r>
          </w:p>
        </w:tc>
        <w:tc>
          <w:tcPr>
            <w:tcW w:w="0" w:type="auto"/>
            <w:shd w:val="clear" w:color="auto" w:fill="E2EFD9"/>
            <w:tcMar>
              <w:top w:w="40" w:type="dxa"/>
              <w:left w:w="0" w:type="dxa"/>
              <w:bottom w:w="40" w:type="dxa"/>
              <w:right w:w="20" w:type="dxa"/>
            </w:tcMar>
            <w:vAlign w:val="bottom"/>
          </w:tcPr>
          <w:p w14:paraId="1E803D6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65"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66"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D6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68"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69"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D6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6B"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6C" w14:textId="77777777" w:rsidR="00F20ABF" w:rsidRDefault="00CA4D2F">
            <w:pPr>
              <w:jc w:val="right"/>
              <w:textAlignment w:val="bottom"/>
            </w:pPr>
            <w:r>
              <w:rPr>
                <w:rFonts w:ascii="sans-serif" w:eastAsia="sans-serif" w:hAnsi="sans-serif" w:cs="sans-serif"/>
                <w:color w:val="000000"/>
                <w:sz w:val="15"/>
                <w:szCs w:val="15"/>
              </w:rPr>
              <w:t>(298)</w:t>
            </w:r>
          </w:p>
        </w:tc>
        <w:tc>
          <w:tcPr>
            <w:tcW w:w="0" w:type="auto"/>
            <w:shd w:val="clear" w:color="auto" w:fill="E2EFD9"/>
            <w:tcMar>
              <w:top w:w="40" w:type="dxa"/>
              <w:left w:w="0" w:type="dxa"/>
              <w:bottom w:w="40" w:type="dxa"/>
              <w:right w:w="20" w:type="dxa"/>
            </w:tcMar>
            <w:vAlign w:val="bottom"/>
          </w:tcPr>
          <w:p w14:paraId="1E803D6D" w14:textId="77777777" w:rsidR="00F20ABF" w:rsidRDefault="00F20ABF">
            <w:pPr>
              <w:jc w:val="right"/>
              <w:rPr>
                <w:rFonts w:ascii="宋体"/>
              </w:rPr>
            </w:pPr>
          </w:p>
        </w:tc>
      </w:tr>
      <w:tr w:rsidR="00F20ABF" w14:paraId="1E803D7D" w14:textId="77777777">
        <w:trPr>
          <w:jc w:val="center"/>
          <w:hidden/>
        </w:trPr>
        <w:tc>
          <w:tcPr>
            <w:tcW w:w="0" w:type="auto"/>
            <w:gridSpan w:val="3"/>
            <w:shd w:val="clear" w:color="auto" w:fill="auto"/>
          </w:tcPr>
          <w:p w14:paraId="1E803D6F" w14:textId="77777777" w:rsidR="00F20ABF" w:rsidRDefault="00F20ABF">
            <w:pPr>
              <w:rPr>
                <w:rFonts w:ascii="宋体"/>
                <w:vanish/>
              </w:rPr>
            </w:pPr>
          </w:p>
        </w:tc>
        <w:tc>
          <w:tcPr>
            <w:tcW w:w="0" w:type="auto"/>
            <w:gridSpan w:val="3"/>
            <w:shd w:val="clear" w:color="auto" w:fill="auto"/>
          </w:tcPr>
          <w:p w14:paraId="1E803D70" w14:textId="77777777" w:rsidR="00F20ABF" w:rsidRDefault="00F20ABF">
            <w:pPr>
              <w:rPr>
                <w:rFonts w:ascii="宋体"/>
                <w:vanish/>
              </w:rPr>
            </w:pPr>
          </w:p>
        </w:tc>
        <w:tc>
          <w:tcPr>
            <w:tcW w:w="0" w:type="auto"/>
            <w:gridSpan w:val="3"/>
            <w:shd w:val="clear" w:color="auto" w:fill="auto"/>
          </w:tcPr>
          <w:p w14:paraId="1E803D71" w14:textId="77777777" w:rsidR="00F20ABF" w:rsidRDefault="00F20ABF">
            <w:pPr>
              <w:rPr>
                <w:rFonts w:ascii="宋体"/>
                <w:vanish/>
              </w:rPr>
            </w:pPr>
          </w:p>
        </w:tc>
        <w:tc>
          <w:tcPr>
            <w:tcW w:w="0" w:type="auto"/>
            <w:gridSpan w:val="3"/>
            <w:shd w:val="clear" w:color="auto" w:fill="auto"/>
          </w:tcPr>
          <w:p w14:paraId="1E803D72" w14:textId="77777777" w:rsidR="00F20ABF" w:rsidRDefault="00F20ABF">
            <w:pPr>
              <w:rPr>
                <w:rFonts w:ascii="宋体"/>
                <w:vanish/>
              </w:rPr>
            </w:pPr>
          </w:p>
        </w:tc>
        <w:tc>
          <w:tcPr>
            <w:tcW w:w="0" w:type="auto"/>
            <w:gridSpan w:val="3"/>
            <w:shd w:val="clear" w:color="auto" w:fill="auto"/>
          </w:tcPr>
          <w:p w14:paraId="1E803D73" w14:textId="77777777" w:rsidR="00F20ABF" w:rsidRDefault="00F20ABF">
            <w:pPr>
              <w:rPr>
                <w:rFonts w:ascii="宋体"/>
                <w:vanish/>
              </w:rPr>
            </w:pPr>
          </w:p>
        </w:tc>
        <w:tc>
          <w:tcPr>
            <w:tcW w:w="0" w:type="auto"/>
            <w:gridSpan w:val="3"/>
            <w:shd w:val="clear" w:color="auto" w:fill="auto"/>
          </w:tcPr>
          <w:p w14:paraId="1E803D74" w14:textId="77777777" w:rsidR="00F20ABF" w:rsidRDefault="00F20ABF">
            <w:pPr>
              <w:rPr>
                <w:rFonts w:ascii="宋体"/>
                <w:vanish/>
              </w:rPr>
            </w:pPr>
          </w:p>
        </w:tc>
        <w:tc>
          <w:tcPr>
            <w:tcW w:w="0" w:type="auto"/>
            <w:gridSpan w:val="3"/>
            <w:shd w:val="clear" w:color="auto" w:fill="auto"/>
          </w:tcPr>
          <w:p w14:paraId="1E803D75" w14:textId="77777777" w:rsidR="00F20ABF" w:rsidRDefault="00F20ABF">
            <w:pPr>
              <w:rPr>
                <w:rFonts w:ascii="宋体"/>
                <w:vanish/>
              </w:rPr>
            </w:pPr>
          </w:p>
        </w:tc>
        <w:tc>
          <w:tcPr>
            <w:tcW w:w="0" w:type="auto"/>
            <w:gridSpan w:val="3"/>
            <w:shd w:val="clear" w:color="auto" w:fill="auto"/>
          </w:tcPr>
          <w:p w14:paraId="1E803D76" w14:textId="77777777" w:rsidR="00F20ABF" w:rsidRDefault="00F20ABF">
            <w:pPr>
              <w:rPr>
                <w:rFonts w:ascii="宋体"/>
                <w:vanish/>
              </w:rPr>
            </w:pPr>
          </w:p>
        </w:tc>
        <w:tc>
          <w:tcPr>
            <w:tcW w:w="0" w:type="auto"/>
            <w:gridSpan w:val="3"/>
            <w:shd w:val="clear" w:color="auto" w:fill="auto"/>
          </w:tcPr>
          <w:p w14:paraId="1E803D77" w14:textId="77777777" w:rsidR="00F20ABF" w:rsidRDefault="00F20ABF">
            <w:pPr>
              <w:rPr>
                <w:rFonts w:ascii="宋体"/>
                <w:vanish/>
              </w:rPr>
            </w:pPr>
          </w:p>
        </w:tc>
        <w:tc>
          <w:tcPr>
            <w:tcW w:w="0" w:type="auto"/>
            <w:gridSpan w:val="3"/>
            <w:shd w:val="clear" w:color="auto" w:fill="auto"/>
          </w:tcPr>
          <w:p w14:paraId="1E803D78" w14:textId="77777777" w:rsidR="00F20ABF" w:rsidRDefault="00F20ABF">
            <w:pPr>
              <w:rPr>
                <w:rFonts w:ascii="宋体"/>
                <w:vanish/>
              </w:rPr>
            </w:pPr>
          </w:p>
        </w:tc>
        <w:tc>
          <w:tcPr>
            <w:tcW w:w="0" w:type="auto"/>
            <w:gridSpan w:val="3"/>
            <w:shd w:val="clear" w:color="auto" w:fill="auto"/>
          </w:tcPr>
          <w:p w14:paraId="1E803D79" w14:textId="77777777" w:rsidR="00F20ABF" w:rsidRDefault="00F20ABF">
            <w:pPr>
              <w:rPr>
                <w:rFonts w:ascii="宋体"/>
                <w:vanish/>
              </w:rPr>
            </w:pPr>
          </w:p>
        </w:tc>
        <w:tc>
          <w:tcPr>
            <w:tcW w:w="0" w:type="auto"/>
            <w:gridSpan w:val="3"/>
            <w:shd w:val="clear" w:color="auto" w:fill="auto"/>
          </w:tcPr>
          <w:p w14:paraId="1E803D7A" w14:textId="77777777" w:rsidR="00F20ABF" w:rsidRDefault="00F20ABF">
            <w:pPr>
              <w:rPr>
                <w:rFonts w:ascii="宋体"/>
                <w:vanish/>
              </w:rPr>
            </w:pPr>
          </w:p>
        </w:tc>
        <w:tc>
          <w:tcPr>
            <w:tcW w:w="0" w:type="auto"/>
            <w:gridSpan w:val="3"/>
            <w:shd w:val="clear" w:color="auto" w:fill="auto"/>
          </w:tcPr>
          <w:p w14:paraId="1E803D7B" w14:textId="77777777" w:rsidR="00F20ABF" w:rsidRDefault="00F20ABF">
            <w:pPr>
              <w:rPr>
                <w:rFonts w:ascii="宋体"/>
                <w:vanish/>
              </w:rPr>
            </w:pPr>
          </w:p>
        </w:tc>
        <w:tc>
          <w:tcPr>
            <w:tcW w:w="0" w:type="auto"/>
            <w:gridSpan w:val="3"/>
            <w:shd w:val="clear" w:color="auto" w:fill="auto"/>
          </w:tcPr>
          <w:p w14:paraId="1E803D7C" w14:textId="77777777" w:rsidR="00F20ABF" w:rsidRDefault="00F20ABF">
            <w:pPr>
              <w:rPr>
                <w:rFonts w:ascii="宋体"/>
                <w:vanish/>
              </w:rPr>
            </w:pPr>
          </w:p>
        </w:tc>
      </w:tr>
      <w:tr w:rsidR="00F20ABF" w14:paraId="1E803D93" w14:textId="77777777">
        <w:trPr>
          <w:jc w:val="center"/>
        </w:trPr>
        <w:tc>
          <w:tcPr>
            <w:tcW w:w="0" w:type="auto"/>
            <w:gridSpan w:val="3"/>
            <w:shd w:val="clear" w:color="auto" w:fill="FFFFFF"/>
            <w:tcMar>
              <w:top w:w="40" w:type="dxa"/>
              <w:left w:w="20" w:type="dxa"/>
              <w:bottom w:w="40" w:type="dxa"/>
              <w:right w:w="20" w:type="dxa"/>
            </w:tcMar>
            <w:vAlign w:val="bottom"/>
          </w:tcPr>
          <w:p w14:paraId="1E803D7E" w14:textId="77777777" w:rsidR="00F20ABF" w:rsidRDefault="00CA4D2F">
            <w:pPr>
              <w:textAlignment w:val="bottom"/>
            </w:pPr>
            <w:r>
              <w:rPr>
                <w:rFonts w:ascii="sans-serif" w:eastAsia="sans-serif" w:hAnsi="sans-serif" w:cs="sans-serif"/>
                <w:color w:val="000000"/>
                <w:sz w:val="15"/>
                <w:szCs w:val="15"/>
              </w:rPr>
              <w:t xml:space="preserve">Cash </w:t>
            </w:r>
            <w:r>
              <w:rPr>
                <w:rFonts w:ascii="sans-serif" w:eastAsia="sans-serif" w:hAnsi="sans-serif" w:cs="sans-serif"/>
                <w:color w:val="000000"/>
                <w:sz w:val="15"/>
                <w:szCs w:val="15"/>
              </w:rPr>
              <w:t>dividends declared and paid ($0.16 per common share)</w:t>
            </w:r>
          </w:p>
        </w:tc>
        <w:tc>
          <w:tcPr>
            <w:tcW w:w="0" w:type="auto"/>
            <w:gridSpan w:val="2"/>
            <w:shd w:val="clear" w:color="auto" w:fill="FFFFFF"/>
            <w:tcMar>
              <w:top w:w="40" w:type="dxa"/>
              <w:left w:w="20" w:type="dxa"/>
              <w:bottom w:w="40" w:type="dxa"/>
              <w:right w:w="0" w:type="dxa"/>
            </w:tcMar>
            <w:vAlign w:val="bottom"/>
          </w:tcPr>
          <w:p w14:paraId="1E803D7F"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80"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81"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82"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83"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84"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85"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8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87"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88"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8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8A"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8B"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8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8D"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8E" w14:textId="77777777" w:rsidR="00F20ABF" w:rsidRDefault="00CA4D2F">
            <w:pPr>
              <w:jc w:val="right"/>
              <w:textAlignment w:val="bottom"/>
            </w:pPr>
            <w:r>
              <w:rPr>
                <w:rFonts w:ascii="sans-serif" w:eastAsia="sans-serif" w:hAnsi="sans-serif" w:cs="sans-serif"/>
                <w:color w:val="000000"/>
                <w:sz w:val="15"/>
                <w:szCs w:val="15"/>
              </w:rPr>
              <w:t>(99)</w:t>
            </w:r>
          </w:p>
        </w:tc>
        <w:tc>
          <w:tcPr>
            <w:tcW w:w="0" w:type="auto"/>
            <w:shd w:val="clear" w:color="auto" w:fill="FFFFFF"/>
            <w:tcMar>
              <w:top w:w="40" w:type="dxa"/>
              <w:left w:w="0" w:type="dxa"/>
              <w:bottom w:w="40" w:type="dxa"/>
              <w:right w:w="20" w:type="dxa"/>
            </w:tcMar>
            <w:vAlign w:val="bottom"/>
          </w:tcPr>
          <w:p w14:paraId="1E803D8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90"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91" w14:textId="77777777" w:rsidR="00F20ABF" w:rsidRDefault="00CA4D2F">
            <w:pPr>
              <w:jc w:val="right"/>
              <w:textAlignment w:val="bottom"/>
            </w:pPr>
            <w:r>
              <w:rPr>
                <w:rFonts w:ascii="sans-serif" w:eastAsia="sans-serif" w:hAnsi="sans-serif" w:cs="sans-serif"/>
                <w:color w:val="000000"/>
                <w:sz w:val="15"/>
                <w:szCs w:val="15"/>
              </w:rPr>
              <w:t>(99)</w:t>
            </w:r>
          </w:p>
        </w:tc>
        <w:tc>
          <w:tcPr>
            <w:tcW w:w="0" w:type="auto"/>
            <w:shd w:val="clear" w:color="auto" w:fill="FFFFFF"/>
            <w:tcMar>
              <w:top w:w="40" w:type="dxa"/>
              <w:left w:w="0" w:type="dxa"/>
              <w:bottom w:w="40" w:type="dxa"/>
              <w:right w:w="20" w:type="dxa"/>
            </w:tcMar>
            <w:vAlign w:val="bottom"/>
          </w:tcPr>
          <w:p w14:paraId="1E803D92" w14:textId="77777777" w:rsidR="00F20ABF" w:rsidRDefault="00F20ABF">
            <w:pPr>
              <w:jc w:val="right"/>
              <w:rPr>
                <w:rFonts w:ascii="宋体"/>
              </w:rPr>
            </w:pPr>
          </w:p>
        </w:tc>
      </w:tr>
      <w:tr w:rsidR="00F20ABF" w14:paraId="1E803DA2" w14:textId="77777777">
        <w:trPr>
          <w:jc w:val="center"/>
          <w:hidden/>
        </w:trPr>
        <w:tc>
          <w:tcPr>
            <w:tcW w:w="0" w:type="auto"/>
            <w:gridSpan w:val="3"/>
            <w:shd w:val="clear" w:color="auto" w:fill="auto"/>
          </w:tcPr>
          <w:p w14:paraId="1E803D94" w14:textId="77777777" w:rsidR="00F20ABF" w:rsidRDefault="00F20ABF">
            <w:pPr>
              <w:rPr>
                <w:rFonts w:ascii="宋体"/>
                <w:vanish/>
              </w:rPr>
            </w:pPr>
          </w:p>
        </w:tc>
        <w:tc>
          <w:tcPr>
            <w:tcW w:w="0" w:type="auto"/>
            <w:gridSpan w:val="3"/>
            <w:shd w:val="clear" w:color="auto" w:fill="auto"/>
          </w:tcPr>
          <w:p w14:paraId="1E803D95" w14:textId="77777777" w:rsidR="00F20ABF" w:rsidRDefault="00F20ABF">
            <w:pPr>
              <w:rPr>
                <w:rFonts w:ascii="宋体"/>
                <w:vanish/>
              </w:rPr>
            </w:pPr>
          </w:p>
        </w:tc>
        <w:tc>
          <w:tcPr>
            <w:tcW w:w="0" w:type="auto"/>
            <w:gridSpan w:val="3"/>
            <w:shd w:val="clear" w:color="auto" w:fill="auto"/>
          </w:tcPr>
          <w:p w14:paraId="1E803D96" w14:textId="77777777" w:rsidR="00F20ABF" w:rsidRDefault="00F20ABF">
            <w:pPr>
              <w:rPr>
                <w:rFonts w:ascii="宋体"/>
                <w:vanish/>
              </w:rPr>
            </w:pPr>
          </w:p>
        </w:tc>
        <w:tc>
          <w:tcPr>
            <w:tcW w:w="0" w:type="auto"/>
            <w:gridSpan w:val="3"/>
            <w:shd w:val="clear" w:color="auto" w:fill="auto"/>
          </w:tcPr>
          <w:p w14:paraId="1E803D97" w14:textId="77777777" w:rsidR="00F20ABF" w:rsidRDefault="00F20ABF">
            <w:pPr>
              <w:rPr>
                <w:rFonts w:ascii="宋体"/>
                <w:vanish/>
              </w:rPr>
            </w:pPr>
          </w:p>
        </w:tc>
        <w:tc>
          <w:tcPr>
            <w:tcW w:w="0" w:type="auto"/>
            <w:gridSpan w:val="3"/>
            <w:shd w:val="clear" w:color="auto" w:fill="auto"/>
          </w:tcPr>
          <w:p w14:paraId="1E803D98" w14:textId="77777777" w:rsidR="00F20ABF" w:rsidRDefault="00F20ABF">
            <w:pPr>
              <w:rPr>
                <w:rFonts w:ascii="宋体"/>
                <w:vanish/>
              </w:rPr>
            </w:pPr>
          </w:p>
        </w:tc>
        <w:tc>
          <w:tcPr>
            <w:tcW w:w="0" w:type="auto"/>
            <w:gridSpan w:val="3"/>
            <w:shd w:val="clear" w:color="auto" w:fill="auto"/>
          </w:tcPr>
          <w:p w14:paraId="1E803D99" w14:textId="77777777" w:rsidR="00F20ABF" w:rsidRDefault="00F20ABF">
            <w:pPr>
              <w:rPr>
                <w:rFonts w:ascii="宋体"/>
                <w:vanish/>
              </w:rPr>
            </w:pPr>
          </w:p>
        </w:tc>
        <w:tc>
          <w:tcPr>
            <w:tcW w:w="0" w:type="auto"/>
            <w:gridSpan w:val="3"/>
            <w:shd w:val="clear" w:color="auto" w:fill="auto"/>
          </w:tcPr>
          <w:p w14:paraId="1E803D9A" w14:textId="77777777" w:rsidR="00F20ABF" w:rsidRDefault="00F20ABF">
            <w:pPr>
              <w:rPr>
                <w:rFonts w:ascii="宋体"/>
                <w:vanish/>
              </w:rPr>
            </w:pPr>
          </w:p>
        </w:tc>
        <w:tc>
          <w:tcPr>
            <w:tcW w:w="0" w:type="auto"/>
            <w:gridSpan w:val="3"/>
            <w:shd w:val="clear" w:color="auto" w:fill="auto"/>
          </w:tcPr>
          <w:p w14:paraId="1E803D9B" w14:textId="77777777" w:rsidR="00F20ABF" w:rsidRDefault="00F20ABF">
            <w:pPr>
              <w:rPr>
                <w:rFonts w:ascii="宋体"/>
                <w:vanish/>
              </w:rPr>
            </w:pPr>
          </w:p>
        </w:tc>
        <w:tc>
          <w:tcPr>
            <w:tcW w:w="0" w:type="auto"/>
            <w:gridSpan w:val="3"/>
            <w:shd w:val="clear" w:color="auto" w:fill="auto"/>
          </w:tcPr>
          <w:p w14:paraId="1E803D9C" w14:textId="77777777" w:rsidR="00F20ABF" w:rsidRDefault="00F20ABF">
            <w:pPr>
              <w:rPr>
                <w:rFonts w:ascii="宋体"/>
                <w:vanish/>
              </w:rPr>
            </w:pPr>
          </w:p>
        </w:tc>
        <w:tc>
          <w:tcPr>
            <w:tcW w:w="0" w:type="auto"/>
            <w:gridSpan w:val="3"/>
            <w:shd w:val="clear" w:color="auto" w:fill="auto"/>
          </w:tcPr>
          <w:p w14:paraId="1E803D9D" w14:textId="77777777" w:rsidR="00F20ABF" w:rsidRDefault="00F20ABF">
            <w:pPr>
              <w:rPr>
                <w:rFonts w:ascii="宋体"/>
                <w:vanish/>
              </w:rPr>
            </w:pPr>
          </w:p>
        </w:tc>
        <w:tc>
          <w:tcPr>
            <w:tcW w:w="0" w:type="auto"/>
            <w:gridSpan w:val="3"/>
            <w:shd w:val="clear" w:color="auto" w:fill="auto"/>
          </w:tcPr>
          <w:p w14:paraId="1E803D9E" w14:textId="77777777" w:rsidR="00F20ABF" w:rsidRDefault="00F20ABF">
            <w:pPr>
              <w:rPr>
                <w:rFonts w:ascii="宋体"/>
                <w:vanish/>
              </w:rPr>
            </w:pPr>
          </w:p>
        </w:tc>
        <w:tc>
          <w:tcPr>
            <w:tcW w:w="0" w:type="auto"/>
            <w:gridSpan w:val="3"/>
            <w:shd w:val="clear" w:color="auto" w:fill="auto"/>
          </w:tcPr>
          <w:p w14:paraId="1E803D9F" w14:textId="77777777" w:rsidR="00F20ABF" w:rsidRDefault="00F20ABF">
            <w:pPr>
              <w:rPr>
                <w:rFonts w:ascii="宋体"/>
                <w:vanish/>
              </w:rPr>
            </w:pPr>
          </w:p>
        </w:tc>
        <w:tc>
          <w:tcPr>
            <w:tcW w:w="0" w:type="auto"/>
            <w:gridSpan w:val="3"/>
            <w:shd w:val="clear" w:color="auto" w:fill="auto"/>
          </w:tcPr>
          <w:p w14:paraId="1E803DA0" w14:textId="77777777" w:rsidR="00F20ABF" w:rsidRDefault="00F20ABF">
            <w:pPr>
              <w:rPr>
                <w:rFonts w:ascii="宋体"/>
                <w:vanish/>
              </w:rPr>
            </w:pPr>
          </w:p>
        </w:tc>
        <w:tc>
          <w:tcPr>
            <w:tcW w:w="0" w:type="auto"/>
            <w:gridSpan w:val="3"/>
            <w:shd w:val="clear" w:color="auto" w:fill="auto"/>
          </w:tcPr>
          <w:p w14:paraId="1E803DA1" w14:textId="77777777" w:rsidR="00F20ABF" w:rsidRDefault="00F20ABF">
            <w:pPr>
              <w:rPr>
                <w:rFonts w:ascii="宋体"/>
                <w:vanish/>
              </w:rPr>
            </w:pPr>
          </w:p>
        </w:tc>
      </w:tr>
      <w:tr w:rsidR="00F20ABF" w14:paraId="1E803DB8" w14:textId="77777777">
        <w:trPr>
          <w:jc w:val="center"/>
        </w:trPr>
        <w:tc>
          <w:tcPr>
            <w:tcW w:w="0" w:type="auto"/>
            <w:gridSpan w:val="3"/>
            <w:shd w:val="clear" w:color="auto" w:fill="E2EFD9"/>
            <w:tcMar>
              <w:top w:w="40" w:type="dxa"/>
              <w:left w:w="20" w:type="dxa"/>
              <w:bottom w:w="40" w:type="dxa"/>
              <w:right w:w="20" w:type="dxa"/>
            </w:tcMar>
            <w:vAlign w:val="bottom"/>
          </w:tcPr>
          <w:p w14:paraId="1E803DA3" w14:textId="77777777" w:rsidR="00F20ABF" w:rsidRDefault="00CA4D2F">
            <w:pPr>
              <w:textAlignment w:val="bottom"/>
            </w:pPr>
            <w:r>
              <w:rPr>
                <w:rFonts w:ascii="sans-serif" w:eastAsia="sans-serif" w:hAnsi="sans-serif" w:cs="sans-serif"/>
                <w:color w:val="000000"/>
                <w:sz w:val="15"/>
                <w:szCs w:val="15"/>
              </w:rPr>
              <w:t>Stock-based compensation</w:t>
            </w:r>
          </w:p>
        </w:tc>
        <w:tc>
          <w:tcPr>
            <w:tcW w:w="0" w:type="auto"/>
            <w:gridSpan w:val="2"/>
            <w:shd w:val="clear" w:color="auto" w:fill="E2EFD9"/>
            <w:tcMar>
              <w:top w:w="40" w:type="dxa"/>
              <w:left w:w="20" w:type="dxa"/>
              <w:bottom w:w="40" w:type="dxa"/>
              <w:right w:w="0" w:type="dxa"/>
            </w:tcMar>
            <w:vAlign w:val="bottom"/>
          </w:tcPr>
          <w:p w14:paraId="1E803DA4"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DA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A6"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A7"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DA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A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AA" w14:textId="77777777" w:rsidR="00F20ABF" w:rsidRDefault="00CA4D2F">
            <w:pPr>
              <w:jc w:val="right"/>
              <w:textAlignment w:val="bottom"/>
            </w:pPr>
            <w:r>
              <w:rPr>
                <w:rFonts w:ascii="sans-serif" w:eastAsia="sans-serif" w:hAnsi="sans-serif" w:cs="sans-serif"/>
                <w:color w:val="000000"/>
                <w:sz w:val="15"/>
                <w:szCs w:val="15"/>
              </w:rPr>
              <w:t>377 </w:t>
            </w:r>
          </w:p>
        </w:tc>
        <w:tc>
          <w:tcPr>
            <w:tcW w:w="0" w:type="auto"/>
            <w:shd w:val="clear" w:color="auto" w:fill="E2EFD9"/>
            <w:tcMar>
              <w:top w:w="40" w:type="dxa"/>
              <w:left w:w="0" w:type="dxa"/>
              <w:bottom w:w="40" w:type="dxa"/>
              <w:right w:w="20" w:type="dxa"/>
            </w:tcMar>
            <w:vAlign w:val="bottom"/>
          </w:tcPr>
          <w:p w14:paraId="1E803DA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AC"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AD"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DA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AF"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B0"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DB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B2"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B3"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DB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B5"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DB6" w14:textId="77777777" w:rsidR="00F20ABF" w:rsidRDefault="00CA4D2F">
            <w:pPr>
              <w:jc w:val="right"/>
              <w:textAlignment w:val="bottom"/>
            </w:pPr>
            <w:r>
              <w:rPr>
                <w:rFonts w:ascii="sans-serif" w:eastAsia="sans-serif" w:hAnsi="sans-serif" w:cs="sans-serif"/>
                <w:color w:val="000000"/>
                <w:sz w:val="15"/>
                <w:szCs w:val="15"/>
              </w:rPr>
              <w:t>377 </w:t>
            </w:r>
          </w:p>
        </w:tc>
        <w:tc>
          <w:tcPr>
            <w:tcW w:w="0" w:type="auto"/>
            <w:shd w:val="clear" w:color="auto" w:fill="E2EFD9"/>
            <w:tcMar>
              <w:top w:w="40" w:type="dxa"/>
              <w:left w:w="0" w:type="dxa"/>
              <w:bottom w:w="40" w:type="dxa"/>
              <w:right w:w="20" w:type="dxa"/>
            </w:tcMar>
            <w:vAlign w:val="bottom"/>
          </w:tcPr>
          <w:p w14:paraId="1E803DB7" w14:textId="77777777" w:rsidR="00F20ABF" w:rsidRDefault="00F20ABF">
            <w:pPr>
              <w:jc w:val="right"/>
              <w:rPr>
                <w:rFonts w:ascii="宋体"/>
              </w:rPr>
            </w:pPr>
          </w:p>
        </w:tc>
      </w:tr>
      <w:tr w:rsidR="00F20ABF" w14:paraId="1E803DD4" w14:textId="77777777">
        <w:trPr>
          <w:jc w:val="center"/>
        </w:trPr>
        <w:tc>
          <w:tcPr>
            <w:tcW w:w="0" w:type="auto"/>
            <w:gridSpan w:val="3"/>
            <w:shd w:val="clear" w:color="auto" w:fill="FFFFFF"/>
            <w:tcMar>
              <w:top w:w="40" w:type="dxa"/>
              <w:left w:w="20" w:type="dxa"/>
              <w:bottom w:w="40" w:type="dxa"/>
              <w:right w:w="20" w:type="dxa"/>
            </w:tcMar>
            <w:vAlign w:val="bottom"/>
          </w:tcPr>
          <w:p w14:paraId="1E803DB9" w14:textId="77777777" w:rsidR="00F20ABF" w:rsidRDefault="00CA4D2F">
            <w:pPr>
              <w:textAlignment w:val="bottom"/>
            </w:pPr>
            <w:r>
              <w:rPr>
                <w:rFonts w:ascii="sans-serif" w:eastAsia="sans-serif" w:hAnsi="sans-serif" w:cs="sans-serif"/>
                <w:color w:val="000000"/>
                <w:sz w:val="15"/>
                <w:szCs w:val="15"/>
              </w:rPr>
              <w:t>Balances, October 25, 2020</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3DBA" w14:textId="77777777" w:rsidR="00F20ABF" w:rsidRDefault="00CA4D2F">
            <w:pPr>
              <w:jc w:val="right"/>
              <w:textAlignment w:val="bottom"/>
            </w:pPr>
            <w:r>
              <w:rPr>
                <w:rFonts w:ascii="sans-serif" w:eastAsia="sans-serif" w:hAnsi="sans-serif" w:cs="sans-serif"/>
                <w:color w:val="000000"/>
                <w:sz w:val="15"/>
                <w:szCs w:val="15"/>
              </w:rPr>
              <w:t>619 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DB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BC" w14:textId="77777777" w:rsidR="00F20ABF" w:rsidRDefault="00F20A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E803DBD"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E803DBE" w14:textId="77777777" w:rsidR="00F20ABF" w:rsidRDefault="00CA4D2F">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DB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C0" w14:textId="77777777" w:rsidR="00F20ABF" w:rsidRDefault="00F20A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E803DC1"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E803DC2" w14:textId="77777777" w:rsidR="00F20ABF" w:rsidRDefault="00CA4D2F">
            <w:pPr>
              <w:jc w:val="right"/>
              <w:textAlignment w:val="bottom"/>
            </w:pPr>
            <w:r>
              <w:rPr>
                <w:rFonts w:ascii="sans-serif" w:eastAsia="sans-serif" w:hAnsi="sans-serif" w:cs="sans-serif"/>
                <w:color w:val="000000"/>
                <w:sz w:val="15"/>
                <w:szCs w:val="15"/>
              </w:rPr>
              <w:t>8,301 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DC3"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C4" w14:textId="77777777" w:rsidR="00F20ABF" w:rsidRDefault="00F20A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E803DC5"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E803DC6" w14:textId="77777777" w:rsidR="00F20ABF" w:rsidRDefault="00CA4D2F">
            <w:pPr>
              <w:jc w:val="right"/>
              <w:textAlignment w:val="bottom"/>
            </w:pPr>
            <w:r>
              <w:rPr>
                <w:rFonts w:ascii="sans-serif" w:eastAsia="sans-serif" w:hAnsi="sans-serif" w:cs="sans-serif"/>
                <w:color w:val="000000"/>
                <w:sz w:val="15"/>
                <w:szCs w:val="15"/>
              </w:rPr>
              <w:t>(10,530)</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DC7"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C8" w14:textId="77777777" w:rsidR="00F20ABF" w:rsidRDefault="00F20A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E803DC9"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E803DCA" w14:textId="77777777" w:rsidR="00F20ABF" w:rsidRDefault="00CA4D2F">
            <w:pPr>
              <w:jc w:val="right"/>
              <w:textAlignment w:val="bottom"/>
            </w:pPr>
            <w:r>
              <w:rPr>
                <w:rFonts w:ascii="sans-serif" w:eastAsia="sans-serif" w:hAnsi="sans-serif" w:cs="sans-serif"/>
                <w:color w:val="000000"/>
                <w:sz w:val="15"/>
                <w:szCs w:val="15"/>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DC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CC" w14:textId="77777777" w:rsidR="00F20ABF" w:rsidRDefault="00F20A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E803DCD"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E803DCE" w14:textId="77777777" w:rsidR="00F20ABF" w:rsidRDefault="00CA4D2F">
            <w:pPr>
              <w:jc w:val="right"/>
              <w:textAlignment w:val="bottom"/>
            </w:pPr>
            <w:r>
              <w:rPr>
                <w:rFonts w:ascii="sans-serif" w:eastAsia="sans-serif" w:hAnsi="sans-serif" w:cs="sans-serif"/>
                <w:color w:val="000000"/>
                <w:sz w:val="15"/>
                <w:szCs w:val="15"/>
              </w:rPr>
              <w:t>17,550 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DC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D0" w14:textId="77777777" w:rsidR="00F20ABF" w:rsidRDefault="00F20A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E803DD1"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E803DD2" w14:textId="77777777" w:rsidR="00F20ABF" w:rsidRDefault="00CA4D2F">
            <w:pPr>
              <w:jc w:val="right"/>
              <w:textAlignment w:val="bottom"/>
            </w:pPr>
            <w:r>
              <w:rPr>
                <w:rFonts w:ascii="sans-serif" w:eastAsia="sans-serif" w:hAnsi="sans-serif" w:cs="sans-serif"/>
                <w:color w:val="000000"/>
                <w:sz w:val="15"/>
                <w:szCs w:val="15"/>
              </w:rPr>
              <w:t>15,334 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3DD3" w14:textId="77777777" w:rsidR="00F20ABF" w:rsidRDefault="00F20ABF">
            <w:pPr>
              <w:jc w:val="right"/>
              <w:rPr>
                <w:rFonts w:ascii="宋体"/>
              </w:rPr>
            </w:pPr>
          </w:p>
        </w:tc>
      </w:tr>
      <w:tr w:rsidR="00F20ABF" w14:paraId="1E803DF0" w14:textId="77777777">
        <w:trPr>
          <w:jc w:val="center"/>
        </w:trPr>
        <w:tc>
          <w:tcPr>
            <w:tcW w:w="0" w:type="auto"/>
            <w:gridSpan w:val="3"/>
            <w:shd w:val="clear" w:color="auto" w:fill="E2EFD9"/>
            <w:tcMar>
              <w:top w:w="40" w:type="dxa"/>
              <w:left w:w="20" w:type="dxa"/>
              <w:bottom w:w="40" w:type="dxa"/>
              <w:right w:w="20" w:type="dxa"/>
            </w:tcMar>
            <w:vAlign w:val="bottom"/>
          </w:tcPr>
          <w:p w14:paraId="1E803DD5" w14:textId="77777777" w:rsidR="00F20ABF" w:rsidRDefault="00CA4D2F">
            <w:pPr>
              <w:textAlignment w:val="bottom"/>
            </w:pPr>
            <w:r>
              <w:rPr>
                <w:rFonts w:ascii="sans-serif" w:eastAsia="sans-serif" w:hAnsi="sans-serif" w:cs="sans-serif"/>
                <w:color w:val="000000"/>
                <w:sz w:val="15"/>
                <w:szCs w:val="15"/>
              </w:rPr>
              <w:t>Balances, July 28, 2019</w:t>
            </w:r>
          </w:p>
        </w:tc>
        <w:tc>
          <w:tcPr>
            <w:tcW w:w="0" w:type="auto"/>
            <w:gridSpan w:val="2"/>
            <w:tcBorders>
              <w:top w:val="double" w:sz="6" w:space="0" w:color="000000"/>
            </w:tcBorders>
            <w:shd w:val="clear" w:color="auto" w:fill="E2EFD9"/>
            <w:tcMar>
              <w:top w:w="40" w:type="dxa"/>
              <w:left w:w="20" w:type="dxa"/>
              <w:bottom w:w="40" w:type="dxa"/>
              <w:right w:w="0" w:type="dxa"/>
            </w:tcMar>
            <w:vAlign w:val="bottom"/>
          </w:tcPr>
          <w:p w14:paraId="1E803DD6" w14:textId="77777777" w:rsidR="00F20ABF" w:rsidRDefault="00CA4D2F">
            <w:pPr>
              <w:jc w:val="right"/>
              <w:textAlignment w:val="bottom"/>
            </w:pPr>
            <w:r>
              <w:rPr>
                <w:rFonts w:ascii="sans-serif" w:eastAsia="sans-serif" w:hAnsi="sans-serif" w:cs="sans-serif"/>
                <w:color w:val="000000"/>
                <w:sz w:val="15"/>
                <w:szCs w:val="15"/>
              </w:rPr>
              <w:t>609 </w:t>
            </w:r>
          </w:p>
        </w:tc>
        <w:tc>
          <w:tcPr>
            <w:tcW w:w="0" w:type="auto"/>
            <w:tcBorders>
              <w:top w:val="double" w:sz="6" w:space="0" w:color="000000"/>
            </w:tcBorders>
            <w:shd w:val="clear" w:color="auto" w:fill="E2EFD9"/>
            <w:tcMar>
              <w:top w:w="40" w:type="dxa"/>
              <w:left w:w="0" w:type="dxa"/>
              <w:bottom w:w="40" w:type="dxa"/>
              <w:right w:w="20" w:type="dxa"/>
            </w:tcMar>
            <w:vAlign w:val="bottom"/>
          </w:tcPr>
          <w:p w14:paraId="1E803DD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D8" w14:textId="77777777" w:rsidR="00F20ABF" w:rsidRDefault="00F20ABF">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1E803DD9"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E803DDA" w14:textId="77777777" w:rsidR="00F20ABF" w:rsidRDefault="00CA4D2F">
            <w:pPr>
              <w:jc w:val="right"/>
              <w:textAlignment w:val="bottom"/>
            </w:pPr>
            <w:r>
              <w:rPr>
                <w:rFonts w:ascii="sans-serif" w:eastAsia="sans-serif" w:hAnsi="sans-serif" w:cs="sans-serif"/>
                <w:color w:val="000000"/>
                <w:sz w:val="15"/>
                <w:szCs w:val="15"/>
              </w:rPr>
              <w:t>1 </w:t>
            </w:r>
          </w:p>
        </w:tc>
        <w:tc>
          <w:tcPr>
            <w:tcW w:w="0" w:type="auto"/>
            <w:tcBorders>
              <w:top w:val="double" w:sz="6" w:space="0" w:color="000000"/>
            </w:tcBorders>
            <w:shd w:val="clear" w:color="auto" w:fill="E2EFD9"/>
            <w:tcMar>
              <w:top w:w="40" w:type="dxa"/>
              <w:left w:w="0" w:type="dxa"/>
              <w:bottom w:w="40" w:type="dxa"/>
              <w:right w:w="20" w:type="dxa"/>
            </w:tcMar>
            <w:vAlign w:val="bottom"/>
          </w:tcPr>
          <w:p w14:paraId="1E803DD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DC" w14:textId="77777777" w:rsidR="00F20ABF" w:rsidRDefault="00F20ABF">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1E803DDD"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E803DDE" w14:textId="77777777" w:rsidR="00F20ABF" w:rsidRDefault="00CA4D2F">
            <w:pPr>
              <w:jc w:val="right"/>
              <w:textAlignment w:val="bottom"/>
            </w:pPr>
            <w:r>
              <w:rPr>
                <w:rFonts w:ascii="sans-serif" w:eastAsia="sans-serif" w:hAnsi="sans-serif" w:cs="sans-serif"/>
                <w:color w:val="000000"/>
                <w:sz w:val="15"/>
                <w:szCs w:val="15"/>
              </w:rPr>
              <w:t>6,543 </w:t>
            </w:r>
          </w:p>
        </w:tc>
        <w:tc>
          <w:tcPr>
            <w:tcW w:w="0" w:type="auto"/>
            <w:tcBorders>
              <w:top w:val="double" w:sz="6" w:space="0" w:color="000000"/>
            </w:tcBorders>
            <w:shd w:val="clear" w:color="auto" w:fill="E2EFD9"/>
            <w:tcMar>
              <w:top w:w="40" w:type="dxa"/>
              <w:left w:w="0" w:type="dxa"/>
              <w:bottom w:w="40" w:type="dxa"/>
              <w:right w:w="20" w:type="dxa"/>
            </w:tcMar>
            <w:vAlign w:val="bottom"/>
          </w:tcPr>
          <w:p w14:paraId="1E803DD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E0" w14:textId="77777777" w:rsidR="00F20ABF" w:rsidRDefault="00F20ABF">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1E803DE1"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E803DE2" w14:textId="77777777" w:rsidR="00F20ABF" w:rsidRDefault="00CA4D2F">
            <w:pPr>
              <w:jc w:val="right"/>
              <w:textAlignment w:val="bottom"/>
            </w:pPr>
            <w:r>
              <w:rPr>
                <w:rFonts w:ascii="sans-serif" w:eastAsia="sans-serif" w:hAnsi="sans-serif" w:cs="sans-serif"/>
                <w:color w:val="000000"/>
                <w:sz w:val="15"/>
                <w:szCs w:val="15"/>
              </w:rPr>
              <w:t>(9,524)</w:t>
            </w:r>
          </w:p>
        </w:tc>
        <w:tc>
          <w:tcPr>
            <w:tcW w:w="0" w:type="auto"/>
            <w:tcBorders>
              <w:top w:val="double" w:sz="6" w:space="0" w:color="000000"/>
            </w:tcBorders>
            <w:shd w:val="clear" w:color="auto" w:fill="E2EFD9"/>
            <w:tcMar>
              <w:top w:w="40" w:type="dxa"/>
              <w:left w:w="0" w:type="dxa"/>
              <w:bottom w:w="40" w:type="dxa"/>
              <w:right w:w="20" w:type="dxa"/>
            </w:tcMar>
            <w:vAlign w:val="bottom"/>
          </w:tcPr>
          <w:p w14:paraId="1E803DE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E4" w14:textId="77777777" w:rsidR="00F20ABF" w:rsidRDefault="00F20ABF">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1E803DE5"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E803DE6" w14:textId="77777777" w:rsidR="00F20ABF" w:rsidRDefault="00CA4D2F">
            <w:pPr>
              <w:jc w:val="right"/>
              <w:textAlignment w:val="bottom"/>
            </w:pPr>
            <w:r>
              <w:rPr>
                <w:rFonts w:ascii="sans-serif" w:eastAsia="sans-serif" w:hAnsi="sans-serif" w:cs="sans-serif"/>
                <w:color w:val="000000"/>
                <w:sz w:val="15"/>
                <w:szCs w:val="15"/>
              </w:rPr>
              <w:t>(1)</w:t>
            </w:r>
          </w:p>
        </w:tc>
        <w:tc>
          <w:tcPr>
            <w:tcW w:w="0" w:type="auto"/>
            <w:tcBorders>
              <w:top w:val="double" w:sz="6" w:space="0" w:color="000000"/>
            </w:tcBorders>
            <w:shd w:val="clear" w:color="auto" w:fill="E2EFD9"/>
            <w:tcMar>
              <w:top w:w="40" w:type="dxa"/>
              <w:left w:w="0" w:type="dxa"/>
              <w:bottom w:w="40" w:type="dxa"/>
              <w:right w:w="20" w:type="dxa"/>
            </w:tcMar>
            <w:vAlign w:val="bottom"/>
          </w:tcPr>
          <w:p w14:paraId="1E803DE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E8" w14:textId="77777777" w:rsidR="00F20ABF" w:rsidRDefault="00F20ABF">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1E803DE9"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E803DEA" w14:textId="77777777" w:rsidR="00F20ABF" w:rsidRDefault="00CA4D2F">
            <w:pPr>
              <w:jc w:val="right"/>
              <w:textAlignment w:val="bottom"/>
            </w:pPr>
            <w:r>
              <w:rPr>
                <w:rFonts w:ascii="sans-serif" w:eastAsia="sans-serif" w:hAnsi="sans-serif" w:cs="sans-serif"/>
                <w:color w:val="000000"/>
                <w:sz w:val="15"/>
                <w:szCs w:val="15"/>
              </w:rPr>
              <w:t>13,317 </w:t>
            </w:r>
          </w:p>
        </w:tc>
        <w:tc>
          <w:tcPr>
            <w:tcW w:w="0" w:type="auto"/>
            <w:tcBorders>
              <w:top w:val="double" w:sz="6" w:space="0" w:color="000000"/>
            </w:tcBorders>
            <w:shd w:val="clear" w:color="auto" w:fill="E2EFD9"/>
            <w:tcMar>
              <w:top w:w="40" w:type="dxa"/>
              <w:left w:w="0" w:type="dxa"/>
              <w:bottom w:w="40" w:type="dxa"/>
              <w:right w:w="20" w:type="dxa"/>
            </w:tcMar>
            <w:vAlign w:val="bottom"/>
          </w:tcPr>
          <w:p w14:paraId="1E803DE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DEC" w14:textId="77777777" w:rsidR="00F20ABF" w:rsidRDefault="00F20ABF">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1E803DED"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E803DEE" w14:textId="77777777" w:rsidR="00F20ABF" w:rsidRDefault="00CA4D2F">
            <w:pPr>
              <w:jc w:val="right"/>
              <w:textAlignment w:val="bottom"/>
            </w:pPr>
            <w:r>
              <w:rPr>
                <w:rFonts w:ascii="sans-serif" w:eastAsia="sans-serif" w:hAnsi="sans-serif" w:cs="sans-serif"/>
                <w:color w:val="000000"/>
                <w:sz w:val="15"/>
                <w:szCs w:val="15"/>
              </w:rPr>
              <w:t>10,336 </w:t>
            </w:r>
          </w:p>
        </w:tc>
        <w:tc>
          <w:tcPr>
            <w:tcW w:w="0" w:type="auto"/>
            <w:tcBorders>
              <w:top w:val="double" w:sz="6" w:space="0" w:color="000000"/>
            </w:tcBorders>
            <w:shd w:val="clear" w:color="auto" w:fill="E2EFD9"/>
            <w:tcMar>
              <w:top w:w="40" w:type="dxa"/>
              <w:left w:w="0" w:type="dxa"/>
              <w:bottom w:w="40" w:type="dxa"/>
              <w:right w:w="20" w:type="dxa"/>
            </w:tcMar>
            <w:vAlign w:val="bottom"/>
          </w:tcPr>
          <w:p w14:paraId="1E803DEF" w14:textId="77777777" w:rsidR="00F20ABF" w:rsidRDefault="00F20ABF">
            <w:pPr>
              <w:jc w:val="right"/>
              <w:rPr>
                <w:rFonts w:ascii="宋体"/>
              </w:rPr>
            </w:pPr>
          </w:p>
        </w:tc>
      </w:tr>
      <w:tr w:rsidR="00F20ABF" w14:paraId="1E803E06" w14:textId="77777777">
        <w:trPr>
          <w:jc w:val="center"/>
        </w:trPr>
        <w:tc>
          <w:tcPr>
            <w:tcW w:w="0" w:type="auto"/>
            <w:gridSpan w:val="3"/>
            <w:shd w:val="clear" w:color="auto" w:fill="FFFFFF"/>
            <w:tcMar>
              <w:top w:w="40" w:type="dxa"/>
              <w:left w:w="20" w:type="dxa"/>
              <w:bottom w:w="40" w:type="dxa"/>
              <w:right w:w="20" w:type="dxa"/>
            </w:tcMar>
            <w:vAlign w:val="bottom"/>
          </w:tcPr>
          <w:p w14:paraId="1E803DF1" w14:textId="77777777" w:rsidR="00F20ABF" w:rsidRDefault="00CA4D2F">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1E803DF2"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F3"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F4"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F5"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F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F7"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F8"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F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FA"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FB"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F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DFD"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DFE"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DF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00"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E01" w14:textId="77777777" w:rsidR="00F20ABF" w:rsidRDefault="00CA4D2F">
            <w:pPr>
              <w:jc w:val="right"/>
              <w:textAlignment w:val="bottom"/>
            </w:pPr>
            <w:r>
              <w:rPr>
                <w:rFonts w:ascii="sans-serif" w:eastAsia="sans-serif" w:hAnsi="sans-serif" w:cs="sans-serif"/>
                <w:color w:val="000000"/>
                <w:sz w:val="15"/>
                <w:szCs w:val="15"/>
              </w:rPr>
              <w:t>899 </w:t>
            </w:r>
          </w:p>
        </w:tc>
        <w:tc>
          <w:tcPr>
            <w:tcW w:w="0" w:type="auto"/>
            <w:shd w:val="clear" w:color="auto" w:fill="FFFFFF"/>
            <w:tcMar>
              <w:top w:w="40" w:type="dxa"/>
              <w:left w:w="0" w:type="dxa"/>
              <w:bottom w:w="40" w:type="dxa"/>
              <w:right w:w="20" w:type="dxa"/>
            </w:tcMar>
            <w:vAlign w:val="bottom"/>
          </w:tcPr>
          <w:p w14:paraId="1E803E0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0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E04" w14:textId="77777777" w:rsidR="00F20ABF" w:rsidRDefault="00CA4D2F">
            <w:pPr>
              <w:jc w:val="right"/>
              <w:textAlignment w:val="bottom"/>
            </w:pPr>
            <w:r>
              <w:rPr>
                <w:rFonts w:ascii="sans-serif" w:eastAsia="sans-serif" w:hAnsi="sans-serif" w:cs="sans-serif"/>
                <w:color w:val="000000"/>
                <w:sz w:val="15"/>
                <w:szCs w:val="15"/>
              </w:rPr>
              <w:t>899 </w:t>
            </w:r>
          </w:p>
        </w:tc>
        <w:tc>
          <w:tcPr>
            <w:tcW w:w="0" w:type="auto"/>
            <w:shd w:val="clear" w:color="auto" w:fill="FFFFFF"/>
            <w:tcMar>
              <w:top w:w="40" w:type="dxa"/>
              <w:left w:w="0" w:type="dxa"/>
              <w:bottom w:w="40" w:type="dxa"/>
              <w:right w:w="20" w:type="dxa"/>
            </w:tcMar>
            <w:vAlign w:val="bottom"/>
          </w:tcPr>
          <w:p w14:paraId="1E803E05" w14:textId="77777777" w:rsidR="00F20ABF" w:rsidRDefault="00F20ABF">
            <w:pPr>
              <w:jc w:val="right"/>
              <w:rPr>
                <w:rFonts w:ascii="宋体"/>
              </w:rPr>
            </w:pPr>
          </w:p>
        </w:tc>
      </w:tr>
      <w:tr w:rsidR="00F20ABF" w14:paraId="1E803E1C" w14:textId="77777777">
        <w:trPr>
          <w:jc w:val="center"/>
        </w:trPr>
        <w:tc>
          <w:tcPr>
            <w:tcW w:w="0" w:type="auto"/>
            <w:gridSpan w:val="3"/>
            <w:shd w:val="clear" w:color="auto" w:fill="E2EFD9"/>
            <w:tcMar>
              <w:top w:w="40" w:type="dxa"/>
              <w:left w:w="20" w:type="dxa"/>
              <w:bottom w:w="40" w:type="dxa"/>
              <w:right w:w="20" w:type="dxa"/>
            </w:tcMar>
            <w:vAlign w:val="bottom"/>
          </w:tcPr>
          <w:p w14:paraId="1E803E07" w14:textId="77777777" w:rsidR="00F20ABF" w:rsidRDefault="00CA4D2F">
            <w:pPr>
              <w:textAlignment w:val="bottom"/>
            </w:pPr>
            <w:r>
              <w:rPr>
                <w:rFonts w:ascii="sans-serif" w:eastAsia="sans-serif" w:hAnsi="sans-serif" w:cs="sans-serif"/>
                <w:color w:val="000000"/>
                <w:sz w:val="15"/>
                <w:szCs w:val="15"/>
              </w:rPr>
              <w:t>Other comprehensive loss</w:t>
            </w:r>
          </w:p>
        </w:tc>
        <w:tc>
          <w:tcPr>
            <w:tcW w:w="0" w:type="auto"/>
            <w:gridSpan w:val="2"/>
            <w:shd w:val="clear" w:color="auto" w:fill="E2EFD9"/>
            <w:tcMar>
              <w:top w:w="40" w:type="dxa"/>
              <w:left w:w="20" w:type="dxa"/>
              <w:bottom w:w="40" w:type="dxa"/>
              <w:right w:w="0" w:type="dxa"/>
            </w:tcMar>
            <w:vAlign w:val="bottom"/>
          </w:tcPr>
          <w:p w14:paraId="1E803E08"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E0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0A"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0B"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E0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0D"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0E"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E0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10"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11"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E1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13"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14" w14:textId="77777777" w:rsidR="00F20ABF" w:rsidRDefault="00CA4D2F">
            <w:pPr>
              <w:jc w:val="right"/>
              <w:textAlignment w:val="bottom"/>
            </w:pPr>
            <w:r>
              <w:rPr>
                <w:rFonts w:ascii="sans-serif" w:eastAsia="sans-serif" w:hAnsi="sans-serif" w:cs="sans-serif"/>
                <w:color w:val="000000"/>
                <w:sz w:val="15"/>
                <w:szCs w:val="15"/>
              </w:rPr>
              <w:t>(2)</w:t>
            </w:r>
          </w:p>
        </w:tc>
        <w:tc>
          <w:tcPr>
            <w:tcW w:w="0" w:type="auto"/>
            <w:shd w:val="clear" w:color="auto" w:fill="E2EFD9"/>
            <w:tcMar>
              <w:top w:w="40" w:type="dxa"/>
              <w:left w:w="0" w:type="dxa"/>
              <w:bottom w:w="40" w:type="dxa"/>
              <w:right w:w="20" w:type="dxa"/>
            </w:tcMar>
            <w:vAlign w:val="bottom"/>
          </w:tcPr>
          <w:p w14:paraId="1E803E1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16"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17"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E1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1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1A" w14:textId="77777777" w:rsidR="00F20ABF" w:rsidRDefault="00CA4D2F">
            <w:pPr>
              <w:jc w:val="right"/>
              <w:textAlignment w:val="bottom"/>
            </w:pPr>
            <w:r>
              <w:rPr>
                <w:rFonts w:ascii="sans-serif" w:eastAsia="sans-serif" w:hAnsi="sans-serif" w:cs="sans-serif"/>
                <w:color w:val="000000"/>
                <w:sz w:val="15"/>
                <w:szCs w:val="15"/>
              </w:rPr>
              <w:t>(2)</w:t>
            </w:r>
          </w:p>
        </w:tc>
        <w:tc>
          <w:tcPr>
            <w:tcW w:w="0" w:type="auto"/>
            <w:shd w:val="clear" w:color="auto" w:fill="E2EFD9"/>
            <w:tcMar>
              <w:top w:w="40" w:type="dxa"/>
              <w:left w:w="0" w:type="dxa"/>
              <w:bottom w:w="40" w:type="dxa"/>
              <w:right w:w="20" w:type="dxa"/>
            </w:tcMar>
            <w:vAlign w:val="bottom"/>
          </w:tcPr>
          <w:p w14:paraId="1E803E1B" w14:textId="77777777" w:rsidR="00F20ABF" w:rsidRDefault="00F20ABF">
            <w:pPr>
              <w:jc w:val="right"/>
              <w:rPr>
                <w:rFonts w:ascii="宋体"/>
              </w:rPr>
            </w:pPr>
          </w:p>
        </w:tc>
      </w:tr>
      <w:tr w:rsidR="00F20ABF" w14:paraId="1E803E32" w14:textId="77777777">
        <w:trPr>
          <w:jc w:val="center"/>
        </w:trPr>
        <w:tc>
          <w:tcPr>
            <w:tcW w:w="0" w:type="auto"/>
            <w:gridSpan w:val="3"/>
            <w:shd w:val="clear" w:color="auto" w:fill="FFFFFF"/>
            <w:tcMar>
              <w:top w:w="40" w:type="dxa"/>
              <w:left w:w="20" w:type="dxa"/>
              <w:bottom w:w="40" w:type="dxa"/>
              <w:right w:w="20" w:type="dxa"/>
            </w:tcMar>
            <w:vAlign w:val="bottom"/>
          </w:tcPr>
          <w:p w14:paraId="1E803E1D" w14:textId="77777777" w:rsidR="00F20ABF" w:rsidRDefault="00CA4D2F">
            <w:pPr>
              <w:textAlignment w:val="bottom"/>
            </w:pPr>
            <w:r>
              <w:rPr>
                <w:rFonts w:ascii="sans-serif" w:eastAsia="sans-serif" w:hAnsi="sans-serif" w:cs="sans-serif"/>
                <w:color w:val="000000"/>
                <w:sz w:val="15"/>
                <w:szCs w:val="15"/>
              </w:rPr>
              <w:t>Issuance of common stock from stock</w:t>
            </w:r>
            <w:r>
              <w:rPr>
                <w:rFonts w:ascii="sans-serif" w:eastAsia="sans-serif" w:hAnsi="sans-serif" w:cs="sans-serif"/>
                <w:color w:val="000000"/>
                <w:sz w:val="15"/>
                <w:szCs w:val="15"/>
              </w:rPr>
              <w:t xml:space="preserve"> plans </w:t>
            </w:r>
          </w:p>
        </w:tc>
        <w:tc>
          <w:tcPr>
            <w:tcW w:w="0" w:type="auto"/>
            <w:gridSpan w:val="2"/>
            <w:shd w:val="clear" w:color="auto" w:fill="FFFFFF"/>
            <w:tcMar>
              <w:top w:w="40" w:type="dxa"/>
              <w:left w:w="20" w:type="dxa"/>
              <w:bottom w:w="40" w:type="dxa"/>
              <w:right w:w="0" w:type="dxa"/>
            </w:tcMar>
            <w:vAlign w:val="bottom"/>
          </w:tcPr>
          <w:p w14:paraId="1E803E1E" w14:textId="77777777" w:rsidR="00F20ABF" w:rsidRDefault="00CA4D2F">
            <w:pPr>
              <w:jc w:val="right"/>
              <w:textAlignment w:val="bottom"/>
            </w:pPr>
            <w:r>
              <w:rPr>
                <w:rFonts w:ascii="sans-serif" w:eastAsia="sans-serif" w:hAnsi="sans-serif" w:cs="sans-serif"/>
                <w:color w:val="000000"/>
                <w:sz w:val="15"/>
                <w:szCs w:val="15"/>
              </w:rPr>
              <w:t>4 </w:t>
            </w:r>
          </w:p>
        </w:tc>
        <w:tc>
          <w:tcPr>
            <w:tcW w:w="0" w:type="auto"/>
            <w:shd w:val="clear" w:color="auto" w:fill="FFFFFF"/>
            <w:tcMar>
              <w:top w:w="40" w:type="dxa"/>
              <w:left w:w="0" w:type="dxa"/>
              <w:bottom w:w="40" w:type="dxa"/>
              <w:right w:w="20" w:type="dxa"/>
            </w:tcMar>
            <w:vAlign w:val="bottom"/>
          </w:tcPr>
          <w:p w14:paraId="1E803E1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20"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E21"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E2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2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E24" w14:textId="77777777" w:rsidR="00F20ABF" w:rsidRDefault="00CA4D2F">
            <w:pPr>
              <w:jc w:val="right"/>
              <w:textAlignment w:val="bottom"/>
            </w:pPr>
            <w:r>
              <w:rPr>
                <w:rFonts w:ascii="sans-serif" w:eastAsia="sans-serif" w:hAnsi="sans-serif" w:cs="sans-serif"/>
                <w:color w:val="000000"/>
                <w:sz w:val="15"/>
                <w:szCs w:val="15"/>
              </w:rPr>
              <w:t>63 </w:t>
            </w:r>
          </w:p>
        </w:tc>
        <w:tc>
          <w:tcPr>
            <w:tcW w:w="0" w:type="auto"/>
            <w:shd w:val="clear" w:color="auto" w:fill="FFFFFF"/>
            <w:tcMar>
              <w:top w:w="40" w:type="dxa"/>
              <w:left w:w="0" w:type="dxa"/>
              <w:bottom w:w="40" w:type="dxa"/>
              <w:right w:w="20" w:type="dxa"/>
            </w:tcMar>
            <w:vAlign w:val="bottom"/>
          </w:tcPr>
          <w:p w14:paraId="1E803E2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2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E27"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E2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29"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E2A"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E2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2C"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E2D"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E2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2F"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E30" w14:textId="77777777" w:rsidR="00F20ABF" w:rsidRDefault="00CA4D2F">
            <w:pPr>
              <w:jc w:val="right"/>
              <w:textAlignment w:val="bottom"/>
            </w:pPr>
            <w:r>
              <w:rPr>
                <w:rFonts w:ascii="sans-serif" w:eastAsia="sans-serif" w:hAnsi="sans-serif" w:cs="sans-serif"/>
                <w:color w:val="000000"/>
                <w:sz w:val="15"/>
                <w:szCs w:val="15"/>
              </w:rPr>
              <w:t>63 </w:t>
            </w:r>
          </w:p>
        </w:tc>
        <w:tc>
          <w:tcPr>
            <w:tcW w:w="0" w:type="auto"/>
            <w:shd w:val="clear" w:color="auto" w:fill="FFFFFF"/>
            <w:tcMar>
              <w:top w:w="40" w:type="dxa"/>
              <w:left w:w="0" w:type="dxa"/>
              <w:bottom w:w="40" w:type="dxa"/>
              <w:right w:w="20" w:type="dxa"/>
            </w:tcMar>
            <w:vAlign w:val="bottom"/>
          </w:tcPr>
          <w:p w14:paraId="1E803E31" w14:textId="77777777" w:rsidR="00F20ABF" w:rsidRDefault="00F20ABF">
            <w:pPr>
              <w:jc w:val="right"/>
              <w:rPr>
                <w:rFonts w:ascii="宋体"/>
              </w:rPr>
            </w:pPr>
          </w:p>
        </w:tc>
      </w:tr>
      <w:tr w:rsidR="00F20ABF" w14:paraId="1E803E48" w14:textId="77777777">
        <w:trPr>
          <w:jc w:val="center"/>
        </w:trPr>
        <w:tc>
          <w:tcPr>
            <w:tcW w:w="0" w:type="auto"/>
            <w:gridSpan w:val="3"/>
            <w:shd w:val="clear" w:color="auto" w:fill="E2EFD9"/>
            <w:tcMar>
              <w:top w:w="40" w:type="dxa"/>
              <w:left w:w="20" w:type="dxa"/>
              <w:bottom w:w="40" w:type="dxa"/>
              <w:right w:w="20" w:type="dxa"/>
            </w:tcMar>
            <w:vAlign w:val="bottom"/>
          </w:tcPr>
          <w:p w14:paraId="1E803E33" w14:textId="77777777" w:rsidR="00F20ABF" w:rsidRDefault="00CA4D2F">
            <w:pPr>
              <w:textAlignment w:val="bottom"/>
            </w:pPr>
            <w:r>
              <w:rPr>
                <w:rFonts w:ascii="sans-serif" w:eastAsia="sans-serif" w:hAnsi="sans-serif" w:cs="sans-serif"/>
                <w:color w:val="000000"/>
                <w:sz w:val="15"/>
                <w:szCs w:val="15"/>
              </w:rPr>
              <w:t xml:space="preserve">Tax withholding related to vesting </w:t>
            </w:r>
            <w:r>
              <w:rPr>
                <w:rFonts w:ascii="sans-serif" w:eastAsia="sans-serif" w:hAnsi="sans-serif" w:cs="sans-serif"/>
                <w:color w:val="000000"/>
                <w:sz w:val="15"/>
                <w:szCs w:val="15"/>
              </w:rPr>
              <w:t>of restricted stock units</w:t>
            </w:r>
          </w:p>
        </w:tc>
        <w:tc>
          <w:tcPr>
            <w:tcW w:w="0" w:type="auto"/>
            <w:gridSpan w:val="2"/>
            <w:shd w:val="clear" w:color="auto" w:fill="E2EFD9"/>
            <w:tcMar>
              <w:top w:w="40" w:type="dxa"/>
              <w:left w:w="20" w:type="dxa"/>
              <w:bottom w:w="40" w:type="dxa"/>
              <w:right w:w="0" w:type="dxa"/>
            </w:tcMar>
            <w:vAlign w:val="bottom"/>
          </w:tcPr>
          <w:p w14:paraId="1E803E34" w14:textId="77777777" w:rsidR="00F20ABF" w:rsidRDefault="00CA4D2F">
            <w:pPr>
              <w:jc w:val="right"/>
              <w:textAlignment w:val="bottom"/>
            </w:pPr>
            <w:r>
              <w:rPr>
                <w:rFonts w:ascii="sans-serif" w:eastAsia="sans-serif" w:hAnsi="sans-serif" w:cs="sans-serif"/>
                <w:color w:val="000000"/>
                <w:sz w:val="15"/>
                <w:szCs w:val="15"/>
              </w:rPr>
              <w:t>(1)</w:t>
            </w:r>
          </w:p>
        </w:tc>
        <w:tc>
          <w:tcPr>
            <w:tcW w:w="0" w:type="auto"/>
            <w:shd w:val="clear" w:color="auto" w:fill="E2EFD9"/>
            <w:tcMar>
              <w:top w:w="40" w:type="dxa"/>
              <w:left w:w="0" w:type="dxa"/>
              <w:bottom w:w="40" w:type="dxa"/>
              <w:right w:w="20" w:type="dxa"/>
            </w:tcMar>
            <w:vAlign w:val="bottom"/>
          </w:tcPr>
          <w:p w14:paraId="1E803E3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36"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37"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E3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3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3A"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E3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3C"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3D" w14:textId="77777777" w:rsidR="00F20ABF" w:rsidRDefault="00CA4D2F">
            <w:pPr>
              <w:jc w:val="right"/>
              <w:textAlignment w:val="bottom"/>
            </w:pPr>
            <w:r>
              <w:rPr>
                <w:rFonts w:ascii="sans-serif" w:eastAsia="sans-serif" w:hAnsi="sans-serif" w:cs="sans-serif"/>
                <w:color w:val="000000"/>
                <w:sz w:val="15"/>
                <w:szCs w:val="15"/>
              </w:rPr>
              <w:t>(202)</w:t>
            </w:r>
          </w:p>
        </w:tc>
        <w:tc>
          <w:tcPr>
            <w:tcW w:w="0" w:type="auto"/>
            <w:shd w:val="clear" w:color="auto" w:fill="E2EFD9"/>
            <w:tcMar>
              <w:top w:w="40" w:type="dxa"/>
              <w:left w:w="0" w:type="dxa"/>
              <w:bottom w:w="40" w:type="dxa"/>
              <w:right w:w="20" w:type="dxa"/>
            </w:tcMar>
            <w:vAlign w:val="bottom"/>
          </w:tcPr>
          <w:p w14:paraId="1E803E3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3F"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40"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E4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42"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43"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E4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45"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46" w14:textId="77777777" w:rsidR="00F20ABF" w:rsidRDefault="00CA4D2F">
            <w:pPr>
              <w:jc w:val="right"/>
              <w:textAlignment w:val="bottom"/>
            </w:pPr>
            <w:r>
              <w:rPr>
                <w:rFonts w:ascii="sans-serif" w:eastAsia="sans-serif" w:hAnsi="sans-serif" w:cs="sans-serif"/>
                <w:color w:val="000000"/>
                <w:sz w:val="15"/>
                <w:szCs w:val="15"/>
              </w:rPr>
              <w:t>(202)</w:t>
            </w:r>
          </w:p>
        </w:tc>
        <w:tc>
          <w:tcPr>
            <w:tcW w:w="0" w:type="auto"/>
            <w:shd w:val="clear" w:color="auto" w:fill="E2EFD9"/>
            <w:tcMar>
              <w:top w:w="40" w:type="dxa"/>
              <w:left w:w="0" w:type="dxa"/>
              <w:bottom w:w="40" w:type="dxa"/>
              <w:right w:w="20" w:type="dxa"/>
            </w:tcMar>
            <w:vAlign w:val="bottom"/>
          </w:tcPr>
          <w:p w14:paraId="1E803E47" w14:textId="77777777" w:rsidR="00F20ABF" w:rsidRDefault="00F20ABF">
            <w:pPr>
              <w:jc w:val="right"/>
              <w:rPr>
                <w:rFonts w:ascii="宋体"/>
              </w:rPr>
            </w:pPr>
          </w:p>
        </w:tc>
      </w:tr>
      <w:tr w:rsidR="00F20ABF" w14:paraId="1E803E57" w14:textId="77777777">
        <w:trPr>
          <w:jc w:val="center"/>
          <w:hidden/>
        </w:trPr>
        <w:tc>
          <w:tcPr>
            <w:tcW w:w="0" w:type="auto"/>
            <w:gridSpan w:val="3"/>
            <w:shd w:val="clear" w:color="auto" w:fill="auto"/>
          </w:tcPr>
          <w:p w14:paraId="1E803E49" w14:textId="77777777" w:rsidR="00F20ABF" w:rsidRDefault="00F20ABF">
            <w:pPr>
              <w:rPr>
                <w:rFonts w:ascii="宋体"/>
                <w:vanish/>
              </w:rPr>
            </w:pPr>
          </w:p>
        </w:tc>
        <w:tc>
          <w:tcPr>
            <w:tcW w:w="0" w:type="auto"/>
            <w:gridSpan w:val="3"/>
            <w:shd w:val="clear" w:color="auto" w:fill="auto"/>
          </w:tcPr>
          <w:p w14:paraId="1E803E4A" w14:textId="77777777" w:rsidR="00F20ABF" w:rsidRDefault="00F20ABF">
            <w:pPr>
              <w:rPr>
                <w:rFonts w:ascii="宋体"/>
                <w:vanish/>
              </w:rPr>
            </w:pPr>
          </w:p>
        </w:tc>
        <w:tc>
          <w:tcPr>
            <w:tcW w:w="0" w:type="auto"/>
            <w:gridSpan w:val="3"/>
            <w:shd w:val="clear" w:color="auto" w:fill="auto"/>
          </w:tcPr>
          <w:p w14:paraId="1E803E4B" w14:textId="77777777" w:rsidR="00F20ABF" w:rsidRDefault="00F20ABF">
            <w:pPr>
              <w:rPr>
                <w:rFonts w:ascii="宋体"/>
                <w:vanish/>
              </w:rPr>
            </w:pPr>
          </w:p>
        </w:tc>
        <w:tc>
          <w:tcPr>
            <w:tcW w:w="0" w:type="auto"/>
            <w:gridSpan w:val="3"/>
            <w:shd w:val="clear" w:color="auto" w:fill="auto"/>
          </w:tcPr>
          <w:p w14:paraId="1E803E4C" w14:textId="77777777" w:rsidR="00F20ABF" w:rsidRDefault="00F20ABF">
            <w:pPr>
              <w:rPr>
                <w:rFonts w:ascii="宋体"/>
                <w:vanish/>
              </w:rPr>
            </w:pPr>
          </w:p>
        </w:tc>
        <w:tc>
          <w:tcPr>
            <w:tcW w:w="0" w:type="auto"/>
            <w:gridSpan w:val="3"/>
            <w:shd w:val="clear" w:color="auto" w:fill="auto"/>
          </w:tcPr>
          <w:p w14:paraId="1E803E4D" w14:textId="77777777" w:rsidR="00F20ABF" w:rsidRDefault="00F20ABF">
            <w:pPr>
              <w:rPr>
                <w:rFonts w:ascii="宋体"/>
                <w:vanish/>
              </w:rPr>
            </w:pPr>
          </w:p>
        </w:tc>
        <w:tc>
          <w:tcPr>
            <w:tcW w:w="0" w:type="auto"/>
            <w:gridSpan w:val="3"/>
            <w:shd w:val="clear" w:color="auto" w:fill="auto"/>
          </w:tcPr>
          <w:p w14:paraId="1E803E4E" w14:textId="77777777" w:rsidR="00F20ABF" w:rsidRDefault="00F20ABF">
            <w:pPr>
              <w:rPr>
                <w:rFonts w:ascii="宋体"/>
                <w:vanish/>
              </w:rPr>
            </w:pPr>
          </w:p>
        </w:tc>
        <w:tc>
          <w:tcPr>
            <w:tcW w:w="0" w:type="auto"/>
            <w:gridSpan w:val="3"/>
            <w:shd w:val="clear" w:color="auto" w:fill="auto"/>
          </w:tcPr>
          <w:p w14:paraId="1E803E4F" w14:textId="77777777" w:rsidR="00F20ABF" w:rsidRDefault="00F20ABF">
            <w:pPr>
              <w:rPr>
                <w:rFonts w:ascii="宋体"/>
                <w:vanish/>
              </w:rPr>
            </w:pPr>
          </w:p>
        </w:tc>
        <w:tc>
          <w:tcPr>
            <w:tcW w:w="0" w:type="auto"/>
            <w:gridSpan w:val="3"/>
            <w:shd w:val="clear" w:color="auto" w:fill="auto"/>
          </w:tcPr>
          <w:p w14:paraId="1E803E50" w14:textId="77777777" w:rsidR="00F20ABF" w:rsidRDefault="00F20ABF">
            <w:pPr>
              <w:rPr>
                <w:rFonts w:ascii="宋体"/>
                <w:vanish/>
              </w:rPr>
            </w:pPr>
          </w:p>
        </w:tc>
        <w:tc>
          <w:tcPr>
            <w:tcW w:w="0" w:type="auto"/>
            <w:gridSpan w:val="3"/>
            <w:shd w:val="clear" w:color="auto" w:fill="auto"/>
          </w:tcPr>
          <w:p w14:paraId="1E803E51" w14:textId="77777777" w:rsidR="00F20ABF" w:rsidRDefault="00F20ABF">
            <w:pPr>
              <w:rPr>
                <w:rFonts w:ascii="宋体"/>
                <w:vanish/>
              </w:rPr>
            </w:pPr>
          </w:p>
        </w:tc>
        <w:tc>
          <w:tcPr>
            <w:tcW w:w="0" w:type="auto"/>
            <w:gridSpan w:val="3"/>
            <w:shd w:val="clear" w:color="auto" w:fill="auto"/>
          </w:tcPr>
          <w:p w14:paraId="1E803E52" w14:textId="77777777" w:rsidR="00F20ABF" w:rsidRDefault="00F20ABF">
            <w:pPr>
              <w:rPr>
                <w:rFonts w:ascii="宋体"/>
                <w:vanish/>
              </w:rPr>
            </w:pPr>
          </w:p>
        </w:tc>
        <w:tc>
          <w:tcPr>
            <w:tcW w:w="0" w:type="auto"/>
            <w:gridSpan w:val="3"/>
            <w:shd w:val="clear" w:color="auto" w:fill="auto"/>
          </w:tcPr>
          <w:p w14:paraId="1E803E53" w14:textId="77777777" w:rsidR="00F20ABF" w:rsidRDefault="00F20ABF">
            <w:pPr>
              <w:rPr>
                <w:rFonts w:ascii="宋体"/>
                <w:vanish/>
              </w:rPr>
            </w:pPr>
          </w:p>
        </w:tc>
        <w:tc>
          <w:tcPr>
            <w:tcW w:w="0" w:type="auto"/>
            <w:gridSpan w:val="3"/>
            <w:shd w:val="clear" w:color="auto" w:fill="auto"/>
          </w:tcPr>
          <w:p w14:paraId="1E803E54" w14:textId="77777777" w:rsidR="00F20ABF" w:rsidRDefault="00F20ABF">
            <w:pPr>
              <w:rPr>
                <w:rFonts w:ascii="宋体"/>
                <w:vanish/>
              </w:rPr>
            </w:pPr>
          </w:p>
        </w:tc>
        <w:tc>
          <w:tcPr>
            <w:tcW w:w="0" w:type="auto"/>
            <w:gridSpan w:val="3"/>
            <w:shd w:val="clear" w:color="auto" w:fill="auto"/>
          </w:tcPr>
          <w:p w14:paraId="1E803E55" w14:textId="77777777" w:rsidR="00F20ABF" w:rsidRDefault="00F20ABF">
            <w:pPr>
              <w:rPr>
                <w:rFonts w:ascii="宋体"/>
                <w:vanish/>
              </w:rPr>
            </w:pPr>
          </w:p>
        </w:tc>
        <w:tc>
          <w:tcPr>
            <w:tcW w:w="0" w:type="auto"/>
            <w:gridSpan w:val="3"/>
            <w:shd w:val="clear" w:color="auto" w:fill="auto"/>
          </w:tcPr>
          <w:p w14:paraId="1E803E56" w14:textId="77777777" w:rsidR="00F20ABF" w:rsidRDefault="00F20ABF">
            <w:pPr>
              <w:rPr>
                <w:rFonts w:ascii="宋体"/>
                <w:vanish/>
              </w:rPr>
            </w:pPr>
          </w:p>
        </w:tc>
      </w:tr>
      <w:tr w:rsidR="00F20ABF" w14:paraId="1E803E6D" w14:textId="77777777">
        <w:trPr>
          <w:jc w:val="center"/>
        </w:trPr>
        <w:tc>
          <w:tcPr>
            <w:tcW w:w="0" w:type="auto"/>
            <w:gridSpan w:val="3"/>
            <w:shd w:val="clear" w:color="auto" w:fill="FFFFFF"/>
            <w:tcMar>
              <w:top w:w="40" w:type="dxa"/>
              <w:left w:w="20" w:type="dxa"/>
              <w:bottom w:w="40" w:type="dxa"/>
              <w:right w:w="20" w:type="dxa"/>
            </w:tcMar>
            <w:vAlign w:val="bottom"/>
          </w:tcPr>
          <w:p w14:paraId="1E803E58" w14:textId="77777777" w:rsidR="00F20ABF" w:rsidRDefault="00CA4D2F">
            <w:pPr>
              <w:textAlignment w:val="bottom"/>
            </w:pPr>
            <w:r>
              <w:rPr>
                <w:rFonts w:ascii="sans-serif" w:eastAsia="sans-serif" w:hAnsi="sans-serif" w:cs="sans-serif"/>
                <w:color w:val="000000"/>
                <w:sz w:val="15"/>
                <w:szCs w:val="15"/>
              </w:rPr>
              <w:t xml:space="preserve">Cash </w:t>
            </w:r>
            <w:r>
              <w:rPr>
                <w:rFonts w:ascii="sans-serif" w:eastAsia="sans-serif" w:hAnsi="sans-serif" w:cs="sans-serif"/>
                <w:color w:val="000000"/>
                <w:sz w:val="15"/>
                <w:szCs w:val="15"/>
              </w:rPr>
              <w:t>dividends declared and paid ($0.16 per common share)</w:t>
            </w:r>
          </w:p>
        </w:tc>
        <w:tc>
          <w:tcPr>
            <w:tcW w:w="0" w:type="auto"/>
            <w:gridSpan w:val="2"/>
            <w:shd w:val="clear" w:color="auto" w:fill="FFFFFF"/>
            <w:tcMar>
              <w:top w:w="40" w:type="dxa"/>
              <w:left w:w="20" w:type="dxa"/>
              <w:bottom w:w="40" w:type="dxa"/>
              <w:right w:w="0" w:type="dxa"/>
            </w:tcMar>
            <w:vAlign w:val="bottom"/>
          </w:tcPr>
          <w:p w14:paraId="1E803E59"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E5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5B"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E5C"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E5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5E"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E5F"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E60"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61"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E62"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E63"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64"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E65"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E6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67"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E68" w14:textId="77777777" w:rsidR="00F20ABF" w:rsidRDefault="00CA4D2F">
            <w:pPr>
              <w:jc w:val="right"/>
              <w:textAlignment w:val="bottom"/>
            </w:pPr>
            <w:r>
              <w:rPr>
                <w:rFonts w:ascii="sans-serif" w:eastAsia="sans-serif" w:hAnsi="sans-serif" w:cs="sans-serif"/>
                <w:color w:val="000000"/>
                <w:sz w:val="15"/>
                <w:szCs w:val="15"/>
              </w:rPr>
              <w:t>(98)</w:t>
            </w:r>
          </w:p>
        </w:tc>
        <w:tc>
          <w:tcPr>
            <w:tcW w:w="0" w:type="auto"/>
            <w:shd w:val="clear" w:color="auto" w:fill="FFFFFF"/>
            <w:tcMar>
              <w:top w:w="40" w:type="dxa"/>
              <w:left w:w="0" w:type="dxa"/>
              <w:bottom w:w="40" w:type="dxa"/>
              <w:right w:w="20" w:type="dxa"/>
            </w:tcMar>
            <w:vAlign w:val="bottom"/>
          </w:tcPr>
          <w:p w14:paraId="1E803E6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6A"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E6B" w14:textId="77777777" w:rsidR="00F20ABF" w:rsidRDefault="00CA4D2F">
            <w:pPr>
              <w:jc w:val="right"/>
              <w:textAlignment w:val="bottom"/>
            </w:pPr>
            <w:r>
              <w:rPr>
                <w:rFonts w:ascii="sans-serif" w:eastAsia="sans-serif" w:hAnsi="sans-serif" w:cs="sans-serif"/>
                <w:color w:val="000000"/>
                <w:sz w:val="15"/>
                <w:szCs w:val="15"/>
              </w:rPr>
              <w:t>(98)</w:t>
            </w:r>
          </w:p>
        </w:tc>
        <w:tc>
          <w:tcPr>
            <w:tcW w:w="0" w:type="auto"/>
            <w:shd w:val="clear" w:color="auto" w:fill="FFFFFF"/>
            <w:tcMar>
              <w:top w:w="40" w:type="dxa"/>
              <w:left w:w="0" w:type="dxa"/>
              <w:bottom w:w="40" w:type="dxa"/>
              <w:right w:w="20" w:type="dxa"/>
            </w:tcMar>
            <w:vAlign w:val="bottom"/>
          </w:tcPr>
          <w:p w14:paraId="1E803E6C" w14:textId="77777777" w:rsidR="00F20ABF" w:rsidRDefault="00F20ABF">
            <w:pPr>
              <w:jc w:val="right"/>
              <w:rPr>
                <w:rFonts w:ascii="宋体"/>
              </w:rPr>
            </w:pPr>
          </w:p>
        </w:tc>
      </w:tr>
      <w:tr w:rsidR="00F20ABF" w14:paraId="1E803E83" w14:textId="77777777">
        <w:trPr>
          <w:jc w:val="center"/>
        </w:trPr>
        <w:tc>
          <w:tcPr>
            <w:tcW w:w="0" w:type="auto"/>
            <w:gridSpan w:val="3"/>
            <w:shd w:val="clear" w:color="auto" w:fill="E2EFD9"/>
            <w:tcMar>
              <w:top w:w="40" w:type="dxa"/>
              <w:left w:w="20" w:type="dxa"/>
              <w:bottom w:w="40" w:type="dxa"/>
              <w:right w:w="20" w:type="dxa"/>
            </w:tcMar>
            <w:vAlign w:val="bottom"/>
          </w:tcPr>
          <w:p w14:paraId="1E803E6E" w14:textId="77777777" w:rsidR="00F20ABF" w:rsidRDefault="00CA4D2F">
            <w:pPr>
              <w:textAlignment w:val="bottom"/>
            </w:pPr>
            <w:r>
              <w:rPr>
                <w:rFonts w:ascii="sans-serif" w:eastAsia="sans-serif" w:hAnsi="sans-serif" w:cs="sans-serif"/>
                <w:color w:val="000000"/>
                <w:sz w:val="15"/>
                <w:szCs w:val="15"/>
              </w:rPr>
              <w:t>Stock-based compensation</w:t>
            </w:r>
          </w:p>
        </w:tc>
        <w:tc>
          <w:tcPr>
            <w:tcW w:w="0" w:type="auto"/>
            <w:gridSpan w:val="2"/>
            <w:shd w:val="clear" w:color="auto" w:fill="E2EFD9"/>
            <w:tcMar>
              <w:top w:w="40" w:type="dxa"/>
              <w:left w:w="20" w:type="dxa"/>
              <w:bottom w:w="40" w:type="dxa"/>
              <w:right w:w="0" w:type="dxa"/>
            </w:tcMar>
            <w:vAlign w:val="bottom"/>
          </w:tcPr>
          <w:p w14:paraId="1E803E6F"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E70"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71"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72"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E7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74"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75" w14:textId="77777777" w:rsidR="00F20ABF" w:rsidRDefault="00CA4D2F">
            <w:pPr>
              <w:jc w:val="right"/>
              <w:textAlignment w:val="bottom"/>
            </w:pPr>
            <w:r>
              <w:rPr>
                <w:rFonts w:ascii="sans-serif" w:eastAsia="sans-serif" w:hAnsi="sans-serif" w:cs="sans-serif"/>
                <w:color w:val="000000"/>
                <w:sz w:val="15"/>
                <w:szCs w:val="15"/>
              </w:rPr>
              <w:t>218 </w:t>
            </w:r>
          </w:p>
        </w:tc>
        <w:tc>
          <w:tcPr>
            <w:tcW w:w="0" w:type="auto"/>
            <w:shd w:val="clear" w:color="auto" w:fill="E2EFD9"/>
            <w:tcMar>
              <w:top w:w="40" w:type="dxa"/>
              <w:left w:w="0" w:type="dxa"/>
              <w:bottom w:w="40" w:type="dxa"/>
              <w:right w:w="20" w:type="dxa"/>
            </w:tcMar>
            <w:vAlign w:val="bottom"/>
          </w:tcPr>
          <w:p w14:paraId="1E803E7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77"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78"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E7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7A"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7B"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E7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7D"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7E"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E7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80"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E81" w14:textId="77777777" w:rsidR="00F20ABF" w:rsidRDefault="00CA4D2F">
            <w:pPr>
              <w:jc w:val="right"/>
              <w:textAlignment w:val="bottom"/>
            </w:pPr>
            <w:r>
              <w:rPr>
                <w:rFonts w:ascii="sans-serif" w:eastAsia="sans-serif" w:hAnsi="sans-serif" w:cs="sans-serif"/>
                <w:color w:val="000000"/>
                <w:sz w:val="15"/>
                <w:szCs w:val="15"/>
              </w:rPr>
              <w:t>218 </w:t>
            </w:r>
          </w:p>
        </w:tc>
        <w:tc>
          <w:tcPr>
            <w:tcW w:w="0" w:type="auto"/>
            <w:shd w:val="clear" w:color="auto" w:fill="E2EFD9"/>
            <w:tcMar>
              <w:top w:w="40" w:type="dxa"/>
              <w:left w:w="0" w:type="dxa"/>
              <w:bottom w:w="40" w:type="dxa"/>
              <w:right w:w="20" w:type="dxa"/>
            </w:tcMar>
            <w:vAlign w:val="bottom"/>
          </w:tcPr>
          <w:p w14:paraId="1E803E82" w14:textId="77777777" w:rsidR="00F20ABF" w:rsidRDefault="00F20ABF">
            <w:pPr>
              <w:jc w:val="right"/>
              <w:rPr>
                <w:rFonts w:ascii="宋体"/>
              </w:rPr>
            </w:pPr>
          </w:p>
        </w:tc>
      </w:tr>
      <w:tr w:rsidR="00F20ABF" w14:paraId="1E803E9F" w14:textId="77777777">
        <w:trPr>
          <w:jc w:val="center"/>
        </w:trPr>
        <w:tc>
          <w:tcPr>
            <w:tcW w:w="0" w:type="auto"/>
            <w:gridSpan w:val="3"/>
            <w:shd w:val="clear" w:color="auto" w:fill="FFFFFF"/>
            <w:tcMar>
              <w:top w:w="40" w:type="dxa"/>
              <w:left w:w="20" w:type="dxa"/>
              <w:bottom w:w="40" w:type="dxa"/>
              <w:right w:w="20" w:type="dxa"/>
            </w:tcMar>
            <w:vAlign w:val="bottom"/>
          </w:tcPr>
          <w:p w14:paraId="1E803E84" w14:textId="77777777" w:rsidR="00F20ABF" w:rsidRDefault="00CA4D2F">
            <w:pPr>
              <w:textAlignment w:val="bottom"/>
            </w:pPr>
            <w:r>
              <w:rPr>
                <w:rFonts w:ascii="sans-serif" w:eastAsia="sans-serif" w:hAnsi="sans-serif" w:cs="sans-serif"/>
                <w:color w:val="000000"/>
                <w:sz w:val="15"/>
                <w:szCs w:val="15"/>
              </w:rPr>
              <w:t>Balanc</w:t>
            </w:r>
            <w:r>
              <w:rPr>
                <w:rFonts w:ascii="sans-serif" w:eastAsia="sans-serif" w:hAnsi="sans-serif" w:cs="sans-serif"/>
                <w:color w:val="000000"/>
                <w:sz w:val="15"/>
                <w:szCs w:val="15"/>
              </w:rPr>
              <w:t>es, October 27, 2019</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3E85" w14:textId="77777777" w:rsidR="00F20ABF" w:rsidRDefault="00CA4D2F">
            <w:pPr>
              <w:jc w:val="right"/>
              <w:textAlignment w:val="bottom"/>
            </w:pPr>
            <w:r>
              <w:rPr>
                <w:rFonts w:ascii="sans-serif" w:eastAsia="sans-serif" w:hAnsi="sans-serif" w:cs="sans-serif"/>
                <w:color w:val="000000"/>
                <w:sz w:val="15"/>
                <w:szCs w:val="15"/>
              </w:rPr>
              <w:t>612 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3E8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87"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3E88"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3E89" w14:textId="77777777" w:rsidR="00F20ABF" w:rsidRDefault="00CA4D2F">
            <w:pPr>
              <w:jc w:val="right"/>
              <w:textAlignment w:val="bottom"/>
            </w:pPr>
            <w:r>
              <w:rPr>
                <w:rFonts w:ascii="sans-serif" w:eastAsia="sans-serif" w:hAnsi="sans-serif" w:cs="sans-serif"/>
                <w:color w:val="000000"/>
                <w:sz w:val="15"/>
                <w:szCs w:val="15"/>
              </w:rPr>
              <w:t>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3E8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8B"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3E8C"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3E8D" w14:textId="77777777" w:rsidR="00F20ABF" w:rsidRDefault="00CA4D2F">
            <w:pPr>
              <w:jc w:val="right"/>
              <w:textAlignment w:val="bottom"/>
            </w:pPr>
            <w:r>
              <w:rPr>
                <w:rFonts w:ascii="sans-serif" w:eastAsia="sans-serif" w:hAnsi="sans-serif" w:cs="sans-serif"/>
                <w:color w:val="000000"/>
                <w:sz w:val="15"/>
                <w:szCs w:val="15"/>
              </w:rPr>
              <w:t>6,824 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3E8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8F"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3E90"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3E91" w14:textId="77777777" w:rsidR="00F20ABF" w:rsidRDefault="00CA4D2F">
            <w:pPr>
              <w:jc w:val="right"/>
              <w:textAlignment w:val="bottom"/>
            </w:pPr>
            <w:r>
              <w:rPr>
                <w:rFonts w:ascii="sans-serif" w:eastAsia="sans-serif" w:hAnsi="sans-serif" w:cs="sans-serif"/>
                <w:color w:val="000000"/>
                <w:sz w:val="15"/>
                <w:szCs w:val="15"/>
              </w:rPr>
              <w:t>(9,726)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3E9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93"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3E94"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3E95" w14:textId="77777777" w:rsidR="00F20ABF" w:rsidRDefault="00CA4D2F">
            <w:pPr>
              <w:jc w:val="right"/>
              <w:textAlignment w:val="bottom"/>
            </w:pPr>
            <w:r>
              <w:rPr>
                <w:rFonts w:ascii="sans-serif" w:eastAsia="sans-serif" w:hAnsi="sans-serif" w:cs="sans-serif"/>
                <w:color w:val="000000"/>
                <w:sz w:val="15"/>
                <w:szCs w:val="15"/>
              </w:rPr>
              <w:t>(3)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3E9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97"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3E98"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3E99" w14:textId="77777777" w:rsidR="00F20ABF" w:rsidRDefault="00CA4D2F">
            <w:pPr>
              <w:jc w:val="right"/>
              <w:textAlignment w:val="bottom"/>
            </w:pPr>
            <w:r>
              <w:rPr>
                <w:rFonts w:ascii="sans-serif" w:eastAsia="sans-serif" w:hAnsi="sans-serif" w:cs="sans-serif"/>
                <w:color w:val="000000"/>
                <w:sz w:val="15"/>
                <w:szCs w:val="15"/>
              </w:rPr>
              <w:t>14,118 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3E9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E9B"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3E9C"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3E9D" w14:textId="77777777" w:rsidR="00F20ABF" w:rsidRDefault="00CA4D2F">
            <w:pPr>
              <w:jc w:val="right"/>
              <w:textAlignment w:val="bottom"/>
            </w:pPr>
            <w:r>
              <w:rPr>
                <w:rFonts w:ascii="sans-serif" w:eastAsia="sans-serif" w:hAnsi="sans-serif" w:cs="sans-serif"/>
                <w:color w:val="000000"/>
                <w:sz w:val="15"/>
                <w:szCs w:val="15"/>
              </w:rPr>
              <w:t>11,214 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3E9E" w14:textId="77777777" w:rsidR="00F20ABF" w:rsidRDefault="00F20ABF">
            <w:pPr>
              <w:jc w:val="right"/>
              <w:rPr>
                <w:rFonts w:ascii="宋体"/>
              </w:rPr>
            </w:pPr>
          </w:p>
        </w:tc>
      </w:tr>
    </w:tbl>
    <w:p w14:paraId="1E803EA0" w14:textId="77777777" w:rsidR="00F20ABF" w:rsidRDefault="00CA4D2F">
      <w:pPr>
        <w:spacing w:after="180"/>
        <w:jc w:val="center"/>
      </w:pPr>
      <w:r>
        <w:rPr>
          <w:rFonts w:ascii="sans-serif" w:eastAsia="sans-serif" w:hAnsi="sans-serif" w:cs="sans-serif"/>
          <w:color w:val="000000"/>
          <w:sz w:val="20"/>
          <w:szCs w:val="20"/>
        </w:rPr>
        <w:t>See accompanying Notes to Condensed Consolidated Financial Statements.</w:t>
      </w:r>
    </w:p>
    <w:p w14:paraId="1E803EA1" w14:textId="77777777" w:rsidR="00F20ABF" w:rsidRDefault="00F20ABF">
      <w:pPr>
        <w:spacing w:after="180"/>
        <w:jc w:val="center"/>
      </w:pPr>
    </w:p>
    <w:p w14:paraId="1E803EA2" w14:textId="77777777" w:rsidR="00F20ABF" w:rsidRDefault="00CA4D2F">
      <w:pPr>
        <w:spacing w:after="180"/>
        <w:jc w:val="center"/>
      </w:pPr>
      <w:r>
        <w:rPr>
          <w:rFonts w:ascii="sans-serif" w:eastAsia="sans-serif" w:hAnsi="sans-serif" w:cs="sans-serif"/>
          <w:color w:val="000000"/>
          <w:sz w:val="20"/>
          <w:szCs w:val="20"/>
        </w:rPr>
        <w:t>6</w:t>
      </w:r>
    </w:p>
    <w:p w14:paraId="1E803EA3" w14:textId="77777777" w:rsidR="00F20ABF" w:rsidRDefault="00CA4D2F">
      <w:r>
        <w:pict w14:anchorId="1E805581">
          <v:rect id="_x0000_i1030" style="width:415.3pt;height:1.5pt" o:hralign="center" o:hrstd="t" o:hr="t" fillcolor="#a0a0a0" stroked="f"/>
        </w:pict>
      </w:r>
    </w:p>
    <w:p w14:paraId="1E803EA4" w14:textId="77777777" w:rsidR="00F20ABF" w:rsidRDefault="00F20ABF">
      <w:pPr>
        <w:spacing w:after="180"/>
        <w:jc w:val="both"/>
      </w:pPr>
    </w:p>
    <w:p w14:paraId="1E803EA5" w14:textId="77777777" w:rsidR="00F20ABF" w:rsidRDefault="00CA4D2F">
      <w:pPr>
        <w:spacing w:after="180"/>
        <w:jc w:val="center"/>
      </w:pPr>
      <w:r>
        <w:rPr>
          <w:rFonts w:ascii="sans-serif" w:eastAsia="sans-serif" w:hAnsi="sans-serif" w:cs="sans-serif"/>
          <w:b/>
          <w:bCs/>
          <w:color w:val="000000"/>
          <w:sz w:val="20"/>
          <w:szCs w:val="20"/>
        </w:rPr>
        <w:t xml:space="preserve">NVIDIA </w:t>
      </w:r>
      <w:r>
        <w:rPr>
          <w:rFonts w:ascii="sans-serif" w:eastAsia="sans-serif" w:hAnsi="sans-serif" w:cs="sans-serif"/>
          <w:b/>
          <w:bCs/>
          <w:color w:val="000000"/>
          <w:sz w:val="20"/>
          <w:szCs w:val="20"/>
        </w:rPr>
        <w:t>CORPORATION AND SUBSIDIARIES</w:t>
      </w:r>
    </w:p>
    <w:p w14:paraId="1E803EA6" w14:textId="77777777" w:rsidR="00F20ABF" w:rsidRDefault="00CA4D2F">
      <w:pPr>
        <w:jc w:val="center"/>
      </w:pPr>
      <w:r>
        <w:rPr>
          <w:rFonts w:ascii="sans-serif" w:eastAsia="sans-serif" w:hAnsi="sans-serif" w:cs="sans-serif"/>
          <w:b/>
          <w:bCs/>
          <w:color w:val="000000"/>
          <w:sz w:val="20"/>
          <w:szCs w:val="20"/>
        </w:rPr>
        <w:t>CONDENSED CONSOLIDATED STATEMENTS OF SHAREHOLDERS’ EQUITY</w:t>
      </w:r>
    </w:p>
    <w:p w14:paraId="1E803EA7" w14:textId="77777777" w:rsidR="00F20ABF" w:rsidRDefault="00CA4D2F">
      <w:pPr>
        <w:jc w:val="center"/>
      </w:pPr>
      <w:r>
        <w:rPr>
          <w:rFonts w:ascii="sans-serif" w:eastAsia="sans-serif" w:hAnsi="sans-serif" w:cs="sans-serif"/>
          <w:b/>
          <w:bCs/>
          <w:color w:val="000000"/>
          <w:sz w:val="20"/>
          <w:szCs w:val="20"/>
        </w:rPr>
        <w:t>FOR THE NINE MONTHS ENDED OCTOBER 25, 2020 AND OCTOBER 27, 2019</w:t>
      </w:r>
    </w:p>
    <w:p w14:paraId="1E803EA8" w14:textId="77777777" w:rsidR="00F20ABF" w:rsidRDefault="00CA4D2F">
      <w:pPr>
        <w:spacing w:after="180"/>
        <w:jc w:val="center"/>
      </w:pPr>
      <w:r>
        <w:rPr>
          <w:rFonts w:ascii="sans-serif" w:eastAsia="sans-serif" w:hAnsi="sans-serif" w:cs="sans-serif"/>
          <w:b/>
          <w:bCs/>
          <w:color w:val="000000"/>
          <w:sz w:val="20"/>
          <w:szCs w:val="20"/>
        </w:rPr>
        <w:t xml:space="preserve">(Unaudited)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494"/>
        <w:gridCol w:w="37"/>
        <w:gridCol w:w="73"/>
        <w:gridCol w:w="389"/>
        <w:gridCol w:w="37"/>
        <w:gridCol w:w="37"/>
        <w:gridCol w:w="37"/>
        <w:gridCol w:w="36"/>
        <w:gridCol w:w="98"/>
        <w:gridCol w:w="452"/>
        <w:gridCol w:w="36"/>
        <w:gridCol w:w="36"/>
        <w:gridCol w:w="36"/>
        <w:gridCol w:w="36"/>
        <w:gridCol w:w="98"/>
        <w:gridCol w:w="593"/>
        <w:gridCol w:w="36"/>
        <w:gridCol w:w="36"/>
        <w:gridCol w:w="36"/>
        <w:gridCol w:w="36"/>
        <w:gridCol w:w="97"/>
        <w:gridCol w:w="509"/>
        <w:gridCol w:w="36"/>
        <w:gridCol w:w="36"/>
        <w:gridCol w:w="36"/>
        <w:gridCol w:w="36"/>
        <w:gridCol w:w="98"/>
        <w:gridCol w:w="916"/>
        <w:gridCol w:w="36"/>
        <w:gridCol w:w="36"/>
        <w:gridCol w:w="36"/>
        <w:gridCol w:w="36"/>
        <w:gridCol w:w="98"/>
        <w:gridCol w:w="506"/>
        <w:gridCol w:w="36"/>
        <w:gridCol w:w="36"/>
        <w:gridCol w:w="36"/>
        <w:gridCol w:w="36"/>
        <w:gridCol w:w="98"/>
        <w:gridCol w:w="802"/>
        <w:gridCol w:w="36"/>
      </w:tblGrid>
      <w:tr w:rsidR="00F20ABF" w14:paraId="1E803ED3" w14:textId="77777777">
        <w:trPr>
          <w:jc w:val="center"/>
        </w:trPr>
        <w:tc>
          <w:tcPr>
            <w:tcW w:w="50" w:type="pct"/>
            <w:shd w:val="clear" w:color="auto" w:fill="auto"/>
          </w:tcPr>
          <w:p w14:paraId="1E803EA9" w14:textId="77777777" w:rsidR="00F20ABF" w:rsidRDefault="00F20ABF">
            <w:pPr>
              <w:rPr>
                <w:rFonts w:ascii="宋体"/>
              </w:rPr>
            </w:pPr>
          </w:p>
        </w:tc>
        <w:tc>
          <w:tcPr>
            <w:tcW w:w="1883" w:type="pct"/>
            <w:shd w:val="clear" w:color="auto" w:fill="auto"/>
          </w:tcPr>
          <w:p w14:paraId="1E803EAA" w14:textId="77777777" w:rsidR="00F20ABF" w:rsidRDefault="00F20ABF">
            <w:pPr>
              <w:rPr>
                <w:rFonts w:ascii="宋体"/>
              </w:rPr>
            </w:pPr>
          </w:p>
        </w:tc>
        <w:tc>
          <w:tcPr>
            <w:tcW w:w="5" w:type="pct"/>
            <w:shd w:val="clear" w:color="auto" w:fill="auto"/>
          </w:tcPr>
          <w:p w14:paraId="1E803EAB" w14:textId="77777777" w:rsidR="00F20ABF" w:rsidRDefault="00F20ABF">
            <w:pPr>
              <w:rPr>
                <w:rFonts w:ascii="宋体"/>
              </w:rPr>
            </w:pPr>
          </w:p>
        </w:tc>
        <w:tc>
          <w:tcPr>
            <w:tcW w:w="50" w:type="pct"/>
            <w:shd w:val="clear" w:color="auto" w:fill="auto"/>
          </w:tcPr>
          <w:p w14:paraId="1E803EAC" w14:textId="77777777" w:rsidR="00F20ABF" w:rsidRDefault="00F20ABF">
            <w:pPr>
              <w:rPr>
                <w:rFonts w:ascii="宋体"/>
              </w:rPr>
            </w:pPr>
          </w:p>
        </w:tc>
        <w:tc>
          <w:tcPr>
            <w:tcW w:w="268" w:type="pct"/>
            <w:shd w:val="clear" w:color="auto" w:fill="auto"/>
          </w:tcPr>
          <w:p w14:paraId="1E803EAD" w14:textId="77777777" w:rsidR="00F20ABF" w:rsidRDefault="00F20ABF">
            <w:pPr>
              <w:rPr>
                <w:rFonts w:ascii="宋体"/>
              </w:rPr>
            </w:pPr>
          </w:p>
        </w:tc>
        <w:tc>
          <w:tcPr>
            <w:tcW w:w="5" w:type="pct"/>
            <w:shd w:val="clear" w:color="auto" w:fill="auto"/>
          </w:tcPr>
          <w:p w14:paraId="1E803EAE" w14:textId="77777777" w:rsidR="00F20ABF" w:rsidRDefault="00F20ABF">
            <w:pPr>
              <w:rPr>
                <w:rFonts w:ascii="宋体"/>
              </w:rPr>
            </w:pPr>
          </w:p>
        </w:tc>
        <w:tc>
          <w:tcPr>
            <w:tcW w:w="5" w:type="pct"/>
            <w:shd w:val="clear" w:color="auto" w:fill="auto"/>
          </w:tcPr>
          <w:p w14:paraId="1E803EAF" w14:textId="77777777" w:rsidR="00F20ABF" w:rsidRDefault="00F20ABF">
            <w:pPr>
              <w:rPr>
                <w:rFonts w:ascii="宋体"/>
              </w:rPr>
            </w:pPr>
          </w:p>
        </w:tc>
        <w:tc>
          <w:tcPr>
            <w:tcW w:w="26" w:type="pct"/>
            <w:shd w:val="clear" w:color="auto" w:fill="auto"/>
          </w:tcPr>
          <w:p w14:paraId="1E803EB0" w14:textId="77777777" w:rsidR="00F20ABF" w:rsidRDefault="00F20ABF">
            <w:pPr>
              <w:rPr>
                <w:rFonts w:ascii="宋体"/>
              </w:rPr>
            </w:pPr>
          </w:p>
        </w:tc>
        <w:tc>
          <w:tcPr>
            <w:tcW w:w="5" w:type="pct"/>
            <w:shd w:val="clear" w:color="auto" w:fill="auto"/>
          </w:tcPr>
          <w:p w14:paraId="1E803EB1" w14:textId="77777777" w:rsidR="00F20ABF" w:rsidRDefault="00F20ABF">
            <w:pPr>
              <w:rPr>
                <w:rFonts w:ascii="宋体"/>
              </w:rPr>
            </w:pPr>
          </w:p>
        </w:tc>
        <w:tc>
          <w:tcPr>
            <w:tcW w:w="50" w:type="pct"/>
            <w:shd w:val="clear" w:color="auto" w:fill="auto"/>
          </w:tcPr>
          <w:p w14:paraId="1E803EB2" w14:textId="77777777" w:rsidR="00F20ABF" w:rsidRDefault="00F20ABF">
            <w:pPr>
              <w:rPr>
                <w:rFonts w:ascii="宋体"/>
              </w:rPr>
            </w:pPr>
          </w:p>
        </w:tc>
        <w:tc>
          <w:tcPr>
            <w:tcW w:w="260" w:type="pct"/>
            <w:shd w:val="clear" w:color="auto" w:fill="auto"/>
          </w:tcPr>
          <w:p w14:paraId="1E803EB3" w14:textId="77777777" w:rsidR="00F20ABF" w:rsidRDefault="00F20ABF">
            <w:pPr>
              <w:rPr>
                <w:rFonts w:ascii="宋体"/>
              </w:rPr>
            </w:pPr>
          </w:p>
        </w:tc>
        <w:tc>
          <w:tcPr>
            <w:tcW w:w="5" w:type="pct"/>
            <w:shd w:val="clear" w:color="auto" w:fill="auto"/>
          </w:tcPr>
          <w:p w14:paraId="1E803EB4" w14:textId="77777777" w:rsidR="00F20ABF" w:rsidRDefault="00F20ABF">
            <w:pPr>
              <w:rPr>
                <w:rFonts w:ascii="宋体"/>
              </w:rPr>
            </w:pPr>
          </w:p>
        </w:tc>
        <w:tc>
          <w:tcPr>
            <w:tcW w:w="5" w:type="pct"/>
            <w:shd w:val="clear" w:color="auto" w:fill="auto"/>
          </w:tcPr>
          <w:p w14:paraId="1E803EB5" w14:textId="77777777" w:rsidR="00F20ABF" w:rsidRDefault="00F20ABF">
            <w:pPr>
              <w:rPr>
                <w:rFonts w:ascii="宋体"/>
              </w:rPr>
            </w:pPr>
          </w:p>
        </w:tc>
        <w:tc>
          <w:tcPr>
            <w:tcW w:w="26" w:type="pct"/>
            <w:shd w:val="clear" w:color="auto" w:fill="auto"/>
          </w:tcPr>
          <w:p w14:paraId="1E803EB6" w14:textId="77777777" w:rsidR="00F20ABF" w:rsidRDefault="00F20ABF">
            <w:pPr>
              <w:rPr>
                <w:rFonts w:ascii="宋体"/>
              </w:rPr>
            </w:pPr>
          </w:p>
        </w:tc>
        <w:tc>
          <w:tcPr>
            <w:tcW w:w="5" w:type="pct"/>
            <w:shd w:val="clear" w:color="auto" w:fill="auto"/>
          </w:tcPr>
          <w:p w14:paraId="1E803EB7" w14:textId="77777777" w:rsidR="00F20ABF" w:rsidRDefault="00F20ABF">
            <w:pPr>
              <w:rPr>
                <w:rFonts w:ascii="宋体"/>
              </w:rPr>
            </w:pPr>
          </w:p>
        </w:tc>
        <w:tc>
          <w:tcPr>
            <w:tcW w:w="50" w:type="pct"/>
            <w:shd w:val="clear" w:color="auto" w:fill="auto"/>
          </w:tcPr>
          <w:p w14:paraId="1E803EB8" w14:textId="77777777" w:rsidR="00F20ABF" w:rsidRDefault="00F20ABF">
            <w:pPr>
              <w:rPr>
                <w:rFonts w:ascii="宋体"/>
              </w:rPr>
            </w:pPr>
          </w:p>
        </w:tc>
        <w:tc>
          <w:tcPr>
            <w:tcW w:w="334" w:type="pct"/>
            <w:shd w:val="clear" w:color="auto" w:fill="auto"/>
          </w:tcPr>
          <w:p w14:paraId="1E803EB9" w14:textId="77777777" w:rsidR="00F20ABF" w:rsidRDefault="00F20ABF">
            <w:pPr>
              <w:rPr>
                <w:rFonts w:ascii="宋体"/>
              </w:rPr>
            </w:pPr>
          </w:p>
        </w:tc>
        <w:tc>
          <w:tcPr>
            <w:tcW w:w="5" w:type="pct"/>
            <w:shd w:val="clear" w:color="auto" w:fill="auto"/>
          </w:tcPr>
          <w:p w14:paraId="1E803EBA" w14:textId="77777777" w:rsidR="00F20ABF" w:rsidRDefault="00F20ABF">
            <w:pPr>
              <w:rPr>
                <w:rFonts w:ascii="宋体"/>
              </w:rPr>
            </w:pPr>
          </w:p>
        </w:tc>
        <w:tc>
          <w:tcPr>
            <w:tcW w:w="5" w:type="pct"/>
            <w:shd w:val="clear" w:color="auto" w:fill="auto"/>
          </w:tcPr>
          <w:p w14:paraId="1E803EBB" w14:textId="77777777" w:rsidR="00F20ABF" w:rsidRDefault="00F20ABF">
            <w:pPr>
              <w:rPr>
                <w:rFonts w:ascii="宋体"/>
              </w:rPr>
            </w:pPr>
          </w:p>
        </w:tc>
        <w:tc>
          <w:tcPr>
            <w:tcW w:w="26" w:type="pct"/>
            <w:shd w:val="clear" w:color="auto" w:fill="auto"/>
          </w:tcPr>
          <w:p w14:paraId="1E803EBC" w14:textId="77777777" w:rsidR="00F20ABF" w:rsidRDefault="00F20ABF">
            <w:pPr>
              <w:rPr>
                <w:rFonts w:ascii="宋体"/>
              </w:rPr>
            </w:pPr>
          </w:p>
        </w:tc>
        <w:tc>
          <w:tcPr>
            <w:tcW w:w="5" w:type="pct"/>
            <w:shd w:val="clear" w:color="auto" w:fill="auto"/>
          </w:tcPr>
          <w:p w14:paraId="1E803EBD" w14:textId="77777777" w:rsidR="00F20ABF" w:rsidRDefault="00F20ABF">
            <w:pPr>
              <w:rPr>
                <w:rFonts w:ascii="宋体"/>
              </w:rPr>
            </w:pPr>
          </w:p>
        </w:tc>
        <w:tc>
          <w:tcPr>
            <w:tcW w:w="50" w:type="pct"/>
            <w:shd w:val="clear" w:color="auto" w:fill="auto"/>
          </w:tcPr>
          <w:p w14:paraId="1E803EBE" w14:textId="77777777" w:rsidR="00F20ABF" w:rsidRDefault="00F20ABF">
            <w:pPr>
              <w:rPr>
                <w:rFonts w:ascii="宋体"/>
              </w:rPr>
            </w:pPr>
          </w:p>
        </w:tc>
        <w:tc>
          <w:tcPr>
            <w:tcW w:w="304" w:type="pct"/>
            <w:shd w:val="clear" w:color="auto" w:fill="auto"/>
          </w:tcPr>
          <w:p w14:paraId="1E803EBF" w14:textId="77777777" w:rsidR="00F20ABF" w:rsidRDefault="00F20ABF">
            <w:pPr>
              <w:rPr>
                <w:rFonts w:ascii="宋体"/>
              </w:rPr>
            </w:pPr>
          </w:p>
        </w:tc>
        <w:tc>
          <w:tcPr>
            <w:tcW w:w="5" w:type="pct"/>
            <w:shd w:val="clear" w:color="auto" w:fill="auto"/>
          </w:tcPr>
          <w:p w14:paraId="1E803EC0" w14:textId="77777777" w:rsidR="00F20ABF" w:rsidRDefault="00F20ABF">
            <w:pPr>
              <w:rPr>
                <w:rFonts w:ascii="宋体"/>
              </w:rPr>
            </w:pPr>
          </w:p>
        </w:tc>
        <w:tc>
          <w:tcPr>
            <w:tcW w:w="5" w:type="pct"/>
            <w:shd w:val="clear" w:color="auto" w:fill="auto"/>
          </w:tcPr>
          <w:p w14:paraId="1E803EC1" w14:textId="77777777" w:rsidR="00F20ABF" w:rsidRDefault="00F20ABF">
            <w:pPr>
              <w:rPr>
                <w:rFonts w:ascii="宋体"/>
              </w:rPr>
            </w:pPr>
          </w:p>
        </w:tc>
        <w:tc>
          <w:tcPr>
            <w:tcW w:w="26" w:type="pct"/>
            <w:shd w:val="clear" w:color="auto" w:fill="auto"/>
          </w:tcPr>
          <w:p w14:paraId="1E803EC2" w14:textId="77777777" w:rsidR="00F20ABF" w:rsidRDefault="00F20ABF">
            <w:pPr>
              <w:rPr>
                <w:rFonts w:ascii="宋体"/>
              </w:rPr>
            </w:pPr>
          </w:p>
        </w:tc>
        <w:tc>
          <w:tcPr>
            <w:tcW w:w="5" w:type="pct"/>
            <w:shd w:val="clear" w:color="auto" w:fill="auto"/>
          </w:tcPr>
          <w:p w14:paraId="1E803EC3" w14:textId="77777777" w:rsidR="00F20ABF" w:rsidRDefault="00F20ABF">
            <w:pPr>
              <w:rPr>
                <w:rFonts w:ascii="宋体"/>
              </w:rPr>
            </w:pPr>
          </w:p>
        </w:tc>
        <w:tc>
          <w:tcPr>
            <w:tcW w:w="50" w:type="pct"/>
            <w:shd w:val="clear" w:color="auto" w:fill="auto"/>
          </w:tcPr>
          <w:p w14:paraId="1E803EC4" w14:textId="77777777" w:rsidR="00F20ABF" w:rsidRDefault="00F20ABF">
            <w:pPr>
              <w:rPr>
                <w:rFonts w:ascii="宋体"/>
              </w:rPr>
            </w:pPr>
          </w:p>
        </w:tc>
        <w:tc>
          <w:tcPr>
            <w:tcW w:w="525" w:type="pct"/>
            <w:shd w:val="clear" w:color="auto" w:fill="auto"/>
          </w:tcPr>
          <w:p w14:paraId="1E803EC5" w14:textId="77777777" w:rsidR="00F20ABF" w:rsidRDefault="00F20ABF">
            <w:pPr>
              <w:rPr>
                <w:rFonts w:ascii="宋体"/>
              </w:rPr>
            </w:pPr>
          </w:p>
        </w:tc>
        <w:tc>
          <w:tcPr>
            <w:tcW w:w="5" w:type="pct"/>
            <w:shd w:val="clear" w:color="auto" w:fill="auto"/>
          </w:tcPr>
          <w:p w14:paraId="1E803EC6" w14:textId="77777777" w:rsidR="00F20ABF" w:rsidRDefault="00F20ABF">
            <w:pPr>
              <w:rPr>
                <w:rFonts w:ascii="宋体"/>
              </w:rPr>
            </w:pPr>
          </w:p>
        </w:tc>
        <w:tc>
          <w:tcPr>
            <w:tcW w:w="5" w:type="pct"/>
            <w:shd w:val="clear" w:color="auto" w:fill="auto"/>
          </w:tcPr>
          <w:p w14:paraId="1E803EC7" w14:textId="77777777" w:rsidR="00F20ABF" w:rsidRDefault="00F20ABF">
            <w:pPr>
              <w:rPr>
                <w:rFonts w:ascii="宋体"/>
              </w:rPr>
            </w:pPr>
          </w:p>
        </w:tc>
        <w:tc>
          <w:tcPr>
            <w:tcW w:w="26" w:type="pct"/>
            <w:shd w:val="clear" w:color="auto" w:fill="auto"/>
          </w:tcPr>
          <w:p w14:paraId="1E803EC8" w14:textId="77777777" w:rsidR="00F20ABF" w:rsidRDefault="00F20ABF">
            <w:pPr>
              <w:rPr>
                <w:rFonts w:ascii="宋体"/>
              </w:rPr>
            </w:pPr>
          </w:p>
        </w:tc>
        <w:tc>
          <w:tcPr>
            <w:tcW w:w="5" w:type="pct"/>
            <w:shd w:val="clear" w:color="auto" w:fill="auto"/>
          </w:tcPr>
          <w:p w14:paraId="1E803EC9" w14:textId="77777777" w:rsidR="00F20ABF" w:rsidRDefault="00F20ABF">
            <w:pPr>
              <w:rPr>
                <w:rFonts w:ascii="宋体"/>
              </w:rPr>
            </w:pPr>
          </w:p>
        </w:tc>
        <w:tc>
          <w:tcPr>
            <w:tcW w:w="50" w:type="pct"/>
            <w:shd w:val="clear" w:color="auto" w:fill="auto"/>
          </w:tcPr>
          <w:p w14:paraId="1E803ECA" w14:textId="77777777" w:rsidR="00F20ABF" w:rsidRDefault="00F20ABF">
            <w:pPr>
              <w:rPr>
                <w:rFonts w:ascii="宋体"/>
              </w:rPr>
            </w:pPr>
          </w:p>
        </w:tc>
        <w:tc>
          <w:tcPr>
            <w:tcW w:w="297" w:type="pct"/>
            <w:shd w:val="clear" w:color="auto" w:fill="auto"/>
          </w:tcPr>
          <w:p w14:paraId="1E803ECB" w14:textId="77777777" w:rsidR="00F20ABF" w:rsidRDefault="00F20ABF">
            <w:pPr>
              <w:rPr>
                <w:rFonts w:ascii="宋体"/>
              </w:rPr>
            </w:pPr>
          </w:p>
        </w:tc>
        <w:tc>
          <w:tcPr>
            <w:tcW w:w="5" w:type="pct"/>
            <w:shd w:val="clear" w:color="auto" w:fill="auto"/>
          </w:tcPr>
          <w:p w14:paraId="1E803ECC" w14:textId="77777777" w:rsidR="00F20ABF" w:rsidRDefault="00F20ABF">
            <w:pPr>
              <w:rPr>
                <w:rFonts w:ascii="宋体"/>
              </w:rPr>
            </w:pPr>
          </w:p>
        </w:tc>
        <w:tc>
          <w:tcPr>
            <w:tcW w:w="5" w:type="pct"/>
            <w:shd w:val="clear" w:color="auto" w:fill="auto"/>
          </w:tcPr>
          <w:p w14:paraId="1E803ECD" w14:textId="77777777" w:rsidR="00F20ABF" w:rsidRDefault="00F20ABF">
            <w:pPr>
              <w:rPr>
                <w:rFonts w:ascii="宋体"/>
              </w:rPr>
            </w:pPr>
          </w:p>
        </w:tc>
        <w:tc>
          <w:tcPr>
            <w:tcW w:w="26" w:type="pct"/>
            <w:shd w:val="clear" w:color="auto" w:fill="auto"/>
          </w:tcPr>
          <w:p w14:paraId="1E803ECE" w14:textId="77777777" w:rsidR="00F20ABF" w:rsidRDefault="00F20ABF">
            <w:pPr>
              <w:rPr>
                <w:rFonts w:ascii="宋体"/>
              </w:rPr>
            </w:pPr>
          </w:p>
        </w:tc>
        <w:tc>
          <w:tcPr>
            <w:tcW w:w="5" w:type="pct"/>
            <w:shd w:val="clear" w:color="auto" w:fill="auto"/>
          </w:tcPr>
          <w:p w14:paraId="1E803ECF" w14:textId="77777777" w:rsidR="00F20ABF" w:rsidRDefault="00F20ABF">
            <w:pPr>
              <w:rPr>
                <w:rFonts w:ascii="宋体"/>
              </w:rPr>
            </w:pPr>
          </w:p>
        </w:tc>
        <w:tc>
          <w:tcPr>
            <w:tcW w:w="50" w:type="pct"/>
            <w:shd w:val="clear" w:color="auto" w:fill="auto"/>
          </w:tcPr>
          <w:p w14:paraId="1E803ED0" w14:textId="77777777" w:rsidR="00F20ABF" w:rsidRDefault="00F20ABF">
            <w:pPr>
              <w:rPr>
                <w:rFonts w:ascii="宋体"/>
              </w:rPr>
            </w:pPr>
          </w:p>
        </w:tc>
        <w:tc>
          <w:tcPr>
            <w:tcW w:w="466" w:type="pct"/>
            <w:shd w:val="clear" w:color="auto" w:fill="auto"/>
          </w:tcPr>
          <w:p w14:paraId="1E803ED1" w14:textId="77777777" w:rsidR="00F20ABF" w:rsidRDefault="00F20ABF">
            <w:pPr>
              <w:rPr>
                <w:rFonts w:ascii="宋体"/>
              </w:rPr>
            </w:pPr>
          </w:p>
        </w:tc>
        <w:tc>
          <w:tcPr>
            <w:tcW w:w="5" w:type="pct"/>
            <w:shd w:val="clear" w:color="auto" w:fill="auto"/>
          </w:tcPr>
          <w:p w14:paraId="1E803ED2" w14:textId="77777777" w:rsidR="00F20ABF" w:rsidRDefault="00F20ABF">
            <w:pPr>
              <w:rPr>
                <w:rFonts w:ascii="宋体"/>
              </w:rPr>
            </w:pPr>
          </w:p>
        </w:tc>
      </w:tr>
      <w:tr w:rsidR="00F20ABF" w14:paraId="1E803EE1" w14:textId="77777777">
        <w:trPr>
          <w:trHeight w:val="420"/>
          <w:jc w:val="center"/>
        </w:trPr>
        <w:tc>
          <w:tcPr>
            <w:tcW w:w="0" w:type="auto"/>
            <w:gridSpan w:val="3"/>
            <w:shd w:val="clear" w:color="auto" w:fill="auto"/>
            <w:tcMar>
              <w:top w:w="0" w:type="dxa"/>
              <w:left w:w="20" w:type="dxa"/>
              <w:bottom w:w="0" w:type="dxa"/>
              <w:right w:w="20" w:type="dxa"/>
            </w:tcMar>
          </w:tcPr>
          <w:p w14:paraId="1E803ED4"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3ED5" w14:textId="77777777" w:rsidR="00F20ABF" w:rsidRDefault="00CA4D2F">
            <w:pPr>
              <w:jc w:val="center"/>
              <w:textAlignment w:val="bottom"/>
            </w:pPr>
            <w:r>
              <w:rPr>
                <w:rFonts w:ascii="sans-serif" w:eastAsia="sans-serif" w:hAnsi="sans-serif" w:cs="sans-serif"/>
                <w:b/>
                <w:bCs/>
                <w:color w:val="000000"/>
                <w:sz w:val="15"/>
                <w:szCs w:val="15"/>
              </w:rPr>
              <w:t>Common Stock</w:t>
            </w:r>
          </w:p>
          <w:p w14:paraId="1E803ED6" w14:textId="77777777" w:rsidR="00F20ABF" w:rsidRDefault="00CA4D2F">
            <w:pPr>
              <w:jc w:val="center"/>
              <w:textAlignment w:val="bottom"/>
            </w:pPr>
            <w:r>
              <w:rPr>
                <w:rFonts w:ascii="sans-serif" w:eastAsia="sans-serif" w:hAnsi="sans-serif" w:cs="sans-serif"/>
                <w:b/>
                <w:bCs/>
                <w:color w:val="000000"/>
                <w:sz w:val="15"/>
                <w:szCs w:val="15"/>
              </w:rPr>
              <w:t>Outstanding</w:t>
            </w:r>
          </w:p>
        </w:tc>
        <w:tc>
          <w:tcPr>
            <w:tcW w:w="0" w:type="auto"/>
            <w:gridSpan w:val="3"/>
            <w:shd w:val="clear" w:color="auto" w:fill="auto"/>
            <w:tcMar>
              <w:top w:w="0" w:type="dxa"/>
              <w:left w:w="20" w:type="dxa"/>
              <w:bottom w:w="0" w:type="dxa"/>
              <w:right w:w="20" w:type="dxa"/>
            </w:tcMar>
          </w:tcPr>
          <w:p w14:paraId="1E803ED7" w14:textId="77777777" w:rsidR="00F20ABF" w:rsidRDefault="00F20AB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E803ED8" w14:textId="77777777" w:rsidR="00F20ABF" w:rsidRDefault="00CA4D2F">
            <w:pPr>
              <w:jc w:val="center"/>
              <w:textAlignment w:val="bottom"/>
            </w:pPr>
            <w:r>
              <w:rPr>
                <w:rFonts w:ascii="sans-serif" w:eastAsia="sans-serif" w:hAnsi="sans-serif" w:cs="sans-serif"/>
                <w:b/>
                <w:bCs/>
                <w:color w:val="000000"/>
                <w:sz w:val="15"/>
                <w:szCs w:val="15"/>
              </w:rPr>
              <w:t>Additional Paid-in Capital</w:t>
            </w:r>
          </w:p>
        </w:tc>
        <w:tc>
          <w:tcPr>
            <w:tcW w:w="0" w:type="auto"/>
            <w:gridSpan w:val="3"/>
            <w:shd w:val="clear" w:color="auto" w:fill="auto"/>
            <w:tcMar>
              <w:top w:w="0" w:type="dxa"/>
              <w:left w:w="20" w:type="dxa"/>
              <w:bottom w:w="0" w:type="dxa"/>
              <w:right w:w="20" w:type="dxa"/>
            </w:tcMar>
          </w:tcPr>
          <w:p w14:paraId="1E803ED9" w14:textId="77777777" w:rsidR="00F20ABF" w:rsidRDefault="00F20AB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E803EDA" w14:textId="77777777" w:rsidR="00F20ABF" w:rsidRDefault="00CA4D2F">
            <w:pPr>
              <w:jc w:val="center"/>
              <w:textAlignment w:val="bottom"/>
            </w:pPr>
            <w:r>
              <w:rPr>
                <w:rFonts w:ascii="sans-serif" w:eastAsia="sans-serif" w:hAnsi="sans-serif" w:cs="sans-serif"/>
                <w:b/>
                <w:bCs/>
                <w:color w:val="000000"/>
                <w:sz w:val="15"/>
                <w:szCs w:val="15"/>
              </w:rPr>
              <w:t>Treasury Stock</w:t>
            </w:r>
          </w:p>
        </w:tc>
        <w:tc>
          <w:tcPr>
            <w:tcW w:w="0" w:type="auto"/>
            <w:gridSpan w:val="3"/>
            <w:shd w:val="clear" w:color="auto" w:fill="auto"/>
            <w:tcMar>
              <w:top w:w="0" w:type="dxa"/>
              <w:left w:w="20" w:type="dxa"/>
              <w:bottom w:w="0" w:type="dxa"/>
              <w:right w:w="20" w:type="dxa"/>
            </w:tcMar>
          </w:tcPr>
          <w:p w14:paraId="1E803EDB" w14:textId="77777777" w:rsidR="00F20ABF" w:rsidRDefault="00F20AB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E803EDC" w14:textId="77777777" w:rsidR="00F20ABF" w:rsidRDefault="00CA4D2F">
            <w:pPr>
              <w:jc w:val="center"/>
              <w:textAlignment w:val="bottom"/>
            </w:pPr>
            <w:r>
              <w:rPr>
                <w:rFonts w:ascii="sans-serif" w:eastAsia="sans-serif" w:hAnsi="sans-serif" w:cs="sans-serif"/>
                <w:b/>
                <w:bCs/>
                <w:color w:val="000000"/>
                <w:sz w:val="15"/>
                <w:szCs w:val="15"/>
              </w:rPr>
              <w:t>Accumulated Other Comprehensive Income (Loss)</w:t>
            </w:r>
          </w:p>
        </w:tc>
        <w:tc>
          <w:tcPr>
            <w:tcW w:w="0" w:type="auto"/>
            <w:gridSpan w:val="3"/>
            <w:shd w:val="clear" w:color="auto" w:fill="auto"/>
            <w:tcMar>
              <w:top w:w="0" w:type="dxa"/>
              <w:left w:w="20" w:type="dxa"/>
              <w:bottom w:w="0" w:type="dxa"/>
              <w:right w:w="20" w:type="dxa"/>
            </w:tcMar>
          </w:tcPr>
          <w:p w14:paraId="1E803EDD" w14:textId="77777777" w:rsidR="00F20ABF" w:rsidRDefault="00F20AB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E803EDE" w14:textId="77777777" w:rsidR="00F20ABF" w:rsidRDefault="00CA4D2F">
            <w:pPr>
              <w:jc w:val="center"/>
              <w:textAlignment w:val="bottom"/>
            </w:pPr>
            <w:r>
              <w:rPr>
                <w:rFonts w:ascii="sans-serif" w:eastAsia="sans-serif" w:hAnsi="sans-serif" w:cs="sans-serif"/>
                <w:b/>
                <w:bCs/>
                <w:color w:val="000000"/>
                <w:sz w:val="15"/>
                <w:szCs w:val="15"/>
              </w:rPr>
              <w:t>Retained Earnings</w:t>
            </w:r>
          </w:p>
        </w:tc>
        <w:tc>
          <w:tcPr>
            <w:tcW w:w="0" w:type="auto"/>
            <w:gridSpan w:val="3"/>
            <w:shd w:val="clear" w:color="auto" w:fill="auto"/>
            <w:tcMar>
              <w:top w:w="0" w:type="dxa"/>
              <w:left w:w="20" w:type="dxa"/>
              <w:bottom w:w="0" w:type="dxa"/>
              <w:right w:w="20" w:type="dxa"/>
            </w:tcMar>
          </w:tcPr>
          <w:p w14:paraId="1E803EDF" w14:textId="77777777" w:rsidR="00F20ABF" w:rsidRDefault="00F20AB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E803EE0" w14:textId="77777777" w:rsidR="00F20ABF" w:rsidRDefault="00CA4D2F">
            <w:pPr>
              <w:jc w:val="center"/>
              <w:textAlignment w:val="bottom"/>
            </w:pPr>
            <w:r>
              <w:rPr>
                <w:rFonts w:ascii="sans-serif" w:eastAsia="sans-serif" w:hAnsi="sans-serif" w:cs="sans-serif"/>
                <w:b/>
                <w:bCs/>
                <w:color w:val="000000"/>
                <w:sz w:val="15"/>
                <w:szCs w:val="15"/>
              </w:rPr>
              <w:t>Total Shareholders' Equity</w:t>
            </w:r>
          </w:p>
        </w:tc>
      </w:tr>
      <w:tr w:rsidR="00F20ABF" w14:paraId="1E803EF0" w14:textId="77777777">
        <w:trPr>
          <w:trHeight w:val="240"/>
          <w:jc w:val="center"/>
        </w:trPr>
        <w:tc>
          <w:tcPr>
            <w:tcW w:w="0" w:type="auto"/>
            <w:gridSpan w:val="3"/>
            <w:shd w:val="clear" w:color="auto" w:fill="auto"/>
            <w:tcMar>
              <w:top w:w="40" w:type="dxa"/>
              <w:left w:w="20" w:type="dxa"/>
              <w:bottom w:w="40" w:type="dxa"/>
              <w:right w:w="20" w:type="dxa"/>
            </w:tcMar>
            <w:vAlign w:val="bottom"/>
          </w:tcPr>
          <w:p w14:paraId="1E803EE2" w14:textId="77777777" w:rsidR="00F20ABF" w:rsidRDefault="00CA4D2F">
            <w:pPr>
              <w:textAlignment w:val="bottom"/>
            </w:pPr>
            <w:r>
              <w:rPr>
                <w:rFonts w:ascii="sans-serif" w:eastAsia="sans-serif" w:hAnsi="sans-serif" w:cs="sans-serif"/>
                <w:b/>
                <w:bCs/>
                <w:color w:val="000000"/>
                <w:sz w:val="15"/>
                <w:szCs w:val="15"/>
              </w:rPr>
              <w:t>(In millions, except per share data)</w:t>
            </w:r>
          </w:p>
        </w:tc>
        <w:tc>
          <w:tcPr>
            <w:tcW w:w="0" w:type="auto"/>
            <w:gridSpan w:val="3"/>
            <w:shd w:val="clear" w:color="auto" w:fill="auto"/>
            <w:tcMar>
              <w:top w:w="40" w:type="dxa"/>
              <w:left w:w="20" w:type="dxa"/>
              <w:bottom w:w="40" w:type="dxa"/>
              <w:right w:w="20" w:type="dxa"/>
            </w:tcMar>
            <w:vAlign w:val="bottom"/>
          </w:tcPr>
          <w:p w14:paraId="1E803EE3" w14:textId="77777777" w:rsidR="00F20ABF" w:rsidRDefault="00CA4D2F">
            <w:pPr>
              <w:jc w:val="center"/>
              <w:textAlignment w:val="bottom"/>
            </w:pPr>
            <w:r>
              <w:rPr>
                <w:rFonts w:ascii="sans-serif" w:eastAsia="sans-serif" w:hAnsi="sans-serif" w:cs="sans-serif"/>
                <w:b/>
                <w:bCs/>
                <w:color w:val="000000"/>
                <w:sz w:val="15"/>
                <w:szCs w:val="15"/>
              </w:rPr>
              <w:t>Shares</w:t>
            </w:r>
          </w:p>
        </w:tc>
        <w:tc>
          <w:tcPr>
            <w:tcW w:w="0" w:type="auto"/>
            <w:gridSpan w:val="3"/>
            <w:shd w:val="clear" w:color="auto" w:fill="auto"/>
            <w:tcMar>
              <w:top w:w="0" w:type="dxa"/>
              <w:left w:w="20" w:type="dxa"/>
              <w:bottom w:w="0" w:type="dxa"/>
              <w:right w:w="20" w:type="dxa"/>
            </w:tcMar>
          </w:tcPr>
          <w:p w14:paraId="1E803EE4"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3EE5" w14:textId="77777777" w:rsidR="00F20ABF" w:rsidRDefault="00CA4D2F">
            <w:pPr>
              <w:jc w:val="center"/>
              <w:textAlignment w:val="bottom"/>
            </w:pPr>
            <w:r>
              <w:rPr>
                <w:rFonts w:ascii="sans-serif" w:eastAsia="sans-serif" w:hAnsi="sans-serif" w:cs="sans-serif"/>
                <w:b/>
                <w:bCs/>
                <w:color w:val="000000"/>
                <w:sz w:val="15"/>
                <w:szCs w:val="15"/>
              </w:rPr>
              <w:t>Amount</w:t>
            </w:r>
          </w:p>
        </w:tc>
        <w:tc>
          <w:tcPr>
            <w:tcW w:w="0" w:type="auto"/>
            <w:gridSpan w:val="3"/>
            <w:shd w:val="clear" w:color="auto" w:fill="auto"/>
            <w:tcMar>
              <w:top w:w="0" w:type="dxa"/>
              <w:left w:w="20" w:type="dxa"/>
              <w:bottom w:w="0" w:type="dxa"/>
              <w:right w:w="20" w:type="dxa"/>
            </w:tcMar>
          </w:tcPr>
          <w:p w14:paraId="1E803EE6" w14:textId="77777777" w:rsidR="00F20ABF" w:rsidRDefault="00F20ABF">
            <w:pPr>
              <w:rPr>
                <w:rFonts w:ascii="宋体"/>
              </w:rPr>
            </w:pPr>
          </w:p>
        </w:tc>
        <w:tc>
          <w:tcPr>
            <w:tcW w:w="0" w:type="auto"/>
            <w:gridSpan w:val="3"/>
            <w:vMerge/>
            <w:shd w:val="clear" w:color="auto" w:fill="auto"/>
            <w:tcMar>
              <w:top w:w="40" w:type="dxa"/>
              <w:left w:w="20" w:type="dxa"/>
              <w:bottom w:w="40" w:type="dxa"/>
              <w:right w:w="20" w:type="dxa"/>
            </w:tcMar>
            <w:vAlign w:val="bottom"/>
          </w:tcPr>
          <w:p w14:paraId="1E803EE7" w14:textId="77777777" w:rsidR="00F20ABF" w:rsidRDefault="00F20ABF">
            <w:pPr>
              <w:jc w:val="center"/>
              <w:rPr>
                <w:rFonts w:ascii="宋体"/>
              </w:rPr>
            </w:pPr>
          </w:p>
        </w:tc>
        <w:tc>
          <w:tcPr>
            <w:tcW w:w="0" w:type="auto"/>
            <w:gridSpan w:val="3"/>
            <w:shd w:val="clear" w:color="auto" w:fill="auto"/>
            <w:tcMar>
              <w:top w:w="0" w:type="dxa"/>
              <w:left w:w="20" w:type="dxa"/>
              <w:bottom w:w="0" w:type="dxa"/>
              <w:right w:w="20" w:type="dxa"/>
            </w:tcMar>
          </w:tcPr>
          <w:p w14:paraId="1E803EE8" w14:textId="77777777" w:rsidR="00F20ABF" w:rsidRDefault="00F20ABF">
            <w:pPr>
              <w:rPr>
                <w:rFonts w:ascii="宋体"/>
              </w:rPr>
            </w:pPr>
          </w:p>
        </w:tc>
        <w:tc>
          <w:tcPr>
            <w:tcW w:w="0" w:type="auto"/>
            <w:gridSpan w:val="3"/>
            <w:vMerge/>
            <w:shd w:val="clear" w:color="auto" w:fill="auto"/>
            <w:tcMar>
              <w:top w:w="40" w:type="dxa"/>
              <w:left w:w="20" w:type="dxa"/>
              <w:bottom w:w="40" w:type="dxa"/>
              <w:right w:w="20" w:type="dxa"/>
            </w:tcMar>
            <w:vAlign w:val="bottom"/>
          </w:tcPr>
          <w:p w14:paraId="1E803EE9" w14:textId="77777777" w:rsidR="00F20ABF" w:rsidRDefault="00F20ABF">
            <w:pPr>
              <w:jc w:val="center"/>
              <w:rPr>
                <w:rFonts w:ascii="宋体"/>
              </w:rPr>
            </w:pPr>
          </w:p>
        </w:tc>
        <w:tc>
          <w:tcPr>
            <w:tcW w:w="0" w:type="auto"/>
            <w:gridSpan w:val="3"/>
            <w:shd w:val="clear" w:color="auto" w:fill="auto"/>
            <w:tcMar>
              <w:top w:w="0" w:type="dxa"/>
              <w:left w:w="20" w:type="dxa"/>
              <w:bottom w:w="0" w:type="dxa"/>
              <w:right w:w="20" w:type="dxa"/>
            </w:tcMar>
          </w:tcPr>
          <w:p w14:paraId="1E803EEA" w14:textId="77777777" w:rsidR="00F20ABF" w:rsidRDefault="00F20ABF">
            <w:pPr>
              <w:rPr>
                <w:rFonts w:ascii="宋体"/>
              </w:rPr>
            </w:pPr>
          </w:p>
        </w:tc>
        <w:tc>
          <w:tcPr>
            <w:tcW w:w="0" w:type="auto"/>
            <w:gridSpan w:val="3"/>
            <w:vMerge/>
            <w:shd w:val="clear" w:color="auto" w:fill="auto"/>
            <w:tcMar>
              <w:top w:w="40" w:type="dxa"/>
              <w:left w:w="20" w:type="dxa"/>
              <w:bottom w:w="40" w:type="dxa"/>
              <w:right w:w="20" w:type="dxa"/>
            </w:tcMar>
            <w:vAlign w:val="bottom"/>
          </w:tcPr>
          <w:p w14:paraId="1E803EEB" w14:textId="77777777" w:rsidR="00F20ABF" w:rsidRDefault="00F20ABF">
            <w:pPr>
              <w:jc w:val="center"/>
              <w:rPr>
                <w:rFonts w:ascii="宋体"/>
              </w:rPr>
            </w:pPr>
          </w:p>
        </w:tc>
        <w:tc>
          <w:tcPr>
            <w:tcW w:w="0" w:type="auto"/>
            <w:gridSpan w:val="3"/>
            <w:shd w:val="clear" w:color="auto" w:fill="auto"/>
            <w:tcMar>
              <w:top w:w="0" w:type="dxa"/>
              <w:left w:w="20" w:type="dxa"/>
              <w:bottom w:w="0" w:type="dxa"/>
              <w:right w:w="20" w:type="dxa"/>
            </w:tcMar>
          </w:tcPr>
          <w:p w14:paraId="1E803EEC" w14:textId="77777777" w:rsidR="00F20ABF" w:rsidRDefault="00F20ABF">
            <w:pPr>
              <w:rPr>
                <w:rFonts w:ascii="宋体"/>
              </w:rPr>
            </w:pPr>
          </w:p>
        </w:tc>
        <w:tc>
          <w:tcPr>
            <w:tcW w:w="0" w:type="auto"/>
            <w:gridSpan w:val="3"/>
            <w:vMerge/>
            <w:shd w:val="clear" w:color="auto" w:fill="auto"/>
            <w:tcMar>
              <w:top w:w="40" w:type="dxa"/>
              <w:left w:w="20" w:type="dxa"/>
              <w:bottom w:w="40" w:type="dxa"/>
              <w:right w:w="20" w:type="dxa"/>
            </w:tcMar>
            <w:vAlign w:val="bottom"/>
          </w:tcPr>
          <w:p w14:paraId="1E803EED" w14:textId="77777777" w:rsidR="00F20ABF" w:rsidRDefault="00F20ABF">
            <w:pPr>
              <w:jc w:val="center"/>
              <w:rPr>
                <w:rFonts w:ascii="宋体"/>
              </w:rPr>
            </w:pPr>
          </w:p>
        </w:tc>
        <w:tc>
          <w:tcPr>
            <w:tcW w:w="0" w:type="auto"/>
            <w:gridSpan w:val="3"/>
            <w:shd w:val="clear" w:color="auto" w:fill="auto"/>
            <w:tcMar>
              <w:top w:w="0" w:type="dxa"/>
              <w:left w:w="20" w:type="dxa"/>
              <w:bottom w:w="0" w:type="dxa"/>
              <w:right w:w="20" w:type="dxa"/>
            </w:tcMar>
          </w:tcPr>
          <w:p w14:paraId="1E803EEE" w14:textId="77777777" w:rsidR="00F20ABF" w:rsidRDefault="00F20ABF">
            <w:pPr>
              <w:rPr>
                <w:rFonts w:ascii="宋体"/>
              </w:rPr>
            </w:pPr>
          </w:p>
        </w:tc>
        <w:tc>
          <w:tcPr>
            <w:tcW w:w="0" w:type="auto"/>
            <w:gridSpan w:val="3"/>
            <w:vMerge/>
            <w:shd w:val="clear" w:color="auto" w:fill="auto"/>
            <w:tcMar>
              <w:top w:w="40" w:type="dxa"/>
              <w:left w:w="20" w:type="dxa"/>
              <w:bottom w:w="40" w:type="dxa"/>
              <w:right w:w="20" w:type="dxa"/>
            </w:tcMar>
            <w:vAlign w:val="bottom"/>
          </w:tcPr>
          <w:p w14:paraId="1E803EEF" w14:textId="77777777" w:rsidR="00F20ABF" w:rsidRDefault="00F20ABF">
            <w:pPr>
              <w:jc w:val="center"/>
              <w:rPr>
                <w:rFonts w:ascii="宋体"/>
              </w:rPr>
            </w:pPr>
          </w:p>
        </w:tc>
      </w:tr>
      <w:tr w:rsidR="00F20ABF" w14:paraId="1E803F0C" w14:textId="77777777">
        <w:trPr>
          <w:jc w:val="center"/>
        </w:trPr>
        <w:tc>
          <w:tcPr>
            <w:tcW w:w="0" w:type="auto"/>
            <w:gridSpan w:val="3"/>
            <w:shd w:val="clear" w:color="auto" w:fill="E2EFD9"/>
            <w:tcMar>
              <w:top w:w="40" w:type="dxa"/>
              <w:left w:w="20" w:type="dxa"/>
              <w:bottom w:w="40" w:type="dxa"/>
              <w:right w:w="20" w:type="dxa"/>
            </w:tcMar>
            <w:vAlign w:val="bottom"/>
          </w:tcPr>
          <w:p w14:paraId="1E803EF1" w14:textId="77777777" w:rsidR="00F20ABF" w:rsidRDefault="00CA4D2F">
            <w:pPr>
              <w:textAlignment w:val="bottom"/>
            </w:pPr>
            <w:r>
              <w:rPr>
                <w:rFonts w:ascii="sans-serif" w:eastAsia="sans-serif" w:hAnsi="sans-serif" w:cs="sans-serif"/>
                <w:color w:val="000000"/>
                <w:sz w:val="15"/>
                <w:szCs w:val="15"/>
              </w:rPr>
              <w:t>Balances, January 26, 2020</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EF2" w14:textId="77777777" w:rsidR="00F20ABF" w:rsidRDefault="00CA4D2F">
            <w:pPr>
              <w:jc w:val="right"/>
              <w:textAlignment w:val="bottom"/>
            </w:pPr>
            <w:r>
              <w:rPr>
                <w:rFonts w:ascii="sans-serif" w:eastAsia="sans-serif" w:hAnsi="sans-serif" w:cs="sans-serif"/>
                <w:color w:val="000000"/>
                <w:sz w:val="15"/>
                <w:szCs w:val="15"/>
              </w:rPr>
              <w:t>612 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EF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F4"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EF5"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EF6" w14:textId="77777777" w:rsidR="00F20ABF" w:rsidRDefault="00CA4D2F">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EF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F8"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EF9"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EFA" w14:textId="77777777" w:rsidR="00F20ABF" w:rsidRDefault="00CA4D2F">
            <w:pPr>
              <w:jc w:val="right"/>
              <w:textAlignment w:val="bottom"/>
            </w:pPr>
            <w:r>
              <w:rPr>
                <w:rFonts w:ascii="sans-serif" w:eastAsia="sans-serif" w:hAnsi="sans-serif" w:cs="sans-serif"/>
                <w:color w:val="000000"/>
                <w:sz w:val="15"/>
                <w:szCs w:val="15"/>
              </w:rPr>
              <w:t>7,045 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EF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EFC"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EFD"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EFE" w14:textId="77777777" w:rsidR="00F20ABF" w:rsidRDefault="00CA4D2F">
            <w:pPr>
              <w:jc w:val="right"/>
              <w:textAlignment w:val="bottom"/>
            </w:pPr>
            <w:r>
              <w:rPr>
                <w:rFonts w:ascii="sans-serif" w:eastAsia="sans-serif" w:hAnsi="sans-serif" w:cs="sans-serif"/>
                <w:color w:val="000000"/>
                <w:sz w:val="15"/>
                <w:szCs w:val="15"/>
              </w:rPr>
              <w:t>(9,814)</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EF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00"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F01"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F02" w14:textId="77777777" w:rsidR="00F20ABF" w:rsidRDefault="00CA4D2F">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F0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04"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F05"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F06" w14:textId="77777777" w:rsidR="00F20ABF" w:rsidRDefault="00CA4D2F">
            <w:pPr>
              <w:jc w:val="right"/>
              <w:textAlignment w:val="bottom"/>
            </w:pPr>
            <w:r>
              <w:rPr>
                <w:rFonts w:ascii="sans-serif" w:eastAsia="sans-serif" w:hAnsi="sans-serif" w:cs="sans-serif"/>
                <w:color w:val="000000"/>
                <w:sz w:val="15"/>
                <w:szCs w:val="15"/>
              </w:rPr>
              <w:t>14,971 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F0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08"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F09"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F0A" w14:textId="77777777" w:rsidR="00F20ABF" w:rsidRDefault="00CA4D2F">
            <w:pPr>
              <w:jc w:val="right"/>
              <w:textAlignment w:val="bottom"/>
            </w:pPr>
            <w:r>
              <w:rPr>
                <w:rFonts w:ascii="sans-serif" w:eastAsia="sans-serif" w:hAnsi="sans-serif" w:cs="sans-serif"/>
                <w:color w:val="000000"/>
                <w:sz w:val="15"/>
                <w:szCs w:val="15"/>
              </w:rPr>
              <w:t>12,204 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F0B" w14:textId="77777777" w:rsidR="00F20ABF" w:rsidRDefault="00F20ABF">
            <w:pPr>
              <w:jc w:val="right"/>
              <w:rPr>
                <w:rFonts w:ascii="宋体"/>
              </w:rPr>
            </w:pPr>
          </w:p>
        </w:tc>
      </w:tr>
      <w:tr w:rsidR="00F20ABF" w14:paraId="1E803F22" w14:textId="77777777">
        <w:trPr>
          <w:jc w:val="center"/>
        </w:trPr>
        <w:tc>
          <w:tcPr>
            <w:tcW w:w="0" w:type="auto"/>
            <w:gridSpan w:val="3"/>
            <w:shd w:val="clear" w:color="auto" w:fill="FFFFFF"/>
            <w:tcMar>
              <w:top w:w="40" w:type="dxa"/>
              <w:left w:w="20" w:type="dxa"/>
              <w:bottom w:w="40" w:type="dxa"/>
              <w:right w:w="20" w:type="dxa"/>
            </w:tcMar>
            <w:vAlign w:val="bottom"/>
          </w:tcPr>
          <w:p w14:paraId="1E803F0D" w14:textId="77777777" w:rsidR="00F20ABF" w:rsidRDefault="00CA4D2F">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1E803F0E"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0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10"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11"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1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1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14"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1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1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17"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1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19"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1A"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1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1C"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1D" w14:textId="77777777" w:rsidR="00F20ABF" w:rsidRDefault="00CA4D2F">
            <w:pPr>
              <w:jc w:val="right"/>
              <w:textAlignment w:val="bottom"/>
            </w:pPr>
            <w:r>
              <w:rPr>
                <w:rFonts w:ascii="sans-serif" w:eastAsia="sans-serif" w:hAnsi="sans-serif" w:cs="sans-serif"/>
                <w:color w:val="000000"/>
                <w:sz w:val="15"/>
                <w:szCs w:val="15"/>
              </w:rPr>
              <w:t>2,875 </w:t>
            </w:r>
          </w:p>
        </w:tc>
        <w:tc>
          <w:tcPr>
            <w:tcW w:w="0" w:type="auto"/>
            <w:shd w:val="clear" w:color="auto" w:fill="FFFFFF"/>
            <w:tcMar>
              <w:top w:w="40" w:type="dxa"/>
              <w:left w:w="0" w:type="dxa"/>
              <w:bottom w:w="40" w:type="dxa"/>
              <w:right w:w="20" w:type="dxa"/>
            </w:tcMar>
            <w:vAlign w:val="bottom"/>
          </w:tcPr>
          <w:p w14:paraId="1E803F1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1F"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20" w14:textId="77777777" w:rsidR="00F20ABF" w:rsidRDefault="00CA4D2F">
            <w:pPr>
              <w:jc w:val="right"/>
              <w:textAlignment w:val="bottom"/>
            </w:pPr>
            <w:r>
              <w:rPr>
                <w:rFonts w:ascii="sans-serif" w:eastAsia="sans-serif" w:hAnsi="sans-serif" w:cs="sans-serif"/>
                <w:color w:val="000000"/>
                <w:sz w:val="15"/>
                <w:szCs w:val="15"/>
              </w:rPr>
              <w:t>2,875 </w:t>
            </w:r>
          </w:p>
        </w:tc>
        <w:tc>
          <w:tcPr>
            <w:tcW w:w="0" w:type="auto"/>
            <w:shd w:val="clear" w:color="auto" w:fill="FFFFFF"/>
            <w:tcMar>
              <w:top w:w="40" w:type="dxa"/>
              <w:left w:w="0" w:type="dxa"/>
              <w:bottom w:w="40" w:type="dxa"/>
              <w:right w:w="20" w:type="dxa"/>
            </w:tcMar>
            <w:vAlign w:val="bottom"/>
          </w:tcPr>
          <w:p w14:paraId="1E803F21" w14:textId="77777777" w:rsidR="00F20ABF" w:rsidRDefault="00F20ABF">
            <w:pPr>
              <w:jc w:val="right"/>
              <w:rPr>
                <w:rFonts w:ascii="宋体"/>
              </w:rPr>
            </w:pPr>
          </w:p>
        </w:tc>
      </w:tr>
      <w:tr w:rsidR="00F20ABF" w14:paraId="1E803F38" w14:textId="77777777">
        <w:trPr>
          <w:jc w:val="center"/>
        </w:trPr>
        <w:tc>
          <w:tcPr>
            <w:tcW w:w="0" w:type="auto"/>
            <w:gridSpan w:val="3"/>
            <w:shd w:val="clear" w:color="auto" w:fill="E2EFD9"/>
            <w:tcMar>
              <w:top w:w="40" w:type="dxa"/>
              <w:left w:w="20" w:type="dxa"/>
              <w:bottom w:w="40" w:type="dxa"/>
              <w:right w:w="20" w:type="dxa"/>
            </w:tcMar>
            <w:vAlign w:val="bottom"/>
          </w:tcPr>
          <w:p w14:paraId="1E803F23" w14:textId="77777777" w:rsidR="00F20ABF" w:rsidRDefault="00CA4D2F">
            <w:pPr>
              <w:textAlignment w:val="bottom"/>
            </w:pPr>
            <w:r>
              <w:rPr>
                <w:rFonts w:ascii="sans-serif" w:eastAsia="sans-serif" w:hAnsi="sans-serif" w:cs="sans-serif"/>
                <w:color w:val="000000"/>
                <w:sz w:val="15"/>
                <w:szCs w:val="15"/>
              </w:rPr>
              <w:t>Other comprehensive income</w:t>
            </w:r>
          </w:p>
        </w:tc>
        <w:tc>
          <w:tcPr>
            <w:tcW w:w="0" w:type="auto"/>
            <w:gridSpan w:val="2"/>
            <w:shd w:val="clear" w:color="auto" w:fill="E2EFD9"/>
            <w:tcMar>
              <w:top w:w="40" w:type="dxa"/>
              <w:left w:w="20" w:type="dxa"/>
              <w:bottom w:w="40" w:type="dxa"/>
              <w:right w:w="0" w:type="dxa"/>
            </w:tcMar>
            <w:vAlign w:val="bottom"/>
          </w:tcPr>
          <w:p w14:paraId="1E803F24"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2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26"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27"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2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2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2A"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2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2C"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2D"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2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2F"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30" w14:textId="77777777" w:rsidR="00F20ABF" w:rsidRDefault="00CA4D2F">
            <w:pPr>
              <w:jc w:val="right"/>
              <w:textAlignment w:val="bottom"/>
            </w:pPr>
            <w:r>
              <w:rPr>
                <w:rFonts w:ascii="sans-serif" w:eastAsia="sans-serif" w:hAnsi="sans-serif" w:cs="sans-serif"/>
                <w:color w:val="000000"/>
                <w:sz w:val="15"/>
                <w:szCs w:val="15"/>
              </w:rPr>
              <w:t>11 </w:t>
            </w:r>
          </w:p>
        </w:tc>
        <w:tc>
          <w:tcPr>
            <w:tcW w:w="0" w:type="auto"/>
            <w:shd w:val="clear" w:color="auto" w:fill="E2EFD9"/>
            <w:tcMar>
              <w:top w:w="40" w:type="dxa"/>
              <w:left w:w="0" w:type="dxa"/>
              <w:bottom w:w="40" w:type="dxa"/>
              <w:right w:w="20" w:type="dxa"/>
            </w:tcMar>
            <w:vAlign w:val="bottom"/>
          </w:tcPr>
          <w:p w14:paraId="1E803F3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32"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33"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3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35"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36" w14:textId="77777777" w:rsidR="00F20ABF" w:rsidRDefault="00CA4D2F">
            <w:pPr>
              <w:jc w:val="right"/>
              <w:textAlignment w:val="bottom"/>
            </w:pPr>
            <w:r>
              <w:rPr>
                <w:rFonts w:ascii="sans-serif" w:eastAsia="sans-serif" w:hAnsi="sans-serif" w:cs="sans-serif"/>
                <w:color w:val="000000"/>
                <w:sz w:val="15"/>
                <w:szCs w:val="15"/>
              </w:rPr>
              <w:t>11 </w:t>
            </w:r>
          </w:p>
        </w:tc>
        <w:tc>
          <w:tcPr>
            <w:tcW w:w="0" w:type="auto"/>
            <w:shd w:val="clear" w:color="auto" w:fill="E2EFD9"/>
            <w:tcMar>
              <w:top w:w="40" w:type="dxa"/>
              <w:left w:w="0" w:type="dxa"/>
              <w:bottom w:w="40" w:type="dxa"/>
              <w:right w:w="20" w:type="dxa"/>
            </w:tcMar>
            <w:vAlign w:val="bottom"/>
          </w:tcPr>
          <w:p w14:paraId="1E803F37" w14:textId="77777777" w:rsidR="00F20ABF" w:rsidRDefault="00F20ABF">
            <w:pPr>
              <w:jc w:val="right"/>
              <w:rPr>
                <w:rFonts w:ascii="宋体"/>
              </w:rPr>
            </w:pPr>
          </w:p>
        </w:tc>
      </w:tr>
      <w:tr w:rsidR="00F20ABF" w14:paraId="1E803F4E" w14:textId="77777777">
        <w:trPr>
          <w:jc w:val="center"/>
        </w:trPr>
        <w:tc>
          <w:tcPr>
            <w:tcW w:w="0" w:type="auto"/>
            <w:gridSpan w:val="3"/>
            <w:shd w:val="clear" w:color="auto" w:fill="FFFFFF"/>
            <w:tcMar>
              <w:top w:w="40" w:type="dxa"/>
              <w:left w:w="20" w:type="dxa"/>
              <w:bottom w:w="40" w:type="dxa"/>
              <w:right w:w="20" w:type="dxa"/>
            </w:tcMar>
            <w:vAlign w:val="bottom"/>
          </w:tcPr>
          <w:p w14:paraId="1E803F39" w14:textId="77777777" w:rsidR="00F20ABF" w:rsidRDefault="00CA4D2F">
            <w:pPr>
              <w:textAlignment w:val="bottom"/>
            </w:pPr>
            <w:r>
              <w:rPr>
                <w:rFonts w:ascii="sans-serif" w:eastAsia="sans-serif" w:hAnsi="sans-serif" w:cs="sans-serif"/>
                <w:color w:val="000000"/>
                <w:sz w:val="15"/>
                <w:szCs w:val="15"/>
              </w:rPr>
              <w:t>Issuance of common stock from stock</w:t>
            </w:r>
            <w:r>
              <w:rPr>
                <w:rFonts w:ascii="sans-serif" w:eastAsia="sans-serif" w:hAnsi="sans-serif" w:cs="sans-serif"/>
                <w:color w:val="000000"/>
                <w:sz w:val="15"/>
                <w:szCs w:val="15"/>
              </w:rPr>
              <w:t xml:space="preserve"> plans </w:t>
            </w:r>
          </w:p>
        </w:tc>
        <w:tc>
          <w:tcPr>
            <w:tcW w:w="0" w:type="auto"/>
            <w:gridSpan w:val="2"/>
            <w:shd w:val="clear" w:color="auto" w:fill="FFFFFF"/>
            <w:tcMar>
              <w:top w:w="40" w:type="dxa"/>
              <w:left w:w="20" w:type="dxa"/>
              <w:bottom w:w="40" w:type="dxa"/>
              <w:right w:w="0" w:type="dxa"/>
            </w:tcMar>
            <w:vAlign w:val="bottom"/>
          </w:tcPr>
          <w:p w14:paraId="1E803F3A" w14:textId="77777777" w:rsidR="00F20ABF" w:rsidRDefault="00CA4D2F">
            <w:pPr>
              <w:jc w:val="right"/>
              <w:textAlignment w:val="bottom"/>
            </w:pPr>
            <w:r>
              <w:rPr>
                <w:rFonts w:ascii="sans-serif" w:eastAsia="sans-serif" w:hAnsi="sans-serif" w:cs="sans-serif"/>
                <w:color w:val="000000"/>
                <w:sz w:val="15"/>
                <w:szCs w:val="15"/>
              </w:rPr>
              <w:t>9 </w:t>
            </w:r>
          </w:p>
        </w:tc>
        <w:tc>
          <w:tcPr>
            <w:tcW w:w="0" w:type="auto"/>
            <w:shd w:val="clear" w:color="auto" w:fill="FFFFFF"/>
            <w:tcMar>
              <w:top w:w="40" w:type="dxa"/>
              <w:left w:w="0" w:type="dxa"/>
              <w:bottom w:w="40" w:type="dxa"/>
              <w:right w:w="20" w:type="dxa"/>
            </w:tcMar>
            <w:vAlign w:val="bottom"/>
          </w:tcPr>
          <w:p w14:paraId="1E803F3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3C"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3D"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3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3F"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40" w14:textId="77777777" w:rsidR="00F20ABF" w:rsidRDefault="00CA4D2F">
            <w:pPr>
              <w:jc w:val="right"/>
              <w:textAlignment w:val="bottom"/>
            </w:pPr>
            <w:r>
              <w:rPr>
                <w:rFonts w:ascii="sans-serif" w:eastAsia="sans-serif" w:hAnsi="sans-serif" w:cs="sans-serif"/>
                <w:color w:val="000000"/>
                <w:sz w:val="15"/>
                <w:szCs w:val="15"/>
              </w:rPr>
              <w:t>190 </w:t>
            </w:r>
          </w:p>
        </w:tc>
        <w:tc>
          <w:tcPr>
            <w:tcW w:w="0" w:type="auto"/>
            <w:shd w:val="clear" w:color="auto" w:fill="FFFFFF"/>
            <w:tcMar>
              <w:top w:w="40" w:type="dxa"/>
              <w:left w:w="0" w:type="dxa"/>
              <w:bottom w:w="40" w:type="dxa"/>
              <w:right w:w="20" w:type="dxa"/>
            </w:tcMar>
            <w:vAlign w:val="bottom"/>
          </w:tcPr>
          <w:p w14:paraId="1E803F4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42"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43"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44"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45"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46"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47"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48"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49"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4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4B"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4C" w14:textId="77777777" w:rsidR="00F20ABF" w:rsidRDefault="00CA4D2F">
            <w:pPr>
              <w:jc w:val="right"/>
              <w:textAlignment w:val="bottom"/>
            </w:pPr>
            <w:r>
              <w:rPr>
                <w:rFonts w:ascii="sans-serif" w:eastAsia="sans-serif" w:hAnsi="sans-serif" w:cs="sans-serif"/>
                <w:color w:val="000000"/>
                <w:sz w:val="15"/>
                <w:szCs w:val="15"/>
              </w:rPr>
              <w:t>190 </w:t>
            </w:r>
          </w:p>
        </w:tc>
        <w:tc>
          <w:tcPr>
            <w:tcW w:w="0" w:type="auto"/>
            <w:shd w:val="clear" w:color="auto" w:fill="FFFFFF"/>
            <w:tcMar>
              <w:top w:w="40" w:type="dxa"/>
              <w:left w:w="0" w:type="dxa"/>
              <w:bottom w:w="40" w:type="dxa"/>
              <w:right w:w="20" w:type="dxa"/>
            </w:tcMar>
            <w:vAlign w:val="bottom"/>
          </w:tcPr>
          <w:p w14:paraId="1E803F4D" w14:textId="77777777" w:rsidR="00F20ABF" w:rsidRDefault="00F20ABF">
            <w:pPr>
              <w:jc w:val="right"/>
              <w:rPr>
                <w:rFonts w:ascii="宋体"/>
              </w:rPr>
            </w:pPr>
          </w:p>
        </w:tc>
      </w:tr>
      <w:tr w:rsidR="00F20ABF" w14:paraId="1E803F64" w14:textId="77777777">
        <w:trPr>
          <w:jc w:val="center"/>
        </w:trPr>
        <w:tc>
          <w:tcPr>
            <w:tcW w:w="0" w:type="auto"/>
            <w:gridSpan w:val="3"/>
            <w:shd w:val="clear" w:color="auto" w:fill="E2EFD9"/>
            <w:tcMar>
              <w:top w:w="40" w:type="dxa"/>
              <w:left w:w="20" w:type="dxa"/>
              <w:bottom w:w="40" w:type="dxa"/>
              <w:right w:w="20" w:type="dxa"/>
            </w:tcMar>
            <w:vAlign w:val="bottom"/>
          </w:tcPr>
          <w:p w14:paraId="1E803F4F" w14:textId="77777777" w:rsidR="00F20ABF" w:rsidRDefault="00CA4D2F">
            <w:pPr>
              <w:textAlignment w:val="bottom"/>
            </w:pPr>
            <w:r>
              <w:rPr>
                <w:rFonts w:ascii="sans-serif" w:eastAsia="sans-serif" w:hAnsi="sans-serif" w:cs="sans-serif"/>
                <w:color w:val="000000"/>
                <w:sz w:val="15"/>
                <w:szCs w:val="15"/>
              </w:rPr>
              <w:t xml:space="preserve">Tax withholding related to vesting </w:t>
            </w:r>
            <w:r>
              <w:rPr>
                <w:rFonts w:ascii="sans-serif" w:eastAsia="sans-serif" w:hAnsi="sans-serif" w:cs="sans-serif"/>
                <w:color w:val="000000"/>
                <w:sz w:val="15"/>
                <w:szCs w:val="15"/>
              </w:rPr>
              <w:t>of restricted stock units</w:t>
            </w:r>
          </w:p>
        </w:tc>
        <w:tc>
          <w:tcPr>
            <w:tcW w:w="0" w:type="auto"/>
            <w:gridSpan w:val="2"/>
            <w:shd w:val="clear" w:color="auto" w:fill="E2EFD9"/>
            <w:tcMar>
              <w:top w:w="40" w:type="dxa"/>
              <w:left w:w="20" w:type="dxa"/>
              <w:bottom w:w="40" w:type="dxa"/>
              <w:right w:w="0" w:type="dxa"/>
            </w:tcMar>
            <w:vAlign w:val="bottom"/>
          </w:tcPr>
          <w:p w14:paraId="1E803F50" w14:textId="77777777" w:rsidR="00F20ABF" w:rsidRDefault="00CA4D2F">
            <w:pPr>
              <w:jc w:val="right"/>
              <w:textAlignment w:val="bottom"/>
            </w:pPr>
            <w:r>
              <w:rPr>
                <w:rFonts w:ascii="sans-serif" w:eastAsia="sans-serif" w:hAnsi="sans-serif" w:cs="sans-serif"/>
                <w:color w:val="000000"/>
                <w:sz w:val="15"/>
                <w:szCs w:val="15"/>
              </w:rPr>
              <w:t>(2)</w:t>
            </w:r>
          </w:p>
        </w:tc>
        <w:tc>
          <w:tcPr>
            <w:tcW w:w="0" w:type="auto"/>
            <w:shd w:val="clear" w:color="auto" w:fill="E2EFD9"/>
            <w:tcMar>
              <w:top w:w="40" w:type="dxa"/>
              <w:left w:w="0" w:type="dxa"/>
              <w:bottom w:w="40" w:type="dxa"/>
              <w:right w:w="20" w:type="dxa"/>
            </w:tcMar>
            <w:vAlign w:val="bottom"/>
          </w:tcPr>
          <w:p w14:paraId="1E803F5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52"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53"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5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55"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56"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5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58"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59" w14:textId="77777777" w:rsidR="00F20ABF" w:rsidRDefault="00CA4D2F">
            <w:pPr>
              <w:jc w:val="right"/>
              <w:textAlignment w:val="bottom"/>
            </w:pPr>
            <w:r>
              <w:rPr>
                <w:rFonts w:ascii="sans-serif" w:eastAsia="sans-serif" w:hAnsi="sans-serif" w:cs="sans-serif"/>
                <w:color w:val="000000"/>
                <w:sz w:val="15"/>
                <w:szCs w:val="15"/>
              </w:rPr>
              <w:t>(716)</w:t>
            </w:r>
          </w:p>
        </w:tc>
        <w:tc>
          <w:tcPr>
            <w:tcW w:w="0" w:type="auto"/>
            <w:shd w:val="clear" w:color="auto" w:fill="E2EFD9"/>
            <w:tcMar>
              <w:top w:w="40" w:type="dxa"/>
              <w:left w:w="0" w:type="dxa"/>
              <w:bottom w:w="40" w:type="dxa"/>
              <w:right w:w="20" w:type="dxa"/>
            </w:tcMar>
            <w:vAlign w:val="bottom"/>
          </w:tcPr>
          <w:p w14:paraId="1E803F5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5B"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5C"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5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5E"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5F"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60"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61"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62" w14:textId="77777777" w:rsidR="00F20ABF" w:rsidRDefault="00CA4D2F">
            <w:pPr>
              <w:jc w:val="right"/>
              <w:textAlignment w:val="bottom"/>
            </w:pPr>
            <w:r>
              <w:rPr>
                <w:rFonts w:ascii="sans-serif" w:eastAsia="sans-serif" w:hAnsi="sans-serif" w:cs="sans-serif"/>
                <w:color w:val="000000"/>
                <w:sz w:val="15"/>
                <w:szCs w:val="15"/>
              </w:rPr>
              <w:t>(716)</w:t>
            </w:r>
          </w:p>
        </w:tc>
        <w:tc>
          <w:tcPr>
            <w:tcW w:w="0" w:type="auto"/>
            <w:shd w:val="clear" w:color="auto" w:fill="E2EFD9"/>
            <w:tcMar>
              <w:top w:w="40" w:type="dxa"/>
              <w:left w:w="0" w:type="dxa"/>
              <w:bottom w:w="40" w:type="dxa"/>
              <w:right w:w="20" w:type="dxa"/>
            </w:tcMar>
            <w:vAlign w:val="bottom"/>
          </w:tcPr>
          <w:p w14:paraId="1E803F63" w14:textId="77777777" w:rsidR="00F20ABF" w:rsidRDefault="00F20ABF">
            <w:pPr>
              <w:jc w:val="right"/>
              <w:rPr>
                <w:rFonts w:ascii="宋体"/>
              </w:rPr>
            </w:pPr>
          </w:p>
        </w:tc>
      </w:tr>
      <w:tr w:rsidR="00F20ABF" w14:paraId="1E803F73" w14:textId="77777777">
        <w:trPr>
          <w:jc w:val="center"/>
          <w:hidden/>
        </w:trPr>
        <w:tc>
          <w:tcPr>
            <w:tcW w:w="0" w:type="auto"/>
            <w:gridSpan w:val="3"/>
            <w:shd w:val="clear" w:color="auto" w:fill="auto"/>
          </w:tcPr>
          <w:p w14:paraId="1E803F65" w14:textId="77777777" w:rsidR="00F20ABF" w:rsidRDefault="00F20ABF">
            <w:pPr>
              <w:rPr>
                <w:rFonts w:ascii="宋体"/>
                <w:vanish/>
              </w:rPr>
            </w:pPr>
          </w:p>
        </w:tc>
        <w:tc>
          <w:tcPr>
            <w:tcW w:w="0" w:type="auto"/>
            <w:gridSpan w:val="3"/>
            <w:shd w:val="clear" w:color="auto" w:fill="auto"/>
          </w:tcPr>
          <w:p w14:paraId="1E803F66" w14:textId="77777777" w:rsidR="00F20ABF" w:rsidRDefault="00F20ABF">
            <w:pPr>
              <w:rPr>
                <w:rFonts w:ascii="宋体"/>
                <w:vanish/>
              </w:rPr>
            </w:pPr>
          </w:p>
        </w:tc>
        <w:tc>
          <w:tcPr>
            <w:tcW w:w="0" w:type="auto"/>
            <w:gridSpan w:val="3"/>
            <w:shd w:val="clear" w:color="auto" w:fill="auto"/>
          </w:tcPr>
          <w:p w14:paraId="1E803F67" w14:textId="77777777" w:rsidR="00F20ABF" w:rsidRDefault="00F20ABF">
            <w:pPr>
              <w:rPr>
                <w:rFonts w:ascii="宋体"/>
                <w:vanish/>
              </w:rPr>
            </w:pPr>
          </w:p>
        </w:tc>
        <w:tc>
          <w:tcPr>
            <w:tcW w:w="0" w:type="auto"/>
            <w:gridSpan w:val="3"/>
            <w:shd w:val="clear" w:color="auto" w:fill="auto"/>
          </w:tcPr>
          <w:p w14:paraId="1E803F68" w14:textId="77777777" w:rsidR="00F20ABF" w:rsidRDefault="00F20ABF">
            <w:pPr>
              <w:rPr>
                <w:rFonts w:ascii="宋体"/>
                <w:vanish/>
              </w:rPr>
            </w:pPr>
          </w:p>
        </w:tc>
        <w:tc>
          <w:tcPr>
            <w:tcW w:w="0" w:type="auto"/>
            <w:gridSpan w:val="3"/>
            <w:shd w:val="clear" w:color="auto" w:fill="auto"/>
          </w:tcPr>
          <w:p w14:paraId="1E803F69" w14:textId="77777777" w:rsidR="00F20ABF" w:rsidRDefault="00F20ABF">
            <w:pPr>
              <w:rPr>
                <w:rFonts w:ascii="宋体"/>
                <w:vanish/>
              </w:rPr>
            </w:pPr>
          </w:p>
        </w:tc>
        <w:tc>
          <w:tcPr>
            <w:tcW w:w="0" w:type="auto"/>
            <w:gridSpan w:val="3"/>
            <w:shd w:val="clear" w:color="auto" w:fill="auto"/>
          </w:tcPr>
          <w:p w14:paraId="1E803F6A" w14:textId="77777777" w:rsidR="00F20ABF" w:rsidRDefault="00F20ABF">
            <w:pPr>
              <w:rPr>
                <w:rFonts w:ascii="宋体"/>
                <w:vanish/>
              </w:rPr>
            </w:pPr>
          </w:p>
        </w:tc>
        <w:tc>
          <w:tcPr>
            <w:tcW w:w="0" w:type="auto"/>
            <w:gridSpan w:val="3"/>
            <w:shd w:val="clear" w:color="auto" w:fill="auto"/>
          </w:tcPr>
          <w:p w14:paraId="1E803F6B" w14:textId="77777777" w:rsidR="00F20ABF" w:rsidRDefault="00F20ABF">
            <w:pPr>
              <w:rPr>
                <w:rFonts w:ascii="宋体"/>
                <w:vanish/>
              </w:rPr>
            </w:pPr>
          </w:p>
        </w:tc>
        <w:tc>
          <w:tcPr>
            <w:tcW w:w="0" w:type="auto"/>
            <w:gridSpan w:val="3"/>
            <w:shd w:val="clear" w:color="auto" w:fill="auto"/>
          </w:tcPr>
          <w:p w14:paraId="1E803F6C" w14:textId="77777777" w:rsidR="00F20ABF" w:rsidRDefault="00F20ABF">
            <w:pPr>
              <w:rPr>
                <w:rFonts w:ascii="宋体"/>
                <w:vanish/>
              </w:rPr>
            </w:pPr>
          </w:p>
        </w:tc>
        <w:tc>
          <w:tcPr>
            <w:tcW w:w="0" w:type="auto"/>
            <w:gridSpan w:val="3"/>
            <w:shd w:val="clear" w:color="auto" w:fill="auto"/>
          </w:tcPr>
          <w:p w14:paraId="1E803F6D" w14:textId="77777777" w:rsidR="00F20ABF" w:rsidRDefault="00F20ABF">
            <w:pPr>
              <w:rPr>
                <w:rFonts w:ascii="宋体"/>
                <w:vanish/>
              </w:rPr>
            </w:pPr>
          </w:p>
        </w:tc>
        <w:tc>
          <w:tcPr>
            <w:tcW w:w="0" w:type="auto"/>
            <w:gridSpan w:val="3"/>
            <w:shd w:val="clear" w:color="auto" w:fill="auto"/>
          </w:tcPr>
          <w:p w14:paraId="1E803F6E" w14:textId="77777777" w:rsidR="00F20ABF" w:rsidRDefault="00F20ABF">
            <w:pPr>
              <w:rPr>
                <w:rFonts w:ascii="宋体"/>
                <w:vanish/>
              </w:rPr>
            </w:pPr>
          </w:p>
        </w:tc>
        <w:tc>
          <w:tcPr>
            <w:tcW w:w="0" w:type="auto"/>
            <w:gridSpan w:val="3"/>
            <w:shd w:val="clear" w:color="auto" w:fill="auto"/>
          </w:tcPr>
          <w:p w14:paraId="1E803F6F" w14:textId="77777777" w:rsidR="00F20ABF" w:rsidRDefault="00F20ABF">
            <w:pPr>
              <w:rPr>
                <w:rFonts w:ascii="宋体"/>
                <w:vanish/>
              </w:rPr>
            </w:pPr>
          </w:p>
        </w:tc>
        <w:tc>
          <w:tcPr>
            <w:tcW w:w="0" w:type="auto"/>
            <w:gridSpan w:val="3"/>
            <w:shd w:val="clear" w:color="auto" w:fill="auto"/>
          </w:tcPr>
          <w:p w14:paraId="1E803F70" w14:textId="77777777" w:rsidR="00F20ABF" w:rsidRDefault="00F20ABF">
            <w:pPr>
              <w:rPr>
                <w:rFonts w:ascii="宋体"/>
                <w:vanish/>
              </w:rPr>
            </w:pPr>
          </w:p>
        </w:tc>
        <w:tc>
          <w:tcPr>
            <w:tcW w:w="0" w:type="auto"/>
            <w:gridSpan w:val="3"/>
            <w:shd w:val="clear" w:color="auto" w:fill="auto"/>
          </w:tcPr>
          <w:p w14:paraId="1E803F71" w14:textId="77777777" w:rsidR="00F20ABF" w:rsidRDefault="00F20ABF">
            <w:pPr>
              <w:rPr>
                <w:rFonts w:ascii="宋体"/>
                <w:vanish/>
              </w:rPr>
            </w:pPr>
          </w:p>
        </w:tc>
        <w:tc>
          <w:tcPr>
            <w:tcW w:w="0" w:type="auto"/>
            <w:gridSpan w:val="3"/>
            <w:shd w:val="clear" w:color="auto" w:fill="auto"/>
          </w:tcPr>
          <w:p w14:paraId="1E803F72" w14:textId="77777777" w:rsidR="00F20ABF" w:rsidRDefault="00F20ABF">
            <w:pPr>
              <w:rPr>
                <w:rFonts w:ascii="宋体"/>
                <w:vanish/>
              </w:rPr>
            </w:pPr>
          </w:p>
        </w:tc>
      </w:tr>
      <w:tr w:rsidR="00F20ABF" w14:paraId="1E803F89" w14:textId="77777777">
        <w:trPr>
          <w:jc w:val="center"/>
        </w:trPr>
        <w:tc>
          <w:tcPr>
            <w:tcW w:w="0" w:type="auto"/>
            <w:gridSpan w:val="3"/>
            <w:shd w:val="clear" w:color="auto" w:fill="FFFFFF"/>
            <w:tcMar>
              <w:top w:w="40" w:type="dxa"/>
              <w:left w:w="20" w:type="dxa"/>
              <w:bottom w:w="40" w:type="dxa"/>
              <w:right w:w="20" w:type="dxa"/>
            </w:tcMar>
            <w:vAlign w:val="bottom"/>
          </w:tcPr>
          <w:p w14:paraId="1E803F74" w14:textId="77777777" w:rsidR="00F20ABF" w:rsidRDefault="00CA4D2F">
            <w:pPr>
              <w:textAlignment w:val="bottom"/>
            </w:pPr>
            <w:r>
              <w:rPr>
                <w:rFonts w:ascii="sans-serif" w:eastAsia="sans-serif" w:hAnsi="sans-serif" w:cs="sans-serif"/>
                <w:color w:val="000000"/>
                <w:sz w:val="15"/>
                <w:szCs w:val="15"/>
              </w:rPr>
              <w:t xml:space="preserve">Cash </w:t>
            </w:r>
            <w:r>
              <w:rPr>
                <w:rFonts w:ascii="sans-serif" w:eastAsia="sans-serif" w:hAnsi="sans-serif" w:cs="sans-serif"/>
                <w:color w:val="000000"/>
                <w:sz w:val="15"/>
                <w:szCs w:val="15"/>
              </w:rPr>
              <w:t>dividends declared and paid ($0.48 per common share)</w:t>
            </w:r>
          </w:p>
        </w:tc>
        <w:tc>
          <w:tcPr>
            <w:tcW w:w="0" w:type="auto"/>
            <w:gridSpan w:val="2"/>
            <w:shd w:val="clear" w:color="auto" w:fill="FFFFFF"/>
            <w:tcMar>
              <w:top w:w="40" w:type="dxa"/>
              <w:left w:w="20" w:type="dxa"/>
              <w:bottom w:w="40" w:type="dxa"/>
              <w:right w:w="0" w:type="dxa"/>
            </w:tcMar>
            <w:vAlign w:val="bottom"/>
          </w:tcPr>
          <w:p w14:paraId="1E803F75"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7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77"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78"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7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7A"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7B"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7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7D"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7E"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7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80"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81"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8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8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84" w14:textId="77777777" w:rsidR="00F20ABF" w:rsidRDefault="00CA4D2F">
            <w:pPr>
              <w:jc w:val="right"/>
              <w:textAlignment w:val="bottom"/>
            </w:pPr>
            <w:r>
              <w:rPr>
                <w:rFonts w:ascii="sans-serif" w:eastAsia="sans-serif" w:hAnsi="sans-serif" w:cs="sans-serif"/>
                <w:color w:val="000000"/>
                <w:sz w:val="15"/>
                <w:szCs w:val="15"/>
              </w:rPr>
              <w:t>(296)</w:t>
            </w:r>
          </w:p>
        </w:tc>
        <w:tc>
          <w:tcPr>
            <w:tcW w:w="0" w:type="auto"/>
            <w:shd w:val="clear" w:color="auto" w:fill="FFFFFF"/>
            <w:tcMar>
              <w:top w:w="40" w:type="dxa"/>
              <w:left w:w="0" w:type="dxa"/>
              <w:bottom w:w="40" w:type="dxa"/>
              <w:right w:w="20" w:type="dxa"/>
            </w:tcMar>
            <w:vAlign w:val="bottom"/>
          </w:tcPr>
          <w:p w14:paraId="1E803F8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8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87" w14:textId="77777777" w:rsidR="00F20ABF" w:rsidRDefault="00CA4D2F">
            <w:pPr>
              <w:jc w:val="right"/>
              <w:textAlignment w:val="bottom"/>
            </w:pPr>
            <w:r>
              <w:rPr>
                <w:rFonts w:ascii="sans-serif" w:eastAsia="sans-serif" w:hAnsi="sans-serif" w:cs="sans-serif"/>
                <w:color w:val="000000"/>
                <w:sz w:val="15"/>
                <w:szCs w:val="15"/>
              </w:rPr>
              <w:t>(296)</w:t>
            </w:r>
          </w:p>
        </w:tc>
        <w:tc>
          <w:tcPr>
            <w:tcW w:w="0" w:type="auto"/>
            <w:shd w:val="clear" w:color="auto" w:fill="FFFFFF"/>
            <w:tcMar>
              <w:top w:w="40" w:type="dxa"/>
              <w:left w:w="0" w:type="dxa"/>
              <w:bottom w:w="40" w:type="dxa"/>
              <w:right w:w="20" w:type="dxa"/>
            </w:tcMar>
            <w:vAlign w:val="bottom"/>
          </w:tcPr>
          <w:p w14:paraId="1E803F88" w14:textId="77777777" w:rsidR="00F20ABF" w:rsidRDefault="00F20ABF">
            <w:pPr>
              <w:jc w:val="right"/>
              <w:rPr>
                <w:rFonts w:ascii="宋体"/>
              </w:rPr>
            </w:pPr>
          </w:p>
        </w:tc>
      </w:tr>
      <w:tr w:rsidR="00F20ABF" w14:paraId="1E803F9F" w14:textId="77777777">
        <w:trPr>
          <w:jc w:val="center"/>
        </w:trPr>
        <w:tc>
          <w:tcPr>
            <w:tcW w:w="0" w:type="auto"/>
            <w:gridSpan w:val="3"/>
            <w:shd w:val="clear" w:color="auto" w:fill="E2EFD9"/>
            <w:tcMar>
              <w:top w:w="40" w:type="dxa"/>
              <w:left w:w="20" w:type="dxa"/>
              <w:bottom w:w="40" w:type="dxa"/>
              <w:right w:w="20" w:type="dxa"/>
            </w:tcMar>
            <w:vAlign w:val="bottom"/>
          </w:tcPr>
          <w:p w14:paraId="1E803F8A" w14:textId="77777777" w:rsidR="00F20ABF" w:rsidRDefault="00CA4D2F">
            <w:pPr>
              <w:textAlignment w:val="bottom"/>
            </w:pPr>
            <w:r>
              <w:rPr>
                <w:rFonts w:ascii="sans-serif" w:eastAsia="sans-serif" w:hAnsi="sans-serif" w:cs="sans-serif"/>
                <w:color w:val="000000"/>
                <w:sz w:val="15"/>
                <w:szCs w:val="15"/>
              </w:rPr>
              <w:t>Fair value of partially vested equi</w:t>
            </w:r>
            <w:r>
              <w:rPr>
                <w:rFonts w:ascii="sans-serif" w:eastAsia="sans-serif" w:hAnsi="sans-serif" w:cs="sans-serif"/>
                <w:color w:val="000000"/>
                <w:sz w:val="15"/>
                <w:szCs w:val="15"/>
              </w:rPr>
              <w:t>ty awards assumed in connection with acquisitions</w:t>
            </w:r>
          </w:p>
        </w:tc>
        <w:tc>
          <w:tcPr>
            <w:tcW w:w="0" w:type="auto"/>
            <w:gridSpan w:val="2"/>
            <w:shd w:val="clear" w:color="auto" w:fill="E2EFD9"/>
            <w:tcMar>
              <w:top w:w="40" w:type="dxa"/>
              <w:left w:w="20" w:type="dxa"/>
              <w:bottom w:w="40" w:type="dxa"/>
              <w:right w:w="0" w:type="dxa"/>
            </w:tcMar>
            <w:vAlign w:val="bottom"/>
          </w:tcPr>
          <w:p w14:paraId="1E803F8B"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8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8D"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8E"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8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90"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91" w14:textId="77777777" w:rsidR="00F20ABF" w:rsidRDefault="00CA4D2F">
            <w:pPr>
              <w:jc w:val="right"/>
              <w:textAlignment w:val="bottom"/>
            </w:pPr>
            <w:r>
              <w:rPr>
                <w:rFonts w:ascii="sans-serif" w:eastAsia="sans-serif" w:hAnsi="sans-serif" w:cs="sans-serif"/>
                <w:color w:val="000000"/>
                <w:sz w:val="15"/>
                <w:szCs w:val="15"/>
              </w:rPr>
              <w:t>86 </w:t>
            </w:r>
          </w:p>
        </w:tc>
        <w:tc>
          <w:tcPr>
            <w:tcW w:w="0" w:type="auto"/>
            <w:shd w:val="clear" w:color="auto" w:fill="E2EFD9"/>
            <w:tcMar>
              <w:top w:w="40" w:type="dxa"/>
              <w:left w:w="0" w:type="dxa"/>
              <w:bottom w:w="40" w:type="dxa"/>
              <w:right w:w="20" w:type="dxa"/>
            </w:tcMar>
            <w:vAlign w:val="bottom"/>
          </w:tcPr>
          <w:p w14:paraId="1E803F9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93"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94"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9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96"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97"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9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9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9A"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9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9C"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9D" w14:textId="77777777" w:rsidR="00F20ABF" w:rsidRDefault="00CA4D2F">
            <w:pPr>
              <w:jc w:val="right"/>
              <w:textAlignment w:val="bottom"/>
            </w:pPr>
            <w:r>
              <w:rPr>
                <w:rFonts w:ascii="sans-serif" w:eastAsia="sans-serif" w:hAnsi="sans-serif" w:cs="sans-serif"/>
                <w:color w:val="000000"/>
                <w:sz w:val="15"/>
                <w:szCs w:val="15"/>
              </w:rPr>
              <w:t>86 </w:t>
            </w:r>
          </w:p>
        </w:tc>
        <w:tc>
          <w:tcPr>
            <w:tcW w:w="0" w:type="auto"/>
            <w:shd w:val="clear" w:color="auto" w:fill="E2EFD9"/>
            <w:tcMar>
              <w:top w:w="40" w:type="dxa"/>
              <w:left w:w="0" w:type="dxa"/>
              <w:bottom w:w="40" w:type="dxa"/>
              <w:right w:w="20" w:type="dxa"/>
            </w:tcMar>
            <w:vAlign w:val="bottom"/>
          </w:tcPr>
          <w:p w14:paraId="1E803F9E" w14:textId="77777777" w:rsidR="00F20ABF" w:rsidRDefault="00F20ABF">
            <w:pPr>
              <w:jc w:val="right"/>
              <w:rPr>
                <w:rFonts w:ascii="宋体"/>
              </w:rPr>
            </w:pPr>
          </w:p>
        </w:tc>
      </w:tr>
      <w:tr w:rsidR="00F20ABF" w14:paraId="1E803FB5" w14:textId="77777777">
        <w:trPr>
          <w:jc w:val="center"/>
        </w:trPr>
        <w:tc>
          <w:tcPr>
            <w:tcW w:w="0" w:type="auto"/>
            <w:gridSpan w:val="3"/>
            <w:shd w:val="clear" w:color="auto" w:fill="FFFFFF"/>
            <w:tcMar>
              <w:top w:w="40" w:type="dxa"/>
              <w:left w:w="20" w:type="dxa"/>
              <w:bottom w:w="40" w:type="dxa"/>
              <w:right w:w="20" w:type="dxa"/>
            </w:tcMar>
            <w:vAlign w:val="bottom"/>
          </w:tcPr>
          <w:p w14:paraId="1E803FA0" w14:textId="77777777" w:rsidR="00F20ABF" w:rsidRDefault="00CA4D2F">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1E803FA1"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A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A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A4"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A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A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A7" w14:textId="77777777" w:rsidR="00F20ABF" w:rsidRDefault="00CA4D2F">
            <w:pPr>
              <w:jc w:val="right"/>
              <w:textAlignment w:val="bottom"/>
            </w:pPr>
            <w:r>
              <w:rPr>
                <w:rFonts w:ascii="sans-serif" w:eastAsia="sans-serif" w:hAnsi="sans-serif" w:cs="sans-serif"/>
                <w:color w:val="000000"/>
                <w:sz w:val="15"/>
                <w:szCs w:val="15"/>
              </w:rPr>
              <w:t>980 </w:t>
            </w:r>
          </w:p>
        </w:tc>
        <w:tc>
          <w:tcPr>
            <w:tcW w:w="0" w:type="auto"/>
            <w:shd w:val="clear" w:color="auto" w:fill="FFFFFF"/>
            <w:tcMar>
              <w:top w:w="40" w:type="dxa"/>
              <w:left w:w="0" w:type="dxa"/>
              <w:bottom w:w="40" w:type="dxa"/>
              <w:right w:w="20" w:type="dxa"/>
            </w:tcMar>
            <w:vAlign w:val="bottom"/>
          </w:tcPr>
          <w:p w14:paraId="1E803FA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A9"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AA"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A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AC"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AD"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A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AF"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B0"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3FB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B2"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3FB3" w14:textId="77777777" w:rsidR="00F20ABF" w:rsidRDefault="00CA4D2F">
            <w:pPr>
              <w:jc w:val="right"/>
              <w:textAlignment w:val="bottom"/>
            </w:pPr>
            <w:r>
              <w:rPr>
                <w:rFonts w:ascii="sans-serif" w:eastAsia="sans-serif" w:hAnsi="sans-serif" w:cs="sans-serif"/>
                <w:color w:val="000000"/>
                <w:sz w:val="15"/>
                <w:szCs w:val="15"/>
              </w:rPr>
              <w:t>980 </w:t>
            </w:r>
          </w:p>
        </w:tc>
        <w:tc>
          <w:tcPr>
            <w:tcW w:w="0" w:type="auto"/>
            <w:shd w:val="clear" w:color="auto" w:fill="FFFFFF"/>
            <w:tcMar>
              <w:top w:w="40" w:type="dxa"/>
              <w:left w:w="0" w:type="dxa"/>
              <w:bottom w:w="40" w:type="dxa"/>
              <w:right w:w="20" w:type="dxa"/>
            </w:tcMar>
            <w:vAlign w:val="bottom"/>
          </w:tcPr>
          <w:p w14:paraId="1E803FB4" w14:textId="77777777" w:rsidR="00F20ABF" w:rsidRDefault="00F20ABF">
            <w:pPr>
              <w:jc w:val="right"/>
              <w:rPr>
                <w:rFonts w:ascii="宋体"/>
              </w:rPr>
            </w:pPr>
          </w:p>
        </w:tc>
      </w:tr>
      <w:tr w:rsidR="00F20ABF" w14:paraId="1E803FD1" w14:textId="77777777">
        <w:trPr>
          <w:jc w:val="center"/>
        </w:trPr>
        <w:tc>
          <w:tcPr>
            <w:tcW w:w="0" w:type="auto"/>
            <w:gridSpan w:val="3"/>
            <w:shd w:val="clear" w:color="auto" w:fill="E2EFD9"/>
            <w:tcMar>
              <w:top w:w="40" w:type="dxa"/>
              <w:left w:w="20" w:type="dxa"/>
              <w:bottom w:w="40" w:type="dxa"/>
              <w:right w:w="20" w:type="dxa"/>
            </w:tcMar>
            <w:vAlign w:val="bottom"/>
          </w:tcPr>
          <w:p w14:paraId="1E803FB6" w14:textId="77777777" w:rsidR="00F20ABF" w:rsidRDefault="00CA4D2F">
            <w:pPr>
              <w:textAlignment w:val="bottom"/>
            </w:pPr>
            <w:r>
              <w:rPr>
                <w:rFonts w:ascii="sans-serif" w:eastAsia="sans-serif" w:hAnsi="sans-serif" w:cs="sans-serif"/>
                <w:color w:val="000000"/>
                <w:sz w:val="15"/>
                <w:szCs w:val="15"/>
              </w:rPr>
              <w:t>Balances, October 25, 2020</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3FB7" w14:textId="77777777" w:rsidR="00F20ABF" w:rsidRDefault="00CA4D2F">
            <w:pPr>
              <w:jc w:val="right"/>
              <w:textAlignment w:val="bottom"/>
            </w:pPr>
            <w:r>
              <w:rPr>
                <w:rFonts w:ascii="sans-serif" w:eastAsia="sans-serif" w:hAnsi="sans-serif" w:cs="sans-serif"/>
                <w:color w:val="000000"/>
                <w:sz w:val="15"/>
                <w:szCs w:val="15"/>
              </w:rPr>
              <w:t>619 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FB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B9"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FBA"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FBB" w14:textId="77777777" w:rsidR="00F20ABF" w:rsidRDefault="00CA4D2F">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FB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BD"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FBE"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FBF" w14:textId="77777777" w:rsidR="00F20ABF" w:rsidRDefault="00CA4D2F">
            <w:pPr>
              <w:jc w:val="right"/>
              <w:textAlignment w:val="bottom"/>
            </w:pPr>
            <w:r>
              <w:rPr>
                <w:rFonts w:ascii="sans-serif" w:eastAsia="sans-serif" w:hAnsi="sans-serif" w:cs="sans-serif"/>
                <w:color w:val="000000"/>
                <w:sz w:val="15"/>
                <w:szCs w:val="15"/>
              </w:rPr>
              <w:t>8,301 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FC0"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C1"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FC2"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FC3" w14:textId="77777777" w:rsidR="00F20ABF" w:rsidRDefault="00CA4D2F">
            <w:pPr>
              <w:jc w:val="right"/>
              <w:textAlignment w:val="bottom"/>
            </w:pPr>
            <w:r>
              <w:rPr>
                <w:rFonts w:ascii="sans-serif" w:eastAsia="sans-serif" w:hAnsi="sans-serif" w:cs="sans-serif"/>
                <w:color w:val="000000"/>
                <w:sz w:val="15"/>
                <w:szCs w:val="15"/>
              </w:rPr>
              <w:t>(10,530)</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FC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C5"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FC6"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FC7" w14:textId="77777777" w:rsidR="00F20ABF" w:rsidRDefault="00CA4D2F">
            <w:pPr>
              <w:jc w:val="right"/>
              <w:textAlignment w:val="bottom"/>
            </w:pPr>
            <w:r>
              <w:rPr>
                <w:rFonts w:ascii="sans-serif" w:eastAsia="sans-serif" w:hAnsi="sans-serif" w:cs="sans-serif"/>
                <w:color w:val="000000"/>
                <w:sz w:val="15"/>
                <w:szCs w:val="15"/>
              </w:rPr>
              <w:t>12 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FC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C9"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FCA"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FCB" w14:textId="77777777" w:rsidR="00F20ABF" w:rsidRDefault="00CA4D2F">
            <w:pPr>
              <w:jc w:val="right"/>
              <w:textAlignment w:val="bottom"/>
            </w:pPr>
            <w:r>
              <w:rPr>
                <w:rFonts w:ascii="sans-serif" w:eastAsia="sans-serif" w:hAnsi="sans-serif" w:cs="sans-serif"/>
                <w:color w:val="000000"/>
                <w:sz w:val="15"/>
                <w:szCs w:val="15"/>
              </w:rPr>
              <w:t>17,550 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FC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CD" w14:textId="77777777" w:rsidR="00F20ABF" w:rsidRDefault="00F20ABF">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E803FCE"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E803FCF" w14:textId="77777777" w:rsidR="00F20ABF" w:rsidRDefault="00CA4D2F">
            <w:pPr>
              <w:jc w:val="right"/>
              <w:textAlignment w:val="bottom"/>
            </w:pPr>
            <w:r>
              <w:rPr>
                <w:rFonts w:ascii="sans-serif" w:eastAsia="sans-serif" w:hAnsi="sans-serif" w:cs="sans-serif"/>
                <w:color w:val="000000"/>
                <w:sz w:val="15"/>
                <w:szCs w:val="15"/>
              </w:rPr>
              <w:t>15,334 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3FD0" w14:textId="77777777" w:rsidR="00F20ABF" w:rsidRDefault="00F20ABF">
            <w:pPr>
              <w:jc w:val="right"/>
              <w:rPr>
                <w:rFonts w:ascii="宋体"/>
              </w:rPr>
            </w:pPr>
          </w:p>
        </w:tc>
      </w:tr>
      <w:tr w:rsidR="00F20ABF" w14:paraId="1E803FED" w14:textId="77777777">
        <w:trPr>
          <w:jc w:val="center"/>
        </w:trPr>
        <w:tc>
          <w:tcPr>
            <w:tcW w:w="0" w:type="auto"/>
            <w:gridSpan w:val="3"/>
            <w:shd w:val="clear" w:color="auto" w:fill="FFFFFF"/>
            <w:tcMar>
              <w:top w:w="40" w:type="dxa"/>
              <w:left w:w="20" w:type="dxa"/>
              <w:bottom w:w="40" w:type="dxa"/>
              <w:right w:w="20" w:type="dxa"/>
            </w:tcMar>
            <w:vAlign w:val="bottom"/>
          </w:tcPr>
          <w:p w14:paraId="1E803FD2" w14:textId="77777777" w:rsidR="00F20ABF" w:rsidRDefault="00CA4D2F">
            <w:pPr>
              <w:textAlignment w:val="bottom"/>
            </w:pPr>
            <w:r>
              <w:rPr>
                <w:rFonts w:ascii="sans-serif" w:eastAsia="sans-serif" w:hAnsi="sans-serif" w:cs="sans-serif"/>
                <w:color w:val="000000"/>
                <w:sz w:val="15"/>
                <w:szCs w:val="15"/>
              </w:rPr>
              <w:t>Balances, January 27, 2019</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E803FD3" w14:textId="77777777" w:rsidR="00F20ABF" w:rsidRDefault="00CA4D2F">
            <w:pPr>
              <w:jc w:val="right"/>
              <w:textAlignment w:val="bottom"/>
            </w:pPr>
            <w:r>
              <w:rPr>
                <w:rFonts w:ascii="sans-serif" w:eastAsia="sans-serif" w:hAnsi="sans-serif" w:cs="sans-serif"/>
                <w:color w:val="000000"/>
                <w:sz w:val="15"/>
                <w:szCs w:val="15"/>
              </w:rPr>
              <w:t>606 </w:t>
            </w:r>
          </w:p>
        </w:tc>
        <w:tc>
          <w:tcPr>
            <w:tcW w:w="0" w:type="auto"/>
            <w:tcBorders>
              <w:top w:val="double" w:sz="6" w:space="0" w:color="000000"/>
            </w:tcBorders>
            <w:shd w:val="clear" w:color="auto" w:fill="FFFFFF"/>
            <w:tcMar>
              <w:top w:w="40" w:type="dxa"/>
              <w:left w:w="0" w:type="dxa"/>
              <w:bottom w:w="40" w:type="dxa"/>
              <w:right w:w="20" w:type="dxa"/>
            </w:tcMar>
            <w:vAlign w:val="bottom"/>
          </w:tcPr>
          <w:p w14:paraId="1E803FD4"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D5" w14:textId="77777777" w:rsidR="00F20ABF" w:rsidRDefault="00F20AB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E803FD6"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E803FD7" w14:textId="77777777" w:rsidR="00F20ABF" w:rsidRDefault="00CA4D2F">
            <w:pPr>
              <w:jc w:val="right"/>
              <w:textAlignment w:val="bottom"/>
            </w:pPr>
            <w:r>
              <w:rPr>
                <w:rFonts w:ascii="sans-serif" w:eastAsia="sans-serif" w:hAnsi="sans-serif" w:cs="sans-serif"/>
                <w:color w:val="000000"/>
                <w:sz w:val="15"/>
                <w:szCs w:val="15"/>
              </w:rPr>
              <w:t>1 </w:t>
            </w:r>
          </w:p>
        </w:tc>
        <w:tc>
          <w:tcPr>
            <w:tcW w:w="0" w:type="auto"/>
            <w:tcBorders>
              <w:top w:val="double" w:sz="6" w:space="0" w:color="000000"/>
            </w:tcBorders>
            <w:shd w:val="clear" w:color="auto" w:fill="FFFFFF"/>
            <w:tcMar>
              <w:top w:w="40" w:type="dxa"/>
              <w:left w:w="0" w:type="dxa"/>
              <w:bottom w:w="40" w:type="dxa"/>
              <w:right w:w="20" w:type="dxa"/>
            </w:tcMar>
            <w:vAlign w:val="bottom"/>
          </w:tcPr>
          <w:p w14:paraId="1E803FD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D9" w14:textId="77777777" w:rsidR="00F20ABF" w:rsidRDefault="00F20AB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E803FDA"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E803FDB" w14:textId="77777777" w:rsidR="00F20ABF" w:rsidRDefault="00CA4D2F">
            <w:pPr>
              <w:jc w:val="right"/>
              <w:textAlignment w:val="bottom"/>
            </w:pPr>
            <w:r>
              <w:rPr>
                <w:rFonts w:ascii="sans-serif" w:eastAsia="sans-serif" w:hAnsi="sans-serif" w:cs="sans-serif"/>
                <w:color w:val="000000"/>
                <w:sz w:val="15"/>
                <w:szCs w:val="15"/>
              </w:rPr>
              <w:t>6,051 </w:t>
            </w:r>
          </w:p>
        </w:tc>
        <w:tc>
          <w:tcPr>
            <w:tcW w:w="0" w:type="auto"/>
            <w:tcBorders>
              <w:top w:val="double" w:sz="6" w:space="0" w:color="000000"/>
            </w:tcBorders>
            <w:shd w:val="clear" w:color="auto" w:fill="FFFFFF"/>
            <w:tcMar>
              <w:top w:w="40" w:type="dxa"/>
              <w:left w:w="0" w:type="dxa"/>
              <w:bottom w:w="40" w:type="dxa"/>
              <w:right w:w="20" w:type="dxa"/>
            </w:tcMar>
            <w:vAlign w:val="bottom"/>
          </w:tcPr>
          <w:p w14:paraId="1E803FD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DD" w14:textId="77777777" w:rsidR="00F20ABF" w:rsidRDefault="00F20AB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E803FDE"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E803FDF" w14:textId="77777777" w:rsidR="00F20ABF" w:rsidRDefault="00CA4D2F">
            <w:pPr>
              <w:jc w:val="right"/>
              <w:textAlignment w:val="bottom"/>
            </w:pPr>
            <w:r>
              <w:rPr>
                <w:rFonts w:ascii="sans-serif" w:eastAsia="sans-serif" w:hAnsi="sans-serif" w:cs="sans-serif"/>
                <w:color w:val="000000"/>
                <w:sz w:val="15"/>
                <w:szCs w:val="15"/>
              </w:rPr>
              <w:t>(9,263)</w:t>
            </w:r>
          </w:p>
        </w:tc>
        <w:tc>
          <w:tcPr>
            <w:tcW w:w="0" w:type="auto"/>
            <w:tcBorders>
              <w:top w:val="double" w:sz="6" w:space="0" w:color="000000"/>
            </w:tcBorders>
            <w:shd w:val="clear" w:color="auto" w:fill="FFFFFF"/>
            <w:tcMar>
              <w:top w:w="40" w:type="dxa"/>
              <w:left w:w="0" w:type="dxa"/>
              <w:bottom w:w="40" w:type="dxa"/>
              <w:right w:w="20" w:type="dxa"/>
            </w:tcMar>
            <w:vAlign w:val="bottom"/>
          </w:tcPr>
          <w:p w14:paraId="1E803FE0"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E1" w14:textId="77777777" w:rsidR="00F20ABF" w:rsidRDefault="00F20AB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E803FE2"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E803FE3" w14:textId="77777777" w:rsidR="00F20ABF" w:rsidRDefault="00CA4D2F">
            <w:pPr>
              <w:jc w:val="right"/>
              <w:textAlignment w:val="bottom"/>
            </w:pPr>
            <w:r>
              <w:rPr>
                <w:rFonts w:ascii="sans-serif" w:eastAsia="sans-serif" w:hAnsi="sans-serif" w:cs="sans-serif"/>
                <w:color w:val="000000"/>
                <w:sz w:val="15"/>
                <w:szCs w:val="15"/>
              </w:rPr>
              <w:t>(12)</w:t>
            </w:r>
          </w:p>
        </w:tc>
        <w:tc>
          <w:tcPr>
            <w:tcW w:w="0" w:type="auto"/>
            <w:tcBorders>
              <w:top w:val="double" w:sz="6" w:space="0" w:color="000000"/>
            </w:tcBorders>
            <w:shd w:val="clear" w:color="auto" w:fill="FFFFFF"/>
            <w:tcMar>
              <w:top w:w="40" w:type="dxa"/>
              <w:left w:w="0" w:type="dxa"/>
              <w:bottom w:w="40" w:type="dxa"/>
              <w:right w:w="20" w:type="dxa"/>
            </w:tcMar>
            <w:vAlign w:val="bottom"/>
          </w:tcPr>
          <w:p w14:paraId="1E803FE4"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E5" w14:textId="77777777" w:rsidR="00F20ABF" w:rsidRDefault="00F20AB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E803FE6"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E803FE7" w14:textId="77777777" w:rsidR="00F20ABF" w:rsidRDefault="00CA4D2F">
            <w:pPr>
              <w:jc w:val="right"/>
              <w:textAlignment w:val="bottom"/>
            </w:pPr>
            <w:r>
              <w:rPr>
                <w:rFonts w:ascii="sans-serif" w:eastAsia="sans-serif" w:hAnsi="sans-serif" w:cs="sans-serif"/>
                <w:color w:val="000000"/>
                <w:sz w:val="15"/>
                <w:szCs w:val="15"/>
              </w:rPr>
              <w:t>12,565 </w:t>
            </w:r>
          </w:p>
        </w:tc>
        <w:tc>
          <w:tcPr>
            <w:tcW w:w="0" w:type="auto"/>
            <w:tcBorders>
              <w:top w:val="double" w:sz="6" w:space="0" w:color="000000"/>
            </w:tcBorders>
            <w:shd w:val="clear" w:color="auto" w:fill="FFFFFF"/>
            <w:tcMar>
              <w:top w:w="40" w:type="dxa"/>
              <w:left w:w="0" w:type="dxa"/>
              <w:bottom w:w="40" w:type="dxa"/>
              <w:right w:w="20" w:type="dxa"/>
            </w:tcMar>
            <w:vAlign w:val="bottom"/>
          </w:tcPr>
          <w:p w14:paraId="1E803FE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3FE9" w14:textId="77777777" w:rsidR="00F20ABF" w:rsidRDefault="00F20AB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E803FEA"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E803FEB" w14:textId="77777777" w:rsidR="00F20ABF" w:rsidRDefault="00CA4D2F">
            <w:pPr>
              <w:jc w:val="right"/>
              <w:textAlignment w:val="bottom"/>
            </w:pPr>
            <w:r>
              <w:rPr>
                <w:rFonts w:ascii="sans-serif" w:eastAsia="sans-serif" w:hAnsi="sans-serif" w:cs="sans-serif"/>
                <w:color w:val="000000"/>
                <w:sz w:val="15"/>
                <w:szCs w:val="15"/>
              </w:rPr>
              <w:t>9,342 </w:t>
            </w:r>
          </w:p>
        </w:tc>
        <w:tc>
          <w:tcPr>
            <w:tcW w:w="0" w:type="auto"/>
            <w:tcBorders>
              <w:top w:val="double" w:sz="6" w:space="0" w:color="000000"/>
            </w:tcBorders>
            <w:shd w:val="clear" w:color="auto" w:fill="FFFFFF"/>
            <w:tcMar>
              <w:top w:w="40" w:type="dxa"/>
              <w:left w:w="0" w:type="dxa"/>
              <w:bottom w:w="40" w:type="dxa"/>
              <w:right w:w="20" w:type="dxa"/>
            </w:tcMar>
            <w:vAlign w:val="bottom"/>
          </w:tcPr>
          <w:p w14:paraId="1E803FEC" w14:textId="77777777" w:rsidR="00F20ABF" w:rsidRDefault="00F20ABF">
            <w:pPr>
              <w:jc w:val="right"/>
              <w:rPr>
                <w:rFonts w:ascii="宋体"/>
              </w:rPr>
            </w:pPr>
          </w:p>
        </w:tc>
      </w:tr>
      <w:tr w:rsidR="00F20ABF" w14:paraId="1E804003" w14:textId="77777777">
        <w:trPr>
          <w:jc w:val="center"/>
        </w:trPr>
        <w:tc>
          <w:tcPr>
            <w:tcW w:w="0" w:type="auto"/>
            <w:gridSpan w:val="3"/>
            <w:shd w:val="clear" w:color="auto" w:fill="E2EFD9"/>
            <w:tcMar>
              <w:top w:w="40" w:type="dxa"/>
              <w:left w:w="20" w:type="dxa"/>
              <w:bottom w:w="40" w:type="dxa"/>
              <w:right w:w="20" w:type="dxa"/>
            </w:tcMar>
            <w:vAlign w:val="bottom"/>
          </w:tcPr>
          <w:p w14:paraId="1E803FEE" w14:textId="77777777" w:rsidR="00F20ABF" w:rsidRDefault="00CA4D2F">
            <w:pPr>
              <w:textAlignment w:val="bottom"/>
            </w:pPr>
            <w:r>
              <w:rPr>
                <w:rFonts w:ascii="sans-serif" w:eastAsia="sans-serif" w:hAnsi="sans-serif" w:cs="sans-serif"/>
                <w:color w:val="000000"/>
                <w:sz w:val="15"/>
                <w:szCs w:val="15"/>
              </w:rPr>
              <w:t>Net income</w:t>
            </w:r>
          </w:p>
        </w:tc>
        <w:tc>
          <w:tcPr>
            <w:tcW w:w="0" w:type="auto"/>
            <w:gridSpan w:val="2"/>
            <w:shd w:val="clear" w:color="auto" w:fill="E2EFD9"/>
            <w:tcMar>
              <w:top w:w="40" w:type="dxa"/>
              <w:left w:w="20" w:type="dxa"/>
              <w:bottom w:w="40" w:type="dxa"/>
              <w:right w:w="0" w:type="dxa"/>
            </w:tcMar>
            <w:vAlign w:val="bottom"/>
          </w:tcPr>
          <w:p w14:paraId="1E803FEF"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F0"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F1"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F2"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F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F4"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F5"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F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F7"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F8"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F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FA"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FB"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3FF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3FFD"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3FFE" w14:textId="77777777" w:rsidR="00F20ABF" w:rsidRDefault="00CA4D2F">
            <w:pPr>
              <w:jc w:val="right"/>
              <w:textAlignment w:val="bottom"/>
            </w:pPr>
            <w:r>
              <w:rPr>
                <w:rFonts w:ascii="sans-serif" w:eastAsia="sans-serif" w:hAnsi="sans-serif" w:cs="sans-serif"/>
                <w:color w:val="000000"/>
                <w:sz w:val="15"/>
                <w:szCs w:val="15"/>
              </w:rPr>
              <w:t>1,845 </w:t>
            </w:r>
          </w:p>
        </w:tc>
        <w:tc>
          <w:tcPr>
            <w:tcW w:w="0" w:type="auto"/>
            <w:shd w:val="clear" w:color="auto" w:fill="E2EFD9"/>
            <w:tcMar>
              <w:top w:w="40" w:type="dxa"/>
              <w:left w:w="0" w:type="dxa"/>
              <w:bottom w:w="40" w:type="dxa"/>
              <w:right w:w="20" w:type="dxa"/>
            </w:tcMar>
            <w:vAlign w:val="bottom"/>
          </w:tcPr>
          <w:p w14:paraId="1E803FF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00"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001" w14:textId="77777777" w:rsidR="00F20ABF" w:rsidRDefault="00CA4D2F">
            <w:pPr>
              <w:jc w:val="right"/>
              <w:textAlignment w:val="bottom"/>
            </w:pPr>
            <w:r>
              <w:rPr>
                <w:rFonts w:ascii="sans-serif" w:eastAsia="sans-serif" w:hAnsi="sans-serif" w:cs="sans-serif"/>
                <w:color w:val="000000"/>
                <w:sz w:val="15"/>
                <w:szCs w:val="15"/>
              </w:rPr>
              <w:t>1,845 </w:t>
            </w:r>
          </w:p>
        </w:tc>
        <w:tc>
          <w:tcPr>
            <w:tcW w:w="0" w:type="auto"/>
            <w:shd w:val="clear" w:color="auto" w:fill="E2EFD9"/>
            <w:tcMar>
              <w:top w:w="40" w:type="dxa"/>
              <w:left w:w="0" w:type="dxa"/>
              <w:bottom w:w="40" w:type="dxa"/>
              <w:right w:w="20" w:type="dxa"/>
            </w:tcMar>
            <w:vAlign w:val="bottom"/>
          </w:tcPr>
          <w:p w14:paraId="1E804002" w14:textId="77777777" w:rsidR="00F20ABF" w:rsidRDefault="00F20ABF">
            <w:pPr>
              <w:jc w:val="right"/>
              <w:rPr>
                <w:rFonts w:ascii="宋体"/>
              </w:rPr>
            </w:pPr>
          </w:p>
        </w:tc>
      </w:tr>
      <w:tr w:rsidR="00F20ABF" w14:paraId="1E804019" w14:textId="77777777">
        <w:trPr>
          <w:jc w:val="center"/>
        </w:trPr>
        <w:tc>
          <w:tcPr>
            <w:tcW w:w="0" w:type="auto"/>
            <w:gridSpan w:val="3"/>
            <w:shd w:val="clear" w:color="auto" w:fill="FFFFFF"/>
            <w:tcMar>
              <w:top w:w="40" w:type="dxa"/>
              <w:left w:w="20" w:type="dxa"/>
              <w:bottom w:w="40" w:type="dxa"/>
              <w:right w:w="20" w:type="dxa"/>
            </w:tcMar>
            <w:vAlign w:val="bottom"/>
          </w:tcPr>
          <w:p w14:paraId="1E804004" w14:textId="77777777" w:rsidR="00F20ABF" w:rsidRDefault="00CA4D2F">
            <w:pPr>
              <w:textAlignment w:val="bottom"/>
            </w:pPr>
            <w:r>
              <w:rPr>
                <w:rFonts w:ascii="sans-serif" w:eastAsia="sans-serif" w:hAnsi="sans-serif" w:cs="sans-serif"/>
                <w:color w:val="000000"/>
                <w:sz w:val="15"/>
                <w:szCs w:val="15"/>
              </w:rPr>
              <w:t>Other comprehensive income</w:t>
            </w:r>
          </w:p>
        </w:tc>
        <w:tc>
          <w:tcPr>
            <w:tcW w:w="0" w:type="auto"/>
            <w:gridSpan w:val="2"/>
            <w:shd w:val="clear" w:color="auto" w:fill="FFFFFF"/>
            <w:tcMar>
              <w:top w:w="40" w:type="dxa"/>
              <w:left w:w="20" w:type="dxa"/>
              <w:bottom w:w="40" w:type="dxa"/>
              <w:right w:w="0" w:type="dxa"/>
            </w:tcMar>
            <w:vAlign w:val="bottom"/>
          </w:tcPr>
          <w:p w14:paraId="1E804005"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400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07"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08"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400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0A"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0B"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400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0D"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0E"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400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10"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11" w14:textId="77777777" w:rsidR="00F20ABF" w:rsidRDefault="00CA4D2F">
            <w:pPr>
              <w:jc w:val="right"/>
              <w:textAlignment w:val="bottom"/>
            </w:pPr>
            <w:r>
              <w:rPr>
                <w:rFonts w:ascii="sans-serif" w:eastAsia="sans-serif" w:hAnsi="sans-serif" w:cs="sans-serif"/>
                <w:color w:val="000000"/>
                <w:sz w:val="15"/>
                <w:szCs w:val="15"/>
              </w:rPr>
              <w:t>9 </w:t>
            </w:r>
          </w:p>
        </w:tc>
        <w:tc>
          <w:tcPr>
            <w:tcW w:w="0" w:type="auto"/>
            <w:shd w:val="clear" w:color="auto" w:fill="FFFFFF"/>
            <w:tcMar>
              <w:top w:w="40" w:type="dxa"/>
              <w:left w:w="0" w:type="dxa"/>
              <w:bottom w:w="40" w:type="dxa"/>
              <w:right w:w="20" w:type="dxa"/>
            </w:tcMar>
            <w:vAlign w:val="bottom"/>
          </w:tcPr>
          <w:p w14:paraId="1E80401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1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14"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401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1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17" w14:textId="77777777" w:rsidR="00F20ABF" w:rsidRDefault="00CA4D2F">
            <w:pPr>
              <w:jc w:val="right"/>
              <w:textAlignment w:val="bottom"/>
            </w:pPr>
            <w:r>
              <w:rPr>
                <w:rFonts w:ascii="sans-serif" w:eastAsia="sans-serif" w:hAnsi="sans-serif" w:cs="sans-serif"/>
                <w:color w:val="000000"/>
                <w:sz w:val="15"/>
                <w:szCs w:val="15"/>
              </w:rPr>
              <w:t>9 </w:t>
            </w:r>
          </w:p>
        </w:tc>
        <w:tc>
          <w:tcPr>
            <w:tcW w:w="0" w:type="auto"/>
            <w:shd w:val="clear" w:color="auto" w:fill="FFFFFF"/>
            <w:tcMar>
              <w:top w:w="40" w:type="dxa"/>
              <w:left w:w="0" w:type="dxa"/>
              <w:bottom w:w="40" w:type="dxa"/>
              <w:right w:w="20" w:type="dxa"/>
            </w:tcMar>
            <w:vAlign w:val="bottom"/>
          </w:tcPr>
          <w:p w14:paraId="1E804018" w14:textId="77777777" w:rsidR="00F20ABF" w:rsidRDefault="00F20ABF">
            <w:pPr>
              <w:jc w:val="right"/>
              <w:rPr>
                <w:rFonts w:ascii="宋体"/>
              </w:rPr>
            </w:pPr>
          </w:p>
        </w:tc>
      </w:tr>
      <w:tr w:rsidR="00F20ABF" w14:paraId="1E80402F" w14:textId="77777777">
        <w:trPr>
          <w:jc w:val="center"/>
        </w:trPr>
        <w:tc>
          <w:tcPr>
            <w:tcW w:w="0" w:type="auto"/>
            <w:gridSpan w:val="3"/>
            <w:shd w:val="clear" w:color="auto" w:fill="E2EFD9"/>
            <w:tcMar>
              <w:top w:w="40" w:type="dxa"/>
              <w:left w:w="20" w:type="dxa"/>
              <w:bottom w:w="40" w:type="dxa"/>
              <w:right w:w="20" w:type="dxa"/>
            </w:tcMar>
            <w:vAlign w:val="bottom"/>
          </w:tcPr>
          <w:p w14:paraId="1E80401A" w14:textId="77777777" w:rsidR="00F20ABF" w:rsidRDefault="00CA4D2F">
            <w:pPr>
              <w:textAlignment w:val="bottom"/>
            </w:pPr>
            <w:r>
              <w:rPr>
                <w:rFonts w:ascii="sans-serif" w:eastAsia="sans-serif" w:hAnsi="sans-serif" w:cs="sans-serif"/>
                <w:color w:val="000000"/>
                <w:sz w:val="15"/>
                <w:szCs w:val="15"/>
              </w:rPr>
              <w:t>Issuance of common stock from stock</w:t>
            </w:r>
            <w:r>
              <w:rPr>
                <w:rFonts w:ascii="sans-serif" w:eastAsia="sans-serif" w:hAnsi="sans-serif" w:cs="sans-serif"/>
                <w:color w:val="000000"/>
                <w:sz w:val="15"/>
                <w:szCs w:val="15"/>
              </w:rPr>
              <w:t xml:space="preserve"> plans </w:t>
            </w:r>
          </w:p>
        </w:tc>
        <w:tc>
          <w:tcPr>
            <w:tcW w:w="0" w:type="auto"/>
            <w:gridSpan w:val="2"/>
            <w:shd w:val="clear" w:color="auto" w:fill="E2EFD9"/>
            <w:tcMar>
              <w:top w:w="40" w:type="dxa"/>
              <w:left w:w="20" w:type="dxa"/>
              <w:bottom w:w="40" w:type="dxa"/>
              <w:right w:w="0" w:type="dxa"/>
            </w:tcMar>
            <w:vAlign w:val="bottom"/>
          </w:tcPr>
          <w:p w14:paraId="1E80401B" w14:textId="77777777" w:rsidR="00F20ABF" w:rsidRDefault="00CA4D2F">
            <w:pPr>
              <w:jc w:val="right"/>
              <w:textAlignment w:val="bottom"/>
            </w:pPr>
            <w:r>
              <w:rPr>
                <w:rFonts w:ascii="sans-serif" w:eastAsia="sans-serif" w:hAnsi="sans-serif" w:cs="sans-serif"/>
                <w:color w:val="000000"/>
                <w:sz w:val="15"/>
                <w:szCs w:val="15"/>
              </w:rPr>
              <w:t>9 </w:t>
            </w:r>
          </w:p>
        </w:tc>
        <w:tc>
          <w:tcPr>
            <w:tcW w:w="0" w:type="auto"/>
            <w:shd w:val="clear" w:color="auto" w:fill="E2EFD9"/>
            <w:tcMar>
              <w:top w:w="40" w:type="dxa"/>
              <w:left w:w="0" w:type="dxa"/>
              <w:bottom w:w="40" w:type="dxa"/>
              <w:right w:w="20" w:type="dxa"/>
            </w:tcMar>
            <w:vAlign w:val="bottom"/>
          </w:tcPr>
          <w:p w14:paraId="1E80401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1D"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01E"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401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20"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021" w14:textId="77777777" w:rsidR="00F20ABF" w:rsidRDefault="00CA4D2F">
            <w:pPr>
              <w:jc w:val="right"/>
              <w:textAlignment w:val="bottom"/>
            </w:pPr>
            <w:r>
              <w:rPr>
                <w:rFonts w:ascii="sans-serif" w:eastAsia="sans-serif" w:hAnsi="sans-serif" w:cs="sans-serif"/>
                <w:color w:val="000000"/>
                <w:sz w:val="15"/>
                <w:szCs w:val="15"/>
              </w:rPr>
              <w:t>146 </w:t>
            </w:r>
          </w:p>
        </w:tc>
        <w:tc>
          <w:tcPr>
            <w:tcW w:w="0" w:type="auto"/>
            <w:shd w:val="clear" w:color="auto" w:fill="E2EFD9"/>
            <w:tcMar>
              <w:top w:w="40" w:type="dxa"/>
              <w:left w:w="0" w:type="dxa"/>
              <w:bottom w:w="40" w:type="dxa"/>
              <w:right w:w="20" w:type="dxa"/>
            </w:tcMar>
            <w:vAlign w:val="bottom"/>
          </w:tcPr>
          <w:p w14:paraId="1E80402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23"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024"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402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26"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027"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402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2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02A"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402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2C"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02D" w14:textId="77777777" w:rsidR="00F20ABF" w:rsidRDefault="00CA4D2F">
            <w:pPr>
              <w:jc w:val="right"/>
              <w:textAlignment w:val="bottom"/>
            </w:pPr>
            <w:r>
              <w:rPr>
                <w:rFonts w:ascii="sans-serif" w:eastAsia="sans-serif" w:hAnsi="sans-serif" w:cs="sans-serif"/>
                <w:color w:val="000000"/>
                <w:sz w:val="15"/>
                <w:szCs w:val="15"/>
              </w:rPr>
              <w:t>146 </w:t>
            </w:r>
          </w:p>
        </w:tc>
        <w:tc>
          <w:tcPr>
            <w:tcW w:w="0" w:type="auto"/>
            <w:shd w:val="clear" w:color="auto" w:fill="E2EFD9"/>
            <w:tcMar>
              <w:top w:w="40" w:type="dxa"/>
              <w:left w:w="0" w:type="dxa"/>
              <w:bottom w:w="40" w:type="dxa"/>
              <w:right w:w="20" w:type="dxa"/>
            </w:tcMar>
            <w:vAlign w:val="bottom"/>
          </w:tcPr>
          <w:p w14:paraId="1E80402E" w14:textId="77777777" w:rsidR="00F20ABF" w:rsidRDefault="00F20ABF">
            <w:pPr>
              <w:jc w:val="right"/>
              <w:rPr>
                <w:rFonts w:ascii="宋体"/>
              </w:rPr>
            </w:pPr>
          </w:p>
        </w:tc>
      </w:tr>
      <w:tr w:rsidR="00F20ABF" w14:paraId="1E804045" w14:textId="77777777">
        <w:trPr>
          <w:jc w:val="center"/>
        </w:trPr>
        <w:tc>
          <w:tcPr>
            <w:tcW w:w="0" w:type="auto"/>
            <w:gridSpan w:val="3"/>
            <w:shd w:val="clear" w:color="auto" w:fill="FFFFFF"/>
            <w:tcMar>
              <w:top w:w="40" w:type="dxa"/>
              <w:left w:w="20" w:type="dxa"/>
              <w:bottom w:w="40" w:type="dxa"/>
              <w:right w:w="20" w:type="dxa"/>
            </w:tcMar>
            <w:vAlign w:val="bottom"/>
          </w:tcPr>
          <w:p w14:paraId="1E804030" w14:textId="77777777" w:rsidR="00F20ABF" w:rsidRDefault="00CA4D2F">
            <w:pPr>
              <w:textAlignment w:val="bottom"/>
            </w:pPr>
            <w:r>
              <w:rPr>
                <w:rFonts w:ascii="sans-serif" w:eastAsia="sans-serif" w:hAnsi="sans-serif" w:cs="sans-serif"/>
                <w:color w:val="000000"/>
                <w:sz w:val="15"/>
                <w:szCs w:val="15"/>
              </w:rPr>
              <w:t xml:space="preserve">Tax withholding related to vesting </w:t>
            </w:r>
            <w:r>
              <w:rPr>
                <w:rFonts w:ascii="sans-serif" w:eastAsia="sans-serif" w:hAnsi="sans-serif" w:cs="sans-serif"/>
                <w:color w:val="000000"/>
                <w:sz w:val="15"/>
                <w:szCs w:val="15"/>
              </w:rPr>
              <w:t>of restricted stock units</w:t>
            </w:r>
          </w:p>
        </w:tc>
        <w:tc>
          <w:tcPr>
            <w:tcW w:w="0" w:type="auto"/>
            <w:gridSpan w:val="2"/>
            <w:shd w:val="clear" w:color="auto" w:fill="FFFFFF"/>
            <w:tcMar>
              <w:top w:w="40" w:type="dxa"/>
              <w:left w:w="20" w:type="dxa"/>
              <w:bottom w:w="40" w:type="dxa"/>
              <w:right w:w="0" w:type="dxa"/>
            </w:tcMar>
            <w:vAlign w:val="bottom"/>
          </w:tcPr>
          <w:p w14:paraId="1E804031" w14:textId="77777777" w:rsidR="00F20ABF" w:rsidRDefault="00CA4D2F">
            <w:pPr>
              <w:jc w:val="right"/>
              <w:textAlignment w:val="bottom"/>
            </w:pPr>
            <w:r>
              <w:rPr>
                <w:rFonts w:ascii="sans-serif" w:eastAsia="sans-serif" w:hAnsi="sans-serif" w:cs="sans-serif"/>
                <w:color w:val="000000"/>
                <w:sz w:val="15"/>
                <w:szCs w:val="15"/>
              </w:rPr>
              <w:t>(3)</w:t>
            </w:r>
          </w:p>
        </w:tc>
        <w:tc>
          <w:tcPr>
            <w:tcW w:w="0" w:type="auto"/>
            <w:shd w:val="clear" w:color="auto" w:fill="FFFFFF"/>
            <w:tcMar>
              <w:top w:w="40" w:type="dxa"/>
              <w:left w:w="0" w:type="dxa"/>
              <w:bottom w:w="40" w:type="dxa"/>
              <w:right w:w="20" w:type="dxa"/>
            </w:tcMar>
            <w:vAlign w:val="bottom"/>
          </w:tcPr>
          <w:p w14:paraId="1E80403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3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34"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403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3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37"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403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39"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3A" w14:textId="77777777" w:rsidR="00F20ABF" w:rsidRDefault="00CA4D2F">
            <w:pPr>
              <w:jc w:val="right"/>
              <w:textAlignment w:val="bottom"/>
            </w:pPr>
            <w:r>
              <w:rPr>
                <w:rFonts w:ascii="sans-serif" w:eastAsia="sans-serif" w:hAnsi="sans-serif" w:cs="sans-serif"/>
                <w:color w:val="000000"/>
                <w:sz w:val="15"/>
                <w:szCs w:val="15"/>
              </w:rPr>
              <w:t>(463)</w:t>
            </w:r>
          </w:p>
        </w:tc>
        <w:tc>
          <w:tcPr>
            <w:tcW w:w="0" w:type="auto"/>
            <w:shd w:val="clear" w:color="auto" w:fill="FFFFFF"/>
            <w:tcMar>
              <w:top w:w="40" w:type="dxa"/>
              <w:left w:w="0" w:type="dxa"/>
              <w:bottom w:w="40" w:type="dxa"/>
              <w:right w:w="20" w:type="dxa"/>
            </w:tcMar>
            <w:vAlign w:val="bottom"/>
          </w:tcPr>
          <w:p w14:paraId="1E80403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3C"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3D"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403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3F"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40"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404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42"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43" w14:textId="77777777" w:rsidR="00F20ABF" w:rsidRDefault="00CA4D2F">
            <w:pPr>
              <w:jc w:val="right"/>
              <w:textAlignment w:val="bottom"/>
            </w:pPr>
            <w:r>
              <w:rPr>
                <w:rFonts w:ascii="sans-serif" w:eastAsia="sans-serif" w:hAnsi="sans-serif" w:cs="sans-serif"/>
                <w:color w:val="000000"/>
                <w:sz w:val="15"/>
                <w:szCs w:val="15"/>
              </w:rPr>
              <w:t>(463)</w:t>
            </w:r>
          </w:p>
        </w:tc>
        <w:tc>
          <w:tcPr>
            <w:tcW w:w="0" w:type="auto"/>
            <w:shd w:val="clear" w:color="auto" w:fill="FFFFFF"/>
            <w:tcMar>
              <w:top w:w="40" w:type="dxa"/>
              <w:left w:w="0" w:type="dxa"/>
              <w:bottom w:w="40" w:type="dxa"/>
              <w:right w:w="20" w:type="dxa"/>
            </w:tcMar>
            <w:vAlign w:val="bottom"/>
          </w:tcPr>
          <w:p w14:paraId="1E804044" w14:textId="77777777" w:rsidR="00F20ABF" w:rsidRDefault="00F20ABF">
            <w:pPr>
              <w:jc w:val="right"/>
              <w:rPr>
                <w:rFonts w:ascii="宋体"/>
              </w:rPr>
            </w:pPr>
          </w:p>
        </w:tc>
      </w:tr>
      <w:tr w:rsidR="00F20ABF" w14:paraId="1E804054" w14:textId="77777777">
        <w:trPr>
          <w:jc w:val="center"/>
          <w:hidden/>
        </w:trPr>
        <w:tc>
          <w:tcPr>
            <w:tcW w:w="0" w:type="auto"/>
            <w:gridSpan w:val="3"/>
            <w:shd w:val="clear" w:color="auto" w:fill="auto"/>
          </w:tcPr>
          <w:p w14:paraId="1E804046" w14:textId="77777777" w:rsidR="00F20ABF" w:rsidRDefault="00F20ABF">
            <w:pPr>
              <w:rPr>
                <w:rFonts w:ascii="宋体"/>
                <w:vanish/>
              </w:rPr>
            </w:pPr>
          </w:p>
        </w:tc>
        <w:tc>
          <w:tcPr>
            <w:tcW w:w="0" w:type="auto"/>
            <w:gridSpan w:val="3"/>
            <w:shd w:val="clear" w:color="auto" w:fill="auto"/>
          </w:tcPr>
          <w:p w14:paraId="1E804047" w14:textId="77777777" w:rsidR="00F20ABF" w:rsidRDefault="00F20ABF">
            <w:pPr>
              <w:rPr>
                <w:rFonts w:ascii="宋体"/>
                <w:vanish/>
              </w:rPr>
            </w:pPr>
          </w:p>
        </w:tc>
        <w:tc>
          <w:tcPr>
            <w:tcW w:w="0" w:type="auto"/>
            <w:gridSpan w:val="3"/>
            <w:shd w:val="clear" w:color="auto" w:fill="auto"/>
          </w:tcPr>
          <w:p w14:paraId="1E804048" w14:textId="77777777" w:rsidR="00F20ABF" w:rsidRDefault="00F20ABF">
            <w:pPr>
              <w:rPr>
                <w:rFonts w:ascii="宋体"/>
                <w:vanish/>
              </w:rPr>
            </w:pPr>
          </w:p>
        </w:tc>
        <w:tc>
          <w:tcPr>
            <w:tcW w:w="0" w:type="auto"/>
            <w:gridSpan w:val="3"/>
            <w:shd w:val="clear" w:color="auto" w:fill="auto"/>
          </w:tcPr>
          <w:p w14:paraId="1E804049" w14:textId="77777777" w:rsidR="00F20ABF" w:rsidRDefault="00F20ABF">
            <w:pPr>
              <w:rPr>
                <w:rFonts w:ascii="宋体"/>
                <w:vanish/>
              </w:rPr>
            </w:pPr>
          </w:p>
        </w:tc>
        <w:tc>
          <w:tcPr>
            <w:tcW w:w="0" w:type="auto"/>
            <w:gridSpan w:val="3"/>
            <w:shd w:val="clear" w:color="auto" w:fill="auto"/>
          </w:tcPr>
          <w:p w14:paraId="1E80404A" w14:textId="77777777" w:rsidR="00F20ABF" w:rsidRDefault="00F20ABF">
            <w:pPr>
              <w:rPr>
                <w:rFonts w:ascii="宋体"/>
                <w:vanish/>
              </w:rPr>
            </w:pPr>
          </w:p>
        </w:tc>
        <w:tc>
          <w:tcPr>
            <w:tcW w:w="0" w:type="auto"/>
            <w:gridSpan w:val="3"/>
            <w:shd w:val="clear" w:color="auto" w:fill="auto"/>
          </w:tcPr>
          <w:p w14:paraId="1E80404B" w14:textId="77777777" w:rsidR="00F20ABF" w:rsidRDefault="00F20ABF">
            <w:pPr>
              <w:rPr>
                <w:rFonts w:ascii="宋体"/>
                <w:vanish/>
              </w:rPr>
            </w:pPr>
          </w:p>
        </w:tc>
        <w:tc>
          <w:tcPr>
            <w:tcW w:w="0" w:type="auto"/>
            <w:gridSpan w:val="3"/>
            <w:shd w:val="clear" w:color="auto" w:fill="auto"/>
          </w:tcPr>
          <w:p w14:paraId="1E80404C" w14:textId="77777777" w:rsidR="00F20ABF" w:rsidRDefault="00F20ABF">
            <w:pPr>
              <w:rPr>
                <w:rFonts w:ascii="宋体"/>
                <w:vanish/>
              </w:rPr>
            </w:pPr>
          </w:p>
        </w:tc>
        <w:tc>
          <w:tcPr>
            <w:tcW w:w="0" w:type="auto"/>
            <w:gridSpan w:val="3"/>
            <w:shd w:val="clear" w:color="auto" w:fill="auto"/>
          </w:tcPr>
          <w:p w14:paraId="1E80404D" w14:textId="77777777" w:rsidR="00F20ABF" w:rsidRDefault="00F20ABF">
            <w:pPr>
              <w:rPr>
                <w:rFonts w:ascii="宋体"/>
                <w:vanish/>
              </w:rPr>
            </w:pPr>
          </w:p>
        </w:tc>
        <w:tc>
          <w:tcPr>
            <w:tcW w:w="0" w:type="auto"/>
            <w:gridSpan w:val="3"/>
            <w:shd w:val="clear" w:color="auto" w:fill="auto"/>
          </w:tcPr>
          <w:p w14:paraId="1E80404E" w14:textId="77777777" w:rsidR="00F20ABF" w:rsidRDefault="00F20ABF">
            <w:pPr>
              <w:rPr>
                <w:rFonts w:ascii="宋体"/>
                <w:vanish/>
              </w:rPr>
            </w:pPr>
          </w:p>
        </w:tc>
        <w:tc>
          <w:tcPr>
            <w:tcW w:w="0" w:type="auto"/>
            <w:gridSpan w:val="3"/>
            <w:shd w:val="clear" w:color="auto" w:fill="auto"/>
          </w:tcPr>
          <w:p w14:paraId="1E80404F" w14:textId="77777777" w:rsidR="00F20ABF" w:rsidRDefault="00F20ABF">
            <w:pPr>
              <w:rPr>
                <w:rFonts w:ascii="宋体"/>
                <w:vanish/>
              </w:rPr>
            </w:pPr>
          </w:p>
        </w:tc>
        <w:tc>
          <w:tcPr>
            <w:tcW w:w="0" w:type="auto"/>
            <w:gridSpan w:val="3"/>
            <w:shd w:val="clear" w:color="auto" w:fill="auto"/>
          </w:tcPr>
          <w:p w14:paraId="1E804050" w14:textId="77777777" w:rsidR="00F20ABF" w:rsidRDefault="00F20ABF">
            <w:pPr>
              <w:rPr>
                <w:rFonts w:ascii="宋体"/>
                <w:vanish/>
              </w:rPr>
            </w:pPr>
          </w:p>
        </w:tc>
        <w:tc>
          <w:tcPr>
            <w:tcW w:w="0" w:type="auto"/>
            <w:gridSpan w:val="3"/>
            <w:shd w:val="clear" w:color="auto" w:fill="auto"/>
          </w:tcPr>
          <w:p w14:paraId="1E804051" w14:textId="77777777" w:rsidR="00F20ABF" w:rsidRDefault="00F20ABF">
            <w:pPr>
              <w:rPr>
                <w:rFonts w:ascii="宋体"/>
                <w:vanish/>
              </w:rPr>
            </w:pPr>
          </w:p>
        </w:tc>
        <w:tc>
          <w:tcPr>
            <w:tcW w:w="0" w:type="auto"/>
            <w:gridSpan w:val="3"/>
            <w:shd w:val="clear" w:color="auto" w:fill="auto"/>
          </w:tcPr>
          <w:p w14:paraId="1E804052" w14:textId="77777777" w:rsidR="00F20ABF" w:rsidRDefault="00F20ABF">
            <w:pPr>
              <w:rPr>
                <w:rFonts w:ascii="宋体"/>
                <w:vanish/>
              </w:rPr>
            </w:pPr>
          </w:p>
        </w:tc>
        <w:tc>
          <w:tcPr>
            <w:tcW w:w="0" w:type="auto"/>
            <w:gridSpan w:val="3"/>
            <w:shd w:val="clear" w:color="auto" w:fill="auto"/>
          </w:tcPr>
          <w:p w14:paraId="1E804053" w14:textId="77777777" w:rsidR="00F20ABF" w:rsidRDefault="00F20ABF">
            <w:pPr>
              <w:rPr>
                <w:rFonts w:ascii="宋体"/>
                <w:vanish/>
              </w:rPr>
            </w:pPr>
          </w:p>
        </w:tc>
      </w:tr>
      <w:tr w:rsidR="00F20ABF" w14:paraId="1E80406A" w14:textId="77777777">
        <w:trPr>
          <w:jc w:val="center"/>
        </w:trPr>
        <w:tc>
          <w:tcPr>
            <w:tcW w:w="0" w:type="auto"/>
            <w:gridSpan w:val="3"/>
            <w:shd w:val="clear" w:color="auto" w:fill="E2EFD9"/>
            <w:tcMar>
              <w:top w:w="40" w:type="dxa"/>
              <w:left w:w="20" w:type="dxa"/>
              <w:bottom w:w="40" w:type="dxa"/>
              <w:right w:w="20" w:type="dxa"/>
            </w:tcMar>
            <w:vAlign w:val="bottom"/>
          </w:tcPr>
          <w:p w14:paraId="1E804055" w14:textId="77777777" w:rsidR="00F20ABF" w:rsidRDefault="00CA4D2F">
            <w:pPr>
              <w:textAlignment w:val="bottom"/>
            </w:pPr>
            <w:r>
              <w:rPr>
                <w:rFonts w:ascii="sans-serif" w:eastAsia="sans-serif" w:hAnsi="sans-serif" w:cs="sans-serif"/>
                <w:color w:val="000000"/>
                <w:sz w:val="15"/>
                <w:szCs w:val="15"/>
              </w:rPr>
              <w:t xml:space="preserve">Cash </w:t>
            </w:r>
            <w:r>
              <w:rPr>
                <w:rFonts w:ascii="sans-serif" w:eastAsia="sans-serif" w:hAnsi="sans-serif" w:cs="sans-serif"/>
                <w:color w:val="000000"/>
                <w:sz w:val="15"/>
                <w:szCs w:val="15"/>
              </w:rPr>
              <w:t>dividends declared and paid ($0.48 per common share)</w:t>
            </w:r>
          </w:p>
        </w:tc>
        <w:tc>
          <w:tcPr>
            <w:tcW w:w="0" w:type="auto"/>
            <w:gridSpan w:val="2"/>
            <w:shd w:val="clear" w:color="auto" w:fill="E2EFD9"/>
            <w:tcMar>
              <w:top w:w="40" w:type="dxa"/>
              <w:left w:w="20" w:type="dxa"/>
              <w:bottom w:w="40" w:type="dxa"/>
              <w:right w:w="0" w:type="dxa"/>
            </w:tcMar>
            <w:vAlign w:val="bottom"/>
          </w:tcPr>
          <w:p w14:paraId="1E804056"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405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58"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059"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405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5B"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05C"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405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5E"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05F"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4060"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61"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062"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E80406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64"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065" w14:textId="77777777" w:rsidR="00F20ABF" w:rsidRDefault="00CA4D2F">
            <w:pPr>
              <w:jc w:val="right"/>
              <w:textAlignment w:val="bottom"/>
            </w:pPr>
            <w:r>
              <w:rPr>
                <w:rFonts w:ascii="sans-serif" w:eastAsia="sans-serif" w:hAnsi="sans-serif" w:cs="sans-serif"/>
                <w:color w:val="000000"/>
                <w:sz w:val="15"/>
                <w:szCs w:val="15"/>
              </w:rPr>
              <w:t>(292)</w:t>
            </w:r>
          </w:p>
        </w:tc>
        <w:tc>
          <w:tcPr>
            <w:tcW w:w="0" w:type="auto"/>
            <w:shd w:val="clear" w:color="auto" w:fill="E2EFD9"/>
            <w:tcMar>
              <w:top w:w="40" w:type="dxa"/>
              <w:left w:w="0" w:type="dxa"/>
              <w:bottom w:w="40" w:type="dxa"/>
              <w:right w:w="20" w:type="dxa"/>
            </w:tcMar>
            <w:vAlign w:val="bottom"/>
          </w:tcPr>
          <w:p w14:paraId="1E80406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67"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068" w14:textId="77777777" w:rsidR="00F20ABF" w:rsidRDefault="00CA4D2F">
            <w:pPr>
              <w:jc w:val="right"/>
              <w:textAlignment w:val="bottom"/>
            </w:pPr>
            <w:r>
              <w:rPr>
                <w:rFonts w:ascii="sans-serif" w:eastAsia="sans-serif" w:hAnsi="sans-serif" w:cs="sans-serif"/>
                <w:color w:val="000000"/>
                <w:sz w:val="15"/>
                <w:szCs w:val="15"/>
              </w:rPr>
              <w:t>(292)</w:t>
            </w:r>
          </w:p>
        </w:tc>
        <w:tc>
          <w:tcPr>
            <w:tcW w:w="0" w:type="auto"/>
            <w:shd w:val="clear" w:color="auto" w:fill="E2EFD9"/>
            <w:tcMar>
              <w:top w:w="40" w:type="dxa"/>
              <w:left w:w="0" w:type="dxa"/>
              <w:bottom w:w="40" w:type="dxa"/>
              <w:right w:w="20" w:type="dxa"/>
            </w:tcMar>
            <w:vAlign w:val="bottom"/>
          </w:tcPr>
          <w:p w14:paraId="1E804069" w14:textId="77777777" w:rsidR="00F20ABF" w:rsidRDefault="00F20ABF">
            <w:pPr>
              <w:jc w:val="right"/>
              <w:rPr>
                <w:rFonts w:ascii="宋体"/>
              </w:rPr>
            </w:pPr>
          </w:p>
        </w:tc>
      </w:tr>
      <w:tr w:rsidR="00F20ABF" w14:paraId="1E804080" w14:textId="77777777">
        <w:trPr>
          <w:jc w:val="center"/>
        </w:trPr>
        <w:tc>
          <w:tcPr>
            <w:tcW w:w="0" w:type="auto"/>
            <w:gridSpan w:val="3"/>
            <w:shd w:val="clear" w:color="auto" w:fill="FFFFFF"/>
            <w:tcMar>
              <w:top w:w="40" w:type="dxa"/>
              <w:left w:w="20" w:type="dxa"/>
              <w:bottom w:w="40" w:type="dxa"/>
              <w:right w:w="20" w:type="dxa"/>
            </w:tcMar>
            <w:vAlign w:val="bottom"/>
          </w:tcPr>
          <w:p w14:paraId="1E80406B" w14:textId="77777777" w:rsidR="00F20ABF" w:rsidRDefault="00CA4D2F">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1E80406C"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406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6E"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6F"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4070"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71"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72" w14:textId="77777777" w:rsidR="00F20ABF" w:rsidRDefault="00CA4D2F">
            <w:pPr>
              <w:jc w:val="right"/>
              <w:textAlignment w:val="bottom"/>
            </w:pPr>
            <w:r>
              <w:rPr>
                <w:rFonts w:ascii="sans-serif" w:eastAsia="sans-serif" w:hAnsi="sans-serif" w:cs="sans-serif"/>
                <w:color w:val="000000"/>
                <w:sz w:val="15"/>
                <w:szCs w:val="15"/>
              </w:rPr>
              <w:t>627 </w:t>
            </w:r>
          </w:p>
        </w:tc>
        <w:tc>
          <w:tcPr>
            <w:tcW w:w="0" w:type="auto"/>
            <w:shd w:val="clear" w:color="auto" w:fill="FFFFFF"/>
            <w:tcMar>
              <w:top w:w="40" w:type="dxa"/>
              <w:left w:w="0" w:type="dxa"/>
              <w:bottom w:w="40" w:type="dxa"/>
              <w:right w:w="20" w:type="dxa"/>
            </w:tcMar>
            <w:vAlign w:val="bottom"/>
          </w:tcPr>
          <w:p w14:paraId="1E804073"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74"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75"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407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77"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78"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407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7A"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7B" w14:textId="77777777" w:rsidR="00F20ABF" w:rsidRDefault="00CA4D2F">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E80407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7D"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7E" w14:textId="77777777" w:rsidR="00F20ABF" w:rsidRDefault="00CA4D2F">
            <w:pPr>
              <w:jc w:val="right"/>
              <w:textAlignment w:val="bottom"/>
            </w:pPr>
            <w:r>
              <w:rPr>
                <w:rFonts w:ascii="sans-serif" w:eastAsia="sans-serif" w:hAnsi="sans-serif" w:cs="sans-serif"/>
                <w:color w:val="000000"/>
                <w:sz w:val="15"/>
                <w:szCs w:val="15"/>
              </w:rPr>
              <w:t>627 </w:t>
            </w:r>
          </w:p>
        </w:tc>
        <w:tc>
          <w:tcPr>
            <w:tcW w:w="0" w:type="auto"/>
            <w:shd w:val="clear" w:color="auto" w:fill="FFFFFF"/>
            <w:tcMar>
              <w:top w:w="40" w:type="dxa"/>
              <w:left w:w="0" w:type="dxa"/>
              <w:bottom w:w="40" w:type="dxa"/>
              <w:right w:w="20" w:type="dxa"/>
            </w:tcMar>
            <w:vAlign w:val="bottom"/>
          </w:tcPr>
          <w:p w14:paraId="1E80407F" w14:textId="77777777" w:rsidR="00F20ABF" w:rsidRDefault="00F20ABF">
            <w:pPr>
              <w:jc w:val="right"/>
              <w:rPr>
                <w:rFonts w:ascii="宋体"/>
              </w:rPr>
            </w:pPr>
          </w:p>
        </w:tc>
      </w:tr>
      <w:tr w:rsidR="00F20ABF" w14:paraId="1E80409C" w14:textId="77777777">
        <w:trPr>
          <w:jc w:val="center"/>
        </w:trPr>
        <w:tc>
          <w:tcPr>
            <w:tcW w:w="0" w:type="auto"/>
            <w:gridSpan w:val="3"/>
            <w:shd w:val="clear" w:color="auto" w:fill="E2EFD9"/>
            <w:tcMar>
              <w:top w:w="40" w:type="dxa"/>
              <w:left w:w="20" w:type="dxa"/>
              <w:bottom w:w="40" w:type="dxa"/>
              <w:right w:w="20" w:type="dxa"/>
            </w:tcMar>
            <w:vAlign w:val="bottom"/>
          </w:tcPr>
          <w:p w14:paraId="1E804081" w14:textId="77777777" w:rsidR="00F20ABF" w:rsidRDefault="00CA4D2F">
            <w:pPr>
              <w:textAlignment w:val="bottom"/>
            </w:pPr>
            <w:r>
              <w:rPr>
                <w:rFonts w:ascii="sans-serif" w:eastAsia="sans-serif" w:hAnsi="sans-serif" w:cs="sans-serif"/>
                <w:color w:val="000000"/>
                <w:sz w:val="15"/>
                <w:szCs w:val="15"/>
              </w:rPr>
              <w:t>Balanc</w:t>
            </w:r>
            <w:r>
              <w:rPr>
                <w:rFonts w:ascii="sans-serif" w:eastAsia="sans-serif" w:hAnsi="sans-serif" w:cs="sans-serif"/>
                <w:color w:val="000000"/>
                <w:sz w:val="15"/>
                <w:szCs w:val="15"/>
              </w:rPr>
              <w:t>es, October 27, 2019</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082" w14:textId="77777777" w:rsidR="00F20ABF" w:rsidRDefault="00CA4D2F">
            <w:pPr>
              <w:jc w:val="right"/>
              <w:textAlignment w:val="bottom"/>
            </w:pPr>
            <w:r>
              <w:rPr>
                <w:rFonts w:ascii="sans-serif" w:eastAsia="sans-serif" w:hAnsi="sans-serif" w:cs="sans-serif"/>
                <w:color w:val="000000"/>
                <w:sz w:val="15"/>
                <w:szCs w:val="15"/>
              </w:rPr>
              <w:t>612 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08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84"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085"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086" w14:textId="77777777" w:rsidR="00F20ABF" w:rsidRDefault="00CA4D2F">
            <w:pPr>
              <w:jc w:val="right"/>
              <w:textAlignment w:val="bottom"/>
            </w:pPr>
            <w:r>
              <w:rPr>
                <w:rFonts w:ascii="sans-serif" w:eastAsia="sans-serif" w:hAnsi="sans-serif" w:cs="sans-serif"/>
                <w:color w:val="000000"/>
                <w:sz w:val="15"/>
                <w:szCs w:val="15"/>
              </w:rPr>
              <w:t>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08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88"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089"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08A" w14:textId="77777777" w:rsidR="00F20ABF" w:rsidRDefault="00CA4D2F">
            <w:pPr>
              <w:jc w:val="right"/>
              <w:textAlignment w:val="bottom"/>
            </w:pPr>
            <w:r>
              <w:rPr>
                <w:rFonts w:ascii="sans-serif" w:eastAsia="sans-serif" w:hAnsi="sans-serif" w:cs="sans-serif"/>
                <w:color w:val="000000"/>
                <w:sz w:val="15"/>
                <w:szCs w:val="15"/>
              </w:rPr>
              <w:t>6,824 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08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8C"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08D"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08E" w14:textId="77777777" w:rsidR="00F20ABF" w:rsidRDefault="00CA4D2F">
            <w:pPr>
              <w:jc w:val="right"/>
              <w:textAlignment w:val="bottom"/>
            </w:pPr>
            <w:r>
              <w:rPr>
                <w:rFonts w:ascii="sans-serif" w:eastAsia="sans-serif" w:hAnsi="sans-serif" w:cs="sans-serif"/>
                <w:color w:val="000000"/>
                <w:sz w:val="15"/>
                <w:szCs w:val="15"/>
              </w:rPr>
              <w:t>(9,726)</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08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90"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091"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092" w14:textId="77777777" w:rsidR="00F20ABF" w:rsidRDefault="00CA4D2F">
            <w:pPr>
              <w:jc w:val="right"/>
              <w:textAlignment w:val="bottom"/>
            </w:pPr>
            <w:r>
              <w:rPr>
                <w:rFonts w:ascii="sans-serif" w:eastAsia="sans-serif" w:hAnsi="sans-serif" w:cs="sans-serif"/>
                <w:color w:val="000000"/>
                <w:sz w:val="15"/>
                <w:szCs w:val="15"/>
              </w:rPr>
              <w:t>(3)</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09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94"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095"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096" w14:textId="77777777" w:rsidR="00F20ABF" w:rsidRDefault="00CA4D2F">
            <w:pPr>
              <w:jc w:val="right"/>
              <w:textAlignment w:val="bottom"/>
            </w:pPr>
            <w:r>
              <w:rPr>
                <w:rFonts w:ascii="sans-serif" w:eastAsia="sans-serif" w:hAnsi="sans-serif" w:cs="sans-serif"/>
                <w:color w:val="000000"/>
                <w:sz w:val="15"/>
                <w:szCs w:val="15"/>
              </w:rPr>
              <w:t>14,118 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09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98"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099" w14:textId="77777777" w:rsidR="00F20ABF" w:rsidRDefault="00CA4D2F">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09A" w14:textId="77777777" w:rsidR="00F20ABF" w:rsidRDefault="00CA4D2F">
            <w:pPr>
              <w:jc w:val="right"/>
              <w:textAlignment w:val="bottom"/>
            </w:pPr>
            <w:r>
              <w:rPr>
                <w:rFonts w:ascii="sans-serif" w:eastAsia="sans-serif" w:hAnsi="sans-serif" w:cs="sans-serif"/>
                <w:color w:val="000000"/>
                <w:sz w:val="15"/>
                <w:szCs w:val="15"/>
              </w:rPr>
              <w:t>11,214 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09B" w14:textId="77777777" w:rsidR="00F20ABF" w:rsidRDefault="00F20ABF">
            <w:pPr>
              <w:jc w:val="right"/>
              <w:rPr>
                <w:rFonts w:ascii="宋体"/>
              </w:rPr>
            </w:pPr>
          </w:p>
        </w:tc>
      </w:tr>
    </w:tbl>
    <w:p w14:paraId="1E80409D" w14:textId="77777777" w:rsidR="00F20ABF" w:rsidRDefault="00CA4D2F">
      <w:pPr>
        <w:spacing w:after="180"/>
        <w:jc w:val="center"/>
      </w:pPr>
      <w:r>
        <w:rPr>
          <w:rFonts w:ascii="sans-serif" w:eastAsia="sans-serif" w:hAnsi="sans-serif" w:cs="sans-serif"/>
          <w:color w:val="000000"/>
          <w:sz w:val="20"/>
          <w:szCs w:val="20"/>
        </w:rPr>
        <w:t>See accompanying Notes to Condensed Consolidated Financial Statements.</w:t>
      </w:r>
    </w:p>
    <w:p w14:paraId="1E80409E" w14:textId="77777777" w:rsidR="00F20ABF" w:rsidRDefault="00CA4D2F">
      <w:pPr>
        <w:spacing w:after="180"/>
        <w:jc w:val="center"/>
      </w:pPr>
      <w:r>
        <w:rPr>
          <w:rFonts w:ascii="sans-serif" w:eastAsia="sans-serif" w:hAnsi="sans-serif" w:cs="sans-serif"/>
          <w:color w:val="000000"/>
          <w:sz w:val="20"/>
          <w:szCs w:val="20"/>
        </w:rPr>
        <w:t>7</w:t>
      </w:r>
    </w:p>
    <w:p w14:paraId="1E80409F" w14:textId="77777777" w:rsidR="00F20ABF" w:rsidRDefault="00CA4D2F">
      <w:r>
        <w:pict w14:anchorId="1E805582">
          <v:rect id="_x0000_i1031" style="width:415.3pt;height:1.5pt" o:hralign="center" o:hrstd="t" o:hr="t" fillcolor="#a0a0a0" stroked="f"/>
        </w:pict>
      </w:r>
    </w:p>
    <w:p w14:paraId="1E8040A0" w14:textId="77777777" w:rsidR="00F20ABF" w:rsidRDefault="00F20ABF">
      <w:pPr>
        <w:spacing w:after="180"/>
        <w:jc w:val="both"/>
      </w:pPr>
    </w:p>
    <w:p w14:paraId="1E8040A1" w14:textId="77777777" w:rsidR="00F20ABF" w:rsidRDefault="00CA4D2F">
      <w:pPr>
        <w:jc w:val="center"/>
      </w:pPr>
      <w:r>
        <w:rPr>
          <w:rFonts w:ascii="sans-serif" w:eastAsia="sans-serif" w:hAnsi="sans-serif" w:cs="sans-serif"/>
          <w:b/>
          <w:bCs/>
          <w:color w:val="000000"/>
          <w:sz w:val="20"/>
          <w:szCs w:val="20"/>
        </w:rPr>
        <w:t xml:space="preserve">NVIDIA </w:t>
      </w:r>
      <w:r>
        <w:rPr>
          <w:rFonts w:ascii="sans-serif" w:eastAsia="sans-serif" w:hAnsi="sans-serif" w:cs="sans-serif"/>
          <w:b/>
          <w:bCs/>
          <w:color w:val="000000"/>
          <w:sz w:val="20"/>
          <w:szCs w:val="20"/>
        </w:rPr>
        <w:t>CORPORATION AND SUBSIDIARIES</w:t>
      </w:r>
    </w:p>
    <w:p w14:paraId="1E8040A2" w14:textId="77777777" w:rsidR="00F20ABF" w:rsidRDefault="00CA4D2F">
      <w:pPr>
        <w:jc w:val="center"/>
      </w:pPr>
      <w:r>
        <w:rPr>
          <w:rFonts w:ascii="sans-serif" w:eastAsia="sans-serif" w:hAnsi="sans-serif" w:cs="sans-serif"/>
          <w:b/>
          <w:bCs/>
          <w:color w:val="000000"/>
          <w:sz w:val="20"/>
          <w:szCs w:val="20"/>
        </w:rPr>
        <w:t>CONDENSED CONSOLIDATED STATEMENTS OF CASH FLOWS</w:t>
      </w:r>
    </w:p>
    <w:p w14:paraId="1E8040A3" w14:textId="77777777" w:rsidR="00F20ABF" w:rsidRDefault="00CA4D2F">
      <w:pPr>
        <w:jc w:val="center"/>
      </w:pPr>
      <w:r>
        <w:rPr>
          <w:rFonts w:ascii="sans-serif" w:eastAsia="sans-serif" w:hAnsi="sans-serif" w:cs="sans-serif"/>
          <w:b/>
          <w:bCs/>
          <w:color w:val="000000"/>
          <w:sz w:val="20"/>
          <w:szCs w:val="20"/>
        </w:rPr>
        <w:t>(In millions)</w:t>
      </w:r>
    </w:p>
    <w:p w14:paraId="1E8040A4" w14:textId="77777777" w:rsidR="00F20ABF" w:rsidRDefault="00CA4D2F">
      <w:pPr>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975"/>
        <w:gridCol w:w="38"/>
        <w:gridCol w:w="113"/>
        <w:gridCol w:w="927"/>
        <w:gridCol w:w="37"/>
        <w:gridCol w:w="36"/>
        <w:gridCol w:w="52"/>
        <w:gridCol w:w="36"/>
        <w:gridCol w:w="113"/>
        <w:gridCol w:w="929"/>
        <w:gridCol w:w="37"/>
      </w:tblGrid>
      <w:tr w:rsidR="00F20ABF" w14:paraId="1E8040B1" w14:textId="77777777">
        <w:trPr>
          <w:jc w:val="center"/>
        </w:trPr>
        <w:tc>
          <w:tcPr>
            <w:tcW w:w="50" w:type="pct"/>
            <w:shd w:val="clear" w:color="auto" w:fill="auto"/>
          </w:tcPr>
          <w:p w14:paraId="1E8040A5" w14:textId="77777777" w:rsidR="00F20ABF" w:rsidRDefault="00F20ABF">
            <w:pPr>
              <w:rPr>
                <w:rFonts w:ascii="宋体"/>
              </w:rPr>
            </w:pPr>
          </w:p>
        </w:tc>
        <w:tc>
          <w:tcPr>
            <w:tcW w:w="3607" w:type="pct"/>
            <w:shd w:val="clear" w:color="auto" w:fill="auto"/>
          </w:tcPr>
          <w:p w14:paraId="1E8040A6" w14:textId="77777777" w:rsidR="00F20ABF" w:rsidRDefault="00F20ABF">
            <w:pPr>
              <w:rPr>
                <w:rFonts w:ascii="宋体"/>
              </w:rPr>
            </w:pPr>
          </w:p>
        </w:tc>
        <w:tc>
          <w:tcPr>
            <w:tcW w:w="5" w:type="pct"/>
            <w:shd w:val="clear" w:color="auto" w:fill="auto"/>
          </w:tcPr>
          <w:p w14:paraId="1E8040A7" w14:textId="77777777" w:rsidR="00F20ABF" w:rsidRDefault="00F20ABF">
            <w:pPr>
              <w:rPr>
                <w:rFonts w:ascii="宋体"/>
              </w:rPr>
            </w:pPr>
          </w:p>
        </w:tc>
        <w:tc>
          <w:tcPr>
            <w:tcW w:w="50" w:type="pct"/>
            <w:shd w:val="clear" w:color="auto" w:fill="auto"/>
          </w:tcPr>
          <w:p w14:paraId="1E8040A8" w14:textId="77777777" w:rsidR="00F20ABF" w:rsidRDefault="00F20ABF">
            <w:pPr>
              <w:rPr>
                <w:rFonts w:ascii="宋体"/>
              </w:rPr>
            </w:pPr>
          </w:p>
        </w:tc>
        <w:tc>
          <w:tcPr>
            <w:tcW w:w="580" w:type="pct"/>
            <w:shd w:val="clear" w:color="auto" w:fill="auto"/>
          </w:tcPr>
          <w:p w14:paraId="1E8040A9" w14:textId="77777777" w:rsidR="00F20ABF" w:rsidRDefault="00F20ABF">
            <w:pPr>
              <w:rPr>
                <w:rFonts w:ascii="宋体"/>
              </w:rPr>
            </w:pPr>
          </w:p>
        </w:tc>
        <w:tc>
          <w:tcPr>
            <w:tcW w:w="5" w:type="pct"/>
            <w:shd w:val="clear" w:color="auto" w:fill="auto"/>
          </w:tcPr>
          <w:p w14:paraId="1E8040AA" w14:textId="77777777" w:rsidR="00F20ABF" w:rsidRDefault="00F20ABF">
            <w:pPr>
              <w:rPr>
                <w:rFonts w:ascii="宋体"/>
              </w:rPr>
            </w:pPr>
          </w:p>
        </w:tc>
        <w:tc>
          <w:tcPr>
            <w:tcW w:w="5" w:type="pct"/>
            <w:shd w:val="clear" w:color="auto" w:fill="auto"/>
          </w:tcPr>
          <w:p w14:paraId="1E8040AB" w14:textId="77777777" w:rsidR="00F20ABF" w:rsidRDefault="00F20ABF">
            <w:pPr>
              <w:rPr>
                <w:rFonts w:ascii="宋体"/>
              </w:rPr>
            </w:pPr>
          </w:p>
        </w:tc>
        <w:tc>
          <w:tcPr>
            <w:tcW w:w="55" w:type="pct"/>
            <w:shd w:val="clear" w:color="auto" w:fill="auto"/>
          </w:tcPr>
          <w:p w14:paraId="1E8040AC" w14:textId="77777777" w:rsidR="00F20ABF" w:rsidRDefault="00F20ABF">
            <w:pPr>
              <w:rPr>
                <w:rFonts w:ascii="宋体"/>
              </w:rPr>
            </w:pPr>
          </w:p>
        </w:tc>
        <w:tc>
          <w:tcPr>
            <w:tcW w:w="5" w:type="pct"/>
            <w:shd w:val="clear" w:color="auto" w:fill="auto"/>
          </w:tcPr>
          <w:p w14:paraId="1E8040AD" w14:textId="77777777" w:rsidR="00F20ABF" w:rsidRDefault="00F20ABF">
            <w:pPr>
              <w:rPr>
                <w:rFonts w:ascii="宋体"/>
              </w:rPr>
            </w:pPr>
          </w:p>
        </w:tc>
        <w:tc>
          <w:tcPr>
            <w:tcW w:w="50" w:type="pct"/>
            <w:shd w:val="clear" w:color="auto" w:fill="auto"/>
          </w:tcPr>
          <w:p w14:paraId="1E8040AE" w14:textId="77777777" w:rsidR="00F20ABF" w:rsidRDefault="00F20ABF">
            <w:pPr>
              <w:rPr>
                <w:rFonts w:ascii="宋体"/>
              </w:rPr>
            </w:pPr>
          </w:p>
        </w:tc>
        <w:tc>
          <w:tcPr>
            <w:tcW w:w="581" w:type="pct"/>
            <w:shd w:val="clear" w:color="auto" w:fill="auto"/>
          </w:tcPr>
          <w:p w14:paraId="1E8040AF" w14:textId="77777777" w:rsidR="00F20ABF" w:rsidRDefault="00F20ABF">
            <w:pPr>
              <w:rPr>
                <w:rFonts w:ascii="宋体"/>
              </w:rPr>
            </w:pPr>
          </w:p>
        </w:tc>
        <w:tc>
          <w:tcPr>
            <w:tcW w:w="5" w:type="pct"/>
            <w:shd w:val="clear" w:color="auto" w:fill="auto"/>
          </w:tcPr>
          <w:p w14:paraId="1E8040B0" w14:textId="77777777" w:rsidR="00F20ABF" w:rsidRDefault="00F20ABF">
            <w:pPr>
              <w:rPr>
                <w:rFonts w:ascii="宋体"/>
              </w:rPr>
            </w:pPr>
          </w:p>
        </w:tc>
      </w:tr>
      <w:tr w:rsidR="00F20ABF" w14:paraId="1E8040B4" w14:textId="77777777">
        <w:trPr>
          <w:jc w:val="center"/>
        </w:trPr>
        <w:tc>
          <w:tcPr>
            <w:tcW w:w="0" w:type="auto"/>
            <w:gridSpan w:val="3"/>
            <w:shd w:val="clear" w:color="auto" w:fill="auto"/>
            <w:tcMar>
              <w:top w:w="40" w:type="dxa"/>
              <w:left w:w="20" w:type="dxa"/>
              <w:bottom w:w="40" w:type="dxa"/>
              <w:right w:w="20" w:type="dxa"/>
            </w:tcMar>
            <w:vAlign w:val="bottom"/>
          </w:tcPr>
          <w:p w14:paraId="1E8040B2" w14:textId="77777777" w:rsidR="00F20ABF" w:rsidRDefault="00CA4D2F">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1E8040B3" w14:textId="77777777" w:rsidR="00F20ABF" w:rsidRDefault="00CA4D2F">
            <w:pPr>
              <w:jc w:val="center"/>
              <w:textAlignment w:val="bottom"/>
            </w:pPr>
            <w:r>
              <w:rPr>
                <w:rFonts w:ascii="sans-serif" w:eastAsia="sans-serif" w:hAnsi="sans-serif" w:cs="sans-serif"/>
                <w:b/>
                <w:bCs/>
                <w:color w:val="000000"/>
                <w:sz w:val="18"/>
                <w:szCs w:val="18"/>
              </w:rPr>
              <w:t>Nine Months Ended</w:t>
            </w:r>
          </w:p>
        </w:tc>
      </w:tr>
      <w:tr w:rsidR="00F20ABF" w14:paraId="1E8040B9" w14:textId="77777777">
        <w:trPr>
          <w:jc w:val="center"/>
        </w:trPr>
        <w:tc>
          <w:tcPr>
            <w:tcW w:w="0" w:type="auto"/>
            <w:gridSpan w:val="3"/>
            <w:shd w:val="clear" w:color="auto" w:fill="auto"/>
            <w:tcMar>
              <w:top w:w="0" w:type="dxa"/>
              <w:left w:w="20" w:type="dxa"/>
              <w:bottom w:w="0" w:type="dxa"/>
              <w:right w:w="20" w:type="dxa"/>
            </w:tcMar>
          </w:tcPr>
          <w:p w14:paraId="1E8040B5"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0B6" w14:textId="77777777" w:rsidR="00F20ABF" w:rsidRDefault="00CA4D2F">
            <w:pPr>
              <w:jc w:val="center"/>
              <w:textAlignment w:val="bottom"/>
            </w:pPr>
            <w:r>
              <w:rPr>
                <w:rFonts w:ascii="sans-serif" w:eastAsia="sans-serif" w:hAnsi="sans-serif" w:cs="sans-serif"/>
                <w:b/>
                <w:bCs/>
                <w:color w:val="000000"/>
                <w:sz w:val="18"/>
                <w:szCs w:val="18"/>
              </w:rPr>
              <w:t>October 25,</w:t>
            </w:r>
          </w:p>
        </w:tc>
        <w:tc>
          <w:tcPr>
            <w:tcW w:w="0" w:type="auto"/>
            <w:gridSpan w:val="3"/>
            <w:tcBorders>
              <w:top w:val="single" w:sz="8" w:space="0" w:color="000000"/>
            </w:tcBorders>
            <w:shd w:val="clear" w:color="auto" w:fill="auto"/>
            <w:tcMar>
              <w:top w:w="0" w:type="dxa"/>
              <w:left w:w="20" w:type="dxa"/>
              <w:bottom w:w="0" w:type="dxa"/>
              <w:right w:w="20" w:type="dxa"/>
            </w:tcMar>
          </w:tcPr>
          <w:p w14:paraId="1E8040B7"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0B8" w14:textId="77777777" w:rsidR="00F20ABF" w:rsidRDefault="00CA4D2F">
            <w:pPr>
              <w:jc w:val="center"/>
              <w:textAlignment w:val="bottom"/>
            </w:pPr>
            <w:r>
              <w:rPr>
                <w:rFonts w:ascii="sans-serif" w:eastAsia="sans-serif" w:hAnsi="sans-serif" w:cs="sans-serif"/>
                <w:b/>
                <w:bCs/>
                <w:color w:val="000000"/>
                <w:sz w:val="18"/>
                <w:szCs w:val="18"/>
              </w:rPr>
              <w:t>October 27,</w:t>
            </w:r>
          </w:p>
        </w:tc>
      </w:tr>
      <w:tr w:rsidR="00F20ABF" w14:paraId="1E8040BE" w14:textId="77777777">
        <w:trPr>
          <w:jc w:val="center"/>
        </w:trPr>
        <w:tc>
          <w:tcPr>
            <w:tcW w:w="0" w:type="auto"/>
            <w:gridSpan w:val="3"/>
            <w:shd w:val="clear" w:color="auto" w:fill="auto"/>
            <w:tcMar>
              <w:top w:w="40" w:type="dxa"/>
              <w:left w:w="20" w:type="dxa"/>
              <w:bottom w:w="40" w:type="dxa"/>
              <w:right w:w="20" w:type="dxa"/>
            </w:tcMar>
            <w:vAlign w:val="bottom"/>
          </w:tcPr>
          <w:p w14:paraId="1E8040BA" w14:textId="77777777" w:rsidR="00F20ABF" w:rsidRDefault="00CA4D2F">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1E8040BB" w14:textId="77777777" w:rsidR="00F20ABF" w:rsidRDefault="00CA4D2F">
            <w:pPr>
              <w:jc w:val="center"/>
              <w:textAlignment w:val="bottom"/>
            </w:pPr>
            <w:r>
              <w:rPr>
                <w:rFonts w:ascii="sans-serif" w:eastAsia="sans-serif" w:hAnsi="sans-serif" w:cs="sans-serif"/>
                <w:b/>
                <w:bCs/>
                <w:color w:val="000000"/>
                <w:sz w:val="18"/>
                <w:szCs w:val="18"/>
              </w:rPr>
              <w:t>2020</w:t>
            </w:r>
          </w:p>
        </w:tc>
        <w:tc>
          <w:tcPr>
            <w:tcW w:w="0" w:type="auto"/>
            <w:gridSpan w:val="3"/>
            <w:shd w:val="clear" w:color="auto" w:fill="auto"/>
            <w:tcMar>
              <w:top w:w="0" w:type="dxa"/>
              <w:left w:w="20" w:type="dxa"/>
              <w:bottom w:w="0" w:type="dxa"/>
              <w:right w:w="20" w:type="dxa"/>
            </w:tcMar>
          </w:tcPr>
          <w:p w14:paraId="1E8040BC"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0BD" w14:textId="77777777" w:rsidR="00F20ABF" w:rsidRDefault="00CA4D2F">
            <w:pPr>
              <w:jc w:val="center"/>
              <w:textAlignment w:val="bottom"/>
            </w:pPr>
            <w:r>
              <w:rPr>
                <w:rFonts w:ascii="sans-serif" w:eastAsia="sans-serif" w:hAnsi="sans-serif" w:cs="sans-serif"/>
                <w:b/>
                <w:bCs/>
                <w:color w:val="000000"/>
                <w:sz w:val="18"/>
                <w:szCs w:val="18"/>
              </w:rPr>
              <w:t>2019</w:t>
            </w:r>
          </w:p>
        </w:tc>
      </w:tr>
      <w:tr w:rsidR="00F20ABF" w14:paraId="1E8040C3" w14:textId="77777777">
        <w:trPr>
          <w:jc w:val="center"/>
        </w:trPr>
        <w:tc>
          <w:tcPr>
            <w:tcW w:w="0" w:type="auto"/>
            <w:gridSpan w:val="3"/>
            <w:shd w:val="clear" w:color="auto" w:fill="E2EFD9"/>
            <w:tcMar>
              <w:top w:w="40" w:type="dxa"/>
              <w:left w:w="20" w:type="dxa"/>
              <w:bottom w:w="40" w:type="dxa"/>
              <w:right w:w="20" w:type="dxa"/>
            </w:tcMar>
            <w:vAlign w:val="bottom"/>
          </w:tcPr>
          <w:p w14:paraId="1E8040BF" w14:textId="77777777" w:rsidR="00F20ABF" w:rsidRDefault="00CA4D2F">
            <w:pPr>
              <w:textAlignment w:val="bottom"/>
            </w:pPr>
            <w:r>
              <w:rPr>
                <w:rFonts w:ascii="sans-serif" w:eastAsia="sans-serif" w:hAnsi="sans-serif" w:cs="sans-serif"/>
                <w:color w:val="000000"/>
                <w:sz w:val="18"/>
                <w:szCs w:val="18"/>
              </w:rPr>
              <w:t>Cash flows from operating activities: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1E8040C0" w14:textId="77777777" w:rsidR="00F20ABF" w:rsidRDefault="00CA4D2F">
            <w:pPr>
              <w:textAlignment w:val="bottom"/>
            </w:pPr>
            <w:r>
              <w:rPr>
                <w:rFonts w:ascii="sans-serif" w:eastAsia="sans-serif" w:hAnsi="sans-serif" w:cs="sans-serif"/>
                <w:color w:val="000000"/>
                <w:sz w:val="18"/>
                <w:szCs w:val="18"/>
              </w:rPr>
              <w:t> </w:t>
            </w:r>
          </w:p>
        </w:tc>
        <w:tc>
          <w:tcPr>
            <w:tcW w:w="0" w:type="auto"/>
            <w:gridSpan w:val="3"/>
            <w:shd w:val="clear" w:color="auto" w:fill="E2EFD9"/>
            <w:tcMar>
              <w:top w:w="0" w:type="dxa"/>
              <w:left w:w="20" w:type="dxa"/>
              <w:bottom w:w="0" w:type="dxa"/>
              <w:right w:w="20" w:type="dxa"/>
            </w:tcMar>
          </w:tcPr>
          <w:p w14:paraId="1E8040C1" w14:textId="77777777" w:rsidR="00F20ABF" w:rsidRDefault="00F20ABF">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1E8040C2" w14:textId="77777777" w:rsidR="00F20ABF" w:rsidRDefault="00CA4D2F">
            <w:pPr>
              <w:textAlignment w:val="bottom"/>
            </w:pPr>
            <w:r>
              <w:rPr>
                <w:rFonts w:ascii="sans-serif" w:eastAsia="sans-serif" w:hAnsi="sans-serif" w:cs="sans-serif"/>
                <w:color w:val="000000"/>
                <w:sz w:val="18"/>
                <w:szCs w:val="18"/>
              </w:rPr>
              <w:t> </w:t>
            </w:r>
          </w:p>
        </w:tc>
      </w:tr>
      <w:tr w:rsidR="00F20ABF" w14:paraId="1E8040CC" w14:textId="77777777">
        <w:trPr>
          <w:jc w:val="center"/>
        </w:trPr>
        <w:tc>
          <w:tcPr>
            <w:tcW w:w="0" w:type="auto"/>
            <w:gridSpan w:val="3"/>
            <w:shd w:val="clear" w:color="auto" w:fill="FFFFFF"/>
            <w:tcMar>
              <w:top w:w="40" w:type="dxa"/>
              <w:left w:w="20" w:type="dxa"/>
              <w:bottom w:w="40" w:type="dxa"/>
              <w:right w:w="20" w:type="dxa"/>
            </w:tcMar>
            <w:vAlign w:val="bottom"/>
          </w:tcPr>
          <w:p w14:paraId="1E8040C4" w14:textId="77777777" w:rsidR="00F20ABF" w:rsidRDefault="00CA4D2F">
            <w:pPr>
              <w:textAlignment w:val="bottom"/>
            </w:pPr>
            <w:r>
              <w:rPr>
                <w:rFonts w:ascii="sans-serif" w:eastAsia="sans-serif" w:hAnsi="sans-serif" w:cs="sans-serif"/>
                <w:color w:val="000000"/>
                <w:sz w:val="18"/>
                <w:szCs w:val="18"/>
              </w:rPr>
              <w:t>Net income</w:t>
            </w:r>
          </w:p>
        </w:tc>
        <w:tc>
          <w:tcPr>
            <w:tcW w:w="0" w:type="auto"/>
            <w:shd w:val="clear" w:color="auto" w:fill="FFFFFF"/>
            <w:tcMar>
              <w:top w:w="40" w:type="dxa"/>
              <w:left w:w="20" w:type="dxa"/>
              <w:bottom w:w="40" w:type="dxa"/>
              <w:right w:w="0" w:type="dxa"/>
            </w:tcMar>
            <w:vAlign w:val="bottom"/>
          </w:tcPr>
          <w:p w14:paraId="1E8040C5" w14:textId="77777777" w:rsidR="00F20ABF" w:rsidRDefault="00CA4D2F">
            <w:pPr>
              <w:textAlignment w:val="bottom"/>
            </w:pPr>
            <w:r>
              <w:rPr>
                <w:rFonts w:ascii="sans-serif" w:eastAsia="sans-serif" w:hAnsi="sans-serif" w:cs="sans-serif"/>
                <w:color w:val="000000"/>
                <w:sz w:val="18"/>
                <w:szCs w:val="18"/>
              </w:rPr>
              <w:t>$</w:t>
            </w:r>
          </w:p>
        </w:tc>
        <w:tc>
          <w:tcPr>
            <w:tcW w:w="0" w:type="auto"/>
            <w:shd w:val="clear" w:color="auto" w:fill="FFFFFF"/>
            <w:tcMar>
              <w:top w:w="40" w:type="dxa"/>
              <w:left w:w="0" w:type="dxa"/>
              <w:bottom w:w="40" w:type="dxa"/>
              <w:right w:w="0" w:type="dxa"/>
            </w:tcMar>
            <w:vAlign w:val="bottom"/>
          </w:tcPr>
          <w:p w14:paraId="1E8040C6" w14:textId="77777777" w:rsidR="00F20ABF" w:rsidRDefault="00CA4D2F">
            <w:pPr>
              <w:jc w:val="right"/>
              <w:textAlignment w:val="bottom"/>
            </w:pPr>
            <w:r>
              <w:rPr>
                <w:rFonts w:ascii="sans-serif" w:eastAsia="sans-serif" w:hAnsi="sans-serif" w:cs="sans-serif"/>
                <w:color w:val="000000"/>
                <w:sz w:val="18"/>
                <w:szCs w:val="18"/>
              </w:rPr>
              <w:t>2,875 </w:t>
            </w:r>
          </w:p>
        </w:tc>
        <w:tc>
          <w:tcPr>
            <w:tcW w:w="0" w:type="auto"/>
            <w:shd w:val="clear" w:color="auto" w:fill="FFFFFF"/>
            <w:tcMar>
              <w:top w:w="40" w:type="dxa"/>
              <w:left w:w="0" w:type="dxa"/>
              <w:bottom w:w="40" w:type="dxa"/>
              <w:right w:w="20" w:type="dxa"/>
            </w:tcMar>
            <w:vAlign w:val="bottom"/>
          </w:tcPr>
          <w:p w14:paraId="1E8040C7"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C8"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0C9" w14:textId="77777777" w:rsidR="00F20ABF" w:rsidRDefault="00CA4D2F">
            <w:pPr>
              <w:textAlignment w:val="bottom"/>
            </w:pPr>
            <w:r>
              <w:rPr>
                <w:rFonts w:ascii="sans-serif" w:eastAsia="sans-serif" w:hAnsi="sans-serif" w:cs="sans-serif"/>
                <w:color w:val="000000"/>
                <w:sz w:val="18"/>
                <w:szCs w:val="18"/>
              </w:rPr>
              <w:t>$</w:t>
            </w:r>
          </w:p>
        </w:tc>
        <w:tc>
          <w:tcPr>
            <w:tcW w:w="0" w:type="auto"/>
            <w:shd w:val="clear" w:color="auto" w:fill="FFFFFF"/>
            <w:tcMar>
              <w:top w:w="40" w:type="dxa"/>
              <w:left w:w="0" w:type="dxa"/>
              <w:bottom w:w="40" w:type="dxa"/>
              <w:right w:w="0" w:type="dxa"/>
            </w:tcMar>
            <w:vAlign w:val="bottom"/>
          </w:tcPr>
          <w:p w14:paraId="1E8040CA" w14:textId="77777777" w:rsidR="00F20ABF" w:rsidRDefault="00CA4D2F">
            <w:pPr>
              <w:jc w:val="right"/>
              <w:textAlignment w:val="bottom"/>
            </w:pPr>
            <w:r>
              <w:rPr>
                <w:rFonts w:ascii="sans-serif" w:eastAsia="sans-serif" w:hAnsi="sans-serif" w:cs="sans-serif"/>
                <w:color w:val="000000"/>
                <w:sz w:val="18"/>
                <w:szCs w:val="18"/>
              </w:rPr>
              <w:t>1,845 </w:t>
            </w:r>
          </w:p>
        </w:tc>
        <w:tc>
          <w:tcPr>
            <w:tcW w:w="0" w:type="auto"/>
            <w:shd w:val="clear" w:color="auto" w:fill="FFFFFF"/>
            <w:tcMar>
              <w:top w:w="40" w:type="dxa"/>
              <w:left w:w="0" w:type="dxa"/>
              <w:bottom w:w="40" w:type="dxa"/>
              <w:right w:w="20" w:type="dxa"/>
            </w:tcMar>
            <w:vAlign w:val="bottom"/>
          </w:tcPr>
          <w:p w14:paraId="1E8040CB" w14:textId="77777777" w:rsidR="00F20ABF" w:rsidRDefault="00F20ABF">
            <w:pPr>
              <w:jc w:val="right"/>
              <w:rPr>
                <w:rFonts w:ascii="宋体"/>
              </w:rPr>
            </w:pPr>
          </w:p>
        </w:tc>
      </w:tr>
      <w:tr w:rsidR="00F20ABF" w14:paraId="1E8040D1" w14:textId="77777777">
        <w:trPr>
          <w:jc w:val="center"/>
        </w:trPr>
        <w:tc>
          <w:tcPr>
            <w:tcW w:w="0" w:type="auto"/>
            <w:gridSpan w:val="3"/>
            <w:shd w:val="clear" w:color="auto" w:fill="E2EFD9"/>
            <w:tcMar>
              <w:top w:w="40" w:type="dxa"/>
              <w:left w:w="20" w:type="dxa"/>
              <w:bottom w:w="40" w:type="dxa"/>
              <w:right w:w="20" w:type="dxa"/>
            </w:tcMar>
            <w:vAlign w:val="bottom"/>
          </w:tcPr>
          <w:p w14:paraId="1E8040CD" w14:textId="77777777" w:rsidR="00F20ABF" w:rsidRDefault="00CA4D2F">
            <w:pPr>
              <w:textAlignment w:val="bottom"/>
            </w:pPr>
            <w:r>
              <w:rPr>
                <w:rFonts w:ascii="sans-serif" w:eastAsia="sans-serif" w:hAnsi="sans-serif" w:cs="sans-serif"/>
                <w:color w:val="000000"/>
                <w:sz w:val="18"/>
                <w:szCs w:val="18"/>
              </w:rPr>
              <w:t>Adjustments to reconcile net income to net cash provided by operating activities:</w:t>
            </w:r>
          </w:p>
        </w:tc>
        <w:tc>
          <w:tcPr>
            <w:tcW w:w="0" w:type="auto"/>
            <w:gridSpan w:val="3"/>
            <w:shd w:val="clear" w:color="auto" w:fill="E2EFD9"/>
            <w:tcMar>
              <w:top w:w="0" w:type="dxa"/>
              <w:left w:w="20" w:type="dxa"/>
              <w:bottom w:w="0" w:type="dxa"/>
              <w:right w:w="20" w:type="dxa"/>
            </w:tcMar>
          </w:tcPr>
          <w:p w14:paraId="1E8040CE"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0CF"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0D0" w14:textId="77777777" w:rsidR="00F20ABF" w:rsidRDefault="00F20ABF">
            <w:pPr>
              <w:rPr>
                <w:rFonts w:ascii="宋体"/>
              </w:rPr>
            </w:pPr>
          </w:p>
        </w:tc>
      </w:tr>
      <w:tr w:rsidR="00F20ABF" w14:paraId="1E8040D8" w14:textId="77777777">
        <w:trPr>
          <w:jc w:val="center"/>
        </w:trPr>
        <w:tc>
          <w:tcPr>
            <w:tcW w:w="0" w:type="auto"/>
            <w:gridSpan w:val="3"/>
            <w:shd w:val="clear" w:color="auto" w:fill="FFFFFF"/>
            <w:tcMar>
              <w:top w:w="40" w:type="dxa"/>
              <w:left w:w="155" w:type="dxa"/>
              <w:bottom w:w="40" w:type="dxa"/>
              <w:right w:w="20" w:type="dxa"/>
            </w:tcMar>
            <w:vAlign w:val="bottom"/>
          </w:tcPr>
          <w:p w14:paraId="1E8040D2" w14:textId="77777777" w:rsidR="00F20ABF" w:rsidRDefault="00CA4D2F">
            <w:pPr>
              <w:textAlignment w:val="bottom"/>
            </w:pPr>
            <w:r>
              <w:rPr>
                <w:rFonts w:ascii="sans-serif" w:eastAsia="sans-serif" w:hAnsi="sans-serif" w:cs="sans-serif"/>
                <w:color w:val="000000"/>
                <w:sz w:val="18"/>
                <w:szCs w:val="18"/>
              </w:rPr>
              <w:t>Stock-based compensation expense</w:t>
            </w:r>
          </w:p>
        </w:tc>
        <w:tc>
          <w:tcPr>
            <w:tcW w:w="0" w:type="auto"/>
            <w:gridSpan w:val="2"/>
            <w:shd w:val="clear" w:color="auto" w:fill="FFFFFF"/>
            <w:tcMar>
              <w:top w:w="40" w:type="dxa"/>
              <w:left w:w="20" w:type="dxa"/>
              <w:bottom w:w="40" w:type="dxa"/>
              <w:right w:w="0" w:type="dxa"/>
            </w:tcMar>
            <w:vAlign w:val="bottom"/>
          </w:tcPr>
          <w:p w14:paraId="1E8040D3" w14:textId="77777777" w:rsidR="00F20ABF" w:rsidRDefault="00CA4D2F">
            <w:pPr>
              <w:jc w:val="right"/>
              <w:textAlignment w:val="bottom"/>
            </w:pPr>
            <w:r>
              <w:rPr>
                <w:rFonts w:ascii="sans-serif" w:eastAsia="sans-serif" w:hAnsi="sans-serif" w:cs="sans-serif"/>
                <w:color w:val="000000"/>
                <w:sz w:val="18"/>
                <w:szCs w:val="18"/>
              </w:rPr>
              <w:t>981 </w:t>
            </w:r>
          </w:p>
        </w:tc>
        <w:tc>
          <w:tcPr>
            <w:tcW w:w="0" w:type="auto"/>
            <w:shd w:val="clear" w:color="auto" w:fill="FFFFFF"/>
            <w:tcMar>
              <w:top w:w="40" w:type="dxa"/>
              <w:left w:w="0" w:type="dxa"/>
              <w:bottom w:w="40" w:type="dxa"/>
              <w:right w:w="20" w:type="dxa"/>
            </w:tcMar>
            <w:vAlign w:val="bottom"/>
          </w:tcPr>
          <w:p w14:paraId="1E8040D4"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D5"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D6" w14:textId="77777777" w:rsidR="00F20ABF" w:rsidRDefault="00CA4D2F">
            <w:pPr>
              <w:jc w:val="right"/>
              <w:textAlignment w:val="bottom"/>
            </w:pPr>
            <w:r>
              <w:rPr>
                <w:rFonts w:ascii="sans-serif" w:eastAsia="sans-serif" w:hAnsi="sans-serif" w:cs="sans-serif"/>
                <w:color w:val="000000"/>
                <w:sz w:val="18"/>
                <w:szCs w:val="18"/>
              </w:rPr>
              <w:t>624 </w:t>
            </w:r>
          </w:p>
        </w:tc>
        <w:tc>
          <w:tcPr>
            <w:tcW w:w="0" w:type="auto"/>
            <w:shd w:val="clear" w:color="auto" w:fill="FFFFFF"/>
            <w:tcMar>
              <w:top w:w="40" w:type="dxa"/>
              <w:left w:w="0" w:type="dxa"/>
              <w:bottom w:w="40" w:type="dxa"/>
              <w:right w:w="20" w:type="dxa"/>
            </w:tcMar>
            <w:vAlign w:val="bottom"/>
          </w:tcPr>
          <w:p w14:paraId="1E8040D7" w14:textId="77777777" w:rsidR="00F20ABF" w:rsidRDefault="00F20ABF">
            <w:pPr>
              <w:jc w:val="right"/>
              <w:rPr>
                <w:rFonts w:ascii="宋体"/>
              </w:rPr>
            </w:pPr>
          </w:p>
        </w:tc>
      </w:tr>
      <w:tr w:rsidR="00F20ABF" w14:paraId="1E8040DF" w14:textId="77777777">
        <w:trPr>
          <w:jc w:val="center"/>
        </w:trPr>
        <w:tc>
          <w:tcPr>
            <w:tcW w:w="0" w:type="auto"/>
            <w:gridSpan w:val="3"/>
            <w:shd w:val="clear" w:color="auto" w:fill="E2EFD9"/>
            <w:tcMar>
              <w:top w:w="40" w:type="dxa"/>
              <w:left w:w="155" w:type="dxa"/>
              <w:bottom w:w="40" w:type="dxa"/>
              <w:right w:w="20" w:type="dxa"/>
            </w:tcMar>
            <w:vAlign w:val="bottom"/>
          </w:tcPr>
          <w:p w14:paraId="1E8040D9" w14:textId="77777777" w:rsidR="00F20ABF" w:rsidRDefault="00CA4D2F">
            <w:pPr>
              <w:textAlignment w:val="bottom"/>
            </w:pPr>
            <w:r>
              <w:rPr>
                <w:rFonts w:ascii="sans-serif" w:eastAsia="sans-serif" w:hAnsi="sans-serif" w:cs="sans-serif"/>
                <w:color w:val="000000"/>
                <w:sz w:val="18"/>
                <w:szCs w:val="18"/>
              </w:rPr>
              <w:t>Depreciation and amortization</w:t>
            </w:r>
          </w:p>
        </w:tc>
        <w:tc>
          <w:tcPr>
            <w:tcW w:w="0" w:type="auto"/>
            <w:gridSpan w:val="2"/>
            <w:shd w:val="clear" w:color="auto" w:fill="E2EFD9"/>
            <w:tcMar>
              <w:top w:w="40" w:type="dxa"/>
              <w:left w:w="20" w:type="dxa"/>
              <w:bottom w:w="40" w:type="dxa"/>
              <w:right w:w="0" w:type="dxa"/>
            </w:tcMar>
            <w:vAlign w:val="bottom"/>
          </w:tcPr>
          <w:p w14:paraId="1E8040DA" w14:textId="77777777" w:rsidR="00F20ABF" w:rsidRDefault="00CA4D2F">
            <w:pPr>
              <w:jc w:val="right"/>
              <w:textAlignment w:val="bottom"/>
            </w:pPr>
            <w:r>
              <w:rPr>
                <w:rFonts w:ascii="sans-serif" w:eastAsia="sans-serif" w:hAnsi="sans-serif" w:cs="sans-serif"/>
                <w:color w:val="000000"/>
                <w:sz w:val="18"/>
                <w:szCs w:val="18"/>
              </w:rPr>
              <w:t>810 </w:t>
            </w:r>
          </w:p>
        </w:tc>
        <w:tc>
          <w:tcPr>
            <w:tcW w:w="0" w:type="auto"/>
            <w:shd w:val="clear" w:color="auto" w:fill="E2EFD9"/>
            <w:tcMar>
              <w:top w:w="40" w:type="dxa"/>
              <w:left w:w="0" w:type="dxa"/>
              <w:bottom w:w="40" w:type="dxa"/>
              <w:right w:w="20" w:type="dxa"/>
            </w:tcMar>
            <w:vAlign w:val="bottom"/>
          </w:tcPr>
          <w:p w14:paraId="1E8040D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DC"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0DD" w14:textId="77777777" w:rsidR="00F20ABF" w:rsidRDefault="00CA4D2F">
            <w:pPr>
              <w:jc w:val="right"/>
              <w:textAlignment w:val="bottom"/>
            </w:pPr>
            <w:r>
              <w:rPr>
                <w:rFonts w:ascii="sans-serif" w:eastAsia="sans-serif" w:hAnsi="sans-serif" w:cs="sans-serif"/>
                <w:color w:val="000000"/>
                <w:sz w:val="18"/>
                <w:szCs w:val="18"/>
              </w:rPr>
              <w:t>275 </w:t>
            </w:r>
          </w:p>
        </w:tc>
        <w:tc>
          <w:tcPr>
            <w:tcW w:w="0" w:type="auto"/>
            <w:shd w:val="clear" w:color="auto" w:fill="E2EFD9"/>
            <w:tcMar>
              <w:top w:w="40" w:type="dxa"/>
              <w:left w:w="0" w:type="dxa"/>
              <w:bottom w:w="40" w:type="dxa"/>
              <w:right w:w="20" w:type="dxa"/>
            </w:tcMar>
            <w:vAlign w:val="bottom"/>
          </w:tcPr>
          <w:p w14:paraId="1E8040DE" w14:textId="77777777" w:rsidR="00F20ABF" w:rsidRDefault="00F20ABF">
            <w:pPr>
              <w:jc w:val="right"/>
              <w:rPr>
                <w:rFonts w:ascii="宋体"/>
              </w:rPr>
            </w:pPr>
          </w:p>
        </w:tc>
      </w:tr>
      <w:tr w:rsidR="00F20ABF" w14:paraId="1E8040E6" w14:textId="77777777">
        <w:trPr>
          <w:jc w:val="center"/>
        </w:trPr>
        <w:tc>
          <w:tcPr>
            <w:tcW w:w="0" w:type="auto"/>
            <w:gridSpan w:val="3"/>
            <w:shd w:val="clear" w:color="auto" w:fill="FFFFFF"/>
            <w:tcMar>
              <w:top w:w="40" w:type="dxa"/>
              <w:left w:w="155" w:type="dxa"/>
              <w:bottom w:w="40" w:type="dxa"/>
              <w:right w:w="20" w:type="dxa"/>
            </w:tcMar>
            <w:vAlign w:val="bottom"/>
          </w:tcPr>
          <w:p w14:paraId="1E8040E0" w14:textId="77777777" w:rsidR="00F20ABF" w:rsidRDefault="00CA4D2F">
            <w:pPr>
              <w:textAlignment w:val="bottom"/>
            </w:pPr>
            <w:r>
              <w:rPr>
                <w:rFonts w:ascii="sans-serif" w:eastAsia="sans-serif" w:hAnsi="sans-serif" w:cs="sans-serif"/>
                <w:color w:val="000000"/>
                <w:sz w:val="18"/>
                <w:szCs w:val="18"/>
              </w:rPr>
              <w:t>Deferred income taxes</w:t>
            </w:r>
          </w:p>
        </w:tc>
        <w:tc>
          <w:tcPr>
            <w:tcW w:w="0" w:type="auto"/>
            <w:gridSpan w:val="2"/>
            <w:shd w:val="clear" w:color="auto" w:fill="FFFFFF"/>
            <w:tcMar>
              <w:top w:w="40" w:type="dxa"/>
              <w:left w:w="20" w:type="dxa"/>
              <w:bottom w:w="40" w:type="dxa"/>
              <w:right w:w="0" w:type="dxa"/>
            </w:tcMar>
            <w:vAlign w:val="bottom"/>
          </w:tcPr>
          <w:p w14:paraId="1E8040E1" w14:textId="77777777" w:rsidR="00F20ABF" w:rsidRDefault="00CA4D2F">
            <w:pPr>
              <w:jc w:val="right"/>
              <w:textAlignment w:val="bottom"/>
            </w:pPr>
            <w:r>
              <w:rPr>
                <w:rFonts w:ascii="sans-serif" w:eastAsia="sans-serif" w:hAnsi="sans-serif" w:cs="sans-serif"/>
                <w:color w:val="000000"/>
                <w:sz w:val="18"/>
                <w:szCs w:val="18"/>
              </w:rPr>
              <w:t>(117)</w:t>
            </w:r>
          </w:p>
        </w:tc>
        <w:tc>
          <w:tcPr>
            <w:tcW w:w="0" w:type="auto"/>
            <w:shd w:val="clear" w:color="auto" w:fill="FFFFFF"/>
            <w:tcMar>
              <w:top w:w="40" w:type="dxa"/>
              <w:left w:w="0" w:type="dxa"/>
              <w:bottom w:w="40" w:type="dxa"/>
              <w:right w:w="20" w:type="dxa"/>
            </w:tcMar>
            <w:vAlign w:val="bottom"/>
          </w:tcPr>
          <w:p w14:paraId="1E8040E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0E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0E4" w14:textId="77777777" w:rsidR="00F20ABF" w:rsidRDefault="00CA4D2F">
            <w:pPr>
              <w:jc w:val="right"/>
              <w:textAlignment w:val="bottom"/>
            </w:pPr>
            <w:r>
              <w:rPr>
                <w:rFonts w:ascii="sans-serif" w:eastAsia="sans-serif" w:hAnsi="sans-serif" w:cs="sans-serif"/>
                <w:color w:val="000000"/>
                <w:sz w:val="18"/>
                <w:szCs w:val="18"/>
              </w:rPr>
              <w:t>(5)</w:t>
            </w:r>
          </w:p>
        </w:tc>
        <w:tc>
          <w:tcPr>
            <w:tcW w:w="0" w:type="auto"/>
            <w:shd w:val="clear" w:color="auto" w:fill="FFFFFF"/>
            <w:tcMar>
              <w:top w:w="40" w:type="dxa"/>
              <w:left w:w="0" w:type="dxa"/>
              <w:bottom w:w="40" w:type="dxa"/>
              <w:right w:w="20" w:type="dxa"/>
            </w:tcMar>
            <w:vAlign w:val="bottom"/>
          </w:tcPr>
          <w:p w14:paraId="1E8040E5" w14:textId="77777777" w:rsidR="00F20ABF" w:rsidRDefault="00F20ABF">
            <w:pPr>
              <w:jc w:val="right"/>
              <w:rPr>
                <w:rFonts w:ascii="宋体"/>
              </w:rPr>
            </w:pPr>
          </w:p>
        </w:tc>
      </w:tr>
      <w:tr w:rsidR="00F20ABF" w14:paraId="1E8040EB" w14:textId="77777777">
        <w:trPr>
          <w:jc w:val="center"/>
          <w:hidden/>
        </w:trPr>
        <w:tc>
          <w:tcPr>
            <w:tcW w:w="0" w:type="auto"/>
            <w:gridSpan w:val="3"/>
            <w:shd w:val="clear" w:color="auto" w:fill="auto"/>
          </w:tcPr>
          <w:p w14:paraId="1E8040E7" w14:textId="77777777" w:rsidR="00F20ABF" w:rsidRDefault="00F20ABF">
            <w:pPr>
              <w:rPr>
                <w:rFonts w:ascii="宋体"/>
                <w:vanish/>
              </w:rPr>
            </w:pPr>
          </w:p>
        </w:tc>
        <w:tc>
          <w:tcPr>
            <w:tcW w:w="0" w:type="auto"/>
            <w:gridSpan w:val="3"/>
            <w:shd w:val="clear" w:color="auto" w:fill="auto"/>
          </w:tcPr>
          <w:p w14:paraId="1E8040E8" w14:textId="77777777" w:rsidR="00F20ABF" w:rsidRDefault="00F20ABF">
            <w:pPr>
              <w:rPr>
                <w:rFonts w:ascii="宋体"/>
                <w:vanish/>
              </w:rPr>
            </w:pPr>
          </w:p>
        </w:tc>
        <w:tc>
          <w:tcPr>
            <w:tcW w:w="0" w:type="auto"/>
            <w:gridSpan w:val="3"/>
            <w:shd w:val="clear" w:color="auto" w:fill="auto"/>
          </w:tcPr>
          <w:p w14:paraId="1E8040E9" w14:textId="77777777" w:rsidR="00F20ABF" w:rsidRDefault="00F20ABF">
            <w:pPr>
              <w:rPr>
                <w:rFonts w:ascii="宋体"/>
                <w:vanish/>
              </w:rPr>
            </w:pPr>
          </w:p>
        </w:tc>
        <w:tc>
          <w:tcPr>
            <w:tcW w:w="0" w:type="auto"/>
            <w:gridSpan w:val="3"/>
            <w:shd w:val="clear" w:color="auto" w:fill="auto"/>
          </w:tcPr>
          <w:p w14:paraId="1E8040EA" w14:textId="77777777" w:rsidR="00F20ABF" w:rsidRDefault="00F20ABF">
            <w:pPr>
              <w:rPr>
                <w:rFonts w:ascii="宋体"/>
                <w:vanish/>
              </w:rPr>
            </w:pPr>
          </w:p>
        </w:tc>
      </w:tr>
      <w:tr w:rsidR="00F20ABF" w14:paraId="1E8040F2" w14:textId="77777777">
        <w:trPr>
          <w:jc w:val="center"/>
        </w:trPr>
        <w:tc>
          <w:tcPr>
            <w:tcW w:w="0" w:type="auto"/>
            <w:gridSpan w:val="3"/>
            <w:shd w:val="clear" w:color="auto" w:fill="E2EFD9"/>
            <w:tcMar>
              <w:top w:w="40" w:type="dxa"/>
              <w:left w:w="155" w:type="dxa"/>
              <w:bottom w:w="40" w:type="dxa"/>
              <w:right w:w="20" w:type="dxa"/>
            </w:tcMar>
            <w:vAlign w:val="bottom"/>
          </w:tcPr>
          <w:p w14:paraId="1E8040EC" w14:textId="77777777" w:rsidR="00F20ABF" w:rsidRDefault="00CA4D2F">
            <w:pPr>
              <w:textAlignment w:val="bottom"/>
            </w:pPr>
            <w:r>
              <w:rPr>
                <w:rFonts w:ascii="sans-serif" w:eastAsia="sans-serif" w:hAnsi="sans-serif" w:cs="sans-serif"/>
                <w:color w:val="000000"/>
                <w:sz w:val="18"/>
                <w:szCs w:val="18"/>
              </w:rPr>
              <w:t>Other</w:t>
            </w:r>
          </w:p>
        </w:tc>
        <w:tc>
          <w:tcPr>
            <w:tcW w:w="0" w:type="auto"/>
            <w:gridSpan w:val="2"/>
            <w:shd w:val="clear" w:color="auto" w:fill="E2EFD9"/>
            <w:tcMar>
              <w:top w:w="40" w:type="dxa"/>
              <w:left w:w="20" w:type="dxa"/>
              <w:bottom w:w="40" w:type="dxa"/>
              <w:right w:w="0" w:type="dxa"/>
            </w:tcMar>
            <w:vAlign w:val="bottom"/>
          </w:tcPr>
          <w:p w14:paraId="1E8040ED" w14:textId="77777777" w:rsidR="00F20ABF" w:rsidRDefault="00CA4D2F">
            <w:pPr>
              <w:jc w:val="right"/>
              <w:textAlignment w:val="bottom"/>
            </w:pPr>
            <w:r>
              <w:rPr>
                <w:rFonts w:ascii="sans-serif" w:eastAsia="sans-serif" w:hAnsi="sans-serif" w:cs="sans-serif"/>
                <w:color w:val="000000"/>
                <w:sz w:val="18"/>
                <w:szCs w:val="18"/>
              </w:rPr>
              <w:t>(2)</w:t>
            </w:r>
          </w:p>
        </w:tc>
        <w:tc>
          <w:tcPr>
            <w:tcW w:w="0" w:type="auto"/>
            <w:shd w:val="clear" w:color="auto" w:fill="E2EFD9"/>
            <w:tcMar>
              <w:top w:w="40" w:type="dxa"/>
              <w:left w:w="0" w:type="dxa"/>
              <w:bottom w:w="40" w:type="dxa"/>
              <w:right w:w="20" w:type="dxa"/>
            </w:tcMar>
            <w:vAlign w:val="bottom"/>
          </w:tcPr>
          <w:p w14:paraId="1E8040E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EF"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0F0" w14:textId="77777777" w:rsidR="00F20ABF" w:rsidRDefault="00CA4D2F">
            <w:pPr>
              <w:jc w:val="right"/>
              <w:textAlignment w:val="bottom"/>
            </w:pPr>
            <w:r>
              <w:rPr>
                <w:rFonts w:ascii="sans-serif" w:eastAsia="sans-serif" w:hAnsi="sans-serif" w:cs="sans-serif"/>
                <w:color w:val="000000"/>
                <w:sz w:val="18"/>
                <w:szCs w:val="18"/>
              </w:rPr>
              <w:t>5 </w:t>
            </w:r>
          </w:p>
        </w:tc>
        <w:tc>
          <w:tcPr>
            <w:tcW w:w="0" w:type="auto"/>
            <w:shd w:val="clear" w:color="auto" w:fill="E2EFD9"/>
            <w:tcMar>
              <w:top w:w="40" w:type="dxa"/>
              <w:left w:w="0" w:type="dxa"/>
              <w:bottom w:w="40" w:type="dxa"/>
              <w:right w:w="20" w:type="dxa"/>
            </w:tcMar>
            <w:vAlign w:val="bottom"/>
          </w:tcPr>
          <w:p w14:paraId="1E8040F1" w14:textId="77777777" w:rsidR="00F20ABF" w:rsidRDefault="00F20ABF">
            <w:pPr>
              <w:jc w:val="right"/>
              <w:rPr>
                <w:rFonts w:ascii="宋体"/>
              </w:rPr>
            </w:pPr>
          </w:p>
        </w:tc>
      </w:tr>
      <w:tr w:rsidR="00F20ABF" w14:paraId="1E8040F7" w14:textId="77777777">
        <w:trPr>
          <w:jc w:val="center"/>
        </w:trPr>
        <w:tc>
          <w:tcPr>
            <w:tcW w:w="0" w:type="auto"/>
            <w:gridSpan w:val="3"/>
            <w:shd w:val="clear" w:color="auto" w:fill="FFFFFF"/>
            <w:tcMar>
              <w:top w:w="40" w:type="dxa"/>
              <w:left w:w="20" w:type="dxa"/>
              <w:bottom w:w="40" w:type="dxa"/>
              <w:right w:w="20" w:type="dxa"/>
            </w:tcMar>
            <w:vAlign w:val="bottom"/>
          </w:tcPr>
          <w:p w14:paraId="1E8040F3" w14:textId="77777777" w:rsidR="00F20ABF" w:rsidRDefault="00CA4D2F">
            <w:pPr>
              <w:textAlignment w:val="bottom"/>
            </w:pPr>
            <w:r>
              <w:rPr>
                <w:rFonts w:ascii="sans-serif" w:eastAsia="sans-serif" w:hAnsi="sans-serif" w:cs="sans-serif"/>
                <w:color w:val="000000"/>
                <w:sz w:val="18"/>
                <w:szCs w:val="18"/>
              </w:rPr>
              <w:t>Changes in operating assets and liabilities, net of acquisitions:</w:t>
            </w:r>
          </w:p>
        </w:tc>
        <w:tc>
          <w:tcPr>
            <w:tcW w:w="0" w:type="auto"/>
            <w:gridSpan w:val="3"/>
            <w:shd w:val="clear" w:color="auto" w:fill="FFFFFF"/>
            <w:tcMar>
              <w:top w:w="0" w:type="dxa"/>
              <w:left w:w="20" w:type="dxa"/>
              <w:bottom w:w="0" w:type="dxa"/>
              <w:right w:w="20" w:type="dxa"/>
            </w:tcMar>
          </w:tcPr>
          <w:p w14:paraId="1E8040F4"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0F5"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0F6" w14:textId="77777777" w:rsidR="00F20ABF" w:rsidRDefault="00F20ABF">
            <w:pPr>
              <w:rPr>
                <w:rFonts w:ascii="宋体"/>
              </w:rPr>
            </w:pPr>
          </w:p>
        </w:tc>
      </w:tr>
      <w:tr w:rsidR="00F20ABF" w14:paraId="1E8040FE" w14:textId="77777777">
        <w:trPr>
          <w:jc w:val="center"/>
        </w:trPr>
        <w:tc>
          <w:tcPr>
            <w:tcW w:w="0" w:type="auto"/>
            <w:gridSpan w:val="3"/>
            <w:shd w:val="clear" w:color="auto" w:fill="E2EFD9"/>
            <w:tcMar>
              <w:top w:w="40" w:type="dxa"/>
              <w:left w:w="155" w:type="dxa"/>
              <w:bottom w:w="40" w:type="dxa"/>
              <w:right w:w="20" w:type="dxa"/>
            </w:tcMar>
            <w:vAlign w:val="bottom"/>
          </w:tcPr>
          <w:p w14:paraId="1E8040F8" w14:textId="77777777" w:rsidR="00F20ABF" w:rsidRDefault="00CA4D2F">
            <w:pPr>
              <w:textAlignment w:val="bottom"/>
            </w:pPr>
            <w:r>
              <w:rPr>
                <w:rFonts w:ascii="sans-serif" w:eastAsia="sans-serif" w:hAnsi="sans-serif" w:cs="sans-serif"/>
                <w:color w:val="000000"/>
                <w:sz w:val="18"/>
                <w:szCs w:val="18"/>
              </w:rPr>
              <w:t>Accounts receivable</w:t>
            </w:r>
          </w:p>
        </w:tc>
        <w:tc>
          <w:tcPr>
            <w:tcW w:w="0" w:type="auto"/>
            <w:gridSpan w:val="2"/>
            <w:shd w:val="clear" w:color="auto" w:fill="E2EFD9"/>
            <w:tcMar>
              <w:top w:w="40" w:type="dxa"/>
              <w:left w:w="20" w:type="dxa"/>
              <w:bottom w:w="40" w:type="dxa"/>
              <w:right w:w="0" w:type="dxa"/>
            </w:tcMar>
            <w:vAlign w:val="bottom"/>
          </w:tcPr>
          <w:p w14:paraId="1E8040F9" w14:textId="77777777" w:rsidR="00F20ABF" w:rsidRDefault="00CA4D2F">
            <w:pPr>
              <w:jc w:val="right"/>
              <w:textAlignment w:val="bottom"/>
            </w:pPr>
            <w:r>
              <w:rPr>
                <w:rFonts w:ascii="sans-serif" w:eastAsia="sans-serif" w:hAnsi="sans-serif" w:cs="sans-serif"/>
                <w:color w:val="000000"/>
                <w:sz w:val="18"/>
                <w:szCs w:val="18"/>
              </w:rPr>
              <w:t>(667)</w:t>
            </w:r>
          </w:p>
        </w:tc>
        <w:tc>
          <w:tcPr>
            <w:tcW w:w="0" w:type="auto"/>
            <w:shd w:val="clear" w:color="auto" w:fill="E2EFD9"/>
            <w:tcMar>
              <w:top w:w="40" w:type="dxa"/>
              <w:left w:w="0" w:type="dxa"/>
              <w:bottom w:w="40" w:type="dxa"/>
              <w:right w:w="20" w:type="dxa"/>
            </w:tcMar>
            <w:vAlign w:val="bottom"/>
          </w:tcPr>
          <w:p w14:paraId="1E8040F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0FB"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0FC" w14:textId="77777777" w:rsidR="00F20ABF" w:rsidRDefault="00CA4D2F">
            <w:pPr>
              <w:jc w:val="right"/>
              <w:textAlignment w:val="bottom"/>
            </w:pPr>
            <w:r>
              <w:rPr>
                <w:rFonts w:ascii="sans-serif" w:eastAsia="sans-serif" w:hAnsi="sans-serif" w:cs="sans-serif"/>
                <w:color w:val="000000"/>
                <w:sz w:val="18"/>
                <w:szCs w:val="18"/>
              </w:rPr>
              <w:t>(32)</w:t>
            </w:r>
          </w:p>
        </w:tc>
        <w:tc>
          <w:tcPr>
            <w:tcW w:w="0" w:type="auto"/>
            <w:shd w:val="clear" w:color="auto" w:fill="E2EFD9"/>
            <w:tcMar>
              <w:top w:w="40" w:type="dxa"/>
              <w:left w:w="0" w:type="dxa"/>
              <w:bottom w:w="40" w:type="dxa"/>
              <w:right w:w="20" w:type="dxa"/>
            </w:tcMar>
            <w:vAlign w:val="bottom"/>
          </w:tcPr>
          <w:p w14:paraId="1E8040FD" w14:textId="77777777" w:rsidR="00F20ABF" w:rsidRDefault="00F20ABF">
            <w:pPr>
              <w:jc w:val="right"/>
              <w:rPr>
                <w:rFonts w:ascii="宋体"/>
              </w:rPr>
            </w:pPr>
          </w:p>
        </w:tc>
      </w:tr>
      <w:tr w:rsidR="00F20ABF" w14:paraId="1E804105" w14:textId="77777777">
        <w:trPr>
          <w:jc w:val="center"/>
        </w:trPr>
        <w:tc>
          <w:tcPr>
            <w:tcW w:w="0" w:type="auto"/>
            <w:gridSpan w:val="3"/>
            <w:shd w:val="clear" w:color="auto" w:fill="FFFFFF"/>
            <w:tcMar>
              <w:top w:w="40" w:type="dxa"/>
              <w:left w:w="155" w:type="dxa"/>
              <w:bottom w:w="40" w:type="dxa"/>
              <w:right w:w="20" w:type="dxa"/>
            </w:tcMar>
            <w:vAlign w:val="bottom"/>
          </w:tcPr>
          <w:p w14:paraId="1E8040FF" w14:textId="77777777" w:rsidR="00F20ABF" w:rsidRDefault="00CA4D2F">
            <w:pPr>
              <w:textAlignment w:val="bottom"/>
            </w:pPr>
            <w:r>
              <w:rPr>
                <w:rFonts w:ascii="sans-serif" w:eastAsia="sans-serif" w:hAnsi="sans-serif" w:cs="sans-serif"/>
                <w:color w:val="000000"/>
                <w:sz w:val="18"/>
                <w:szCs w:val="18"/>
              </w:rPr>
              <w:t>Inventories</w:t>
            </w:r>
          </w:p>
        </w:tc>
        <w:tc>
          <w:tcPr>
            <w:tcW w:w="0" w:type="auto"/>
            <w:gridSpan w:val="2"/>
            <w:shd w:val="clear" w:color="auto" w:fill="FFFFFF"/>
            <w:tcMar>
              <w:top w:w="40" w:type="dxa"/>
              <w:left w:w="20" w:type="dxa"/>
              <w:bottom w:w="40" w:type="dxa"/>
              <w:right w:w="0" w:type="dxa"/>
            </w:tcMar>
            <w:vAlign w:val="bottom"/>
          </w:tcPr>
          <w:p w14:paraId="1E804100" w14:textId="77777777" w:rsidR="00F20ABF" w:rsidRDefault="00CA4D2F">
            <w:pPr>
              <w:jc w:val="right"/>
              <w:textAlignment w:val="bottom"/>
            </w:pPr>
            <w:r>
              <w:rPr>
                <w:rFonts w:ascii="sans-serif" w:eastAsia="sans-serif" w:hAnsi="sans-serif" w:cs="sans-serif"/>
                <w:color w:val="000000"/>
                <w:sz w:val="18"/>
                <w:szCs w:val="18"/>
              </w:rPr>
              <w:t>(190)</w:t>
            </w:r>
          </w:p>
        </w:tc>
        <w:tc>
          <w:tcPr>
            <w:tcW w:w="0" w:type="auto"/>
            <w:shd w:val="clear" w:color="auto" w:fill="FFFFFF"/>
            <w:tcMar>
              <w:top w:w="40" w:type="dxa"/>
              <w:left w:w="0" w:type="dxa"/>
              <w:bottom w:w="40" w:type="dxa"/>
              <w:right w:w="20" w:type="dxa"/>
            </w:tcMar>
            <w:vAlign w:val="bottom"/>
          </w:tcPr>
          <w:p w14:paraId="1E80410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102"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103" w14:textId="77777777" w:rsidR="00F20ABF" w:rsidRDefault="00CA4D2F">
            <w:pPr>
              <w:jc w:val="right"/>
              <w:textAlignment w:val="bottom"/>
            </w:pPr>
            <w:r>
              <w:rPr>
                <w:rFonts w:ascii="sans-serif" w:eastAsia="sans-serif" w:hAnsi="sans-serif" w:cs="sans-serif"/>
                <w:color w:val="000000"/>
                <w:sz w:val="18"/>
                <w:szCs w:val="18"/>
              </w:rPr>
              <w:t>531 </w:t>
            </w:r>
          </w:p>
        </w:tc>
        <w:tc>
          <w:tcPr>
            <w:tcW w:w="0" w:type="auto"/>
            <w:shd w:val="clear" w:color="auto" w:fill="FFFFFF"/>
            <w:tcMar>
              <w:top w:w="40" w:type="dxa"/>
              <w:left w:w="0" w:type="dxa"/>
              <w:bottom w:w="40" w:type="dxa"/>
              <w:right w:w="20" w:type="dxa"/>
            </w:tcMar>
            <w:vAlign w:val="bottom"/>
          </w:tcPr>
          <w:p w14:paraId="1E804104" w14:textId="77777777" w:rsidR="00F20ABF" w:rsidRDefault="00F20ABF">
            <w:pPr>
              <w:jc w:val="right"/>
              <w:rPr>
                <w:rFonts w:ascii="宋体"/>
              </w:rPr>
            </w:pPr>
          </w:p>
        </w:tc>
      </w:tr>
      <w:tr w:rsidR="00F20ABF" w14:paraId="1E80410C" w14:textId="77777777">
        <w:trPr>
          <w:jc w:val="center"/>
        </w:trPr>
        <w:tc>
          <w:tcPr>
            <w:tcW w:w="0" w:type="auto"/>
            <w:gridSpan w:val="3"/>
            <w:shd w:val="clear" w:color="auto" w:fill="E2EFD9"/>
            <w:tcMar>
              <w:top w:w="40" w:type="dxa"/>
              <w:left w:w="155" w:type="dxa"/>
              <w:bottom w:w="40" w:type="dxa"/>
              <w:right w:w="20" w:type="dxa"/>
            </w:tcMar>
            <w:vAlign w:val="bottom"/>
          </w:tcPr>
          <w:p w14:paraId="1E804106" w14:textId="77777777" w:rsidR="00F20ABF" w:rsidRDefault="00CA4D2F">
            <w:pPr>
              <w:textAlignment w:val="bottom"/>
            </w:pPr>
            <w:r>
              <w:rPr>
                <w:rFonts w:ascii="sans-serif" w:eastAsia="sans-serif" w:hAnsi="sans-serif" w:cs="sans-serif"/>
                <w:color w:val="000000"/>
                <w:sz w:val="18"/>
                <w:szCs w:val="18"/>
              </w:rPr>
              <w:t>Prepaid expenses and other assets</w:t>
            </w:r>
          </w:p>
        </w:tc>
        <w:tc>
          <w:tcPr>
            <w:tcW w:w="0" w:type="auto"/>
            <w:gridSpan w:val="2"/>
            <w:shd w:val="clear" w:color="auto" w:fill="E2EFD9"/>
            <w:tcMar>
              <w:top w:w="40" w:type="dxa"/>
              <w:left w:w="20" w:type="dxa"/>
              <w:bottom w:w="40" w:type="dxa"/>
              <w:right w:w="0" w:type="dxa"/>
            </w:tcMar>
            <w:vAlign w:val="bottom"/>
          </w:tcPr>
          <w:p w14:paraId="1E804107" w14:textId="77777777" w:rsidR="00F20ABF" w:rsidRDefault="00CA4D2F">
            <w:pPr>
              <w:jc w:val="right"/>
              <w:textAlignment w:val="bottom"/>
            </w:pPr>
            <w:r>
              <w:rPr>
                <w:rFonts w:ascii="sans-serif" w:eastAsia="sans-serif" w:hAnsi="sans-serif" w:cs="sans-serif"/>
                <w:color w:val="000000"/>
                <w:sz w:val="18"/>
                <w:szCs w:val="18"/>
              </w:rPr>
              <w:t>(409)</w:t>
            </w:r>
          </w:p>
        </w:tc>
        <w:tc>
          <w:tcPr>
            <w:tcW w:w="0" w:type="auto"/>
            <w:shd w:val="clear" w:color="auto" w:fill="E2EFD9"/>
            <w:tcMar>
              <w:top w:w="40" w:type="dxa"/>
              <w:left w:w="0" w:type="dxa"/>
              <w:bottom w:w="40" w:type="dxa"/>
              <w:right w:w="20" w:type="dxa"/>
            </w:tcMar>
            <w:vAlign w:val="bottom"/>
          </w:tcPr>
          <w:p w14:paraId="1E80410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10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10A" w14:textId="77777777" w:rsidR="00F20ABF" w:rsidRDefault="00CA4D2F">
            <w:pPr>
              <w:jc w:val="right"/>
              <w:textAlignment w:val="bottom"/>
            </w:pPr>
            <w:r>
              <w:rPr>
                <w:rFonts w:ascii="sans-serif" w:eastAsia="sans-serif" w:hAnsi="sans-serif" w:cs="sans-serif"/>
                <w:color w:val="000000"/>
                <w:sz w:val="18"/>
                <w:szCs w:val="18"/>
              </w:rPr>
              <w:t>55 </w:t>
            </w:r>
          </w:p>
        </w:tc>
        <w:tc>
          <w:tcPr>
            <w:tcW w:w="0" w:type="auto"/>
            <w:shd w:val="clear" w:color="auto" w:fill="E2EFD9"/>
            <w:tcMar>
              <w:top w:w="40" w:type="dxa"/>
              <w:left w:w="0" w:type="dxa"/>
              <w:bottom w:w="40" w:type="dxa"/>
              <w:right w:w="20" w:type="dxa"/>
            </w:tcMar>
            <w:vAlign w:val="bottom"/>
          </w:tcPr>
          <w:p w14:paraId="1E80410B" w14:textId="77777777" w:rsidR="00F20ABF" w:rsidRDefault="00F20ABF">
            <w:pPr>
              <w:jc w:val="right"/>
              <w:rPr>
                <w:rFonts w:ascii="宋体"/>
              </w:rPr>
            </w:pPr>
          </w:p>
        </w:tc>
      </w:tr>
      <w:tr w:rsidR="00F20ABF" w14:paraId="1E804113" w14:textId="77777777">
        <w:trPr>
          <w:jc w:val="center"/>
        </w:trPr>
        <w:tc>
          <w:tcPr>
            <w:tcW w:w="0" w:type="auto"/>
            <w:gridSpan w:val="3"/>
            <w:shd w:val="clear" w:color="auto" w:fill="FFFFFF"/>
            <w:tcMar>
              <w:top w:w="40" w:type="dxa"/>
              <w:left w:w="155" w:type="dxa"/>
              <w:bottom w:w="40" w:type="dxa"/>
              <w:right w:w="20" w:type="dxa"/>
            </w:tcMar>
            <w:vAlign w:val="bottom"/>
          </w:tcPr>
          <w:p w14:paraId="1E80410D" w14:textId="77777777" w:rsidR="00F20ABF" w:rsidRDefault="00CA4D2F">
            <w:pPr>
              <w:textAlignment w:val="bottom"/>
            </w:pPr>
            <w:r>
              <w:rPr>
                <w:rFonts w:ascii="sans-serif" w:eastAsia="sans-serif" w:hAnsi="sans-serif" w:cs="sans-serif"/>
                <w:color w:val="000000"/>
                <w:sz w:val="18"/>
                <w:szCs w:val="18"/>
              </w:rPr>
              <w:t>Accounts payable</w:t>
            </w:r>
          </w:p>
        </w:tc>
        <w:tc>
          <w:tcPr>
            <w:tcW w:w="0" w:type="auto"/>
            <w:gridSpan w:val="2"/>
            <w:shd w:val="clear" w:color="auto" w:fill="FFFFFF"/>
            <w:tcMar>
              <w:top w:w="40" w:type="dxa"/>
              <w:left w:w="20" w:type="dxa"/>
              <w:bottom w:w="40" w:type="dxa"/>
              <w:right w:w="0" w:type="dxa"/>
            </w:tcMar>
            <w:vAlign w:val="bottom"/>
          </w:tcPr>
          <w:p w14:paraId="1E80410E" w14:textId="77777777" w:rsidR="00F20ABF" w:rsidRDefault="00CA4D2F">
            <w:pPr>
              <w:jc w:val="right"/>
              <w:textAlignment w:val="bottom"/>
            </w:pPr>
            <w:r>
              <w:rPr>
                <w:rFonts w:ascii="sans-serif" w:eastAsia="sans-serif" w:hAnsi="sans-serif" w:cs="sans-serif"/>
                <w:color w:val="000000"/>
                <w:sz w:val="18"/>
                <w:szCs w:val="18"/>
              </w:rPr>
              <w:t>289 </w:t>
            </w:r>
          </w:p>
        </w:tc>
        <w:tc>
          <w:tcPr>
            <w:tcW w:w="0" w:type="auto"/>
            <w:shd w:val="clear" w:color="auto" w:fill="FFFFFF"/>
            <w:tcMar>
              <w:top w:w="40" w:type="dxa"/>
              <w:left w:w="0" w:type="dxa"/>
              <w:bottom w:w="40" w:type="dxa"/>
              <w:right w:w="20" w:type="dxa"/>
            </w:tcMar>
            <w:vAlign w:val="bottom"/>
          </w:tcPr>
          <w:p w14:paraId="1E80410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110"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111" w14:textId="77777777" w:rsidR="00F20ABF" w:rsidRDefault="00CA4D2F">
            <w:pPr>
              <w:jc w:val="right"/>
              <w:textAlignment w:val="bottom"/>
            </w:pPr>
            <w:r>
              <w:rPr>
                <w:rFonts w:ascii="sans-serif" w:eastAsia="sans-serif" w:hAnsi="sans-serif" w:cs="sans-serif"/>
                <w:color w:val="000000"/>
                <w:sz w:val="18"/>
                <w:szCs w:val="18"/>
              </w:rPr>
              <w:t>91 </w:t>
            </w:r>
          </w:p>
        </w:tc>
        <w:tc>
          <w:tcPr>
            <w:tcW w:w="0" w:type="auto"/>
            <w:shd w:val="clear" w:color="auto" w:fill="FFFFFF"/>
            <w:tcMar>
              <w:top w:w="40" w:type="dxa"/>
              <w:left w:w="0" w:type="dxa"/>
              <w:bottom w:w="40" w:type="dxa"/>
              <w:right w:w="20" w:type="dxa"/>
            </w:tcMar>
            <w:vAlign w:val="bottom"/>
          </w:tcPr>
          <w:p w14:paraId="1E804112" w14:textId="77777777" w:rsidR="00F20ABF" w:rsidRDefault="00F20ABF">
            <w:pPr>
              <w:jc w:val="right"/>
              <w:rPr>
                <w:rFonts w:ascii="宋体"/>
              </w:rPr>
            </w:pPr>
          </w:p>
        </w:tc>
      </w:tr>
      <w:tr w:rsidR="00F20ABF" w14:paraId="1E80411A" w14:textId="77777777">
        <w:trPr>
          <w:jc w:val="center"/>
        </w:trPr>
        <w:tc>
          <w:tcPr>
            <w:tcW w:w="0" w:type="auto"/>
            <w:gridSpan w:val="3"/>
            <w:shd w:val="clear" w:color="auto" w:fill="E2EFD9"/>
            <w:tcMar>
              <w:top w:w="40" w:type="dxa"/>
              <w:left w:w="155" w:type="dxa"/>
              <w:bottom w:w="40" w:type="dxa"/>
              <w:right w:w="20" w:type="dxa"/>
            </w:tcMar>
            <w:vAlign w:val="bottom"/>
          </w:tcPr>
          <w:p w14:paraId="1E804114" w14:textId="77777777" w:rsidR="00F20ABF" w:rsidRDefault="00CA4D2F">
            <w:pPr>
              <w:textAlignment w:val="bottom"/>
            </w:pPr>
            <w:r>
              <w:rPr>
                <w:rFonts w:ascii="sans-serif" w:eastAsia="sans-serif" w:hAnsi="sans-serif" w:cs="sans-serif"/>
                <w:color w:val="000000"/>
                <w:sz w:val="18"/>
                <w:szCs w:val="18"/>
              </w:rPr>
              <w:t xml:space="preserve">Accrued and other current </w:t>
            </w:r>
            <w:r>
              <w:rPr>
                <w:rFonts w:ascii="sans-serif" w:eastAsia="sans-serif" w:hAnsi="sans-serif" w:cs="sans-serif"/>
                <w:color w:val="000000"/>
                <w:sz w:val="18"/>
                <w:szCs w:val="18"/>
              </w:rPr>
              <w:t>liabilities</w:t>
            </w:r>
          </w:p>
        </w:tc>
        <w:tc>
          <w:tcPr>
            <w:tcW w:w="0" w:type="auto"/>
            <w:gridSpan w:val="2"/>
            <w:shd w:val="clear" w:color="auto" w:fill="E2EFD9"/>
            <w:tcMar>
              <w:top w:w="40" w:type="dxa"/>
              <w:left w:w="20" w:type="dxa"/>
              <w:bottom w:w="40" w:type="dxa"/>
              <w:right w:w="0" w:type="dxa"/>
            </w:tcMar>
            <w:vAlign w:val="bottom"/>
          </w:tcPr>
          <w:p w14:paraId="1E804115" w14:textId="77777777" w:rsidR="00F20ABF" w:rsidRDefault="00CA4D2F">
            <w:pPr>
              <w:jc w:val="right"/>
              <w:textAlignment w:val="bottom"/>
            </w:pPr>
            <w:r>
              <w:rPr>
                <w:rFonts w:ascii="sans-serif" w:eastAsia="sans-serif" w:hAnsi="sans-serif" w:cs="sans-serif"/>
                <w:color w:val="000000"/>
                <w:sz w:val="18"/>
                <w:szCs w:val="18"/>
              </w:rPr>
              <w:t>111 </w:t>
            </w:r>
          </w:p>
        </w:tc>
        <w:tc>
          <w:tcPr>
            <w:tcW w:w="0" w:type="auto"/>
            <w:shd w:val="clear" w:color="auto" w:fill="E2EFD9"/>
            <w:tcMar>
              <w:top w:w="40" w:type="dxa"/>
              <w:left w:w="0" w:type="dxa"/>
              <w:bottom w:w="40" w:type="dxa"/>
              <w:right w:w="20" w:type="dxa"/>
            </w:tcMar>
            <w:vAlign w:val="bottom"/>
          </w:tcPr>
          <w:p w14:paraId="1E80411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117"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118" w14:textId="77777777" w:rsidR="00F20ABF" w:rsidRDefault="00CA4D2F">
            <w:pPr>
              <w:jc w:val="right"/>
              <w:textAlignment w:val="bottom"/>
            </w:pPr>
            <w:r>
              <w:rPr>
                <w:rFonts w:ascii="sans-serif" w:eastAsia="sans-serif" w:hAnsi="sans-serif" w:cs="sans-serif"/>
                <w:color w:val="000000"/>
                <w:sz w:val="18"/>
                <w:szCs w:val="18"/>
              </w:rPr>
              <w:t>(103)</w:t>
            </w:r>
          </w:p>
        </w:tc>
        <w:tc>
          <w:tcPr>
            <w:tcW w:w="0" w:type="auto"/>
            <w:shd w:val="clear" w:color="auto" w:fill="E2EFD9"/>
            <w:tcMar>
              <w:top w:w="40" w:type="dxa"/>
              <w:left w:w="0" w:type="dxa"/>
              <w:bottom w:w="40" w:type="dxa"/>
              <w:right w:w="20" w:type="dxa"/>
            </w:tcMar>
            <w:vAlign w:val="bottom"/>
          </w:tcPr>
          <w:p w14:paraId="1E804119" w14:textId="77777777" w:rsidR="00F20ABF" w:rsidRDefault="00F20ABF">
            <w:pPr>
              <w:jc w:val="right"/>
              <w:rPr>
                <w:rFonts w:ascii="宋体"/>
              </w:rPr>
            </w:pPr>
          </w:p>
        </w:tc>
      </w:tr>
      <w:tr w:rsidR="00F20ABF" w14:paraId="1E804121" w14:textId="77777777">
        <w:trPr>
          <w:jc w:val="center"/>
        </w:trPr>
        <w:tc>
          <w:tcPr>
            <w:tcW w:w="0" w:type="auto"/>
            <w:gridSpan w:val="3"/>
            <w:shd w:val="clear" w:color="auto" w:fill="FFFFFF"/>
            <w:tcMar>
              <w:top w:w="40" w:type="dxa"/>
              <w:left w:w="155" w:type="dxa"/>
              <w:bottom w:w="40" w:type="dxa"/>
              <w:right w:w="20" w:type="dxa"/>
            </w:tcMar>
            <w:vAlign w:val="bottom"/>
          </w:tcPr>
          <w:p w14:paraId="1E80411B" w14:textId="77777777" w:rsidR="00F20ABF" w:rsidRDefault="00CA4D2F">
            <w:pPr>
              <w:textAlignment w:val="bottom"/>
            </w:pPr>
            <w:r>
              <w:rPr>
                <w:rFonts w:ascii="sans-serif" w:eastAsia="sans-serif" w:hAnsi="sans-serif" w:cs="sans-serif"/>
                <w:color w:val="000000"/>
                <w:sz w:val="18"/>
                <w:szCs w:val="18"/>
              </w:rPr>
              <w:t>Other long-term liabilities</w:t>
            </w:r>
          </w:p>
        </w:tc>
        <w:tc>
          <w:tcPr>
            <w:tcW w:w="0" w:type="auto"/>
            <w:gridSpan w:val="2"/>
            <w:shd w:val="clear" w:color="auto" w:fill="FFFFFF"/>
            <w:tcMar>
              <w:top w:w="40" w:type="dxa"/>
              <w:left w:w="20" w:type="dxa"/>
              <w:bottom w:w="40" w:type="dxa"/>
              <w:right w:w="0" w:type="dxa"/>
            </w:tcMar>
            <w:vAlign w:val="bottom"/>
          </w:tcPr>
          <w:p w14:paraId="1E80411C" w14:textId="77777777" w:rsidR="00F20ABF" w:rsidRDefault="00CA4D2F">
            <w:pPr>
              <w:jc w:val="right"/>
              <w:textAlignment w:val="bottom"/>
            </w:pPr>
            <w:r>
              <w:rPr>
                <w:rFonts w:ascii="sans-serif" w:eastAsia="sans-serif" w:hAnsi="sans-serif" w:cs="sans-serif"/>
                <w:color w:val="000000"/>
                <w:sz w:val="18"/>
                <w:szCs w:val="18"/>
              </w:rPr>
              <w:t>74 </w:t>
            </w:r>
          </w:p>
        </w:tc>
        <w:tc>
          <w:tcPr>
            <w:tcW w:w="0" w:type="auto"/>
            <w:shd w:val="clear" w:color="auto" w:fill="FFFFFF"/>
            <w:tcMar>
              <w:top w:w="40" w:type="dxa"/>
              <w:left w:w="0" w:type="dxa"/>
              <w:bottom w:w="40" w:type="dxa"/>
              <w:right w:w="20" w:type="dxa"/>
            </w:tcMar>
            <w:vAlign w:val="bottom"/>
          </w:tcPr>
          <w:p w14:paraId="1E80411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11E"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11F" w14:textId="77777777" w:rsidR="00F20ABF" w:rsidRDefault="00CA4D2F">
            <w:pPr>
              <w:jc w:val="right"/>
              <w:textAlignment w:val="bottom"/>
            </w:pPr>
            <w:r>
              <w:rPr>
                <w:rFonts w:ascii="sans-serif" w:eastAsia="sans-serif" w:hAnsi="sans-serif" w:cs="sans-serif"/>
                <w:color w:val="000000"/>
                <w:sz w:val="18"/>
                <w:szCs w:val="18"/>
              </w:rPr>
              <w:t>10 </w:t>
            </w:r>
          </w:p>
        </w:tc>
        <w:tc>
          <w:tcPr>
            <w:tcW w:w="0" w:type="auto"/>
            <w:shd w:val="clear" w:color="auto" w:fill="FFFFFF"/>
            <w:tcMar>
              <w:top w:w="40" w:type="dxa"/>
              <w:left w:w="0" w:type="dxa"/>
              <w:bottom w:w="40" w:type="dxa"/>
              <w:right w:w="20" w:type="dxa"/>
            </w:tcMar>
            <w:vAlign w:val="bottom"/>
          </w:tcPr>
          <w:p w14:paraId="1E804120" w14:textId="77777777" w:rsidR="00F20ABF" w:rsidRDefault="00F20ABF">
            <w:pPr>
              <w:jc w:val="right"/>
              <w:rPr>
                <w:rFonts w:ascii="宋体"/>
              </w:rPr>
            </w:pPr>
          </w:p>
        </w:tc>
      </w:tr>
      <w:tr w:rsidR="00F20ABF" w14:paraId="1E804128" w14:textId="77777777">
        <w:trPr>
          <w:jc w:val="center"/>
        </w:trPr>
        <w:tc>
          <w:tcPr>
            <w:tcW w:w="0" w:type="auto"/>
            <w:gridSpan w:val="3"/>
            <w:shd w:val="clear" w:color="auto" w:fill="E2EFD9"/>
            <w:tcMar>
              <w:top w:w="40" w:type="dxa"/>
              <w:left w:w="20" w:type="dxa"/>
              <w:bottom w:w="40" w:type="dxa"/>
              <w:right w:w="20" w:type="dxa"/>
            </w:tcMar>
            <w:vAlign w:val="bottom"/>
          </w:tcPr>
          <w:p w14:paraId="1E804122" w14:textId="77777777" w:rsidR="00F20ABF" w:rsidRDefault="00CA4D2F">
            <w:pPr>
              <w:textAlignment w:val="bottom"/>
            </w:pPr>
            <w:r>
              <w:rPr>
                <w:rFonts w:ascii="sans-serif" w:eastAsia="sans-serif" w:hAnsi="sans-serif" w:cs="sans-serif"/>
                <w:color w:val="000000"/>
                <w:sz w:val="18"/>
                <w:szCs w:val="18"/>
              </w:rPr>
              <w:t>Net cash provided by operating activities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4123" w14:textId="77777777" w:rsidR="00F20ABF" w:rsidRDefault="00CA4D2F">
            <w:pPr>
              <w:jc w:val="right"/>
              <w:textAlignment w:val="bottom"/>
            </w:pPr>
            <w:r>
              <w:rPr>
                <w:rFonts w:ascii="sans-serif" w:eastAsia="sans-serif" w:hAnsi="sans-serif" w:cs="sans-serif"/>
                <w:color w:val="000000"/>
                <w:sz w:val="18"/>
                <w:szCs w:val="18"/>
              </w:rPr>
              <w:t>3,755 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412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125"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4126" w14:textId="77777777" w:rsidR="00F20ABF" w:rsidRDefault="00CA4D2F">
            <w:pPr>
              <w:jc w:val="right"/>
              <w:textAlignment w:val="bottom"/>
            </w:pPr>
            <w:r>
              <w:rPr>
                <w:rFonts w:ascii="sans-serif" w:eastAsia="sans-serif" w:hAnsi="sans-serif" w:cs="sans-serif"/>
                <w:color w:val="000000"/>
                <w:sz w:val="18"/>
                <w:szCs w:val="18"/>
              </w:rPr>
              <w:t>3,296 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4127" w14:textId="77777777" w:rsidR="00F20ABF" w:rsidRDefault="00F20ABF">
            <w:pPr>
              <w:jc w:val="right"/>
              <w:rPr>
                <w:rFonts w:ascii="宋体"/>
              </w:rPr>
            </w:pPr>
          </w:p>
        </w:tc>
      </w:tr>
      <w:tr w:rsidR="00F20ABF" w14:paraId="1E80412D" w14:textId="77777777">
        <w:trPr>
          <w:jc w:val="center"/>
        </w:trPr>
        <w:tc>
          <w:tcPr>
            <w:tcW w:w="0" w:type="auto"/>
            <w:gridSpan w:val="3"/>
            <w:shd w:val="clear" w:color="auto" w:fill="FFFFFF"/>
            <w:tcMar>
              <w:top w:w="40" w:type="dxa"/>
              <w:left w:w="20" w:type="dxa"/>
              <w:bottom w:w="40" w:type="dxa"/>
              <w:right w:w="20" w:type="dxa"/>
            </w:tcMar>
            <w:vAlign w:val="bottom"/>
          </w:tcPr>
          <w:p w14:paraId="1E804129" w14:textId="77777777" w:rsidR="00F20ABF" w:rsidRDefault="00CA4D2F">
            <w:pPr>
              <w:textAlignment w:val="bottom"/>
            </w:pPr>
            <w:r>
              <w:rPr>
                <w:rFonts w:ascii="sans-serif" w:eastAsia="sans-serif" w:hAnsi="sans-serif" w:cs="sans-serif"/>
                <w:color w:val="000000"/>
                <w:sz w:val="18"/>
                <w:szCs w:val="18"/>
              </w:rPr>
              <w:t>Cash flows from investing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E80412A" w14:textId="77777777" w:rsidR="00F20ABF" w:rsidRDefault="00CA4D2F">
            <w:pPr>
              <w:textAlignment w:val="bottom"/>
            </w:pPr>
            <w:r>
              <w:rPr>
                <w:rFonts w:ascii="sans-serif" w:eastAsia="sans-serif" w:hAnsi="sans-serif" w:cs="sans-serif"/>
                <w:color w:val="000000"/>
                <w:sz w:val="18"/>
                <w:szCs w:val="18"/>
              </w:rPr>
              <w:t> </w:t>
            </w:r>
          </w:p>
        </w:tc>
        <w:tc>
          <w:tcPr>
            <w:tcW w:w="0" w:type="auto"/>
            <w:gridSpan w:val="3"/>
            <w:shd w:val="clear" w:color="auto" w:fill="FFFFFF"/>
            <w:tcMar>
              <w:top w:w="0" w:type="dxa"/>
              <w:left w:w="20" w:type="dxa"/>
              <w:bottom w:w="0" w:type="dxa"/>
              <w:right w:w="20" w:type="dxa"/>
            </w:tcMar>
          </w:tcPr>
          <w:p w14:paraId="1E80412B" w14:textId="77777777" w:rsidR="00F20ABF" w:rsidRDefault="00F20AB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E80412C" w14:textId="77777777" w:rsidR="00F20ABF" w:rsidRDefault="00CA4D2F">
            <w:pPr>
              <w:textAlignment w:val="bottom"/>
            </w:pPr>
            <w:r>
              <w:rPr>
                <w:rFonts w:ascii="sans-serif" w:eastAsia="sans-serif" w:hAnsi="sans-serif" w:cs="sans-serif"/>
                <w:color w:val="000000"/>
                <w:sz w:val="18"/>
                <w:szCs w:val="18"/>
              </w:rPr>
              <w:t> </w:t>
            </w:r>
          </w:p>
        </w:tc>
      </w:tr>
      <w:tr w:rsidR="00F20ABF" w14:paraId="1E804134" w14:textId="77777777">
        <w:trPr>
          <w:jc w:val="center"/>
        </w:trPr>
        <w:tc>
          <w:tcPr>
            <w:tcW w:w="0" w:type="auto"/>
            <w:gridSpan w:val="3"/>
            <w:shd w:val="clear" w:color="auto" w:fill="E2EFD9"/>
            <w:tcMar>
              <w:top w:w="40" w:type="dxa"/>
              <w:left w:w="155" w:type="dxa"/>
              <w:bottom w:w="40" w:type="dxa"/>
              <w:right w:w="20" w:type="dxa"/>
            </w:tcMar>
            <w:vAlign w:val="bottom"/>
          </w:tcPr>
          <w:p w14:paraId="1E80412E" w14:textId="77777777" w:rsidR="00F20ABF" w:rsidRDefault="00CA4D2F">
            <w:pPr>
              <w:textAlignment w:val="bottom"/>
            </w:pPr>
            <w:r>
              <w:rPr>
                <w:rFonts w:ascii="sans-serif" w:eastAsia="sans-serif" w:hAnsi="sans-serif" w:cs="sans-serif"/>
                <w:color w:val="000000"/>
                <w:sz w:val="18"/>
                <w:szCs w:val="18"/>
              </w:rPr>
              <w:t>Proceeds from maturities of marketable securities</w:t>
            </w:r>
          </w:p>
        </w:tc>
        <w:tc>
          <w:tcPr>
            <w:tcW w:w="0" w:type="auto"/>
            <w:gridSpan w:val="2"/>
            <w:shd w:val="clear" w:color="auto" w:fill="E2EFD9"/>
            <w:tcMar>
              <w:top w:w="40" w:type="dxa"/>
              <w:left w:w="20" w:type="dxa"/>
              <w:bottom w:w="40" w:type="dxa"/>
              <w:right w:w="0" w:type="dxa"/>
            </w:tcMar>
            <w:vAlign w:val="bottom"/>
          </w:tcPr>
          <w:p w14:paraId="1E80412F" w14:textId="77777777" w:rsidR="00F20ABF" w:rsidRDefault="00CA4D2F">
            <w:pPr>
              <w:jc w:val="right"/>
              <w:textAlignment w:val="bottom"/>
            </w:pPr>
            <w:r>
              <w:rPr>
                <w:rFonts w:ascii="sans-serif" w:eastAsia="sans-serif" w:hAnsi="sans-serif" w:cs="sans-serif"/>
                <w:color w:val="000000"/>
                <w:sz w:val="18"/>
                <w:szCs w:val="18"/>
              </w:rPr>
              <w:t>5,165 </w:t>
            </w:r>
          </w:p>
        </w:tc>
        <w:tc>
          <w:tcPr>
            <w:tcW w:w="0" w:type="auto"/>
            <w:shd w:val="clear" w:color="auto" w:fill="E2EFD9"/>
            <w:tcMar>
              <w:top w:w="40" w:type="dxa"/>
              <w:left w:w="0" w:type="dxa"/>
              <w:bottom w:w="40" w:type="dxa"/>
              <w:right w:w="20" w:type="dxa"/>
            </w:tcMar>
            <w:vAlign w:val="bottom"/>
          </w:tcPr>
          <w:p w14:paraId="1E804130"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131"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132" w14:textId="77777777" w:rsidR="00F20ABF" w:rsidRDefault="00CA4D2F">
            <w:pPr>
              <w:jc w:val="right"/>
              <w:textAlignment w:val="bottom"/>
            </w:pPr>
            <w:r>
              <w:rPr>
                <w:rFonts w:ascii="sans-serif" w:eastAsia="sans-serif" w:hAnsi="sans-serif" w:cs="sans-serif"/>
                <w:color w:val="000000"/>
                <w:sz w:val="18"/>
                <w:szCs w:val="18"/>
              </w:rPr>
              <w:t>4,744 </w:t>
            </w:r>
          </w:p>
        </w:tc>
        <w:tc>
          <w:tcPr>
            <w:tcW w:w="0" w:type="auto"/>
            <w:shd w:val="clear" w:color="auto" w:fill="E2EFD9"/>
            <w:tcMar>
              <w:top w:w="40" w:type="dxa"/>
              <w:left w:w="0" w:type="dxa"/>
              <w:bottom w:w="40" w:type="dxa"/>
              <w:right w:w="20" w:type="dxa"/>
            </w:tcMar>
            <w:vAlign w:val="bottom"/>
          </w:tcPr>
          <w:p w14:paraId="1E804133" w14:textId="77777777" w:rsidR="00F20ABF" w:rsidRDefault="00F20ABF">
            <w:pPr>
              <w:jc w:val="right"/>
              <w:rPr>
                <w:rFonts w:ascii="宋体"/>
              </w:rPr>
            </w:pPr>
          </w:p>
        </w:tc>
      </w:tr>
      <w:tr w:rsidR="00F20ABF" w14:paraId="1E80413B" w14:textId="77777777">
        <w:trPr>
          <w:jc w:val="center"/>
        </w:trPr>
        <w:tc>
          <w:tcPr>
            <w:tcW w:w="0" w:type="auto"/>
            <w:gridSpan w:val="3"/>
            <w:shd w:val="clear" w:color="auto" w:fill="FFFFFF"/>
            <w:tcMar>
              <w:top w:w="40" w:type="dxa"/>
              <w:left w:w="155" w:type="dxa"/>
              <w:bottom w:w="40" w:type="dxa"/>
              <w:right w:w="20" w:type="dxa"/>
            </w:tcMar>
            <w:vAlign w:val="bottom"/>
          </w:tcPr>
          <w:p w14:paraId="1E804135" w14:textId="77777777" w:rsidR="00F20ABF" w:rsidRDefault="00CA4D2F">
            <w:pPr>
              <w:textAlignment w:val="bottom"/>
            </w:pPr>
            <w:r>
              <w:rPr>
                <w:rFonts w:ascii="sans-serif" w:eastAsia="sans-serif" w:hAnsi="sans-serif" w:cs="sans-serif"/>
                <w:color w:val="000000"/>
                <w:sz w:val="18"/>
                <w:szCs w:val="18"/>
              </w:rPr>
              <w:t xml:space="preserve">Proceeds from </w:t>
            </w:r>
            <w:r>
              <w:rPr>
                <w:rFonts w:ascii="sans-serif" w:eastAsia="sans-serif" w:hAnsi="sans-serif" w:cs="sans-serif"/>
                <w:color w:val="000000"/>
                <w:sz w:val="18"/>
                <w:szCs w:val="18"/>
              </w:rPr>
              <w:t>sales of marketable securities</w:t>
            </w:r>
          </w:p>
        </w:tc>
        <w:tc>
          <w:tcPr>
            <w:tcW w:w="0" w:type="auto"/>
            <w:gridSpan w:val="2"/>
            <w:shd w:val="clear" w:color="auto" w:fill="FFFFFF"/>
            <w:tcMar>
              <w:top w:w="40" w:type="dxa"/>
              <w:left w:w="20" w:type="dxa"/>
              <w:bottom w:w="40" w:type="dxa"/>
              <w:right w:w="0" w:type="dxa"/>
            </w:tcMar>
            <w:vAlign w:val="bottom"/>
          </w:tcPr>
          <w:p w14:paraId="1E804136" w14:textId="77777777" w:rsidR="00F20ABF" w:rsidRDefault="00CA4D2F">
            <w:pPr>
              <w:jc w:val="right"/>
              <w:textAlignment w:val="bottom"/>
            </w:pPr>
            <w:r>
              <w:rPr>
                <w:rFonts w:ascii="sans-serif" w:eastAsia="sans-serif" w:hAnsi="sans-serif" w:cs="sans-serif"/>
                <w:color w:val="000000"/>
                <w:sz w:val="18"/>
                <w:szCs w:val="18"/>
              </w:rPr>
              <w:t>502 </w:t>
            </w:r>
          </w:p>
        </w:tc>
        <w:tc>
          <w:tcPr>
            <w:tcW w:w="0" w:type="auto"/>
            <w:shd w:val="clear" w:color="auto" w:fill="FFFFFF"/>
            <w:tcMar>
              <w:top w:w="40" w:type="dxa"/>
              <w:left w:w="0" w:type="dxa"/>
              <w:bottom w:w="40" w:type="dxa"/>
              <w:right w:w="20" w:type="dxa"/>
            </w:tcMar>
            <w:vAlign w:val="bottom"/>
          </w:tcPr>
          <w:p w14:paraId="1E804137"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138"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139" w14:textId="77777777" w:rsidR="00F20ABF" w:rsidRDefault="00CA4D2F">
            <w:pPr>
              <w:jc w:val="right"/>
              <w:textAlignment w:val="bottom"/>
            </w:pPr>
            <w:r>
              <w:rPr>
                <w:rFonts w:ascii="sans-serif" w:eastAsia="sans-serif" w:hAnsi="sans-serif" w:cs="sans-serif"/>
                <w:color w:val="000000"/>
                <w:sz w:val="18"/>
                <w:szCs w:val="18"/>
              </w:rPr>
              <w:t>3,363 </w:t>
            </w:r>
          </w:p>
        </w:tc>
        <w:tc>
          <w:tcPr>
            <w:tcW w:w="0" w:type="auto"/>
            <w:shd w:val="clear" w:color="auto" w:fill="FFFFFF"/>
            <w:tcMar>
              <w:top w:w="40" w:type="dxa"/>
              <w:left w:w="0" w:type="dxa"/>
              <w:bottom w:w="40" w:type="dxa"/>
              <w:right w:w="20" w:type="dxa"/>
            </w:tcMar>
            <w:vAlign w:val="bottom"/>
          </w:tcPr>
          <w:p w14:paraId="1E80413A" w14:textId="77777777" w:rsidR="00F20ABF" w:rsidRDefault="00F20ABF">
            <w:pPr>
              <w:jc w:val="right"/>
              <w:rPr>
                <w:rFonts w:ascii="宋体"/>
              </w:rPr>
            </w:pPr>
          </w:p>
        </w:tc>
      </w:tr>
      <w:tr w:rsidR="00F20ABF" w14:paraId="1E804140" w14:textId="77777777">
        <w:trPr>
          <w:jc w:val="center"/>
          <w:hidden/>
        </w:trPr>
        <w:tc>
          <w:tcPr>
            <w:tcW w:w="0" w:type="auto"/>
            <w:gridSpan w:val="3"/>
            <w:shd w:val="clear" w:color="auto" w:fill="auto"/>
          </w:tcPr>
          <w:p w14:paraId="1E80413C" w14:textId="77777777" w:rsidR="00F20ABF" w:rsidRDefault="00F20ABF">
            <w:pPr>
              <w:rPr>
                <w:rFonts w:ascii="宋体"/>
                <w:vanish/>
              </w:rPr>
            </w:pPr>
          </w:p>
        </w:tc>
        <w:tc>
          <w:tcPr>
            <w:tcW w:w="0" w:type="auto"/>
            <w:gridSpan w:val="3"/>
            <w:shd w:val="clear" w:color="auto" w:fill="auto"/>
          </w:tcPr>
          <w:p w14:paraId="1E80413D" w14:textId="77777777" w:rsidR="00F20ABF" w:rsidRDefault="00F20ABF">
            <w:pPr>
              <w:rPr>
                <w:rFonts w:ascii="宋体"/>
                <w:vanish/>
              </w:rPr>
            </w:pPr>
          </w:p>
        </w:tc>
        <w:tc>
          <w:tcPr>
            <w:tcW w:w="0" w:type="auto"/>
            <w:gridSpan w:val="3"/>
            <w:shd w:val="clear" w:color="auto" w:fill="auto"/>
          </w:tcPr>
          <w:p w14:paraId="1E80413E" w14:textId="77777777" w:rsidR="00F20ABF" w:rsidRDefault="00F20ABF">
            <w:pPr>
              <w:rPr>
                <w:rFonts w:ascii="宋体"/>
                <w:vanish/>
              </w:rPr>
            </w:pPr>
          </w:p>
        </w:tc>
        <w:tc>
          <w:tcPr>
            <w:tcW w:w="0" w:type="auto"/>
            <w:gridSpan w:val="3"/>
            <w:shd w:val="clear" w:color="auto" w:fill="auto"/>
          </w:tcPr>
          <w:p w14:paraId="1E80413F" w14:textId="77777777" w:rsidR="00F20ABF" w:rsidRDefault="00F20ABF">
            <w:pPr>
              <w:rPr>
                <w:rFonts w:ascii="宋体"/>
                <w:vanish/>
              </w:rPr>
            </w:pPr>
          </w:p>
        </w:tc>
      </w:tr>
      <w:tr w:rsidR="00F20ABF" w14:paraId="1E804147" w14:textId="77777777">
        <w:trPr>
          <w:jc w:val="center"/>
        </w:trPr>
        <w:tc>
          <w:tcPr>
            <w:tcW w:w="0" w:type="auto"/>
            <w:gridSpan w:val="3"/>
            <w:shd w:val="clear" w:color="auto" w:fill="E2EFD9"/>
            <w:tcMar>
              <w:top w:w="40" w:type="dxa"/>
              <w:left w:w="155" w:type="dxa"/>
              <w:bottom w:w="40" w:type="dxa"/>
              <w:right w:w="20" w:type="dxa"/>
            </w:tcMar>
            <w:vAlign w:val="bottom"/>
          </w:tcPr>
          <w:p w14:paraId="1E804141" w14:textId="77777777" w:rsidR="00F20ABF" w:rsidRDefault="00CA4D2F">
            <w:pPr>
              <w:textAlignment w:val="bottom"/>
            </w:pPr>
            <w:r>
              <w:rPr>
                <w:rFonts w:ascii="sans-serif" w:eastAsia="sans-serif" w:hAnsi="sans-serif" w:cs="sans-serif"/>
                <w:color w:val="000000"/>
                <w:sz w:val="18"/>
                <w:szCs w:val="18"/>
              </w:rPr>
              <w:t>Purchases of marketable securities</w:t>
            </w:r>
          </w:p>
        </w:tc>
        <w:tc>
          <w:tcPr>
            <w:tcW w:w="0" w:type="auto"/>
            <w:gridSpan w:val="2"/>
            <w:shd w:val="clear" w:color="auto" w:fill="E2EFD9"/>
            <w:tcMar>
              <w:top w:w="40" w:type="dxa"/>
              <w:left w:w="20" w:type="dxa"/>
              <w:bottom w:w="40" w:type="dxa"/>
              <w:right w:w="0" w:type="dxa"/>
            </w:tcMar>
            <w:vAlign w:val="bottom"/>
          </w:tcPr>
          <w:p w14:paraId="1E804142" w14:textId="77777777" w:rsidR="00F20ABF" w:rsidRDefault="00CA4D2F">
            <w:pPr>
              <w:jc w:val="right"/>
              <w:textAlignment w:val="bottom"/>
            </w:pPr>
            <w:r>
              <w:rPr>
                <w:rFonts w:ascii="sans-serif" w:eastAsia="sans-serif" w:hAnsi="sans-serif" w:cs="sans-serif"/>
                <w:color w:val="000000"/>
                <w:sz w:val="18"/>
                <w:szCs w:val="18"/>
              </w:rPr>
              <w:t>(12,840)</w:t>
            </w:r>
          </w:p>
        </w:tc>
        <w:tc>
          <w:tcPr>
            <w:tcW w:w="0" w:type="auto"/>
            <w:shd w:val="clear" w:color="auto" w:fill="E2EFD9"/>
            <w:tcMar>
              <w:top w:w="40" w:type="dxa"/>
              <w:left w:w="0" w:type="dxa"/>
              <w:bottom w:w="40" w:type="dxa"/>
              <w:right w:w="20" w:type="dxa"/>
            </w:tcMar>
            <w:vAlign w:val="bottom"/>
          </w:tcPr>
          <w:p w14:paraId="1E80414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144"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145" w14:textId="77777777" w:rsidR="00F20ABF" w:rsidRDefault="00CA4D2F">
            <w:pPr>
              <w:jc w:val="right"/>
              <w:textAlignment w:val="bottom"/>
            </w:pPr>
            <w:r>
              <w:rPr>
                <w:rFonts w:ascii="sans-serif" w:eastAsia="sans-serif" w:hAnsi="sans-serif" w:cs="sans-serif"/>
                <w:color w:val="000000"/>
                <w:sz w:val="18"/>
                <w:szCs w:val="18"/>
              </w:rPr>
              <w:t>(1,461)</w:t>
            </w:r>
          </w:p>
        </w:tc>
        <w:tc>
          <w:tcPr>
            <w:tcW w:w="0" w:type="auto"/>
            <w:shd w:val="clear" w:color="auto" w:fill="E2EFD9"/>
            <w:tcMar>
              <w:top w:w="40" w:type="dxa"/>
              <w:left w:w="0" w:type="dxa"/>
              <w:bottom w:w="40" w:type="dxa"/>
              <w:right w:w="20" w:type="dxa"/>
            </w:tcMar>
            <w:vAlign w:val="bottom"/>
          </w:tcPr>
          <w:p w14:paraId="1E804146" w14:textId="77777777" w:rsidR="00F20ABF" w:rsidRDefault="00F20ABF">
            <w:pPr>
              <w:jc w:val="right"/>
              <w:rPr>
                <w:rFonts w:ascii="宋体"/>
              </w:rPr>
            </w:pPr>
          </w:p>
        </w:tc>
      </w:tr>
      <w:tr w:rsidR="00F20ABF" w14:paraId="1E80414E" w14:textId="77777777">
        <w:trPr>
          <w:jc w:val="center"/>
        </w:trPr>
        <w:tc>
          <w:tcPr>
            <w:tcW w:w="0" w:type="auto"/>
            <w:gridSpan w:val="3"/>
            <w:shd w:val="clear" w:color="auto" w:fill="FFFFFF"/>
            <w:tcMar>
              <w:top w:w="40" w:type="dxa"/>
              <w:left w:w="155" w:type="dxa"/>
              <w:bottom w:w="40" w:type="dxa"/>
              <w:right w:w="20" w:type="dxa"/>
            </w:tcMar>
            <w:vAlign w:val="bottom"/>
          </w:tcPr>
          <w:p w14:paraId="1E804148" w14:textId="77777777" w:rsidR="00F20ABF" w:rsidRDefault="00CA4D2F">
            <w:pPr>
              <w:textAlignment w:val="bottom"/>
            </w:pPr>
            <w:r>
              <w:rPr>
                <w:rFonts w:ascii="sans-serif" w:eastAsia="sans-serif" w:hAnsi="sans-serif" w:cs="sans-serif"/>
                <w:color w:val="000000"/>
                <w:sz w:val="18"/>
                <w:szCs w:val="18"/>
              </w:rPr>
              <w:t>Acquisitions, net of cash acquired</w:t>
            </w:r>
          </w:p>
        </w:tc>
        <w:tc>
          <w:tcPr>
            <w:tcW w:w="0" w:type="auto"/>
            <w:gridSpan w:val="2"/>
            <w:shd w:val="clear" w:color="auto" w:fill="FFFFFF"/>
            <w:tcMar>
              <w:top w:w="40" w:type="dxa"/>
              <w:left w:w="20" w:type="dxa"/>
              <w:bottom w:w="40" w:type="dxa"/>
              <w:right w:w="0" w:type="dxa"/>
            </w:tcMar>
            <w:vAlign w:val="bottom"/>
          </w:tcPr>
          <w:p w14:paraId="1E804149" w14:textId="77777777" w:rsidR="00F20ABF" w:rsidRDefault="00CA4D2F">
            <w:pPr>
              <w:jc w:val="right"/>
              <w:textAlignment w:val="bottom"/>
            </w:pPr>
            <w:r>
              <w:rPr>
                <w:rFonts w:ascii="sans-serif" w:eastAsia="sans-serif" w:hAnsi="sans-serif" w:cs="sans-serif"/>
                <w:color w:val="000000"/>
                <w:sz w:val="18"/>
                <w:szCs w:val="18"/>
              </w:rPr>
              <w:t>(8,524)</w:t>
            </w:r>
          </w:p>
        </w:tc>
        <w:tc>
          <w:tcPr>
            <w:tcW w:w="0" w:type="auto"/>
            <w:shd w:val="clear" w:color="auto" w:fill="FFFFFF"/>
            <w:tcMar>
              <w:top w:w="40" w:type="dxa"/>
              <w:left w:w="0" w:type="dxa"/>
              <w:bottom w:w="40" w:type="dxa"/>
              <w:right w:w="20" w:type="dxa"/>
            </w:tcMar>
            <w:vAlign w:val="bottom"/>
          </w:tcPr>
          <w:p w14:paraId="1E80414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14B"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14C" w14:textId="77777777" w:rsidR="00F20ABF" w:rsidRDefault="00CA4D2F">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1E80414D" w14:textId="77777777" w:rsidR="00F20ABF" w:rsidRDefault="00F20ABF">
            <w:pPr>
              <w:jc w:val="right"/>
              <w:rPr>
                <w:rFonts w:ascii="宋体"/>
              </w:rPr>
            </w:pPr>
          </w:p>
        </w:tc>
      </w:tr>
      <w:tr w:rsidR="00F20ABF" w14:paraId="1E804155" w14:textId="77777777">
        <w:trPr>
          <w:jc w:val="center"/>
        </w:trPr>
        <w:tc>
          <w:tcPr>
            <w:tcW w:w="0" w:type="auto"/>
            <w:gridSpan w:val="3"/>
            <w:shd w:val="clear" w:color="auto" w:fill="E2EFD9"/>
            <w:tcMar>
              <w:top w:w="40" w:type="dxa"/>
              <w:left w:w="155" w:type="dxa"/>
              <w:bottom w:w="40" w:type="dxa"/>
              <w:right w:w="20" w:type="dxa"/>
            </w:tcMar>
            <w:vAlign w:val="bottom"/>
          </w:tcPr>
          <w:p w14:paraId="1E80414F" w14:textId="77777777" w:rsidR="00F20ABF" w:rsidRDefault="00CA4D2F">
            <w:pPr>
              <w:textAlignment w:val="bottom"/>
            </w:pPr>
            <w:r>
              <w:rPr>
                <w:rFonts w:ascii="sans-serif" w:eastAsia="sans-serif" w:hAnsi="sans-serif" w:cs="sans-serif"/>
                <w:color w:val="000000"/>
                <w:sz w:val="18"/>
                <w:szCs w:val="18"/>
              </w:rPr>
              <w:t>Purchases related to property and equipment and intangible assets</w:t>
            </w:r>
          </w:p>
        </w:tc>
        <w:tc>
          <w:tcPr>
            <w:tcW w:w="0" w:type="auto"/>
            <w:gridSpan w:val="2"/>
            <w:shd w:val="clear" w:color="auto" w:fill="E2EFD9"/>
            <w:tcMar>
              <w:top w:w="40" w:type="dxa"/>
              <w:left w:w="20" w:type="dxa"/>
              <w:bottom w:w="40" w:type="dxa"/>
              <w:right w:w="0" w:type="dxa"/>
            </w:tcMar>
            <w:vAlign w:val="bottom"/>
          </w:tcPr>
          <w:p w14:paraId="1E804150" w14:textId="77777777" w:rsidR="00F20ABF" w:rsidRDefault="00CA4D2F">
            <w:pPr>
              <w:jc w:val="right"/>
              <w:textAlignment w:val="bottom"/>
            </w:pPr>
            <w:r>
              <w:rPr>
                <w:rFonts w:ascii="sans-serif" w:eastAsia="sans-serif" w:hAnsi="sans-serif" w:cs="sans-serif"/>
                <w:color w:val="000000"/>
                <w:sz w:val="18"/>
                <w:szCs w:val="18"/>
              </w:rPr>
              <w:t>(845)</w:t>
            </w:r>
          </w:p>
        </w:tc>
        <w:tc>
          <w:tcPr>
            <w:tcW w:w="0" w:type="auto"/>
            <w:shd w:val="clear" w:color="auto" w:fill="E2EFD9"/>
            <w:tcMar>
              <w:top w:w="40" w:type="dxa"/>
              <w:left w:w="0" w:type="dxa"/>
              <w:bottom w:w="40" w:type="dxa"/>
              <w:right w:w="20" w:type="dxa"/>
            </w:tcMar>
            <w:vAlign w:val="bottom"/>
          </w:tcPr>
          <w:p w14:paraId="1E80415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152"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153" w14:textId="77777777" w:rsidR="00F20ABF" w:rsidRDefault="00CA4D2F">
            <w:pPr>
              <w:jc w:val="right"/>
              <w:textAlignment w:val="bottom"/>
            </w:pPr>
            <w:r>
              <w:rPr>
                <w:rFonts w:ascii="sans-serif" w:eastAsia="sans-serif" w:hAnsi="sans-serif" w:cs="sans-serif"/>
                <w:color w:val="000000"/>
                <w:sz w:val="18"/>
                <w:szCs w:val="18"/>
              </w:rPr>
              <w:t>(344)</w:t>
            </w:r>
          </w:p>
        </w:tc>
        <w:tc>
          <w:tcPr>
            <w:tcW w:w="0" w:type="auto"/>
            <w:shd w:val="clear" w:color="auto" w:fill="E2EFD9"/>
            <w:tcMar>
              <w:top w:w="40" w:type="dxa"/>
              <w:left w:w="0" w:type="dxa"/>
              <w:bottom w:w="40" w:type="dxa"/>
              <w:right w:w="20" w:type="dxa"/>
            </w:tcMar>
            <w:vAlign w:val="bottom"/>
          </w:tcPr>
          <w:p w14:paraId="1E804154" w14:textId="77777777" w:rsidR="00F20ABF" w:rsidRDefault="00F20ABF">
            <w:pPr>
              <w:jc w:val="right"/>
              <w:rPr>
                <w:rFonts w:ascii="宋体"/>
              </w:rPr>
            </w:pPr>
          </w:p>
        </w:tc>
      </w:tr>
      <w:tr w:rsidR="00F20ABF" w14:paraId="1E80415C" w14:textId="77777777">
        <w:trPr>
          <w:jc w:val="center"/>
        </w:trPr>
        <w:tc>
          <w:tcPr>
            <w:tcW w:w="0" w:type="auto"/>
            <w:gridSpan w:val="3"/>
            <w:shd w:val="clear" w:color="auto" w:fill="FFFFFF"/>
            <w:tcMar>
              <w:top w:w="40" w:type="dxa"/>
              <w:left w:w="155" w:type="dxa"/>
              <w:bottom w:w="40" w:type="dxa"/>
              <w:right w:w="20" w:type="dxa"/>
            </w:tcMar>
            <w:vAlign w:val="bottom"/>
          </w:tcPr>
          <w:p w14:paraId="1E804156" w14:textId="77777777" w:rsidR="00F20ABF" w:rsidRDefault="00CA4D2F">
            <w:pPr>
              <w:textAlignment w:val="bottom"/>
            </w:pPr>
            <w:r>
              <w:rPr>
                <w:rFonts w:ascii="sans-serif" w:eastAsia="sans-serif" w:hAnsi="sans-serif" w:cs="sans-serif"/>
                <w:color w:val="000000"/>
                <w:sz w:val="18"/>
                <w:szCs w:val="18"/>
              </w:rPr>
              <w:t>Investments and other, net</w:t>
            </w:r>
          </w:p>
        </w:tc>
        <w:tc>
          <w:tcPr>
            <w:tcW w:w="0" w:type="auto"/>
            <w:gridSpan w:val="2"/>
            <w:shd w:val="clear" w:color="auto" w:fill="FFFFFF"/>
            <w:tcMar>
              <w:top w:w="40" w:type="dxa"/>
              <w:left w:w="20" w:type="dxa"/>
              <w:bottom w:w="40" w:type="dxa"/>
              <w:right w:w="0" w:type="dxa"/>
            </w:tcMar>
            <w:vAlign w:val="bottom"/>
          </w:tcPr>
          <w:p w14:paraId="1E804157" w14:textId="77777777" w:rsidR="00F20ABF" w:rsidRDefault="00CA4D2F">
            <w:pPr>
              <w:jc w:val="right"/>
              <w:textAlignment w:val="bottom"/>
            </w:pPr>
            <w:r>
              <w:rPr>
                <w:rFonts w:ascii="sans-serif" w:eastAsia="sans-serif" w:hAnsi="sans-serif" w:cs="sans-serif"/>
                <w:color w:val="000000"/>
                <w:sz w:val="18"/>
                <w:szCs w:val="18"/>
              </w:rPr>
              <w:t>(4)</w:t>
            </w:r>
          </w:p>
        </w:tc>
        <w:tc>
          <w:tcPr>
            <w:tcW w:w="0" w:type="auto"/>
            <w:shd w:val="clear" w:color="auto" w:fill="FFFFFF"/>
            <w:tcMar>
              <w:top w:w="40" w:type="dxa"/>
              <w:left w:w="0" w:type="dxa"/>
              <w:bottom w:w="40" w:type="dxa"/>
              <w:right w:w="20" w:type="dxa"/>
            </w:tcMar>
            <w:vAlign w:val="bottom"/>
          </w:tcPr>
          <w:p w14:paraId="1E80415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159"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15A" w14:textId="77777777" w:rsidR="00F20ABF" w:rsidRDefault="00CA4D2F">
            <w:pPr>
              <w:jc w:val="right"/>
              <w:textAlignment w:val="bottom"/>
            </w:pPr>
            <w:r>
              <w:rPr>
                <w:rFonts w:ascii="sans-serif" w:eastAsia="sans-serif" w:hAnsi="sans-serif" w:cs="sans-serif"/>
                <w:color w:val="000000"/>
                <w:sz w:val="18"/>
                <w:szCs w:val="18"/>
              </w:rPr>
              <w:t>(6)</w:t>
            </w:r>
          </w:p>
        </w:tc>
        <w:tc>
          <w:tcPr>
            <w:tcW w:w="0" w:type="auto"/>
            <w:shd w:val="clear" w:color="auto" w:fill="FFFFFF"/>
            <w:tcMar>
              <w:top w:w="40" w:type="dxa"/>
              <w:left w:w="0" w:type="dxa"/>
              <w:bottom w:w="40" w:type="dxa"/>
              <w:right w:w="20" w:type="dxa"/>
            </w:tcMar>
            <w:vAlign w:val="bottom"/>
          </w:tcPr>
          <w:p w14:paraId="1E80415B" w14:textId="77777777" w:rsidR="00F20ABF" w:rsidRDefault="00F20ABF">
            <w:pPr>
              <w:jc w:val="right"/>
              <w:rPr>
                <w:rFonts w:ascii="宋体"/>
              </w:rPr>
            </w:pPr>
          </w:p>
        </w:tc>
      </w:tr>
      <w:tr w:rsidR="00F20ABF" w14:paraId="1E804163" w14:textId="77777777">
        <w:trPr>
          <w:jc w:val="center"/>
        </w:trPr>
        <w:tc>
          <w:tcPr>
            <w:tcW w:w="0" w:type="auto"/>
            <w:gridSpan w:val="3"/>
            <w:shd w:val="clear" w:color="auto" w:fill="E2EFD9"/>
            <w:tcMar>
              <w:top w:w="40" w:type="dxa"/>
              <w:left w:w="20" w:type="dxa"/>
              <w:bottom w:w="40" w:type="dxa"/>
              <w:right w:w="20" w:type="dxa"/>
            </w:tcMar>
            <w:vAlign w:val="bottom"/>
          </w:tcPr>
          <w:p w14:paraId="1E80415D" w14:textId="77777777" w:rsidR="00F20ABF" w:rsidRDefault="00CA4D2F">
            <w:pPr>
              <w:textAlignment w:val="bottom"/>
            </w:pPr>
            <w:r>
              <w:rPr>
                <w:rFonts w:ascii="sans-serif" w:eastAsia="sans-serif" w:hAnsi="sans-serif" w:cs="sans-serif"/>
                <w:color w:val="000000"/>
                <w:sz w:val="18"/>
                <w:szCs w:val="18"/>
              </w:rPr>
              <w:t>Net cash provided by (used in) investing activities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415E" w14:textId="77777777" w:rsidR="00F20ABF" w:rsidRDefault="00CA4D2F">
            <w:pPr>
              <w:jc w:val="right"/>
              <w:textAlignment w:val="bottom"/>
            </w:pPr>
            <w:r>
              <w:rPr>
                <w:rFonts w:ascii="sans-serif" w:eastAsia="sans-serif" w:hAnsi="sans-serif" w:cs="sans-serif"/>
                <w:color w:val="000000"/>
                <w:sz w:val="18"/>
                <w:szCs w:val="18"/>
              </w:rPr>
              <w:t>(16,546)</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415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160"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4161" w14:textId="77777777" w:rsidR="00F20ABF" w:rsidRDefault="00CA4D2F">
            <w:pPr>
              <w:jc w:val="right"/>
              <w:textAlignment w:val="bottom"/>
            </w:pPr>
            <w:r>
              <w:rPr>
                <w:rFonts w:ascii="sans-serif" w:eastAsia="sans-serif" w:hAnsi="sans-serif" w:cs="sans-serif"/>
                <w:color w:val="000000"/>
                <w:sz w:val="18"/>
                <w:szCs w:val="18"/>
              </w:rPr>
              <w:t>6,296 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4162" w14:textId="77777777" w:rsidR="00F20ABF" w:rsidRDefault="00F20ABF">
            <w:pPr>
              <w:jc w:val="right"/>
              <w:rPr>
                <w:rFonts w:ascii="宋体"/>
              </w:rPr>
            </w:pPr>
          </w:p>
        </w:tc>
      </w:tr>
      <w:tr w:rsidR="00F20ABF" w14:paraId="1E804168" w14:textId="77777777">
        <w:trPr>
          <w:jc w:val="center"/>
        </w:trPr>
        <w:tc>
          <w:tcPr>
            <w:tcW w:w="0" w:type="auto"/>
            <w:gridSpan w:val="3"/>
            <w:shd w:val="clear" w:color="auto" w:fill="FFFFFF"/>
            <w:tcMar>
              <w:top w:w="40" w:type="dxa"/>
              <w:left w:w="20" w:type="dxa"/>
              <w:bottom w:w="40" w:type="dxa"/>
              <w:right w:w="20" w:type="dxa"/>
            </w:tcMar>
            <w:vAlign w:val="bottom"/>
          </w:tcPr>
          <w:p w14:paraId="1E804164" w14:textId="77777777" w:rsidR="00F20ABF" w:rsidRDefault="00CA4D2F">
            <w:pPr>
              <w:textAlignment w:val="bottom"/>
            </w:pPr>
            <w:r>
              <w:rPr>
                <w:rFonts w:ascii="sans-serif" w:eastAsia="sans-serif" w:hAnsi="sans-serif" w:cs="sans-serif"/>
                <w:color w:val="000000"/>
                <w:sz w:val="18"/>
                <w:szCs w:val="18"/>
              </w:rPr>
              <w:t>Cash flows from financing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E804165" w14:textId="77777777" w:rsidR="00F20ABF" w:rsidRDefault="00CA4D2F">
            <w:pPr>
              <w:textAlignment w:val="bottom"/>
            </w:pPr>
            <w:r>
              <w:rPr>
                <w:rFonts w:ascii="sans-serif" w:eastAsia="sans-serif" w:hAnsi="sans-serif" w:cs="sans-serif"/>
                <w:color w:val="000000"/>
                <w:sz w:val="18"/>
                <w:szCs w:val="18"/>
              </w:rPr>
              <w:t> </w:t>
            </w:r>
          </w:p>
        </w:tc>
        <w:tc>
          <w:tcPr>
            <w:tcW w:w="0" w:type="auto"/>
            <w:gridSpan w:val="3"/>
            <w:shd w:val="clear" w:color="auto" w:fill="FFFFFF"/>
            <w:tcMar>
              <w:top w:w="0" w:type="dxa"/>
              <w:left w:w="20" w:type="dxa"/>
              <w:bottom w:w="0" w:type="dxa"/>
              <w:right w:w="20" w:type="dxa"/>
            </w:tcMar>
          </w:tcPr>
          <w:p w14:paraId="1E804166" w14:textId="77777777" w:rsidR="00F20ABF" w:rsidRDefault="00F20AB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E804167" w14:textId="77777777" w:rsidR="00F20ABF" w:rsidRDefault="00CA4D2F">
            <w:pPr>
              <w:textAlignment w:val="bottom"/>
            </w:pPr>
            <w:r>
              <w:rPr>
                <w:rFonts w:ascii="sans-serif" w:eastAsia="sans-serif" w:hAnsi="sans-serif" w:cs="sans-serif"/>
                <w:color w:val="000000"/>
                <w:sz w:val="18"/>
                <w:szCs w:val="18"/>
              </w:rPr>
              <w:t> </w:t>
            </w:r>
          </w:p>
        </w:tc>
      </w:tr>
      <w:tr w:rsidR="00F20ABF" w14:paraId="1E80416F" w14:textId="77777777">
        <w:trPr>
          <w:jc w:val="center"/>
        </w:trPr>
        <w:tc>
          <w:tcPr>
            <w:tcW w:w="0" w:type="auto"/>
            <w:gridSpan w:val="3"/>
            <w:shd w:val="clear" w:color="auto" w:fill="E2EFD9"/>
            <w:tcMar>
              <w:top w:w="40" w:type="dxa"/>
              <w:left w:w="155" w:type="dxa"/>
              <w:bottom w:w="40" w:type="dxa"/>
              <w:right w:w="20" w:type="dxa"/>
            </w:tcMar>
            <w:vAlign w:val="bottom"/>
          </w:tcPr>
          <w:p w14:paraId="1E804169" w14:textId="77777777" w:rsidR="00F20ABF" w:rsidRDefault="00CA4D2F">
            <w:pPr>
              <w:textAlignment w:val="bottom"/>
            </w:pPr>
            <w:r>
              <w:rPr>
                <w:rFonts w:ascii="sans-serif" w:eastAsia="sans-serif" w:hAnsi="sans-serif" w:cs="sans-serif"/>
                <w:color w:val="000000"/>
                <w:sz w:val="18"/>
                <w:szCs w:val="18"/>
              </w:rPr>
              <w:t>Issuance of debt, net of issuance costs</w:t>
            </w:r>
          </w:p>
        </w:tc>
        <w:tc>
          <w:tcPr>
            <w:tcW w:w="0" w:type="auto"/>
            <w:gridSpan w:val="2"/>
            <w:shd w:val="clear" w:color="auto" w:fill="E2EFD9"/>
            <w:tcMar>
              <w:top w:w="40" w:type="dxa"/>
              <w:left w:w="20" w:type="dxa"/>
              <w:bottom w:w="40" w:type="dxa"/>
              <w:right w:w="0" w:type="dxa"/>
            </w:tcMar>
            <w:vAlign w:val="bottom"/>
          </w:tcPr>
          <w:p w14:paraId="1E80416A" w14:textId="77777777" w:rsidR="00F20ABF" w:rsidRDefault="00CA4D2F">
            <w:pPr>
              <w:jc w:val="right"/>
              <w:textAlignment w:val="bottom"/>
            </w:pPr>
            <w:r>
              <w:rPr>
                <w:rFonts w:ascii="sans-serif" w:eastAsia="sans-serif" w:hAnsi="sans-serif" w:cs="sans-serif"/>
                <w:color w:val="000000"/>
                <w:sz w:val="18"/>
                <w:szCs w:val="18"/>
              </w:rPr>
              <w:t>4,971 </w:t>
            </w:r>
          </w:p>
        </w:tc>
        <w:tc>
          <w:tcPr>
            <w:tcW w:w="0" w:type="auto"/>
            <w:shd w:val="clear" w:color="auto" w:fill="E2EFD9"/>
            <w:tcMar>
              <w:top w:w="40" w:type="dxa"/>
              <w:left w:w="0" w:type="dxa"/>
              <w:bottom w:w="40" w:type="dxa"/>
              <w:right w:w="20" w:type="dxa"/>
            </w:tcMar>
            <w:vAlign w:val="bottom"/>
          </w:tcPr>
          <w:p w14:paraId="1E80416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16C"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16D" w14:textId="77777777" w:rsidR="00F20ABF" w:rsidRDefault="00CA4D2F">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1E80416E" w14:textId="77777777" w:rsidR="00F20ABF" w:rsidRDefault="00F20ABF">
            <w:pPr>
              <w:jc w:val="right"/>
              <w:rPr>
                <w:rFonts w:ascii="宋体"/>
              </w:rPr>
            </w:pPr>
          </w:p>
        </w:tc>
      </w:tr>
      <w:tr w:rsidR="00F20ABF" w14:paraId="1E804176" w14:textId="77777777">
        <w:trPr>
          <w:jc w:val="center"/>
        </w:trPr>
        <w:tc>
          <w:tcPr>
            <w:tcW w:w="0" w:type="auto"/>
            <w:gridSpan w:val="3"/>
            <w:shd w:val="clear" w:color="auto" w:fill="FFFFFF"/>
            <w:tcMar>
              <w:top w:w="40" w:type="dxa"/>
              <w:left w:w="155" w:type="dxa"/>
              <w:bottom w:w="40" w:type="dxa"/>
              <w:right w:w="20" w:type="dxa"/>
            </w:tcMar>
            <w:vAlign w:val="bottom"/>
          </w:tcPr>
          <w:p w14:paraId="1E804170" w14:textId="77777777" w:rsidR="00F20ABF" w:rsidRDefault="00CA4D2F">
            <w:pPr>
              <w:textAlignment w:val="bottom"/>
            </w:pPr>
            <w:r>
              <w:rPr>
                <w:rFonts w:ascii="sans-serif" w:eastAsia="sans-serif" w:hAnsi="sans-serif" w:cs="sans-serif"/>
                <w:color w:val="000000"/>
                <w:sz w:val="18"/>
                <w:szCs w:val="18"/>
              </w:rPr>
              <w:t>Proceeds related to employee stock plans</w:t>
            </w:r>
          </w:p>
        </w:tc>
        <w:tc>
          <w:tcPr>
            <w:tcW w:w="0" w:type="auto"/>
            <w:gridSpan w:val="2"/>
            <w:shd w:val="clear" w:color="auto" w:fill="FFFFFF"/>
            <w:tcMar>
              <w:top w:w="40" w:type="dxa"/>
              <w:left w:w="20" w:type="dxa"/>
              <w:bottom w:w="40" w:type="dxa"/>
              <w:right w:w="0" w:type="dxa"/>
            </w:tcMar>
            <w:vAlign w:val="bottom"/>
          </w:tcPr>
          <w:p w14:paraId="1E804171" w14:textId="77777777" w:rsidR="00F20ABF" w:rsidRDefault="00CA4D2F">
            <w:pPr>
              <w:jc w:val="right"/>
              <w:textAlignment w:val="bottom"/>
            </w:pPr>
            <w:r>
              <w:rPr>
                <w:rFonts w:ascii="sans-serif" w:eastAsia="sans-serif" w:hAnsi="sans-serif" w:cs="sans-serif"/>
                <w:color w:val="000000"/>
                <w:sz w:val="18"/>
                <w:szCs w:val="18"/>
              </w:rPr>
              <w:t>190 </w:t>
            </w:r>
          </w:p>
        </w:tc>
        <w:tc>
          <w:tcPr>
            <w:tcW w:w="0" w:type="auto"/>
            <w:shd w:val="clear" w:color="auto" w:fill="FFFFFF"/>
            <w:tcMar>
              <w:top w:w="40" w:type="dxa"/>
              <w:left w:w="0" w:type="dxa"/>
              <w:bottom w:w="40" w:type="dxa"/>
              <w:right w:w="20" w:type="dxa"/>
            </w:tcMar>
            <w:vAlign w:val="bottom"/>
          </w:tcPr>
          <w:p w14:paraId="1E80417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17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174" w14:textId="77777777" w:rsidR="00F20ABF" w:rsidRDefault="00CA4D2F">
            <w:pPr>
              <w:jc w:val="right"/>
              <w:textAlignment w:val="bottom"/>
            </w:pPr>
            <w:r>
              <w:rPr>
                <w:rFonts w:ascii="sans-serif" w:eastAsia="sans-serif" w:hAnsi="sans-serif" w:cs="sans-serif"/>
                <w:color w:val="000000"/>
                <w:sz w:val="18"/>
                <w:szCs w:val="18"/>
              </w:rPr>
              <w:t>146 </w:t>
            </w:r>
          </w:p>
        </w:tc>
        <w:tc>
          <w:tcPr>
            <w:tcW w:w="0" w:type="auto"/>
            <w:shd w:val="clear" w:color="auto" w:fill="FFFFFF"/>
            <w:tcMar>
              <w:top w:w="40" w:type="dxa"/>
              <w:left w:w="0" w:type="dxa"/>
              <w:bottom w:w="40" w:type="dxa"/>
              <w:right w:w="20" w:type="dxa"/>
            </w:tcMar>
            <w:vAlign w:val="bottom"/>
          </w:tcPr>
          <w:p w14:paraId="1E804175" w14:textId="77777777" w:rsidR="00F20ABF" w:rsidRDefault="00F20ABF">
            <w:pPr>
              <w:jc w:val="right"/>
              <w:rPr>
                <w:rFonts w:ascii="宋体"/>
              </w:rPr>
            </w:pPr>
          </w:p>
        </w:tc>
      </w:tr>
      <w:tr w:rsidR="00F20ABF" w14:paraId="1E80417D" w14:textId="77777777">
        <w:trPr>
          <w:jc w:val="center"/>
        </w:trPr>
        <w:tc>
          <w:tcPr>
            <w:tcW w:w="0" w:type="auto"/>
            <w:gridSpan w:val="3"/>
            <w:shd w:val="clear" w:color="auto" w:fill="E2EFD9"/>
            <w:tcMar>
              <w:top w:w="40" w:type="dxa"/>
              <w:left w:w="155" w:type="dxa"/>
              <w:bottom w:w="40" w:type="dxa"/>
              <w:right w:w="20" w:type="dxa"/>
            </w:tcMar>
            <w:vAlign w:val="bottom"/>
          </w:tcPr>
          <w:p w14:paraId="1E804177" w14:textId="77777777" w:rsidR="00F20ABF" w:rsidRDefault="00CA4D2F">
            <w:pPr>
              <w:textAlignment w:val="bottom"/>
            </w:pPr>
            <w:r>
              <w:rPr>
                <w:rFonts w:ascii="sans-serif" w:eastAsia="sans-serif" w:hAnsi="sans-serif" w:cs="sans-serif"/>
                <w:color w:val="000000"/>
                <w:sz w:val="18"/>
                <w:szCs w:val="18"/>
              </w:rPr>
              <w:t>Payments related to tax on restricted stock units</w:t>
            </w:r>
          </w:p>
        </w:tc>
        <w:tc>
          <w:tcPr>
            <w:tcW w:w="0" w:type="auto"/>
            <w:gridSpan w:val="2"/>
            <w:shd w:val="clear" w:color="auto" w:fill="E2EFD9"/>
            <w:tcMar>
              <w:top w:w="40" w:type="dxa"/>
              <w:left w:w="20" w:type="dxa"/>
              <w:bottom w:w="40" w:type="dxa"/>
              <w:right w:w="0" w:type="dxa"/>
            </w:tcMar>
            <w:vAlign w:val="bottom"/>
          </w:tcPr>
          <w:p w14:paraId="1E804178" w14:textId="77777777" w:rsidR="00F20ABF" w:rsidRDefault="00CA4D2F">
            <w:pPr>
              <w:jc w:val="right"/>
              <w:textAlignment w:val="bottom"/>
            </w:pPr>
            <w:r>
              <w:rPr>
                <w:rFonts w:ascii="sans-serif" w:eastAsia="sans-serif" w:hAnsi="sans-serif" w:cs="sans-serif"/>
                <w:color w:val="000000"/>
                <w:sz w:val="18"/>
                <w:szCs w:val="18"/>
              </w:rPr>
              <w:t>(716)</w:t>
            </w:r>
          </w:p>
        </w:tc>
        <w:tc>
          <w:tcPr>
            <w:tcW w:w="0" w:type="auto"/>
            <w:shd w:val="clear" w:color="auto" w:fill="E2EFD9"/>
            <w:tcMar>
              <w:top w:w="40" w:type="dxa"/>
              <w:left w:w="0" w:type="dxa"/>
              <w:bottom w:w="40" w:type="dxa"/>
              <w:right w:w="20" w:type="dxa"/>
            </w:tcMar>
            <w:vAlign w:val="bottom"/>
          </w:tcPr>
          <w:p w14:paraId="1E80417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17A"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17B" w14:textId="77777777" w:rsidR="00F20ABF" w:rsidRDefault="00CA4D2F">
            <w:pPr>
              <w:jc w:val="right"/>
              <w:textAlignment w:val="bottom"/>
            </w:pPr>
            <w:r>
              <w:rPr>
                <w:rFonts w:ascii="sans-serif" w:eastAsia="sans-serif" w:hAnsi="sans-serif" w:cs="sans-serif"/>
                <w:color w:val="000000"/>
                <w:sz w:val="18"/>
                <w:szCs w:val="18"/>
              </w:rPr>
              <w:t>(463)</w:t>
            </w:r>
          </w:p>
        </w:tc>
        <w:tc>
          <w:tcPr>
            <w:tcW w:w="0" w:type="auto"/>
            <w:shd w:val="clear" w:color="auto" w:fill="E2EFD9"/>
            <w:tcMar>
              <w:top w:w="40" w:type="dxa"/>
              <w:left w:w="0" w:type="dxa"/>
              <w:bottom w:w="40" w:type="dxa"/>
              <w:right w:w="20" w:type="dxa"/>
            </w:tcMar>
            <w:vAlign w:val="bottom"/>
          </w:tcPr>
          <w:p w14:paraId="1E80417C" w14:textId="77777777" w:rsidR="00F20ABF" w:rsidRDefault="00F20ABF">
            <w:pPr>
              <w:jc w:val="right"/>
              <w:rPr>
                <w:rFonts w:ascii="宋体"/>
              </w:rPr>
            </w:pPr>
          </w:p>
        </w:tc>
      </w:tr>
      <w:tr w:rsidR="00F20ABF" w14:paraId="1E804184" w14:textId="77777777">
        <w:trPr>
          <w:jc w:val="center"/>
        </w:trPr>
        <w:tc>
          <w:tcPr>
            <w:tcW w:w="0" w:type="auto"/>
            <w:gridSpan w:val="3"/>
            <w:shd w:val="clear" w:color="auto" w:fill="FFFFFF"/>
            <w:tcMar>
              <w:top w:w="40" w:type="dxa"/>
              <w:left w:w="155" w:type="dxa"/>
              <w:bottom w:w="40" w:type="dxa"/>
              <w:right w:w="20" w:type="dxa"/>
            </w:tcMar>
            <w:vAlign w:val="bottom"/>
          </w:tcPr>
          <w:p w14:paraId="1E80417E" w14:textId="77777777" w:rsidR="00F20ABF" w:rsidRDefault="00CA4D2F">
            <w:pPr>
              <w:textAlignment w:val="bottom"/>
            </w:pPr>
            <w:r>
              <w:rPr>
                <w:rFonts w:ascii="sans-serif" w:eastAsia="sans-serif" w:hAnsi="sans-serif" w:cs="sans-serif"/>
                <w:color w:val="000000"/>
                <w:sz w:val="18"/>
                <w:szCs w:val="18"/>
              </w:rPr>
              <w:t>Dividends paid</w:t>
            </w:r>
          </w:p>
        </w:tc>
        <w:tc>
          <w:tcPr>
            <w:tcW w:w="0" w:type="auto"/>
            <w:gridSpan w:val="2"/>
            <w:shd w:val="clear" w:color="auto" w:fill="FFFFFF"/>
            <w:tcMar>
              <w:top w:w="40" w:type="dxa"/>
              <w:left w:w="20" w:type="dxa"/>
              <w:bottom w:w="40" w:type="dxa"/>
              <w:right w:w="0" w:type="dxa"/>
            </w:tcMar>
            <w:vAlign w:val="bottom"/>
          </w:tcPr>
          <w:p w14:paraId="1E80417F" w14:textId="77777777" w:rsidR="00F20ABF" w:rsidRDefault="00CA4D2F">
            <w:pPr>
              <w:jc w:val="right"/>
              <w:textAlignment w:val="bottom"/>
            </w:pPr>
            <w:r>
              <w:rPr>
                <w:rFonts w:ascii="sans-serif" w:eastAsia="sans-serif" w:hAnsi="sans-serif" w:cs="sans-serif"/>
                <w:color w:val="000000"/>
                <w:sz w:val="18"/>
                <w:szCs w:val="18"/>
              </w:rPr>
              <w:t>(296)</w:t>
            </w:r>
          </w:p>
        </w:tc>
        <w:tc>
          <w:tcPr>
            <w:tcW w:w="0" w:type="auto"/>
            <w:shd w:val="clear" w:color="auto" w:fill="FFFFFF"/>
            <w:tcMar>
              <w:top w:w="40" w:type="dxa"/>
              <w:left w:w="0" w:type="dxa"/>
              <w:bottom w:w="40" w:type="dxa"/>
              <w:right w:w="20" w:type="dxa"/>
            </w:tcMar>
            <w:vAlign w:val="bottom"/>
          </w:tcPr>
          <w:p w14:paraId="1E804180"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181"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182" w14:textId="77777777" w:rsidR="00F20ABF" w:rsidRDefault="00CA4D2F">
            <w:pPr>
              <w:jc w:val="right"/>
              <w:textAlignment w:val="bottom"/>
            </w:pPr>
            <w:r>
              <w:rPr>
                <w:rFonts w:ascii="sans-serif" w:eastAsia="sans-serif" w:hAnsi="sans-serif" w:cs="sans-serif"/>
                <w:color w:val="000000"/>
                <w:sz w:val="18"/>
                <w:szCs w:val="18"/>
              </w:rPr>
              <w:t>(292)</w:t>
            </w:r>
          </w:p>
        </w:tc>
        <w:tc>
          <w:tcPr>
            <w:tcW w:w="0" w:type="auto"/>
            <w:shd w:val="clear" w:color="auto" w:fill="FFFFFF"/>
            <w:tcMar>
              <w:top w:w="40" w:type="dxa"/>
              <w:left w:w="0" w:type="dxa"/>
              <w:bottom w:w="40" w:type="dxa"/>
              <w:right w:w="20" w:type="dxa"/>
            </w:tcMar>
            <w:vAlign w:val="bottom"/>
          </w:tcPr>
          <w:p w14:paraId="1E804183" w14:textId="77777777" w:rsidR="00F20ABF" w:rsidRDefault="00F20ABF">
            <w:pPr>
              <w:jc w:val="right"/>
              <w:rPr>
                <w:rFonts w:ascii="宋体"/>
              </w:rPr>
            </w:pPr>
          </w:p>
        </w:tc>
      </w:tr>
      <w:tr w:rsidR="00F20ABF" w14:paraId="1E804189" w14:textId="77777777">
        <w:trPr>
          <w:jc w:val="center"/>
          <w:hidden/>
        </w:trPr>
        <w:tc>
          <w:tcPr>
            <w:tcW w:w="0" w:type="auto"/>
            <w:gridSpan w:val="3"/>
            <w:shd w:val="clear" w:color="auto" w:fill="auto"/>
          </w:tcPr>
          <w:p w14:paraId="1E804185" w14:textId="77777777" w:rsidR="00F20ABF" w:rsidRDefault="00F20ABF">
            <w:pPr>
              <w:rPr>
                <w:rFonts w:ascii="宋体"/>
                <w:vanish/>
              </w:rPr>
            </w:pPr>
          </w:p>
        </w:tc>
        <w:tc>
          <w:tcPr>
            <w:tcW w:w="0" w:type="auto"/>
            <w:gridSpan w:val="3"/>
            <w:shd w:val="clear" w:color="auto" w:fill="auto"/>
          </w:tcPr>
          <w:p w14:paraId="1E804186" w14:textId="77777777" w:rsidR="00F20ABF" w:rsidRDefault="00F20ABF">
            <w:pPr>
              <w:rPr>
                <w:rFonts w:ascii="宋体"/>
                <w:vanish/>
              </w:rPr>
            </w:pPr>
          </w:p>
        </w:tc>
        <w:tc>
          <w:tcPr>
            <w:tcW w:w="0" w:type="auto"/>
            <w:gridSpan w:val="3"/>
            <w:shd w:val="clear" w:color="auto" w:fill="auto"/>
          </w:tcPr>
          <w:p w14:paraId="1E804187" w14:textId="77777777" w:rsidR="00F20ABF" w:rsidRDefault="00F20ABF">
            <w:pPr>
              <w:rPr>
                <w:rFonts w:ascii="宋体"/>
                <w:vanish/>
              </w:rPr>
            </w:pPr>
          </w:p>
        </w:tc>
        <w:tc>
          <w:tcPr>
            <w:tcW w:w="0" w:type="auto"/>
            <w:gridSpan w:val="3"/>
            <w:shd w:val="clear" w:color="auto" w:fill="auto"/>
          </w:tcPr>
          <w:p w14:paraId="1E804188" w14:textId="77777777" w:rsidR="00F20ABF" w:rsidRDefault="00F20ABF">
            <w:pPr>
              <w:rPr>
                <w:rFonts w:ascii="宋体"/>
                <w:vanish/>
              </w:rPr>
            </w:pPr>
          </w:p>
        </w:tc>
      </w:tr>
      <w:tr w:rsidR="00F20ABF" w14:paraId="1E80418E" w14:textId="77777777">
        <w:trPr>
          <w:jc w:val="center"/>
          <w:hidden/>
        </w:trPr>
        <w:tc>
          <w:tcPr>
            <w:tcW w:w="0" w:type="auto"/>
            <w:gridSpan w:val="3"/>
            <w:shd w:val="clear" w:color="auto" w:fill="auto"/>
          </w:tcPr>
          <w:p w14:paraId="1E80418A" w14:textId="77777777" w:rsidR="00F20ABF" w:rsidRDefault="00F20ABF">
            <w:pPr>
              <w:rPr>
                <w:rFonts w:ascii="宋体"/>
                <w:vanish/>
              </w:rPr>
            </w:pPr>
          </w:p>
        </w:tc>
        <w:tc>
          <w:tcPr>
            <w:tcW w:w="0" w:type="auto"/>
            <w:gridSpan w:val="3"/>
            <w:shd w:val="clear" w:color="auto" w:fill="auto"/>
          </w:tcPr>
          <w:p w14:paraId="1E80418B" w14:textId="77777777" w:rsidR="00F20ABF" w:rsidRDefault="00F20ABF">
            <w:pPr>
              <w:rPr>
                <w:rFonts w:ascii="宋体"/>
                <w:vanish/>
              </w:rPr>
            </w:pPr>
          </w:p>
        </w:tc>
        <w:tc>
          <w:tcPr>
            <w:tcW w:w="0" w:type="auto"/>
            <w:gridSpan w:val="3"/>
            <w:shd w:val="clear" w:color="auto" w:fill="auto"/>
          </w:tcPr>
          <w:p w14:paraId="1E80418C" w14:textId="77777777" w:rsidR="00F20ABF" w:rsidRDefault="00F20ABF">
            <w:pPr>
              <w:rPr>
                <w:rFonts w:ascii="宋体"/>
                <w:vanish/>
              </w:rPr>
            </w:pPr>
          </w:p>
        </w:tc>
        <w:tc>
          <w:tcPr>
            <w:tcW w:w="0" w:type="auto"/>
            <w:gridSpan w:val="3"/>
            <w:shd w:val="clear" w:color="auto" w:fill="auto"/>
          </w:tcPr>
          <w:p w14:paraId="1E80418D" w14:textId="77777777" w:rsidR="00F20ABF" w:rsidRDefault="00F20ABF">
            <w:pPr>
              <w:rPr>
                <w:rFonts w:ascii="宋体"/>
                <w:vanish/>
              </w:rPr>
            </w:pPr>
          </w:p>
        </w:tc>
      </w:tr>
      <w:tr w:rsidR="00F20ABF" w14:paraId="1E804193" w14:textId="77777777">
        <w:trPr>
          <w:jc w:val="center"/>
          <w:hidden/>
        </w:trPr>
        <w:tc>
          <w:tcPr>
            <w:tcW w:w="0" w:type="auto"/>
            <w:gridSpan w:val="3"/>
            <w:shd w:val="clear" w:color="auto" w:fill="auto"/>
          </w:tcPr>
          <w:p w14:paraId="1E80418F" w14:textId="77777777" w:rsidR="00F20ABF" w:rsidRDefault="00F20ABF">
            <w:pPr>
              <w:rPr>
                <w:rFonts w:ascii="宋体"/>
                <w:vanish/>
              </w:rPr>
            </w:pPr>
          </w:p>
        </w:tc>
        <w:tc>
          <w:tcPr>
            <w:tcW w:w="0" w:type="auto"/>
            <w:gridSpan w:val="3"/>
            <w:shd w:val="clear" w:color="auto" w:fill="auto"/>
          </w:tcPr>
          <w:p w14:paraId="1E804190" w14:textId="77777777" w:rsidR="00F20ABF" w:rsidRDefault="00F20ABF">
            <w:pPr>
              <w:rPr>
                <w:rFonts w:ascii="宋体"/>
                <w:vanish/>
              </w:rPr>
            </w:pPr>
          </w:p>
        </w:tc>
        <w:tc>
          <w:tcPr>
            <w:tcW w:w="0" w:type="auto"/>
            <w:gridSpan w:val="3"/>
            <w:shd w:val="clear" w:color="auto" w:fill="auto"/>
          </w:tcPr>
          <w:p w14:paraId="1E804191" w14:textId="77777777" w:rsidR="00F20ABF" w:rsidRDefault="00F20ABF">
            <w:pPr>
              <w:rPr>
                <w:rFonts w:ascii="宋体"/>
                <w:vanish/>
              </w:rPr>
            </w:pPr>
          </w:p>
        </w:tc>
        <w:tc>
          <w:tcPr>
            <w:tcW w:w="0" w:type="auto"/>
            <w:gridSpan w:val="3"/>
            <w:shd w:val="clear" w:color="auto" w:fill="auto"/>
          </w:tcPr>
          <w:p w14:paraId="1E804192" w14:textId="77777777" w:rsidR="00F20ABF" w:rsidRDefault="00F20ABF">
            <w:pPr>
              <w:rPr>
                <w:rFonts w:ascii="宋体"/>
                <w:vanish/>
              </w:rPr>
            </w:pPr>
          </w:p>
        </w:tc>
      </w:tr>
      <w:tr w:rsidR="00F20ABF" w14:paraId="1E80419A" w14:textId="77777777">
        <w:trPr>
          <w:jc w:val="center"/>
        </w:trPr>
        <w:tc>
          <w:tcPr>
            <w:tcW w:w="0" w:type="auto"/>
            <w:gridSpan w:val="3"/>
            <w:shd w:val="clear" w:color="auto" w:fill="E2EFD9"/>
            <w:tcMar>
              <w:top w:w="40" w:type="dxa"/>
              <w:left w:w="155" w:type="dxa"/>
              <w:bottom w:w="40" w:type="dxa"/>
              <w:right w:w="20" w:type="dxa"/>
            </w:tcMar>
            <w:vAlign w:val="bottom"/>
          </w:tcPr>
          <w:p w14:paraId="1E804194" w14:textId="77777777" w:rsidR="00F20ABF" w:rsidRDefault="00CA4D2F">
            <w:pPr>
              <w:textAlignment w:val="bottom"/>
            </w:pPr>
            <w:r>
              <w:rPr>
                <w:rFonts w:ascii="sans-serif" w:eastAsia="sans-serif" w:hAnsi="sans-serif" w:cs="sans-serif"/>
                <w:color w:val="000000"/>
                <w:sz w:val="18"/>
                <w:szCs w:val="18"/>
              </w:rPr>
              <w:t>Other</w:t>
            </w:r>
          </w:p>
        </w:tc>
        <w:tc>
          <w:tcPr>
            <w:tcW w:w="0" w:type="auto"/>
            <w:gridSpan w:val="2"/>
            <w:shd w:val="clear" w:color="auto" w:fill="E2EFD9"/>
            <w:tcMar>
              <w:top w:w="40" w:type="dxa"/>
              <w:left w:w="20" w:type="dxa"/>
              <w:bottom w:w="40" w:type="dxa"/>
              <w:right w:w="0" w:type="dxa"/>
            </w:tcMar>
            <w:vAlign w:val="bottom"/>
          </w:tcPr>
          <w:p w14:paraId="1E804195" w14:textId="77777777" w:rsidR="00F20ABF" w:rsidRDefault="00CA4D2F">
            <w:pPr>
              <w:jc w:val="right"/>
              <w:textAlignment w:val="bottom"/>
            </w:pPr>
            <w:r>
              <w:rPr>
                <w:rFonts w:ascii="sans-serif" w:eastAsia="sans-serif" w:hAnsi="sans-serif" w:cs="sans-serif"/>
                <w:color w:val="000000"/>
                <w:sz w:val="18"/>
                <w:szCs w:val="18"/>
              </w:rPr>
              <w:t>(3)</w:t>
            </w:r>
          </w:p>
        </w:tc>
        <w:tc>
          <w:tcPr>
            <w:tcW w:w="0" w:type="auto"/>
            <w:shd w:val="clear" w:color="auto" w:fill="E2EFD9"/>
            <w:tcMar>
              <w:top w:w="40" w:type="dxa"/>
              <w:left w:w="0" w:type="dxa"/>
              <w:bottom w:w="40" w:type="dxa"/>
              <w:right w:w="20" w:type="dxa"/>
            </w:tcMar>
            <w:vAlign w:val="bottom"/>
          </w:tcPr>
          <w:p w14:paraId="1E80419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197"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198" w14:textId="77777777" w:rsidR="00F20ABF" w:rsidRDefault="00CA4D2F">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1E804199" w14:textId="77777777" w:rsidR="00F20ABF" w:rsidRDefault="00F20ABF">
            <w:pPr>
              <w:jc w:val="right"/>
              <w:rPr>
                <w:rFonts w:ascii="宋体"/>
              </w:rPr>
            </w:pPr>
          </w:p>
        </w:tc>
      </w:tr>
      <w:tr w:rsidR="00F20ABF" w14:paraId="1E8041A1" w14:textId="77777777">
        <w:trPr>
          <w:jc w:val="center"/>
        </w:trPr>
        <w:tc>
          <w:tcPr>
            <w:tcW w:w="0" w:type="auto"/>
            <w:gridSpan w:val="3"/>
            <w:shd w:val="clear" w:color="auto" w:fill="FFFFFF"/>
            <w:tcMar>
              <w:top w:w="40" w:type="dxa"/>
              <w:left w:w="20" w:type="dxa"/>
              <w:bottom w:w="40" w:type="dxa"/>
              <w:right w:w="20" w:type="dxa"/>
            </w:tcMar>
            <w:vAlign w:val="bottom"/>
          </w:tcPr>
          <w:p w14:paraId="1E80419B" w14:textId="77777777" w:rsidR="00F20ABF" w:rsidRDefault="00CA4D2F">
            <w:pPr>
              <w:textAlignment w:val="bottom"/>
            </w:pPr>
            <w:r>
              <w:rPr>
                <w:rFonts w:ascii="sans-serif" w:eastAsia="sans-serif" w:hAnsi="sans-serif" w:cs="sans-serif"/>
                <w:color w:val="000000"/>
                <w:sz w:val="18"/>
                <w:szCs w:val="18"/>
              </w:rPr>
              <w:t>Net cash provided by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419C" w14:textId="77777777" w:rsidR="00F20ABF" w:rsidRDefault="00CA4D2F">
            <w:pPr>
              <w:jc w:val="right"/>
              <w:textAlignment w:val="bottom"/>
            </w:pPr>
            <w:r>
              <w:rPr>
                <w:rFonts w:ascii="sans-serif" w:eastAsia="sans-serif" w:hAnsi="sans-serif" w:cs="sans-serif"/>
                <w:color w:val="000000"/>
                <w:sz w:val="18"/>
                <w:szCs w:val="18"/>
              </w:rPr>
              <w:t>4,146 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419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19E"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419F" w14:textId="77777777" w:rsidR="00F20ABF" w:rsidRDefault="00CA4D2F">
            <w:pPr>
              <w:jc w:val="right"/>
              <w:textAlignment w:val="bottom"/>
            </w:pPr>
            <w:r>
              <w:rPr>
                <w:rFonts w:ascii="sans-serif" w:eastAsia="sans-serif" w:hAnsi="sans-serif" w:cs="sans-serif"/>
                <w:color w:val="000000"/>
                <w:sz w:val="18"/>
                <w:szCs w:val="18"/>
              </w:rPr>
              <w:t>(609)</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41A0" w14:textId="77777777" w:rsidR="00F20ABF" w:rsidRDefault="00F20ABF">
            <w:pPr>
              <w:jc w:val="right"/>
              <w:rPr>
                <w:rFonts w:ascii="宋体"/>
              </w:rPr>
            </w:pPr>
          </w:p>
        </w:tc>
      </w:tr>
      <w:tr w:rsidR="00F20ABF" w14:paraId="1E8041A8" w14:textId="77777777">
        <w:trPr>
          <w:jc w:val="center"/>
        </w:trPr>
        <w:tc>
          <w:tcPr>
            <w:tcW w:w="0" w:type="auto"/>
            <w:gridSpan w:val="3"/>
            <w:shd w:val="clear" w:color="auto" w:fill="E2EFD9"/>
            <w:tcMar>
              <w:top w:w="40" w:type="dxa"/>
              <w:left w:w="20" w:type="dxa"/>
              <w:bottom w:w="40" w:type="dxa"/>
              <w:right w:w="20" w:type="dxa"/>
            </w:tcMar>
            <w:vAlign w:val="bottom"/>
          </w:tcPr>
          <w:p w14:paraId="1E8041A2" w14:textId="77777777" w:rsidR="00F20ABF" w:rsidRDefault="00CA4D2F">
            <w:pPr>
              <w:textAlignment w:val="bottom"/>
            </w:pPr>
            <w:r>
              <w:rPr>
                <w:rFonts w:ascii="sans-serif" w:eastAsia="sans-serif" w:hAnsi="sans-serif" w:cs="sans-serif"/>
                <w:color w:val="000000"/>
                <w:sz w:val="18"/>
                <w:szCs w:val="18"/>
              </w:rPr>
              <w:t xml:space="preserve">Change in cash and cash </w:t>
            </w:r>
            <w:r>
              <w:rPr>
                <w:rFonts w:ascii="sans-serif" w:eastAsia="sans-serif" w:hAnsi="sans-serif" w:cs="sans-serif"/>
                <w:color w:val="000000"/>
                <w:sz w:val="18"/>
                <w:szCs w:val="18"/>
              </w:rPr>
              <w:t>equivalents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41A3" w14:textId="77777777" w:rsidR="00F20ABF" w:rsidRDefault="00CA4D2F">
            <w:pPr>
              <w:jc w:val="right"/>
              <w:textAlignment w:val="bottom"/>
            </w:pPr>
            <w:r>
              <w:rPr>
                <w:rFonts w:ascii="sans-serif" w:eastAsia="sans-serif" w:hAnsi="sans-serif" w:cs="sans-serif"/>
                <w:color w:val="000000"/>
                <w:sz w:val="18"/>
                <w:szCs w:val="18"/>
              </w:rPr>
              <w:t>(8,645)</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41A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1A5"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41A6" w14:textId="77777777" w:rsidR="00F20ABF" w:rsidRDefault="00CA4D2F">
            <w:pPr>
              <w:jc w:val="right"/>
              <w:textAlignment w:val="bottom"/>
            </w:pPr>
            <w:r>
              <w:rPr>
                <w:rFonts w:ascii="sans-serif" w:eastAsia="sans-serif" w:hAnsi="sans-serif" w:cs="sans-serif"/>
                <w:color w:val="000000"/>
                <w:sz w:val="18"/>
                <w:szCs w:val="18"/>
              </w:rPr>
              <w:t>8,983 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41A7" w14:textId="77777777" w:rsidR="00F20ABF" w:rsidRDefault="00F20ABF">
            <w:pPr>
              <w:jc w:val="right"/>
              <w:rPr>
                <w:rFonts w:ascii="宋体"/>
              </w:rPr>
            </w:pPr>
          </w:p>
        </w:tc>
      </w:tr>
      <w:tr w:rsidR="00F20ABF" w14:paraId="1E8041AF" w14:textId="77777777">
        <w:trPr>
          <w:jc w:val="center"/>
        </w:trPr>
        <w:tc>
          <w:tcPr>
            <w:tcW w:w="0" w:type="auto"/>
            <w:gridSpan w:val="3"/>
            <w:shd w:val="clear" w:color="auto" w:fill="FFFFFF"/>
            <w:tcMar>
              <w:top w:w="40" w:type="dxa"/>
              <w:left w:w="20" w:type="dxa"/>
              <w:bottom w:w="40" w:type="dxa"/>
              <w:right w:w="20" w:type="dxa"/>
            </w:tcMar>
            <w:vAlign w:val="bottom"/>
          </w:tcPr>
          <w:p w14:paraId="1E8041A9" w14:textId="77777777" w:rsidR="00F20ABF" w:rsidRDefault="00CA4D2F">
            <w:pPr>
              <w:textAlignment w:val="bottom"/>
            </w:pPr>
            <w:r>
              <w:rPr>
                <w:rFonts w:ascii="sans-serif" w:eastAsia="sans-serif" w:hAnsi="sans-serif" w:cs="sans-serif"/>
                <w:color w:val="000000"/>
                <w:sz w:val="18"/>
                <w:szCs w:val="18"/>
              </w:rPr>
              <w:t>Cash and cash equivalents at beginning of period</w:t>
            </w:r>
          </w:p>
        </w:tc>
        <w:tc>
          <w:tcPr>
            <w:tcW w:w="0" w:type="auto"/>
            <w:gridSpan w:val="2"/>
            <w:shd w:val="clear" w:color="auto" w:fill="FFFFFF"/>
            <w:tcMar>
              <w:top w:w="40" w:type="dxa"/>
              <w:left w:w="20" w:type="dxa"/>
              <w:bottom w:w="40" w:type="dxa"/>
              <w:right w:w="0" w:type="dxa"/>
            </w:tcMar>
            <w:vAlign w:val="bottom"/>
          </w:tcPr>
          <w:p w14:paraId="1E8041AA" w14:textId="77777777" w:rsidR="00F20ABF" w:rsidRDefault="00CA4D2F">
            <w:pPr>
              <w:jc w:val="right"/>
              <w:textAlignment w:val="bottom"/>
            </w:pPr>
            <w:r>
              <w:rPr>
                <w:rFonts w:ascii="sans-serif" w:eastAsia="sans-serif" w:hAnsi="sans-serif" w:cs="sans-serif"/>
                <w:color w:val="000000"/>
                <w:sz w:val="18"/>
                <w:szCs w:val="18"/>
              </w:rPr>
              <w:t>10,896 </w:t>
            </w:r>
          </w:p>
        </w:tc>
        <w:tc>
          <w:tcPr>
            <w:tcW w:w="0" w:type="auto"/>
            <w:shd w:val="clear" w:color="auto" w:fill="FFFFFF"/>
            <w:tcMar>
              <w:top w:w="40" w:type="dxa"/>
              <w:left w:w="0" w:type="dxa"/>
              <w:bottom w:w="40" w:type="dxa"/>
              <w:right w:w="20" w:type="dxa"/>
            </w:tcMar>
            <w:vAlign w:val="bottom"/>
          </w:tcPr>
          <w:p w14:paraId="1E8041A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1AC"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1AD" w14:textId="77777777" w:rsidR="00F20ABF" w:rsidRDefault="00CA4D2F">
            <w:pPr>
              <w:jc w:val="right"/>
              <w:textAlignment w:val="bottom"/>
            </w:pPr>
            <w:r>
              <w:rPr>
                <w:rFonts w:ascii="sans-serif" w:eastAsia="sans-serif" w:hAnsi="sans-serif" w:cs="sans-serif"/>
                <w:color w:val="000000"/>
                <w:sz w:val="18"/>
                <w:szCs w:val="18"/>
              </w:rPr>
              <w:t>782 </w:t>
            </w:r>
          </w:p>
        </w:tc>
        <w:tc>
          <w:tcPr>
            <w:tcW w:w="0" w:type="auto"/>
            <w:shd w:val="clear" w:color="auto" w:fill="FFFFFF"/>
            <w:tcMar>
              <w:top w:w="40" w:type="dxa"/>
              <w:left w:w="0" w:type="dxa"/>
              <w:bottom w:w="40" w:type="dxa"/>
              <w:right w:w="20" w:type="dxa"/>
            </w:tcMar>
            <w:vAlign w:val="bottom"/>
          </w:tcPr>
          <w:p w14:paraId="1E8041AE" w14:textId="77777777" w:rsidR="00F20ABF" w:rsidRDefault="00F20ABF">
            <w:pPr>
              <w:jc w:val="right"/>
              <w:rPr>
                <w:rFonts w:ascii="宋体"/>
              </w:rPr>
            </w:pPr>
          </w:p>
        </w:tc>
      </w:tr>
      <w:tr w:rsidR="00F20ABF" w14:paraId="1E8041B8" w14:textId="77777777">
        <w:trPr>
          <w:jc w:val="center"/>
        </w:trPr>
        <w:tc>
          <w:tcPr>
            <w:tcW w:w="0" w:type="auto"/>
            <w:gridSpan w:val="3"/>
            <w:shd w:val="clear" w:color="auto" w:fill="E2EFD9"/>
            <w:tcMar>
              <w:top w:w="40" w:type="dxa"/>
              <w:left w:w="20" w:type="dxa"/>
              <w:bottom w:w="40" w:type="dxa"/>
              <w:right w:w="20" w:type="dxa"/>
            </w:tcMar>
            <w:vAlign w:val="bottom"/>
          </w:tcPr>
          <w:p w14:paraId="1E8041B0" w14:textId="77777777" w:rsidR="00F20ABF" w:rsidRDefault="00CA4D2F">
            <w:pPr>
              <w:textAlignment w:val="bottom"/>
            </w:pPr>
            <w:r>
              <w:rPr>
                <w:rFonts w:ascii="sans-serif" w:eastAsia="sans-serif" w:hAnsi="sans-serif" w:cs="sans-serif"/>
                <w:color w:val="000000"/>
                <w:sz w:val="18"/>
                <w:szCs w:val="18"/>
              </w:rPr>
              <w:t>Cash and cash equivalents at end of period</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1B1" w14:textId="77777777" w:rsidR="00F20ABF" w:rsidRDefault="00CA4D2F">
            <w:pPr>
              <w:textAlignment w:val="bottom"/>
            </w:pPr>
            <w:r>
              <w:rPr>
                <w:rFonts w:ascii="sans-serif" w:eastAsia="sans-serif" w:hAnsi="sans-serif" w:cs="sans-serif"/>
                <w:color w:val="000000"/>
                <w:sz w:val="18"/>
                <w:szCs w:val="18"/>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1B2" w14:textId="77777777" w:rsidR="00F20ABF" w:rsidRDefault="00CA4D2F">
            <w:pPr>
              <w:jc w:val="right"/>
              <w:textAlignment w:val="bottom"/>
            </w:pPr>
            <w:r>
              <w:rPr>
                <w:rFonts w:ascii="sans-serif" w:eastAsia="sans-serif" w:hAnsi="sans-serif" w:cs="sans-serif"/>
                <w:color w:val="000000"/>
                <w:sz w:val="18"/>
                <w:szCs w:val="18"/>
              </w:rPr>
              <w:t>2,251 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1B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1B4"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1B5" w14:textId="77777777" w:rsidR="00F20ABF" w:rsidRDefault="00CA4D2F">
            <w:pPr>
              <w:textAlignment w:val="bottom"/>
            </w:pPr>
            <w:r>
              <w:rPr>
                <w:rFonts w:ascii="sans-serif" w:eastAsia="sans-serif" w:hAnsi="sans-serif" w:cs="sans-serif"/>
                <w:color w:val="000000"/>
                <w:sz w:val="18"/>
                <w:szCs w:val="18"/>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1B6" w14:textId="77777777" w:rsidR="00F20ABF" w:rsidRDefault="00CA4D2F">
            <w:pPr>
              <w:jc w:val="right"/>
              <w:textAlignment w:val="bottom"/>
            </w:pPr>
            <w:r>
              <w:rPr>
                <w:rFonts w:ascii="sans-serif" w:eastAsia="sans-serif" w:hAnsi="sans-serif" w:cs="sans-serif"/>
                <w:color w:val="000000"/>
                <w:sz w:val="18"/>
                <w:szCs w:val="18"/>
              </w:rPr>
              <w:t>9,765 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1B7" w14:textId="77777777" w:rsidR="00F20ABF" w:rsidRDefault="00F20ABF">
            <w:pPr>
              <w:jc w:val="right"/>
              <w:rPr>
                <w:rFonts w:ascii="宋体"/>
              </w:rPr>
            </w:pPr>
          </w:p>
        </w:tc>
      </w:tr>
      <w:tr w:rsidR="00F20ABF" w14:paraId="1E8041BD" w14:textId="77777777">
        <w:trPr>
          <w:jc w:val="center"/>
          <w:hidden/>
        </w:trPr>
        <w:tc>
          <w:tcPr>
            <w:tcW w:w="0" w:type="auto"/>
            <w:gridSpan w:val="3"/>
            <w:shd w:val="clear" w:color="auto" w:fill="auto"/>
          </w:tcPr>
          <w:p w14:paraId="1E8041B9" w14:textId="77777777" w:rsidR="00F20ABF" w:rsidRDefault="00F20ABF">
            <w:pPr>
              <w:rPr>
                <w:rFonts w:ascii="宋体"/>
                <w:vanish/>
              </w:rPr>
            </w:pPr>
          </w:p>
        </w:tc>
        <w:tc>
          <w:tcPr>
            <w:tcW w:w="0" w:type="auto"/>
            <w:gridSpan w:val="3"/>
            <w:shd w:val="clear" w:color="auto" w:fill="auto"/>
          </w:tcPr>
          <w:p w14:paraId="1E8041BA" w14:textId="77777777" w:rsidR="00F20ABF" w:rsidRDefault="00F20ABF">
            <w:pPr>
              <w:rPr>
                <w:rFonts w:ascii="宋体"/>
                <w:vanish/>
              </w:rPr>
            </w:pPr>
          </w:p>
        </w:tc>
        <w:tc>
          <w:tcPr>
            <w:tcW w:w="0" w:type="auto"/>
            <w:gridSpan w:val="3"/>
            <w:shd w:val="clear" w:color="auto" w:fill="auto"/>
          </w:tcPr>
          <w:p w14:paraId="1E8041BB" w14:textId="77777777" w:rsidR="00F20ABF" w:rsidRDefault="00F20ABF">
            <w:pPr>
              <w:rPr>
                <w:rFonts w:ascii="宋体"/>
                <w:vanish/>
              </w:rPr>
            </w:pPr>
          </w:p>
        </w:tc>
        <w:tc>
          <w:tcPr>
            <w:tcW w:w="0" w:type="auto"/>
            <w:gridSpan w:val="3"/>
            <w:shd w:val="clear" w:color="auto" w:fill="auto"/>
          </w:tcPr>
          <w:p w14:paraId="1E8041BC" w14:textId="77777777" w:rsidR="00F20ABF" w:rsidRDefault="00F20ABF">
            <w:pPr>
              <w:rPr>
                <w:rFonts w:ascii="宋体"/>
                <w:vanish/>
              </w:rPr>
            </w:pPr>
          </w:p>
        </w:tc>
      </w:tr>
      <w:tr w:rsidR="00F20ABF" w14:paraId="1E8041C2" w14:textId="77777777">
        <w:trPr>
          <w:jc w:val="center"/>
          <w:hidden/>
        </w:trPr>
        <w:tc>
          <w:tcPr>
            <w:tcW w:w="0" w:type="auto"/>
            <w:gridSpan w:val="3"/>
            <w:shd w:val="clear" w:color="auto" w:fill="auto"/>
          </w:tcPr>
          <w:p w14:paraId="1E8041BE" w14:textId="77777777" w:rsidR="00F20ABF" w:rsidRDefault="00F20ABF">
            <w:pPr>
              <w:rPr>
                <w:rFonts w:ascii="宋体"/>
                <w:vanish/>
              </w:rPr>
            </w:pPr>
          </w:p>
        </w:tc>
        <w:tc>
          <w:tcPr>
            <w:tcW w:w="0" w:type="auto"/>
            <w:gridSpan w:val="3"/>
            <w:shd w:val="clear" w:color="auto" w:fill="auto"/>
          </w:tcPr>
          <w:p w14:paraId="1E8041BF" w14:textId="77777777" w:rsidR="00F20ABF" w:rsidRDefault="00F20ABF">
            <w:pPr>
              <w:rPr>
                <w:rFonts w:ascii="宋体"/>
                <w:vanish/>
              </w:rPr>
            </w:pPr>
          </w:p>
        </w:tc>
        <w:tc>
          <w:tcPr>
            <w:tcW w:w="0" w:type="auto"/>
            <w:gridSpan w:val="3"/>
            <w:shd w:val="clear" w:color="auto" w:fill="auto"/>
          </w:tcPr>
          <w:p w14:paraId="1E8041C0" w14:textId="77777777" w:rsidR="00F20ABF" w:rsidRDefault="00F20ABF">
            <w:pPr>
              <w:rPr>
                <w:rFonts w:ascii="宋体"/>
                <w:vanish/>
              </w:rPr>
            </w:pPr>
          </w:p>
        </w:tc>
        <w:tc>
          <w:tcPr>
            <w:tcW w:w="0" w:type="auto"/>
            <w:gridSpan w:val="3"/>
            <w:shd w:val="clear" w:color="auto" w:fill="auto"/>
          </w:tcPr>
          <w:p w14:paraId="1E8041C1" w14:textId="77777777" w:rsidR="00F20ABF" w:rsidRDefault="00F20ABF">
            <w:pPr>
              <w:rPr>
                <w:rFonts w:ascii="宋体"/>
                <w:vanish/>
              </w:rPr>
            </w:pPr>
          </w:p>
        </w:tc>
      </w:tr>
      <w:tr w:rsidR="00F20ABF" w14:paraId="1E8041C7" w14:textId="77777777">
        <w:trPr>
          <w:jc w:val="center"/>
          <w:hidden/>
        </w:trPr>
        <w:tc>
          <w:tcPr>
            <w:tcW w:w="0" w:type="auto"/>
            <w:gridSpan w:val="3"/>
            <w:shd w:val="clear" w:color="auto" w:fill="auto"/>
          </w:tcPr>
          <w:p w14:paraId="1E8041C3" w14:textId="77777777" w:rsidR="00F20ABF" w:rsidRDefault="00F20ABF">
            <w:pPr>
              <w:rPr>
                <w:rFonts w:ascii="宋体"/>
                <w:vanish/>
              </w:rPr>
            </w:pPr>
          </w:p>
        </w:tc>
        <w:tc>
          <w:tcPr>
            <w:tcW w:w="0" w:type="auto"/>
            <w:gridSpan w:val="3"/>
            <w:shd w:val="clear" w:color="auto" w:fill="auto"/>
          </w:tcPr>
          <w:p w14:paraId="1E8041C4" w14:textId="77777777" w:rsidR="00F20ABF" w:rsidRDefault="00F20ABF">
            <w:pPr>
              <w:rPr>
                <w:rFonts w:ascii="宋体"/>
                <w:vanish/>
              </w:rPr>
            </w:pPr>
          </w:p>
        </w:tc>
        <w:tc>
          <w:tcPr>
            <w:tcW w:w="0" w:type="auto"/>
            <w:gridSpan w:val="3"/>
            <w:shd w:val="clear" w:color="auto" w:fill="auto"/>
          </w:tcPr>
          <w:p w14:paraId="1E8041C5" w14:textId="77777777" w:rsidR="00F20ABF" w:rsidRDefault="00F20ABF">
            <w:pPr>
              <w:rPr>
                <w:rFonts w:ascii="宋体"/>
                <w:vanish/>
              </w:rPr>
            </w:pPr>
          </w:p>
        </w:tc>
        <w:tc>
          <w:tcPr>
            <w:tcW w:w="0" w:type="auto"/>
            <w:gridSpan w:val="3"/>
            <w:shd w:val="clear" w:color="auto" w:fill="auto"/>
          </w:tcPr>
          <w:p w14:paraId="1E8041C6" w14:textId="77777777" w:rsidR="00F20ABF" w:rsidRDefault="00F20ABF">
            <w:pPr>
              <w:rPr>
                <w:rFonts w:ascii="宋体"/>
                <w:vanish/>
              </w:rPr>
            </w:pPr>
          </w:p>
        </w:tc>
      </w:tr>
      <w:tr w:rsidR="00F20ABF" w14:paraId="1E8041CC" w14:textId="77777777">
        <w:trPr>
          <w:jc w:val="center"/>
          <w:hidden/>
        </w:trPr>
        <w:tc>
          <w:tcPr>
            <w:tcW w:w="0" w:type="auto"/>
            <w:gridSpan w:val="3"/>
            <w:shd w:val="clear" w:color="auto" w:fill="auto"/>
          </w:tcPr>
          <w:p w14:paraId="1E8041C8" w14:textId="77777777" w:rsidR="00F20ABF" w:rsidRDefault="00F20ABF">
            <w:pPr>
              <w:rPr>
                <w:rFonts w:ascii="宋体"/>
                <w:vanish/>
              </w:rPr>
            </w:pPr>
          </w:p>
        </w:tc>
        <w:tc>
          <w:tcPr>
            <w:tcW w:w="0" w:type="auto"/>
            <w:gridSpan w:val="3"/>
            <w:shd w:val="clear" w:color="auto" w:fill="auto"/>
          </w:tcPr>
          <w:p w14:paraId="1E8041C9" w14:textId="77777777" w:rsidR="00F20ABF" w:rsidRDefault="00F20ABF">
            <w:pPr>
              <w:rPr>
                <w:rFonts w:ascii="宋体"/>
                <w:vanish/>
              </w:rPr>
            </w:pPr>
          </w:p>
        </w:tc>
        <w:tc>
          <w:tcPr>
            <w:tcW w:w="0" w:type="auto"/>
            <w:gridSpan w:val="3"/>
            <w:shd w:val="clear" w:color="auto" w:fill="auto"/>
          </w:tcPr>
          <w:p w14:paraId="1E8041CA" w14:textId="77777777" w:rsidR="00F20ABF" w:rsidRDefault="00F20ABF">
            <w:pPr>
              <w:rPr>
                <w:rFonts w:ascii="宋体"/>
                <w:vanish/>
              </w:rPr>
            </w:pPr>
          </w:p>
        </w:tc>
        <w:tc>
          <w:tcPr>
            <w:tcW w:w="0" w:type="auto"/>
            <w:gridSpan w:val="3"/>
            <w:shd w:val="clear" w:color="auto" w:fill="auto"/>
          </w:tcPr>
          <w:p w14:paraId="1E8041CB" w14:textId="77777777" w:rsidR="00F20ABF" w:rsidRDefault="00F20ABF">
            <w:pPr>
              <w:rPr>
                <w:rFonts w:ascii="宋体"/>
                <w:vanish/>
              </w:rPr>
            </w:pPr>
          </w:p>
        </w:tc>
      </w:tr>
    </w:tbl>
    <w:p w14:paraId="1E8041CD" w14:textId="77777777" w:rsidR="00F20ABF" w:rsidRDefault="00CA4D2F">
      <w:pPr>
        <w:spacing w:after="180"/>
        <w:jc w:val="center"/>
      </w:pPr>
      <w:r>
        <w:rPr>
          <w:rFonts w:ascii="sans-serif" w:eastAsia="sans-serif" w:hAnsi="sans-serif" w:cs="sans-serif"/>
          <w:color w:val="000000"/>
          <w:sz w:val="20"/>
          <w:szCs w:val="20"/>
        </w:rPr>
        <w:t xml:space="preserve">See accompanying Notes to Condensed Consolidated Financial </w:t>
      </w:r>
      <w:r>
        <w:rPr>
          <w:rFonts w:ascii="sans-serif" w:eastAsia="sans-serif" w:hAnsi="sans-serif" w:cs="sans-serif"/>
          <w:color w:val="000000"/>
          <w:sz w:val="20"/>
          <w:szCs w:val="20"/>
        </w:rPr>
        <w:t>Statements.</w:t>
      </w:r>
    </w:p>
    <w:p w14:paraId="1E8041CE" w14:textId="77777777" w:rsidR="00F20ABF" w:rsidRDefault="00CA4D2F">
      <w:pPr>
        <w:spacing w:after="180"/>
        <w:jc w:val="center"/>
      </w:pPr>
      <w:r>
        <w:rPr>
          <w:rFonts w:ascii="sans-serif" w:eastAsia="sans-serif" w:hAnsi="sans-serif" w:cs="sans-serif"/>
          <w:color w:val="000000"/>
          <w:sz w:val="20"/>
          <w:szCs w:val="20"/>
        </w:rPr>
        <w:t>8</w:t>
      </w:r>
    </w:p>
    <w:p w14:paraId="1E8041CF" w14:textId="77777777" w:rsidR="00F20ABF" w:rsidRDefault="00CA4D2F">
      <w:r>
        <w:pict w14:anchorId="1E805583">
          <v:rect id="_x0000_i1032" style="width:415.3pt;height:1.5pt" o:hralign="center" o:hrstd="t" o:hr="t" fillcolor="#a0a0a0" stroked="f"/>
        </w:pict>
      </w:r>
    </w:p>
    <w:p w14:paraId="1E8041D0" w14:textId="77777777" w:rsidR="00F20ABF" w:rsidRDefault="00CA4D2F">
      <w:pPr>
        <w:jc w:val="center"/>
      </w:pPr>
      <w:r>
        <w:rPr>
          <w:rFonts w:ascii="sans-serif" w:eastAsia="sans-serif" w:hAnsi="sans-serif" w:cs="sans-serif"/>
          <w:b/>
          <w:bCs/>
          <w:color w:val="000000"/>
          <w:sz w:val="20"/>
          <w:szCs w:val="20"/>
        </w:rPr>
        <w:t>NVIDIA CORPORATION AND SUBSIDIARIES</w:t>
      </w:r>
    </w:p>
    <w:p w14:paraId="1E8041D1" w14:textId="77777777" w:rsidR="00F20ABF" w:rsidRDefault="00CA4D2F">
      <w:pPr>
        <w:jc w:val="center"/>
      </w:pPr>
      <w:r>
        <w:rPr>
          <w:rFonts w:ascii="sans-serif" w:eastAsia="sans-serif" w:hAnsi="sans-serif" w:cs="sans-serif"/>
          <w:b/>
          <w:bCs/>
          <w:color w:val="000000"/>
          <w:sz w:val="20"/>
          <w:szCs w:val="20"/>
        </w:rPr>
        <w:t>NOTES TO CONDENSED CONSOLIDATED FINANCIAL STATEMENTS</w:t>
      </w:r>
    </w:p>
    <w:p w14:paraId="1E8041D2" w14:textId="77777777" w:rsidR="00F20ABF" w:rsidRDefault="00CA4D2F">
      <w:pPr>
        <w:jc w:val="center"/>
      </w:pPr>
      <w:r>
        <w:rPr>
          <w:rFonts w:ascii="sans-serif" w:eastAsia="sans-serif" w:hAnsi="sans-serif" w:cs="sans-serif"/>
          <w:b/>
          <w:bCs/>
          <w:color w:val="000000"/>
          <w:sz w:val="20"/>
          <w:szCs w:val="20"/>
        </w:rPr>
        <w:t>(Unaudited)</w:t>
      </w:r>
    </w:p>
    <w:p w14:paraId="1E8041D3" w14:textId="77777777" w:rsidR="00F20ABF" w:rsidRDefault="00F20ABF">
      <w:pPr>
        <w:spacing w:after="180"/>
        <w:jc w:val="both"/>
      </w:pPr>
    </w:p>
    <w:p w14:paraId="1E8041D4" w14:textId="77777777" w:rsidR="00F20ABF" w:rsidRDefault="00F20ABF">
      <w:pPr>
        <w:spacing w:after="180"/>
        <w:jc w:val="center"/>
      </w:pPr>
    </w:p>
    <w:p w14:paraId="1E8041D5" w14:textId="77777777" w:rsidR="00F20ABF" w:rsidRDefault="00CA4D2F">
      <w:pPr>
        <w:spacing w:before="240" w:after="120"/>
        <w:jc w:val="both"/>
      </w:pPr>
      <w:r>
        <w:rPr>
          <w:rFonts w:ascii="sans-serif" w:eastAsia="sans-serif" w:hAnsi="sans-serif" w:cs="sans-serif"/>
          <w:b/>
          <w:bCs/>
          <w:color w:val="76B900"/>
          <w:sz w:val="22"/>
          <w:szCs w:val="22"/>
        </w:rPr>
        <w:t>Note 1 - Summary of Significant Accounting Policies</w:t>
      </w:r>
    </w:p>
    <w:p w14:paraId="1E8041D6" w14:textId="77777777" w:rsidR="00F20ABF" w:rsidRDefault="00CA4D2F">
      <w:pPr>
        <w:spacing w:before="240" w:after="60"/>
        <w:jc w:val="both"/>
      </w:pPr>
      <w:r>
        <w:rPr>
          <w:rFonts w:ascii="sans-serif" w:eastAsia="sans-serif" w:hAnsi="sans-serif" w:cs="sans-serif"/>
          <w:b/>
          <w:bCs/>
          <w:color w:val="76B900"/>
          <w:sz w:val="20"/>
          <w:szCs w:val="20"/>
        </w:rPr>
        <w:t>Basis of Presentation</w:t>
      </w:r>
    </w:p>
    <w:p w14:paraId="1E8041D7" w14:textId="77777777" w:rsidR="00F20ABF" w:rsidRDefault="00CA4D2F">
      <w:pPr>
        <w:spacing w:after="180"/>
        <w:jc w:val="both"/>
      </w:pPr>
      <w:r>
        <w:rPr>
          <w:rFonts w:ascii="sans-serif" w:eastAsia="sans-serif" w:hAnsi="sans-serif" w:cs="sans-serif"/>
          <w:color w:val="000000"/>
          <w:sz w:val="20"/>
          <w:szCs w:val="20"/>
        </w:rPr>
        <w:t>The accompanying unaudited condensed consolidated financial sta</w:t>
      </w:r>
      <w:r>
        <w:rPr>
          <w:rFonts w:ascii="sans-serif" w:eastAsia="sans-serif" w:hAnsi="sans-serif" w:cs="sans-serif"/>
          <w:color w:val="000000"/>
          <w:sz w:val="20"/>
          <w:szCs w:val="20"/>
        </w:rPr>
        <w:t xml:space="preserve">tements were prepared in accordance with accounting principles generally accepted in the United States of America, or U.S. GAAP, for interim financial information and with the instructions to Form 10-Q and Article 10 of Securities and Exchange Commission, </w:t>
      </w:r>
      <w:r>
        <w:rPr>
          <w:rFonts w:ascii="sans-serif" w:eastAsia="sans-serif" w:hAnsi="sans-serif" w:cs="sans-serif"/>
          <w:color w:val="000000"/>
          <w:sz w:val="20"/>
          <w:szCs w:val="20"/>
        </w:rPr>
        <w:t>or SEC, Regulation S-X. The January 26, 2020 consolidated balance sheet was derived from our audited consolidated financial statements included in our Annual Report on Form 10-K for the fiscal year ended January 26, 2020, as filed with the SEC, but does no</w:t>
      </w:r>
      <w:r>
        <w:rPr>
          <w:rFonts w:ascii="sans-serif" w:eastAsia="sans-serif" w:hAnsi="sans-serif" w:cs="sans-serif"/>
          <w:color w:val="000000"/>
          <w:sz w:val="20"/>
          <w:szCs w:val="20"/>
        </w:rPr>
        <w:t>t include all disclosures required by U.S. GAAP. In the opinion of management, all adjustments, consisting only of normal recurring adjustments considered necessary for a fair statement of results of operations and financial position have been included. Th</w:t>
      </w:r>
      <w:r>
        <w:rPr>
          <w:rFonts w:ascii="sans-serif" w:eastAsia="sans-serif" w:hAnsi="sans-serif" w:cs="sans-serif"/>
          <w:color w:val="000000"/>
          <w:sz w:val="20"/>
          <w:szCs w:val="20"/>
        </w:rPr>
        <w:t xml:space="preserve">e results for the interim periods presented are not necessarily indicative of the results expected for any future period. The following information should be read in conjunction with the audited consolidated financial statements and notes thereto included </w:t>
      </w:r>
      <w:r>
        <w:rPr>
          <w:rFonts w:ascii="sans-serif" w:eastAsia="sans-serif" w:hAnsi="sans-serif" w:cs="sans-serif"/>
          <w:color w:val="000000"/>
          <w:sz w:val="20"/>
          <w:szCs w:val="20"/>
        </w:rPr>
        <w:t>in our Annual Report on Form 10-K for the fiscal year ended January 26, 2020.</w:t>
      </w:r>
      <w:r>
        <w:rPr>
          <w:rFonts w:ascii="sans-serif" w:eastAsia="sans-serif" w:hAnsi="sans-serif" w:cs="sans-serif"/>
          <w:b/>
          <w:bCs/>
          <w:color w:val="000000"/>
          <w:sz w:val="20"/>
          <w:szCs w:val="20"/>
        </w:rPr>
        <w:t> </w:t>
      </w:r>
    </w:p>
    <w:p w14:paraId="1E8041D8" w14:textId="77777777" w:rsidR="00F20ABF" w:rsidRDefault="00CA4D2F">
      <w:pPr>
        <w:spacing w:after="180"/>
        <w:jc w:val="both"/>
      </w:pPr>
      <w:r>
        <w:rPr>
          <w:rFonts w:ascii="sans-serif" w:eastAsia="sans-serif" w:hAnsi="sans-serif" w:cs="sans-serif"/>
          <w:color w:val="000000"/>
          <w:sz w:val="20"/>
          <w:szCs w:val="20"/>
        </w:rPr>
        <w:t xml:space="preserve">The unaudited condensed consolidated financial statements in this report include the financial results of Mellanox Technologies Ltd., or Mellanox, prospectively from April </w:t>
      </w:r>
      <w:r>
        <w:rPr>
          <w:rFonts w:ascii="sans-serif" w:eastAsia="sans-serif" w:hAnsi="sans-serif" w:cs="sans-serif"/>
          <w:color w:val="000000"/>
          <w:sz w:val="20"/>
          <w:szCs w:val="20"/>
        </w:rPr>
        <w:t>27, 2020. For additional details, refer to Note 2 - Business Combination.</w:t>
      </w:r>
    </w:p>
    <w:p w14:paraId="1E8041D9" w14:textId="77777777" w:rsidR="00F20ABF" w:rsidRDefault="00CA4D2F">
      <w:pPr>
        <w:spacing w:before="240" w:after="60"/>
        <w:jc w:val="both"/>
      </w:pPr>
      <w:r>
        <w:rPr>
          <w:rFonts w:ascii="sans-serif" w:eastAsia="sans-serif" w:hAnsi="sans-serif" w:cs="sans-serif"/>
          <w:b/>
          <w:bCs/>
          <w:color w:val="76B900"/>
          <w:sz w:val="20"/>
          <w:szCs w:val="20"/>
        </w:rPr>
        <w:t>Significant Accounting Policies</w:t>
      </w:r>
    </w:p>
    <w:p w14:paraId="1E8041DA" w14:textId="77777777" w:rsidR="00F20ABF" w:rsidRDefault="00CA4D2F">
      <w:pPr>
        <w:spacing w:after="180"/>
        <w:jc w:val="both"/>
      </w:pPr>
      <w:r>
        <w:rPr>
          <w:rFonts w:ascii="sans-serif" w:eastAsia="sans-serif" w:hAnsi="sans-serif" w:cs="sans-serif"/>
          <w:color w:val="000000"/>
          <w:sz w:val="20"/>
          <w:szCs w:val="20"/>
        </w:rPr>
        <w:t>Except for the accounting policies for business combination and investment in non-affiliated entities, there have been no material changes to our sign</w:t>
      </w:r>
      <w:r>
        <w:rPr>
          <w:rFonts w:ascii="sans-serif" w:eastAsia="sans-serif" w:hAnsi="sans-serif" w:cs="sans-serif"/>
          <w:color w:val="000000"/>
          <w:sz w:val="20"/>
          <w:szCs w:val="20"/>
        </w:rPr>
        <w:t>ificant accounting policies disclosed in Note 1 - Organization and Summary of Significant Accounting Policies, of the Notes to the Consolidated Financial Statements included in our Annual Report on Form 10-K for the fiscal year ended January 26, 2020.</w:t>
      </w:r>
    </w:p>
    <w:p w14:paraId="1E8041DB" w14:textId="77777777" w:rsidR="00F20ABF" w:rsidRDefault="00CA4D2F">
      <w:pPr>
        <w:spacing w:before="120" w:after="120"/>
        <w:jc w:val="both"/>
      </w:pPr>
      <w:r>
        <w:rPr>
          <w:rFonts w:ascii="sans-serif" w:eastAsia="sans-serif" w:hAnsi="sans-serif" w:cs="sans-serif"/>
          <w:b/>
          <w:bCs/>
          <w:color w:val="000000"/>
          <w:sz w:val="20"/>
          <w:szCs w:val="20"/>
        </w:rPr>
        <w:t>Busi</w:t>
      </w:r>
      <w:r>
        <w:rPr>
          <w:rFonts w:ascii="sans-serif" w:eastAsia="sans-serif" w:hAnsi="sans-serif" w:cs="sans-serif"/>
          <w:b/>
          <w:bCs/>
          <w:color w:val="000000"/>
          <w:sz w:val="20"/>
          <w:szCs w:val="20"/>
        </w:rPr>
        <w:t>ness Combination</w:t>
      </w:r>
    </w:p>
    <w:p w14:paraId="1E8041DC" w14:textId="77777777" w:rsidR="00F20ABF" w:rsidRDefault="00CA4D2F">
      <w:pPr>
        <w:spacing w:after="180"/>
        <w:jc w:val="both"/>
      </w:pPr>
      <w:r>
        <w:rPr>
          <w:rFonts w:ascii="sans-serif" w:eastAsia="sans-serif" w:hAnsi="sans-serif" w:cs="sans-serif"/>
          <w:color w:val="000000"/>
          <w:sz w:val="20"/>
          <w:szCs w:val="20"/>
        </w:rPr>
        <w:t>We allocate the fair value of the purchase price of an acquisition to the tangible assets acquired, liabilities assumed, and intangible assets acquired, including in-process research and development, or IPR&amp;D, based on their estimated fair</w:t>
      </w:r>
      <w:r>
        <w:rPr>
          <w:rFonts w:ascii="sans-serif" w:eastAsia="sans-serif" w:hAnsi="sans-serif" w:cs="sans-serif"/>
          <w:color w:val="000000"/>
          <w:sz w:val="20"/>
          <w:szCs w:val="20"/>
        </w:rPr>
        <w:t xml:space="preserve"> values. The excess of the fair value of the purchase price over the fair values of these net tangible and intangible assets acquired is recorded as goodwill. Management’s estimates of fair value are based upon assumptions believed to be reasonable, but ou</w:t>
      </w:r>
      <w:r>
        <w:rPr>
          <w:rFonts w:ascii="sans-serif" w:eastAsia="sans-serif" w:hAnsi="sans-serif" w:cs="sans-serif"/>
          <w:color w:val="000000"/>
          <w:sz w:val="20"/>
          <w:szCs w:val="20"/>
        </w:rPr>
        <w:t>r estimates and assumptions are inherently uncertain and subject to refinement. The estimates and assumptions used in valuing intangible assets include, but are not limited to, the amount and timing of projected future cash flows, discount rate used to det</w:t>
      </w:r>
      <w:r>
        <w:rPr>
          <w:rFonts w:ascii="sans-serif" w:eastAsia="sans-serif" w:hAnsi="sans-serif" w:cs="sans-serif"/>
          <w:color w:val="000000"/>
          <w:sz w:val="20"/>
          <w:szCs w:val="20"/>
        </w:rPr>
        <w:t>ermine the present value of these cash flows and asset lives. These estimates are inherently uncertain and, therefore, actual results may differ from the estimates made. As a result, during the measurement period of up to one year from the acquisition date</w:t>
      </w:r>
      <w:r>
        <w:rPr>
          <w:rFonts w:ascii="sans-serif" w:eastAsia="sans-serif" w:hAnsi="sans-serif" w:cs="sans-serif"/>
          <w:color w:val="000000"/>
          <w:sz w:val="20"/>
          <w:szCs w:val="20"/>
        </w:rPr>
        <w:t>, we record adjustments to the assets acquired and liabilities assumed with the corresponding offset to goodwill. Upon the conclusion of the measurement period or final determination of the fair value of the purchase price of an acquisition, whichever come</w:t>
      </w:r>
      <w:r>
        <w:rPr>
          <w:rFonts w:ascii="sans-serif" w:eastAsia="sans-serif" w:hAnsi="sans-serif" w:cs="sans-serif"/>
          <w:color w:val="000000"/>
          <w:sz w:val="20"/>
          <w:szCs w:val="20"/>
        </w:rPr>
        <w:t>s first, any subsequent adjustments are recorded to our condensed consolidated statements of income.</w:t>
      </w:r>
    </w:p>
    <w:p w14:paraId="1E8041DD" w14:textId="77777777" w:rsidR="00F20ABF" w:rsidRDefault="00CA4D2F">
      <w:pPr>
        <w:spacing w:after="180"/>
        <w:jc w:val="both"/>
      </w:pPr>
      <w:r>
        <w:rPr>
          <w:rFonts w:ascii="sans-serif" w:eastAsia="sans-serif" w:hAnsi="sans-serif" w:cs="sans-serif"/>
          <w:color w:val="000000"/>
          <w:sz w:val="20"/>
          <w:szCs w:val="20"/>
        </w:rPr>
        <w:t>We initially capitalize the fair value of IPR&amp;D as an intangible asset with an indefinite life. We assess for impairment thereafter. When IPR&amp;D projects ar</w:t>
      </w:r>
      <w:r>
        <w:rPr>
          <w:rFonts w:ascii="sans-serif" w:eastAsia="sans-serif" w:hAnsi="sans-serif" w:cs="sans-serif"/>
          <w:color w:val="000000"/>
          <w:sz w:val="20"/>
          <w:szCs w:val="20"/>
        </w:rPr>
        <w:t xml:space="preserve">e completed, we reclassify the IPR&amp;D as an amortizable purchased intangible asset and amortize over the asset’s estimated useful life. </w:t>
      </w:r>
    </w:p>
    <w:p w14:paraId="1E8041DE" w14:textId="77777777" w:rsidR="00F20ABF" w:rsidRDefault="00CA4D2F">
      <w:pPr>
        <w:spacing w:after="180"/>
        <w:jc w:val="both"/>
      </w:pPr>
      <w:r>
        <w:rPr>
          <w:rFonts w:ascii="sans-serif" w:eastAsia="sans-serif" w:hAnsi="sans-serif" w:cs="sans-serif"/>
          <w:color w:val="000000"/>
          <w:sz w:val="20"/>
          <w:szCs w:val="20"/>
        </w:rPr>
        <w:t>Acquisition-related expenses are recognized separately from the business combination and expensed as incurred.</w:t>
      </w:r>
    </w:p>
    <w:p w14:paraId="1E8041DF" w14:textId="77777777" w:rsidR="00F20ABF" w:rsidRDefault="00CA4D2F">
      <w:pPr>
        <w:spacing w:before="120" w:after="120"/>
        <w:jc w:val="both"/>
      </w:pPr>
      <w:r>
        <w:rPr>
          <w:rFonts w:ascii="sans-serif" w:eastAsia="sans-serif" w:hAnsi="sans-serif" w:cs="sans-serif"/>
          <w:b/>
          <w:bCs/>
          <w:color w:val="000000"/>
          <w:sz w:val="20"/>
          <w:szCs w:val="20"/>
        </w:rPr>
        <w:t>Investmen</w:t>
      </w:r>
      <w:r>
        <w:rPr>
          <w:rFonts w:ascii="sans-serif" w:eastAsia="sans-serif" w:hAnsi="sans-serif" w:cs="sans-serif"/>
          <w:b/>
          <w:bCs/>
          <w:color w:val="000000"/>
          <w:sz w:val="20"/>
          <w:szCs w:val="20"/>
        </w:rPr>
        <w:t>t in Non-Affiliated Entities</w:t>
      </w:r>
    </w:p>
    <w:p w14:paraId="1E8041E0" w14:textId="77777777" w:rsidR="00F20ABF" w:rsidRDefault="00CA4D2F">
      <w:pPr>
        <w:spacing w:after="180"/>
        <w:jc w:val="both"/>
      </w:pPr>
      <w:r>
        <w:rPr>
          <w:rFonts w:ascii="sans-serif" w:eastAsia="sans-serif" w:hAnsi="sans-serif" w:cs="sans-serif"/>
          <w:color w:val="000000"/>
          <w:sz w:val="20"/>
          <w:szCs w:val="20"/>
        </w:rPr>
        <w:t>Non-marketable equity investments in privately-held companies are recorded at fair value on a non-recurring basis only if an impairment or observable price adjustment occurs in the period with changes in fair value recorded thr</w:t>
      </w:r>
      <w:r>
        <w:rPr>
          <w:rFonts w:ascii="sans-serif" w:eastAsia="sans-serif" w:hAnsi="sans-serif" w:cs="sans-serif"/>
          <w:color w:val="000000"/>
          <w:sz w:val="20"/>
          <w:szCs w:val="20"/>
        </w:rPr>
        <w:t>ough net income. These investments are valued using observable and unobservable inputs or data in an inactive market and the valuation requires our judgment due to the absence of market prices and inherent lack of liquidity. The estimated fair value is bas</w:t>
      </w:r>
      <w:r>
        <w:rPr>
          <w:rFonts w:ascii="sans-serif" w:eastAsia="sans-serif" w:hAnsi="sans-serif" w:cs="sans-serif"/>
          <w:color w:val="000000"/>
          <w:sz w:val="20"/>
          <w:szCs w:val="20"/>
        </w:rPr>
        <w:t>ed on quantitative and qualitative factors including subsequent financing activities by the investee.</w:t>
      </w:r>
    </w:p>
    <w:p w14:paraId="1E8041E1" w14:textId="77777777" w:rsidR="00F20ABF" w:rsidRDefault="00F20ABF">
      <w:pPr>
        <w:spacing w:after="180"/>
        <w:jc w:val="both"/>
      </w:pPr>
    </w:p>
    <w:p w14:paraId="1E8041E2" w14:textId="77777777" w:rsidR="00F20ABF" w:rsidRDefault="00CA4D2F">
      <w:pPr>
        <w:spacing w:after="180"/>
        <w:jc w:val="center"/>
      </w:pPr>
      <w:r>
        <w:rPr>
          <w:rFonts w:ascii="sans-serif" w:eastAsia="sans-serif" w:hAnsi="sans-serif" w:cs="sans-serif"/>
          <w:color w:val="000000"/>
          <w:sz w:val="20"/>
          <w:szCs w:val="20"/>
        </w:rPr>
        <w:t>9</w:t>
      </w:r>
    </w:p>
    <w:p w14:paraId="1E8041E3" w14:textId="77777777" w:rsidR="00F20ABF" w:rsidRDefault="00CA4D2F">
      <w:r>
        <w:pict w14:anchorId="1E805584">
          <v:rect id="_x0000_i1033" style="width:415.3pt;height:1.5pt" o:hralign="center" o:hrstd="t" o:hr="t" fillcolor="#a0a0a0" stroked="f"/>
        </w:pict>
      </w:r>
    </w:p>
    <w:p w14:paraId="1E8041E4" w14:textId="77777777" w:rsidR="00F20ABF" w:rsidRDefault="00CA4D2F">
      <w:pPr>
        <w:jc w:val="center"/>
      </w:pPr>
      <w:r>
        <w:rPr>
          <w:rFonts w:ascii="sans-serif" w:eastAsia="sans-serif" w:hAnsi="sans-serif" w:cs="sans-serif"/>
          <w:b/>
          <w:bCs/>
          <w:color w:val="000000"/>
          <w:sz w:val="20"/>
          <w:szCs w:val="20"/>
        </w:rPr>
        <w:t>NVIDIA CORPORATION AND SUBSIDIARIES</w:t>
      </w:r>
    </w:p>
    <w:p w14:paraId="1E8041E5" w14:textId="77777777" w:rsidR="00F20ABF" w:rsidRDefault="00CA4D2F">
      <w:pPr>
        <w:jc w:val="center"/>
      </w:pPr>
      <w:r>
        <w:rPr>
          <w:rFonts w:ascii="sans-serif" w:eastAsia="sans-serif" w:hAnsi="sans-serif" w:cs="sans-serif"/>
          <w:b/>
          <w:bCs/>
          <w:color w:val="000000"/>
          <w:sz w:val="20"/>
          <w:szCs w:val="20"/>
        </w:rPr>
        <w:t>NOTES TO CONDENSED CONSOLIDATED FINANCIAL STATEMENTS (Continued)</w:t>
      </w:r>
    </w:p>
    <w:p w14:paraId="1E8041E6" w14:textId="77777777" w:rsidR="00F20ABF" w:rsidRDefault="00CA4D2F">
      <w:pPr>
        <w:jc w:val="center"/>
      </w:pPr>
      <w:r>
        <w:rPr>
          <w:rFonts w:ascii="sans-serif" w:eastAsia="sans-serif" w:hAnsi="sans-serif" w:cs="sans-serif"/>
          <w:b/>
          <w:bCs/>
          <w:color w:val="000000"/>
          <w:sz w:val="20"/>
          <w:szCs w:val="20"/>
        </w:rPr>
        <w:t>(Unaudited)</w:t>
      </w:r>
    </w:p>
    <w:p w14:paraId="1E8041E7" w14:textId="77777777" w:rsidR="00F20ABF" w:rsidRDefault="00F20ABF">
      <w:pPr>
        <w:spacing w:after="180"/>
        <w:jc w:val="both"/>
      </w:pPr>
    </w:p>
    <w:p w14:paraId="1E8041E8" w14:textId="77777777" w:rsidR="00F20ABF" w:rsidRDefault="00F20ABF">
      <w:pPr>
        <w:spacing w:after="180"/>
        <w:jc w:val="both"/>
      </w:pPr>
    </w:p>
    <w:p w14:paraId="1E8041E9" w14:textId="77777777" w:rsidR="00F20ABF" w:rsidRDefault="00CA4D2F">
      <w:pPr>
        <w:spacing w:before="240" w:after="60"/>
        <w:jc w:val="both"/>
      </w:pPr>
      <w:r>
        <w:rPr>
          <w:rFonts w:ascii="sans-serif" w:eastAsia="sans-serif" w:hAnsi="sans-serif" w:cs="sans-serif"/>
          <w:b/>
          <w:bCs/>
          <w:color w:val="76B900"/>
          <w:sz w:val="20"/>
          <w:szCs w:val="20"/>
        </w:rPr>
        <w:t>Fiscal Year</w:t>
      </w:r>
    </w:p>
    <w:p w14:paraId="1E8041EA" w14:textId="77777777" w:rsidR="00F20ABF" w:rsidRDefault="00CA4D2F">
      <w:pPr>
        <w:spacing w:after="180"/>
        <w:jc w:val="both"/>
      </w:pPr>
      <w:r>
        <w:rPr>
          <w:rFonts w:ascii="sans-serif" w:eastAsia="sans-serif" w:hAnsi="sans-serif" w:cs="sans-serif"/>
          <w:color w:val="000000"/>
          <w:sz w:val="20"/>
          <w:szCs w:val="20"/>
        </w:rPr>
        <w:t xml:space="preserve">We operate on a 52- </w:t>
      </w:r>
      <w:r>
        <w:rPr>
          <w:rFonts w:ascii="sans-serif" w:eastAsia="sans-serif" w:hAnsi="sans-serif" w:cs="sans-serif"/>
          <w:color w:val="000000"/>
          <w:sz w:val="20"/>
          <w:szCs w:val="20"/>
        </w:rPr>
        <w:t>or 53-week year, ending on the last Sunday in January. Fiscal year 2021 is a 53-week year and fiscal year 2020 is a 52-week year. The third quarters of fiscal years 2021 and 2020 were both 13-week quarters.</w:t>
      </w:r>
    </w:p>
    <w:p w14:paraId="1E8041EB" w14:textId="77777777" w:rsidR="00F20ABF" w:rsidRDefault="00CA4D2F">
      <w:pPr>
        <w:spacing w:before="240" w:after="60"/>
        <w:jc w:val="both"/>
      </w:pPr>
      <w:r>
        <w:rPr>
          <w:rFonts w:ascii="sans-serif" w:eastAsia="sans-serif" w:hAnsi="sans-serif" w:cs="sans-serif"/>
          <w:b/>
          <w:bCs/>
          <w:color w:val="76B900"/>
          <w:sz w:val="20"/>
          <w:szCs w:val="20"/>
        </w:rPr>
        <w:t>Reclassifications</w:t>
      </w:r>
    </w:p>
    <w:p w14:paraId="1E8041EC" w14:textId="77777777" w:rsidR="00F20ABF" w:rsidRDefault="00CA4D2F">
      <w:pPr>
        <w:spacing w:after="180"/>
        <w:jc w:val="both"/>
      </w:pPr>
      <w:r>
        <w:rPr>
          <w:rFonts w:ascii="sans-serif" w:eastAsia="sans-serif" w:hAnsi="sans-serif" w:cs="sans-serif"/>
          <w:color w:val="000000"/>
          <w:sz w:val="20"/>
          <w:szCs w:val="20"/>
        </w:rPr>
        <w:t>Certain prior fiscal year balan</w:t>
      </w:r>
      <w:r>
        <w:rPr>
          <w:rFonts w:ascii="sans-serif" w:eastAsia="sans-serif" w:hAnsi="sans-serif" w:cs="sans-serif"/>
          <w:color w:val="000000"/>
          <w:sz w:val="20"/>
          <w:szCs w:val="20"/>
        </w:rPr>
        <w:t>ces have been reclassified to conform to the current fiscal year presentation.</w:t>
      </w:r>
    </w:p>
    <w:p w14:paraId="1E8041ED" w14:textId="77777777" w:rsidR="00F20ABF" w:rsidRDefault="00CA4D2F">
      <w:pPr>
        <w:spacing w:before="240" w:after="60"/>
        <w:jc w:val="both"/>
      </w:pPr>
      <w:r>
        <w:rPr>
          <w:rFonts w:ascii="sans-serif" w:eastAsia="sans-serif" w:hAnsi="sans-serif" w:cs="sans-serif"/>
          <w:b/>
          <w:bCs/>
          <w:color w:val="76B900"/>
          <w:sz w:val="20"/>
          <w:szCs w:val="20"/>
        </w:rPr>
        <w:t>Principles of Consolidation</w:t>
      </w:r>
    </w:p>
    <w:p w14:paraId="1E8041EE" w14:textId="77777777" w:rsidR="00F20ABF" w:rsidRDefault="00CA4D2F">
      <w:pPr>
        <w:spacing w:after="180"/>
        <w:jc w:val="both"/>
      </w:pPr>
      <w:r>
        <w:rPr>
          <w:rFonts w:ascii="sans-serif" w:eastAsia="sans-serif" w:hAnsi="sans-serif" w:cs="sans-serif"/>
          <w:color w:val="000000"/>
          <w:sz w:val="20"/>
          <w:szCs w:val="20"/>
        </w:rPr>
        <w:t>Our condensed consolidated financial statements include the accounts of NVIDIA Corporation and our wholly-owned subsidiaries. All intercompany balanc</w:t>
      </w:r>
      <w:r>
        <w:rPr>
          <w:rFonts w:ascii="sans-serif" w:eastAsia="sans-serif" w:hAnsi="sans-serif" w:cs="sans-serif"/>
          <w:color w:val="000000"/>
          <w:sz w:val="20"/>
          <w:szCs w:val="20"/>
        </w:rPr>
        <w:t>es and transactions have been eliminated in consolidation.</w:t>
      </w:r>
    </w:p>
    <w:p w14:paraId="1E8041EF" w14:textId="77777777" w:rsidR="00F20ABF" w:rsidRDefault="00CA4D2F">
      <w:pPr>
        <w:spacing w:before="240" w:after="60"/>
        <w:jc w:val="both"/>
      </w:pPr>
      <w:r>
        <w:rPr>
          <w:rFonts w:ascii="sans-serif" w:eastAsia="sans-serif" w:hAnsi="sans-serif" w:cs="sans-serif"/>
          <w:b/>
          <w:bCs/>
          <w:color w:val="76B900"/>
          <w:sz w:val="20"/>
          <w:szCs w:val="20"/>
        </w:rPr>
        <w:t>Use of Estimates</w:t>
      </w:r>
    </w:p>
    <w:p w14:paraId="1E8041F0" w14:textId="77777777" w:rsidR="00F20ABF" w:rsidRDefault="00CA4D2F">
      <w:pPr>
        <w:spacing w:after="180"/>
        <w:jc w:val="both"/>
      </w:pPr>
      <w:r>
        <w:rPr>
          <w:rFonts w:ascii="sans-serif" w:eastAsia="sans-serif" w:hAnsi="sans-serif" w:cs="sans-serif"/>
          <w:color w:val="000000"/>
          <w:sz w:val="20"/>
          <w:szCs w:val="20"/>
        </w:rPr>
        <w:t>The preparation of financial statements in conformity with U.S. GAAP requires management to make estimates and assumptions that affect the reported amounts of assets and liabilitie</w:t>
      </w:r>
      <w:r>
        <w:rPr>
          <w:rFonts w:ascii="sans-serif" w:eastAsia="sans-serif" w:hAnsi="sans-serif" w:cs="sans-serif"/>
          <w:color w:val="000000"/>
          <w:sz w:val="20"/>
          <w:szCs w:val="20"/>
        </w:rPr>
        <w:t>s and disclosures of contingent assets and liabilities at the date of the financial statements and the reported amounts of revenue and expenses during the reporting period. Actual results could differ materially from our estimates. On an on-going basis, we</w:t>
      </w:r>
      <w:r>
        <w:rPr>
          <w:rFonts w:ascii="sans-serif" w:eastAsia="sans-serif" w:hAnsi="sans-serif" w:cs="sans-serif"/>
          <w:color w:val="000000"/>
          <w:sz w:val="20"/>
          <w:szCs w:val="20"/>
        </w:rPr>
        <w:t xml:space="preserve"> evaluate our estimates, including those related to revenue recognition, cash equivalents and marketable securities, accounts receivable, inventories, income taxes, goodwill, stock-based compensation, litigation, investigation and settlement costs, restruc</w:t>
      </w:r>
      <w:r>
        <w:rPr>
          <w:rFonts w:ascii="sans-serif" w:eastAsia="sans-serif" w:hAnsi="sans-serif" w:cs="sans-serif"/>
          <w:color w:val="000000"/>
          <w:sz w:val="20"/>
          <w:szCs w:val="20"/>
        </w:rPr>
        <w:t>turing and other charges, and other contingencies. The inputs into our judgments and estimates consider the economic implications of COVID-19 on our critical and significant accounting estimates. These estimates are based on historical facts and various ot</w:t>
      </w:r>
      <w:r>
        <w:rPr>
          <w:rFonts w:ascii="sans-serif" w:eastAsia="sans-serif" w:hAnsi="sans-serif" w:cs="sans-serif"/>
          <w:color w:val="000000"/>
          <w:sz w:val="20"/>
          <w:szCs w:val="20"/>
        </w:rPr>
        <w:t>her assumptions that we believe are reasonable.</w:t>
      </w:r>
    </w:p>
    <w:p w14:paraId="1E8041F1" w14:textId="77777777" w:rsidR="00F20ABF" w:rsidRDefault="00CA4D2F">
      <w:pPr>
        <w:spacing w:before="240" w:after="60"/>
        <w:jc w:val="both"/>
      </w:pPr>
      <w:r>
        <w:rPr>
          <w:rFonts w:ascii="sans-serif" w:eastAsia="sans-serif" w:hAnsi="sans-serif" w:cs="sans-serif"/>
          <w:b/>
          <w:bCs/>
          <w:color w:val="76B900"/>
          <w:sz w:val="20"/>
          <w:szCs w:val="20"/>
        </w:rPr>
        <w:t>Adoption of New and Recently Issued Accounting Pronouncements</w:t>
      </w:r>
    </w:p>
    <w:p w14:paraId="1E8041F2" w14:textId="77777777" w:rsidR="00F20ABF" w:rsidRDefault="00CA4D2F">
      <w:pPr>
        <w:spacing w:before="120" w:after="120"/>
        <w:jc w:val="both"/>
      </w:pPr>
      <w:r>
        <w:rPr>
          <w:rFonts w:ascii="sans-serif" w:eastAsia="sans-serif" w:hAnsi="sans-serif" w:cs="sans-serif"/>
          <w:b/>
          <w:bCs/>
          <w:color w:val="000000"/>
          <w:sz w:val="20"/>
          <w:szCs w:val="20"/>
        </w:rPr>
        <w:t>Recently Adopted Accounting Pronouncement</w:t>
      </w:r>
    </w:p>
    <w:p w14:paraId="1E8041F3" w14:textId="77777777" w:rsidR="00F20ABF" w:rsidRDefault="00CA4D2F">
      <w:pPr>
        <w:spacing w:after="180"/>
        <w:jc w:val="both"/>
      </w:pPr>
      <w:r>
        <w:rPr>
          <w:rFonts w:ascii="sans-serif" w:eastAsia="sans-serif" w:hAnsi="sans-serif" w:cs="sans-serif"/>
          <w:color w:val="000000"/>
          <w:sz w:val="20"/>
          <w:szCs w:val="20"/>
        </w:rPr>
        <w:t>In June 2016, the Financial Accounting Standards Board issued a new accounting standard to replace the e</w:t>
      </w:r>
      <w:r>
        <w:rPr>
          <w:rFonts w:ascii="sans-serif" w:eastAsia="sans-serif" w:hAnsi="sans-serif" w:cs="sans-serif"/>
          <w:color w:val="000000"/>
          <w:sz w:val="20"/>
          <w:szCs w:val="20"/>
        </w:rPr>
        <w:t>xisting incurred loss impairment methodology with a methodology that reflects expected credit losses and requires consideration of a broader range of reasonable and supportable information to inform credit loss estimates for accounts receivable and other f</w:t>
      </w:r>
      <w:r>
        <w:rPr>
          <w:rFonts w:ascii="sans-serif" w:eastAsia="sans-serif" w:hAnsi="sans-serif" w:cs="sans-serif"/>
          <w:color w:val="000000"/>
          <w:sz w:val="20"/>
          <w:szCs w:val="20"/>
        </w:rPr>
        <w:t>inancial instruments, including available-for-sale debt securities. We adopted the standard in the first quarter of fiscal year 2021 and the impact of the adoption was not material to our consolidated financial statements.</w:t>
      </w:r>
    </w:p>
    <w:p w14:paraId="1E8041F4" w14:textId="77777777" w:rsidR="00F20ABF" w:rsidRDefault="00CA4D2F">
      <w:pPr>
        <w:spacing w:before="240" w:after="120"/>
        <w:jc w:val="both"/>
      </w:pPr>
      <w:r>
        <w:rPr>
          <w:rFonts w:ascii="sans-serif" w:eastAsia="sans-serif" w:hAnsi="sans-serif" w:cs="sans-serif"/>
          <w:b/>
          <w:bCs/>
          <w:color w:val="76B900"/>
          <w:sz w:val="22"/>
          <w:szCs w:val="22"/>
        </w:rPr>
        <w:t>Note 2 - Business Combination</w:t>
      </w:r>
    </w:p>
    <w:p w14:paraId="1E8041F5" w14:textId="77777777" w:rsidR="00F20ABF" w:rsidRDefault="00CA4D2F">
      <w:pPr>
        <w:spacing w:before="240" w:after="60"/>
        <w:jc w:val="both"/>
      </w:pPr>
      <w:r>
        <w:rPr>
          <w:rFonts w:ascii="sans-serif" w:eastAsia="sans-serif" w:hAnsi="sans-serif" w:cs="sans-serif"/>
          <w:b/>
          <w:bCs/>
          <w:color w:val="76B900"/>
          <w:sz w:val="20"/>
          <w:szCs w:val="20"/>
        </w:rPr>
        <w:t>Pen</w:t>
      </w:r>
      <w:r>
        <w:rPr>
          <w:rFonts w:ascii="sans-serif" w:eastAsia="sans-serif" w:hAnsi="sans-serif" w:cs="sans-serif"/>
          <w:b/>
          <w:bCs/>
          <w:color w:val="76B900"/>
          <w:sz w:val="20"/>
          <w:szCs w:val="20"/>
        </w:rPr>
        <w:t>ding Acquisition of Arm Limited</w:t>
      </w:r>
    </w:p>
    <w:p w14:paraId="1E8041F6" w14:textId="77777777" w:rsidR="00F20ABF" w:rsidRDefault="00CA4D2F">
      <w:pPr>
        <w:spacing w:after="180"/>
        <w:jc w:val="both"/>
      </w:pPr>
      <w:r>
        <w:rPr>
          <w:rFonts w:ascii="sans-serif" w:eastAsia="sans-serif" w:hAnsi="sans-serif" w:cs="sans-serif"/>
          <w:color w:val="000000"/>
          <w:sz w:val="20"/>
          <w:szCs w:val="20"/>
        </w:rPr>
        <w:t>On September 13, 2020, we entered into a Share Purchase Agreement, or the Purchase Agreement, with Arm Limited, or Arm, and SoftBank Group Capital Limited and SVF Holdco (UK) Limited, or together, SoftBank, for us to acquire</w:t>
      </w:r>
      <w:r>
        <w:rPr>
          <w:rFonts w:ascii="sans-serif" w:eastAsia="sans-serif" w:hAnsi="sans-serif" w:cs="sans-serif"/>
          <w:color w:val="000000"/>
          <w:sz w:val="20"/>
          <w:szCs w:val="20"/>
        </w:rPr>
        <w:t>, from SoftBank, all of the allotted and issued ordinary shares of Arm in a transaction valued at $40 billion. We paid $2 billion in cash at signing, or the Signing Consideration, and will pay upon closing of the acquisition $10 billion in cash and issue t</w:t>
      </w:r>
      <w:r>
        <w:rPr>
          <w:rFonts w:ascii="sans-serif" w:eastAsia="sans-serif" w:hAnsi="sans-serif" w:cs="sans-serif"/>
          <w:color w:val="000000"/>
          <w:sz w:val="20"/>
          <w:szCs w:val="20"/>
        </w:rPr>
        <w:t>o SoftBank 44.3 million shares of our common stock with an aggregate value of $21.5 billion. The transaction includes a potential earn out, which is contingent on the achievement of certain financial performance targets by Arm during the fiscal year ending</w:t>
      </w:r>
      <w:r>
        <w:rPr>
          <w:rFonts w:ascii="sans-serif" w:eastAsia="sans-serif" w:hAnsi="sans-serif" w:cs="sans-serif"/>
          <w:color w:val="000000"/>
          <w:sz w:val="20"/>
          <w:szCs w:val="20"/>
        </w:rPr>
        <w:t xml:space="preserve"> March 31, 2022. If the financial targets are achieved, SoftBank can elect to receive either up to $5 billion in cash or up to 10.3 million shares of our common stock. We will issue up to $1.5 billion in restricted stock units to Arm employees after closin</w:t>
      </w:r>
      <w:r>
        <w:rPr>
          <w:rFonts w:ascii="sans-serif" w:eastAsia="sans-serif" w:hAnsi="sans-serif" w:cs="sans-serif"/>
          <w:color w:val="000000"/>
          <w:sz w:val="20"/>
          <w:szCs w:val="20"/>
        </w:rPr>
        <w:t>g. The $2 billion paid upon signing was allocated between advanced consideration for the acquisition of $1.36 billion and the prepayment of intellectual property licenses from Arm of $0.17 billion and royalties of $0.47 billion. The closing of the acquisit</w:t>
      </w:r>
      <w:r>
        <w:rPr>
          <w:rFonts w:ascii="sans-serif" w:eastAsia="sans-serif" w:hAnsi="sans-serif" w:cs="sans-serif"/>
          <w:color w:val="000000"/>
          <w:sz w:val="20"/>
          <w:szCs w:val="20"/>
        </w:rPr>
        <w:t>ion is subject to customary closing conditions, including receipt of specified governmental and regulatory consents and approvals and expiration of any related mandatory waiting period, and Arm's implementation of the reorganization and distribution of Arm</w:t>
      </w:r>
      <w:r>
        <w:rPr>
          <w:rFonts w:ascii="sans-serif" w:eastAsia="sans-serif" w:hAnsi="sans-serif" w:cs="sans-serif"/>
          <w:color w:val="000000"/>
          <w:sz w:val="20"/>
          <w:szCs w:val="20"/>
        </w:rPr>
        <w:t>’s IoT Services Group and certain other assets and liabilities. If the Purchase Agreement is terminated under certain circumstances, we will be refunded $1.25 billion of the Signing Consideration. The $2 billion payment upon signing was allocated on a fair</w:t>
      </w:r>
      <w:r>
        <w:rPr>
          <w:rFonts w:ascii="sans-serif" w:eastAsia="sans-serif" w:hAnsi="sans-serif" w:cs="sans-serif"/>
          <w:color w:val="000000"/>
          <w:sz w:val="20"/>
          <w:szCs w:val="20"/>
        </w:rPr>
        <w:t xml:space="preserve"> value basis and any refund of the Signing Consideration will use stated values in the Purchase Agreement. We believe the closing of the acquisition will likely occur in the first quarter of calendar year 2022.</w:t>
      </w:r>
    </w:p>
    <w:p w14:paraId="1E8041F7" w14:textId="77777777" w:rsidR="00F20ABF" w:rsidRDefault="00F20ABF"/>
    <w:p w14:paraId="1E8041F8" w14:textId="77777777" w:rsidR="00F20ABF" w:rsidRDefault="00CA4D2F">
      <w:pPr>
        <w:spacing w:after="180"/>
        <w:jc w:val="center"/>
      </w:pPr>
      <w:r>
        <w:rPr>
          <w:rFonts w:ascii="sans-serif" w:eastAsia="sans-serif" w:hAnsi="sans-serif" w:cs="sans-serif"/>
          <w:color w:val="000000"/>
          <w:sz w:val="20"/>
          <w:szCs w:val="20"/>
        </w:rPr>
        <w:t>10</w:t>
      </w:r>
    </w:p>
    <w:p w14:paraId="1E8041F9" w14:textId="77777777" w:rsidR="00F20ABF" w:rsidRDefault="00CA4D2F">
      <w:r>
        <w:pict w14:anchorId="1E805585">
          <v:rect id="_x0000_i1034" style="width:415.3pt;height:1.5pt" o:hralign="center" o:hrstd="t" o:hr="t" fillcolor="#a0a0a0" stroked="f"/>
        </w:pict>
      </w:r>
    </w:p>
    <w:p w14:paraId="1E8041FA" w14:textId="77777777" w:rsidR="00F20ABF" w:rsidRDefault="00CA4D2F">
      <w:pPr>
        <w:jc w:val="center"/>
      </w:pPr>
      <w:r>
        <w:rPr>
          <w:rFonts w:ascii="sans-serif" w:eastAsia="sans-serif" w:hAnsi="sans-serif" w:cs="sans-serif"/>
          <w:b/>
          <w:bCs/>
          <w:color w:val="000000"/>
          <w:sz w:val="20"/>
          <w:szCs w:val="20"/>
        </w:rPr>
        <w:t>NVIDIA CORPORATION AND SUBSIDIARIES</w:t>
      </w:r>
    </w:p>
    <w:p w14:paraId="1E8041FB" w14:textId="77777777" w:rsidR="00F20ABF" w:rsidRDefault="00CA4D2F">
      <w:pPr>
        <w:jc w:val="center"/>
      </w:pPr>
      <w:r>
        <w:rPr>
          <w:rFonts w:ascii="sans-serif" w:eastAsia="sans-serif" w:hAnsi="sans-serif" w:cs="sans-serif"/>
          <w:b/>
          <w:bCs/>
          <w:color w:val="000000"/>
          <w:sz w:val="20"/>
          <w:szCs w:val="20"/>
        </w:rPr>
        <w:t>NOTES TO CONDENSED CONSOLIDATED FINANCIAL STATEMENTS (Continued)</w:t>
      </w:r>
    </w:p>
    <w:p w14:paraId="1E8041FC" w14:textId="77777777" w:rsidR="00F20ABF" w:rsidRDefault="00CA4D2F">
      <w:pPr>
        <w:jc w:val="center"/>
      </w:pPr>
      <w:r>
        <w:rPr>
          <w:rFonts w:ascii="sans-serif" w:eastAsia="sans-serif" w:hAnsi="sans-serif" w:cs="sans-serif"/>
          <w:b/>
          <w:bCs/>
          <w:color w:val="000000"/>
          <w:sz w:val="20"/>
          <w:szCs w:val="20"/>
        </w:rPr>
        <w:t>(Unaudited)</w:t>
      </w:r>
    </w:p>
    <w:p w14:paraId="1E8041FD" w14:textId="77777777" w:rsidR="00F20ABF" w:rsidRDefault="00F20ABF">
      <w:pPr>
        <w:spacing w:after="180"/>
        <w:jc w:val="both"/>
      </w:pPr>
    </w:p>
    <w:p w14:paraId="1E8041FE" w14:textId="77777777" w:rsidR="00F20ABF" w:rsidRDefault="00F20ABF">
      <w:pPr>
        <w:spacing w:after="180"/>
        <w:jc w:val="both"/>
      </w:pPr>
    </w:p>
    <w:p w14:paraId="1E8041FF" w14:textId="77777777" w:rsidR="00F20ABF" w:rsidRDefault="00CA4D2F">
      <w:pPr>
        <w:spacing w:before="240" w:after="60"/>
      </w:pPr>
      <w:r>
        <w:rPr>
          <w:rFonts w:ascii="sans-serif" w:eastAsia="sans-serif" w:hAnsi="sans-serif" w:cs="sans-serif"/>
          <w:b/>
          <w:bCs/>
          <w:color w:val="76B900"/>
          <w:sz w:val="20"/>
          <w:szCs w:val="20"/>
        </w:rPr>
        <w:t>Acquisition of Mellanox Technologies, Ltd.</w:t>
      </w:r>
    </w:p>
    <w:p w14:paraId="1E804200" w14:textId="77777777" w:rsidR="00F20ABF" w:rsidRDefault="00CA4D2F">
      <w:pPr>
        <w:jc w:val="both"/>
      </w:pPr>
      <w:r>
        <w:rPr>
          <w:rFonts w:ascii="sans-serif" w:eastAsia="sans-serif" w:hAnsi="sans-serif" w:cs="sans-serif"/>
          <w:color w:val="000000"/>
          <w:sz w:val="20"/>
          <w:szCs w:val="20"/>
        </w:rPr>
        <w:t xml:space="preserve">On April 27, 2020, we completed the acquisition of all outstanding shares of Mellanox for a total purchase consideration of </w:t>
      </w:r>
      <w:r>
        <w:rPr>
          <w:rFonts w:ascii="sans-serif" w:eastAsia="sans-serif" w:hAnsi="sans-serif" w:cs="sans-serif"/>
          <w:color w:val="000000"/>
          <w:sz w:val="20"/>
          <w:szCs w:val="20"/>
        </w:rPr>
        <w:t>$7.13 billion. Mellanox is a supplier of high-performance interconnect products for computing, storage and communications applications. We acquired Mellanox to optimize data center workloads to scale across the entire computing, networking, and storage sta</w:t>
      </w:r>
      <w:r>
        <w:rPr>
          <w:rFonts w:ascii="sans-serif" w:eastAsia="sans-serif" w:hAnsi="sans-serif" w:cs="sans-serif"/>
          <w:color w:val="000000"/>
          <w:sz w:val="20"/>
          <w:szCs w:val="20"/>
        </w:rPr>
        <w:t>ck.</w:t>
      </w:r>
    </w:p>
    <w:p w14:paraId="1E804201" w14:textId="77777777" w:rsidR="00F20ABF" w:rsidRDefault="00CA4D2F">
      <w:pPr>
        <w:spacing w:before="240" w:after="60"/>
        <w:jc w:val="both"/>
      </w:pPr>
      <w:r>
        <w:rPr>
          <w:rFonts w:ascii="sans-serif" w:eastAsia="sans-serif" w:hAnsi="sans-serif" w:cs="sans-serif"/>
          <w:b/>
          <w:bCs/>
          <w:color w:val="76B900"/>
          <w:sz w:val="20"/>
          <w:szCs w:val="20"/>
        </w:rPr>
        <w:t>Preliminary Purchase Price Allocation</w:t>
      </w:r>
    </w:p>
    <w:p w14:paraId="1E804202" w14:textId="77777777" w:rsidR="00F20ABF" w:rsidRDefault="00CA4D2F">
      <w:pPr>
        <w:jc w:val="both"/>
      </w:pPr>
      <w:r>
        <w:rPr>
          <w:rFonts w:ascii="sans-serif" w:eastAsia="sans-serif" w:hAnsi="sans-serif" w:cs="sans-serif"/>
          <w:color w:val="000000"/>
          <w:sz w:val="20"/>
          <w:szCs w:val="20"/>
        </w:rPr>
        <w:t>The aggregate purchase consideration has been preliminarily allocated as follows (in millions):</w:t>
      </w:r>
    </w:p>
    <w:p w14:paraId="1E804203" w14:textId="77777777" w:rsidR="00F20ABF" w:rsidRDefault="00F20ABF"/>
    <w:tbl>
      <w:tblPr>
        <w:tblW w:w="5000" w:type="pct"/>
        <w:tblCellMar>
          <w:top w:w="15" w:type="dxa"/>
          <w:left w:w="15" w:type="dxa"/>
          <w:bottom w:w="15" w:type="dxa"/>
          <w:right w:w="15" w:type="dxa"/>
        </w:tblCellMar>
        <w:tblLook w:val="04A0" w:firstRow="1" w:lastRow="0" w:firstColumn="1" w:lastColumn="0" w:noHBand="0" w:noVBand="1"/>
      </w:tblPr>
      <w:tblGrid>
        <w:gridCol w:w="39"/>
        <w:gridCol w:w="6577"/>
        <w:gridCol w:w="38"/>
        <w:gridCol w:w="36"/>
        <w:gridCol w:w="36"/>
        <w:gridCol w:w="36"/>
        <w:gridCol w:w="122"/>
        <w:gridCol w:w="1416"/>
        <w:gridCol w:w="36"/>
      </w:tblGrid>
      <w:tr w:rsidR="00F20ABF" w14:paraId="1E80420D" w14:textId="77777777">
        <w:tc>
          <w:tcPr>
            <w:tcW w:w="50" w:type="pct"/>
            <w:shd w:val="clear" w:color="auto" w:fill="auto"/>
          </w:tcPr>
          <w:p w14:paraId="1E804204" w14:textId="77777777" w:rsidR="00F20ABF" w:rsidRDefault="00F20ABF">
            <w:pPr>
              <w:rPr>
                <w:rFonts w:ascii="宋体"/>
              </w:rPr>
            </w:pPr>
          </w:p>
        </w:tc>
        <w:tc>
          <w:tcPr>
            <w:tcW w:w="3980" w:type="pct"/>
            <w:shd w:val="clear" w:color="auto" w:fill="auto"/>
          </w:tcPr>
          <w:p w14:paraId="1E804205" w14:textId="77777777" w:rsidR="00F20ABF" w:rsidRDefault="00F20ABF">
            <w:pPr>
              <w:rPr>
                <w:rFonts w:ascii="宋体"/>
              </w:rPr>
            </w:pPr>
          </w:p>
        </w:tc>
        <w:tc>
          <w:tcPr>
            <w:tcW w:w="5" w:type="pct"/>
            <w:shd w:val="clear" w:color="auto" w:fill="auto"/>
          </w:tcPr>
          <w:p w14:paraId="1E804206" w14:textId="77777777" w:rsidR="00F20ABF" w:rsidRDefault="00F20ABF">
            <w:pPr>
              <w:rPr>
                <w:rFonts w:ascii="宋体"/>
              </w:rPr>
            </w:pPr>
          </w:p>
        </w:tc>
        <w:tc>
          <w:tcPr>
            <w:tcW w:w="5" w:type="pct"/>
            <w:shd w:val="clear" w:color="auto" w:fill="auto"/>
          </w:tcPr>
          <w:p w14:paraId="1E804207" w14:textId="77777777" w:rsidR="00F20ABF" w:rsidRDefault="00F20ABF">
            <w:pPr>
              <w:rPr>
                <w:rFonts w:ascii="宋体"/>
              </w:rPr>
            </w:pPr>
          </w:p>
        </w:tc>
        <w:tc>
          <w:tcPr>
            <w:tcW w:w="19" w:type="pct"/>
            <w:shd w:val="clear" w:color="auto" w:fill="auto"/>
          </w:tcPr>
          <w:p w14:paraId="1E804208" w14:textId="77777777" w:rsidR="00F20ABF" w:rsidRDefault="00F20ABF">
            <w:pPr>
              <w:rPr>
                <w:rFonts w:ascii="宋体"/>
              </w:rPr>
            </w:pPr>
          </w:p>
        </w:tc>
        <w:tc>
          <w:tcPr>
            <w:tcW w:w="5" w:type="pct"/>
            <w:shd w:val="clear" w:color="auto" w:fill="auto"/>
          </w:tcPr>
          <w:p w14:paraId="1E804209" w14:textId="77777777" w:rsidR="00F20ABF" w:rsidRDefault="00F20ABF">
            <w:pPr>
              <w:rPr>
                <w:rFonts w:ascii="宋体"/>
              </w:rPr>
            </w:pPr>
          </w:p>
        </w:tc>
        <w:tc>
          <w:tcPr>
            <w:tcW w:w="50" w:type="pct"/>
            <w:shd w:val="clear" w:color="auto" w:fill="auto"/>
          </w:tcPr>
          <w:p w14:paraId="1E80420A" w14:textId="77777777" w:rsidR="00F20ABF" w:rsidRDefault="00F20ABF">
            <w:pPr>
              <w:rPr>
                <w:rFonts w:ascii="宋体"/>
              </w:rPr>
            </w:pPr>
          </w:p>
        </w:tc>
        <w:tc>
          <w:tcPr>
            <w:tcW w:w="880" w:type="pct"/>
            <w:shd w:val="clear" w:color="auto" w:fill="auto"/>
          </w:tcPr>
          <w:p w14:paraId="1E80420B" w14:textId="77777777" w:rsidR="00F20ABF" w:rsidRDefault="00F20ABF">
            <w:pPr>
              <w:rPr>
                <w:rFonts w:ascii="宋体"/>
              </w:rPr>
            </w:pPr>
          </w:p>
        </w:tc>
        <w:tc>
          <w:tcPr>
            <w:tcW w:w="5" w:type="pct"/>
            <w:shd w:val="clear" w:color="auto" w:fill="auto"/>
          </w:tcPr>
          <w:p w14:paraId="1E80420C" w14:textId="77777777" w:rsidR="00F20ABF" w:rsidRDefault="00F20ABF">
            <w:pPr>
              <w:rPr>
                <w:rFonts w:ascii="宋体"/>
              </w:rPr>
            </w:pPr>
          </w:p>
        </w:tc>
      </w:tr>
      <w:tr w:rsidR="00F20ABF" w14:paraId="1E804211" w14:textId="77777777">
        <w:tc>
          <w:tcPr>
            <w:tcW w:w="0" w:type="auto"/>
            <w:gridSpan w:val="3"/>
            <w:shd w:val="clear" w:color="auto" w:fill="E2EFD9"/>
            <w:tcMar>
              <w:top w:w="40" w:type="dxa"/>
              <w:left w:w="20" w:type="dxa"/>
              <w:bottom w:w="40" w:type="dxa"/>
              <w:right w:w="20" w:type="dxa"/>
            </w:tcMar>
            <w:vAlign w:val="bottom"/>
          </w:tcPr>
          <w:p w14:paraId="1E80420E" w14:textId="77777777" w:rsidR="00F20ABF" w:rsidRDefault="00CA4D2F">
            <w:pPr>
              <w:jc w:val="both"/>
              <w:textAlignment w:val="bottom"/>
            </w:pPr>
            <w:r>
              <w:rPr>
                <w:rFonts w:ascii="sans-serif" w:eastAsia="sans-serif" w:hAnsi="sans-serif" w:cs="sans-serif"/>
                <w:b/>
                <w:bCs/>
                <w:color w:val="000000"/>
                <w:sz w:val="20"/>
                <w:szCs w:val="20"/>
              </w:rPr>
              <w:t>Purchase Price</w:t>
            </w:r>
          </w:p>
        </w:tc>
        <w:tc>
          <w:tcPr>
            <w:tcW w:w="0" w:type="auto"/>
            <w:gridSpan w:val="3"/>
            <w:shd w:val="clear" w:color="auto" w:fill="E2EFD9"/>
            <w:tcMar>
              <w:top w:w="0" w:type="dxa"/>
              <w:left w:w="20" w:type="dxa"/>
              <w:bottom w:w="0" w:type="dxa"/>
              <w:right w:w="20" w:type="dxa"/>
            </w:tcMar>
          </w:tcPr>
          <w:p w14:paraId="1E80420F"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210" w14:textId="77777777" w:rsidR="00F20ABF" w:rsidRDefault="00F20ABF">
            <w:pPr>
              <w:rPr>
                <w:rFonts w:ascii="宋体"/>
              </w:rPr>
            </w:pPr>
          </w:p>
        </w:tc>
      </w:tr>
      <w:tr w:rsidR="00F20ABF" w14:paraId="1E804217" w14:textId="77777777">
        <w:tc>
          <w:tcPr>
            <w:tcW w:w="0" w:type="auto"/>
            <w:gridSpan w:val="3"/>
            <w:shd w:val="clear" w:color="auto" w:fill="FFFFFF"/>
            <w:tcMar>
              <w:top w:w="40" w:type="dxa"/>
              <w:left w:w="20" w:type="dxa"/>
              <w:bottom w:w="40" w:type="dxa"/>
              <w:right w:w="20" w:type="dxa"/>
            </w:tcMar>
            <w:vAlign w:val="bottom"/>
          </w:tcPr>
          <w:p w14:paraId="1E804212" w14:textId="77777777" w:rsidR="00F20ABF" w:rsidRDefault="00CA4D2F">
            <w:pPr>
              <w:textAlignment w:val="bottom"/>
            </w:pPr>
            <w:r>
              <w:rPr>
                <w:rFonts w:ascii="sans-serif" w:eastAsia="sans-serif" w:hAnsi="sans-serif" w:cs="sans-serif"/>
                <w:color w:val="000000"/>
                <w:sz w:val="20"/>
                <w:szCs w:val="20"/>
              </w:rPr>
              <w:t>Cash paid for outstanding Mellanox ordinary shares (1)</w:t>
            </w:r>
          </w:p>
        </w:tc>
        <w:tc>
          <w:tcPr>
            <w:tcW w:w="0" w:type="auto"/>
            <w:gridSpan w:val="3"/>
            <w:shd w:val="clear" w:color="auto" w:fill="FFFFFF"/>
            <w:tcMar>
              <w:top w:w="0" w:type="dxa"/>
              <w:left w:w="20" w:type="dxa"/>
              <w:bottom w:w="0" w:type="dxa"/>
              <w:right w:w="20" w:type="dxa"/>
            </w:tcMar>
          </w:tcPr>
          <w:p w14:paraId="1E804213"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214"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215" w14:textId="77777777" w:rsidR="00F20ABF" w:rsidRDefault="00CA4D2F">
            <w:pPr>
              <w:jc w:val="right"/>
              <w:textAlignment w:val="bottom"/>
            </w:pPr>
            <w:r>
              <w:rPr>
                <w:rFonts w:ascii="sans-serif" w:eastAsia="sans-serif" w:hAnsi="sans-serif" w:cs="sans-serif"/>
                <w:color w:val="000000"/>
                <w:sz w:val="20"/>
                <w:szCs w:val="20"/>
              </w:rPr>
              <w:t>7,033 </w:t>
            </w:r>
          </w:p>
        </w:tc>
        <w:tc>
          <w:tcPr>
            <w:tcW w:w="0" w:type="auto"/>
            <w:shd w:val="clear" w:color="auto" w:fill="FFFFFF"/>
            <w:tcMar>
              <w:top w:w="40" w:type="dxa"/>
              <w:left w:w="0" w:type="dxa"/>
              <w:bottom w:w="40" w:type="dxa"/>
              <w:right w:w="20" w:type="dxa"/>
            </w:tcMar>
            <w:vAlign w:val="bottom"/>
          </w:tcPr>
          <w:p w14:paraId="1E804216" w14:textId="77777777" w:rsidR="00F20ABF" w:rsidRDefault="00F20ABF">
            <w:pPr>
              <w:jc w:val="right"/>
              <w:rPr>
                <w:rFonts w:ascii="宋体"/>
              </w:rPr>
            </w:pPr>
          </w:p>
        </w:tc>
      </w:tr>
      <w:tr w:rsidR="00F20ABF" w14:paraId="1E80421C" w14:textId="77777777">
        <w:tc>
          <w:tcPr>
            <w:tcW w:w="0" w:type="auto"/>
            <w:gridSpan w:val="3"/>
            <w:shd w:val="clear" w:color="auto" w:fill="E2EFD9"/>
            <w:tcMar>
              <w:top w:w="40" w:type="dxa"/>
              <w:left w:w="20" w:type="dxa"/>
              <w:bottom w:w="40" w:type="dxa"/>
              <w:right w:w="20" w:type="dxa"/>
            </w:tcMar>
            <w:vAlign w:val="bottom"/>
          </w:tcPr>
          <w:p w14:paraId="1E804218" w14:textId="77777777" w:rsidR="00F20ABF" w:rsidRDefault="00CA4D2F">
            <w:pPr>
              <w:textAlignment w:val="bottom"/>
            </w:pPr>
            <w:r>
              <w:rPr>
                <w:rFonts w:ascii="sans-serif" w:eastAsia="sans-serif" w:hAnsi="sans-serif" w:cs="sans-serif"/>
                <w:color w:val="000000"/>
                <w:sz w:val="20"/>
                <w:szCs w:val="20"/>
              </w:rPr>
              <w:t xml:space="preserve">Cash for </w:t>
            </w:r>
            <w:r>
              <w:rPr>
                <w:rFonts w:ascii="sans-serif" w:eastAsia="sans-serif" w:hAnsi="sans-serif" w:cs="sans-serif"/>
                <w:color w:val="000000"/>
                <w:sz w:val="20"/>
                <w:szCs w:val="20"/>
              </w:rPr>
              <w:t>Mellanox equity awards (2)</w:t>
            </w:r>
          </w:p>
        </w:tc>
        <w:tc>
          <w:tcPr>
            <w:tcW w:w="0" w:type="auto"/>
            <w:gridSpan w:val="3"/>
            <w:shd w:val="clear" w:color="auto" w:fill="E2EFD9"/>
            <w:tcMar>
              <w:top w:w="0" w:type="dxa"/>
              <w:left w:w="20" w:type="dxa"/>
              <w:bottom w:w="0" w:type="dxa"/>
              <w:right w:w="20" w:type="dxa"/>
            </w:tcMar>
          </w:tcPr>
          <w:p w14:paraId="1E80421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21A" w14:textId="77777777" w:rsidR="00F20ABF" w:rsidRDefault="00CA4D2F">
            <w:pPr>
              <w:jc w:val="right"/>
              <w:textAlignment w:val="bottom"/>
            </w:pPr>
            <w:r>
              <w:rPr>
                <w:rFonts w:ascii="sans-serif" w:eastAsia="sans-serif" w:hAnsi="sans-serif" w:cs="sans-serif"/>
                <w:color w:val="000000"/>
                <w:sz w:val="20"/>
                <w:szCs w:val="20"/>
              </w:rPr>
              <w:t>16 </w:t>
            </w:r>
          </w:p>
        </w:tc>
        <w:tc>
          <w:tcPr>
            <w:tcW w:w="0" w:type="auto"/>
            <w:shd w:val="clear" w:color="auto" w:fill="E2EFD9"/>
            <w:tcMar>
              <w:top w:w="40" w:type="dxa"/>
              <w:left w:w="0" w:type="dxa"/>
              <w:bottom w:w="40" w:type="dxa"/>
              <w:right w:w="20" w:type="dxa"/>
            </w:tcMar>
            <w:vAlign w:val="bottom"/>
          </w:tcPr>
          <w:p w14:paraId="1E80421B" w14:textId="77777777" w:rsidR="00F20ABF" w:rsidRDefault="00F20ABF">
            <w:pPr>
              <w:jc w:val="right"/>
              <w:rPr>
                <w:rFonts w:ascii="宋体"/>
              </w:rPr>
            </w:pPr>
          </w:p>
        </w:tc>
      </w:tr>
      <w:tr w:rsidR="00F20ABF" w14:paraId="1E804221" w14:textId="77777777">
        <w:tc>
          <w:tcPr>
            <w:tcW w:w="0" w:type="auto"/>
            <w:gridSpan w:val="3"/>
            <w:shd w:val="clear" w:color="auto" w:fill="FFFFFF"/>
            <w:tcMar>
              <w:top w:w="40" w:type="dxa"/>
              <w:left w:w="260" w:type="dxa"/>
              <w:bottom w:w="40" w:type="dxa"/>
              <w:right w:w="20" w:type="dxa"/>
            </w:tcMar>
            <w:vAlign w:val="bottom"/>
          </w:tcPr>
          <w:p w14:paraId="1E80421D" w14:textId="77777777" w:rsidR="00F20ABF" w:rsidRDefault="00CA4D2F">
            <w:pPr>
              <w:textAlignment w:val="bottom"/>
            </w:pPr>
            <w:r>
              <w:rPr>
                <w:rFonts w:ascii="sans-serif" w:eastAsia="sans-serif" w:hAnsi="sans-serif" w:cs="sans-serif"/>
                <w:color w:val="000000"/>
                <w:sz w:val="20"/>
                <w:szCs w:val="20"/>
              </w:rPr>
              <w:t>Total cash consideration</w:t>
            </w:r>
          </w:p>
        </w:tc>
        <w:tc>
          <w:tcPr>
            <w:tcW w:w="0" w:type="auto"/>
            <w:gridSpan w:val="3"/>
            <w:shd w:val="clear" w:color="auto" w:fill="FFFFFF"/>
            <w:tcMar>
              <w:top w:w="0" w:type="dxa"/>
              <w:left w:w="20" w:type="dxa"/>
              <w:bottom w:w="0" w:type="dxa"/>
              <w:right w:w="20" w:type="dxa"/>
            </w:tcMar>
          </w:tcPr>
          <w:p w14:paraId="1E80421E"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421F" w14:textId="77777777" w:rsidR="00F20ABF" w:rsidRDefault="00CA4D2F">
            <w:pPr>
              <w:jc w:val="right"/>
              <w:textAlignment w:val="bottom"/>
            </w:pPr>
            <w:r>
              <w:rPr>
                <w:rFonts w:ascii="sans-serif" w:eastAsia="sans-serif" w:hAnsi="sans-serif" w:cs="sans-serif"/>
                <w:color w:val="000000"/>
                <w:sz w:val="20"/>
                <w:szCs w:val="20"/>
              </w:rPr>
              <w:t>7,049 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4220" w14:textId="77777777" w:rsidR="00F20ABF" w:rsidRDefault="00F20ABF">
            <w:pPr>
              <w:jc w:val="right"/>
              <w:rPr>
                <w:rFonts w:ascii="宋体"/>
              </w:rPr>
            </w:pPr>
          </w:p>
        </w:tc>
      </w:tr>
      <w:tr w:rsidR="00F20ABF" w14:paraId="1E804226" w14:textId="77777777">
        <w:tc>
          <w:tcPr>
            <w:tcW w:w="0" w:type="auto"/>
            <w:gridSpan w:val="3"/>
            <w:shd w:val="clear" w:color="auto" w:fill="E2EFD9"/>
            <w:tcMar>
              <w:top w:w="40" w:type="dxa"/>
              <w:left w:w="20" w:type="dxa"/>
              <w:bottom w:w="40" w:type="dxa"/>
              <w:right w:w="20" w:type="dxa"/>
            </w:tcMar>
            <w:vAlign w:val="bottom"/>
          </w:tcPr>
          <w:p w14:paraId="1E804222" w14:textId="77777777" w:rsidR="00F20ABF" w:rsidRDefault="00CA4D2F">
            <w:pPr>
              <w:textAlignment w:val="bottom"/>
            </w:pPr>
            <w:r>
              <w:rPr>
                <w:rFonts w:ascii="sans-serif" w:eastAsia="sans-serif" w:hAnsi="sans-serif" w:cs="sans-serif"/>
                <w:color w:val="000000"/>
                <w:sz w:val="20"/>
                <w:szCs w:val="20"/>
              </w:rPr>
              <w:t>Fair value of Mellanox equity awards assumed by NVIDIA (3)</w:t>
            </w:r>
          </w:p>
        </w:tc>
        <w:tc>
          <w:tcPr>
            <w:tcW w:w="0" w:type="auto"/>
            <w:gridSpan w:val="3"/>
            <w:shd w:val="clear" w:color="auto" w:fill="E2EFD9"/>
            <w:tcMar>
              <w:top w:w="0" w:type="dxa"/>
              <w:left w:w="20" w:type="dxa"/>
              <w:bottom w:w="0" w:type="dxa"/>
              <w:right w:w="20" w:type="dxa"/>
            </w:tcMar>
          </w:tcPr>
          <w:p w14:paraId="1E804223"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224" w14:textId="77777777" w:rsidR="00F20ABF" w:rsidRDefault="00CA4D2F">
            <w:pPr>
              <w:jc w:val="right"/>
              <w:textAlignment w:val="bottom"/>
            </w:pPr>
            <w:r>
              <w:rPr>
                <w:rFonts w:ascii="sans-serif" w:eastAsia="sans-serif" w:hAnsi="sans-serif" w:cs="sans-serif"/>
                <w:color w:val="000000"/>
                <w:sz w:val="20"/>
                <w:szCs w:val="20"/>
              </w:rPr>
              <w:t>85 </w:t>
            </w:r>
          </w:p>
        </w:tc>
        <w:tc>
          <w:tcPr>
            <w:tcW w:w="0" w:type="auto"/>
            <w:shd w:val="clear" w:color="auto" w:fill="E2EFD9"/>
            <w:tcMar>
              <w:top w:w="40" w:type="dxa"/>
              <w:left w:w="0" w:type="dxa"/>
              <w:bottom w:w="40" w:type="dxa"/>
              <w:right w:w="20" w:type="dxa"/>
            </w:tcMar>
            <w:vAlign w:val="bottom"/>
          </w:tcPr>
          <w:p w14:paraId="1E804225" w14:textId="77777777" w:rsidR="00F20ABF" w:rsidRDefault="00F20ABF">
            <w:pPr>
              <w:jc w:val="right"/>
              <w:rPr>
                <w:rFonts w:ascii="宋体"/>
              </w:rPr>
            </w:pPr>
          </w:p>
        </w:tc>
      </w:tr>
      <w:tr w:rsidR="00F20ABF" w14:paraId="1E80422C" w14:textId="77777777">
        <w:tc>
          <w:tcPr>
            <w:tcW w:w="0" w:type="auto"/>
            <w:gridSpan w:val="3"/>
            <w:shd w:val="clear" w:color="auto" w:fill="FFFFFF"/>
            <w:tcMar>
              <w:top w:w="40" w:type="dxa"/>
              <w:left w:w="260" w:type="dxa"/>
              <w:bottom w:w="40" w:type="dxa"/>
              <w:right w:w="20" w:type="dxa"/>
            </w:tcMar>
            <w:vAlign w:val="bottom"/>
          </w:tcPr>
          <w:p w14:paraId="1E804227" w14:textId="77777777" w:rsidR="00F20ABF" w:rsidRDefault="00CA4D2F">
            <w:pPr>
              <w:textAlignment w:val="bottom"/>
            </w:pPr>
            <w:r>
              <w:rPr>
                <w:rFonts w:ascii="sans-serif" w:eastAsia="sans-serif" w:hAnsi="sans-serif" w:cs="sans-serif"/>
                <w:color w:val="000000"/>
                <w:sz w:val="20"/>
                <w:szCs w:val="20"/>
              </w:rPr>
              <w:t>Total purchase consideration</w:t>
            </w:r>
          </w:p>
        </w:tc>
        <w:tc>
          <w:tcPr>
            <w:tcW w:w="0" w:type="auto"/>
            <w:gridSpan w:val="3"/>
            <w:shd w:val="clear" w:color="auto" w:fill="FFFFFF"/>
            <w:tcMar>
              <w:top w:w="0" w:type="dxa"/>
              <w:left w:w="20" w:type="dxa"/>
              <w:bottom w:w="0" w:type="dxa"/>
              <w:right w:w="20" w:type="dxa"/>
            </w:tcMar>
          </w:tcPr>
          <w:p w14:paraId="1E804228" w14:textId="77777777" w:rsidR="00F20ABF" w:rsidRDefault="00F20A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E804229"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E80422A" w14:textId="77777777" w:rsidR="00F20ABF" w:rsidRDefault="00CA4D2F">
            <w:pPr>
              <w:jc w:val="right"/>
              <w:textAlignment w:val="bottom"/>
            </w:pPr>
            <w:r>
              <w:rPr>
                <w:rFonts w:ascii="sans-serif" w:eastAsia="sans-serif" w:hAnsi="sans-serif" w:cs="sans-serif"/>
                <w:color w:val="000000"/>
                <w:sz w:val="20"/>
                <w:szCs w:val="20"/>
              </w:rPr>
              <w:t>7,134 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422B" w14:textId="77777777" w:rsidR="00F20ABF" w:rsidRDefault="00F20ABF">
            <w:pPr>
              <w:jc w:val="right"/>
              <w:rPr>
                <w:rFonts w:ascii="宋体"/>
              </w:rPr>
            </w:pPr>
          </w:p>
        </w:tc>
      </w:tr>
      <w:tr w:rsidR="00F20ABF" w14:paraId="1E804230" w14:textId="77777777">
        <w:trPr>
          <w:trHeight w:val="300"/>
        </w:trPr>
        <w:tc>
          <w:tcPr>
            <w:tcW w:w="0" w:type="auto"/>
            <w:gridSpan w:val="3"/>
            <w:shd w:val="clear" w:color="auto" w:fill="E2EFD9"/>
            <w:tcMar>
              <w:top w:w="0" w:type="dxa"/>
              <w:left w:w="20" w:type="dxa"/>
              <w:bottom w:w="0" w:type="dxa"/>
              <w:right w:w="20" w:type="dxa"/>
            </w:tcMar>
          </w:tcPr>
          <w:p w14:paraId="1E80422D"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22E" w14:textId="77777777" w:rsidR="00F20ABF" w:rsidRDefault="00F20ABF">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tcPr>
          <w:p w14:paraId="1E80422F" w14:textId="77777777" w:rsidR="00F20ABF" w:rsidRDefault="00F20ABF">
            <w:pPr>
              <w:rPr>
                <w:rFonts w:ascii="宋体"/>
              </w:rPr>
            </w:pPr>
          </w:p>
        </w:tc>
      </w:tr>
      <w:tr w:rsidR="00F20ABF" w14:paraId="1E804234" w14:textId="77777777">
        <w:tc>
          <w:tcPr>
            <w:tcW w:w="0" w:type="auto"/>
            <w:gridSpan w:val="3"/>
            <w:shd w:val="clear" w:color="auto" w:fill="FFFFFF"/>
            <w:tcMar>
              <w:top w:w="40" w:type="dxa"/>
              <w:left w:w="20" w:type="dxa"/>
              <w:bottom w:w="40" w:type="dxa"/>
              <w:right w:w="20" w:type="dxa"/>
            </w:tcMar>
            <w:vAlign w:val="bottom"/>
          </w:tcPr>
          <w:p w14:paraId="1E804231" w14:textId="77777777" w:rsidR="00F20ABF" w:rsidRDefault="00CA4D2F">
            <w:pPr>
              <w:jc w:val="both"/>
              <w:textAlignment w:val="bottom"/>
            </w:pPr>
            <w:r>
              <w:rPr>
                <w:rFonts w:ascii="sans-serif" w:eastAsia="sans-serif" w:hAnsi="sans-serif" w:cs="sans-serif"/>
                <w:b/>
                <w:bCs/>
                <w:color w:val="000000"/>
                <w:sz w:val="20"/>
                <w:szCs w:val="20"/>
              </w:rPr>
              <w:t>Allocation</w:t>
            </w:r>
          </w:p>
        </w:tc>
        <w:tc>
          <w:tcPr>
            <w:tcW w:w="0" w:type="auto"/>
            <w:gridSpan w:val="3"/>
            <w:shd w:val="clear" w:color="auto" w:fill="FFFFFF"/>
            <w:tcMar>
              <w:top w:w="0" w:type="dxa"/>
              <w:left w:w="20" w:type="dxa"/>
              <w:bottom w:w="0" w:type="dxa"/>
              <w:right w:w="20" w:type="dxa"/>
            </w:tcMar>
          </w:tcPr>
          <w:p w14:paraId="1E804232"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233" w14:textId="77777777" w:rsidR="00F20ABF" w:rsidRDefault="00F20ABF">
            <w:pPr>
              <w:rPr>
                <w:rFonts w:ascii="宋体"/>
              </w:rPr>
            </w:pPr>
          </w:p>
        </w:tc>
      </w:tr>
      <w:tr w:rsidR="00F20ABF" w14:paraId="1E80423A" w14:textId="77777777">
        <w:tc>
          <w:tcPr>
            <w:tcW w:w="0" w:type="auto"/>
            <w:gridSpan w:val="3"/>
            <w:shd w:val="clear" w:color="auto" w:fill="E2EFD9"/>
            <w:tcMar>
              <w:top w:w="40" w:type="dxa"/>
              <w:left w:w="20" w:type="dxa"/>
              <w:bottom w:w="40" w:type="dxa"/>
              <w:right w:w="20" w:type="dxa"/>
            </w:tcMar>
            <w:vAlign w:val="bottom"/>
          </w:tcPr>
          <w:p w14:paraId="1E804235" w14:textId="77777777" w:rsidR="00F20ABF" w:rsidRDefault="00CA4D2F">
            <w:pPr>
              <w:textAlignment w:val="bottom"/>
            </w:pPr>
            <w:r>
              <w:rPr>
                <w:rFonts w:ascii="sans-serif" w:eastAsia="sans-serif" w:hAnsi="sans-serif" w:cs="sans-serif"/>
                <w:color w:val="000000"/>
                <w:sz w:val="20"/>
                <w:szCs w:val="20"/>
              </w:rPr>
              <w:t>Cash and cash equivalents</w:t>
            </w:r>
          </w:p>
        </w:tc>
        <w:tc>
          <w:tcPr>
            <w:tcW w:w="0" w:type="auto"/>
            <w:gridSpan w:val="3"/>
            <w:shd w:val="clear" w:color="auto" w:fill="E2EFD9"/>
            <w:tcMar>
              <w:top w:w="0" w:type="dxa"/>
              <w:left w:w="20" w:type="dxa"/>
              <w:bottom w:w="0" w:type="dxa"/>
              <w:right w:w="20" w:type="dxa"/>
            </w:tcMar>
          </w:tcPr>
          <w:p w14:paraId="1E804236"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237"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238" w14:textId="77777777" w:rsidR="00F20ABF" w:rsidRDefault="00CA4D2F">
            <w:pPr>
              <w:jc w:val="right"/>
              <w:textAlignment w:val="bottom"/>
            </w:pPr>
            <w:r>
              <w:rPr>
                <w:rFonts w:ascii="sans-serif" w:eastAsia="sans-serif" w:hAnsi="sans-serif" w:cs="sans-serif"/>
                <w:color w:val="000000"/>
                <w:sz w:val="20"/>
                <w:szCs w:val="20"/>
              </w:rPr>
              <w:t>115 </w:t>
            </w:r>
          </w:p>
        </w:tc>
        <w:tc>
          <w:tcPr>
            <w:tcW w:w="0" w:type="auto"/>
            <w:shd w:val="clear" w:color="auto" w:fill="E2EFD9"/>
            <w:tcMar>
              <w:top w:w="40" w:type="dxa"/>
              <w:left w:w="0" w:type="dxa"/>
              <w:bottom w:w="40" w:type="dxa"/>
              <w:right w:w="20" w:type="dxa"/>
            </w:tcMar>
            <w:vAlign w:val="bottom"/>
          </w:tcPr>
          <w:p w14:paraId="1E804239" w14:textId="77777777" w:rsidR="00F20ABF" w:rsidRDefault="00F20ABF">
            <w:pPr>
              <w:jc w:val="right"/>
              <w:rPr>
                <w:rFonts w:ascii="宋体"/>
              </w:rPr>
            </w:pPr>
          </w:p>
        </w:tc>
      </w:tr>
      <w:tr w:rsidR="00F20ABF" w14:paraId="1E80423F" w14:textId="77777777">
        <w:tc>
          <w:tcPr>
            <w:tcW w:w="0" w:type="auto"/>
            <w:gridSpan w:val="3"/>
            <w:shd w:val="clear" w:color="auto" w:fill="FFFFFF"/>
            <w:tcMar>
              <w:top w:w="40" w:type="dxa"/>
              <w:left w:w="20" w:type="dxa"/>
              <w:bottom w:w="40" w:type="dxa"/>
              <w:right w:w="20" w:type="dxa"/>
            </w:tcMar>
            <w:vAlign w:val="bottom"/>
          </w:tcPr>
          <w:p w14:paraId="1E80423B" w14:textId="77777777" w:rsidR="00F20ABF" w:rsidRDefault="00CA4D2F">
            <w:pPr>
              <w:textAlignment w:val="bottom"/>
            </w:pPr>
            <w:r>
              <w:rPr>
                <w:rFonts w:ascii="sans-serif" w:eastAsia="sans-serif" w:hAnsi="sans-serif" w:cs="sans-serif"/>
                <w:color w:val="000000"/>
                <w:sz w:val="20"/>
                <w:szCs w:val="20"/>
              </w:rPr>
              <w:t xml:space="preserve">Marketable </w:t>
            </w:r>
            <w:r>
              <w:rPr>
                <w:rFonts w:ascii="sans-serif" w:eastAsia="sans-serif" w:hAnsi="sans-serif" w:cs="sans-serif"/>
                <w:color w:val="000000"/>
                <w:sz w:val="20"/>
                <w:szCs w:val="20"/>
              </w:rPr>
              <w:t>securities</w:t>
            </w:r>
          </w:p>
        </w:tc>
        <w:tc>
          <w:tcPr>
            <w:tcW w:w="0" w:type="auto"/>
            <w:gridSpan w:val="3"/>
            <w:shd w:val="clear" w:color="auto" w:fill="FFFFFF"/>
            <w:tcMar>
              <w:top w:w="0" w:type="dxa"/>
              <w:left w:w="20" w:type="dxa"/>
              <w:bottom w:w="0" w:type="dxa"/>
              <w:right w:w="20" w:type="dxa"/>
            </w:tcMar>
          </w:tcPr>
          <w:p w14:paraId="1E80423C"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23D" w14:textId="77777777" w:rsidR="00F20ABF" w:rsidRDefault="00CA4D2F">
            <w:pPr>
              <w:jc w:val="right"/>
              <w:textAlignment w:val="bottom"/>
            </w:pPr>
            <w:r>
              <w:rPr>
                <w:rFonts w:ascii="sans-serif" w:eastAsia="sans-serif" w:hAnsi="sans-serif" w:cs="sans-serif"/>
                <w:color w:val="000000"/>
                <w:sz w:val="20"/>
                <w:szCs w:val="20"/>
              </w:rPr>
              <w:t>699 </w:t>
            </w:r>
          </w:p>
        </w:tc>
        <w:tc>
          <w:tcPr>
            <w:tcW w:w="0" w:type="auto"/>
            <w:shd w:val="clear" w:color="auto" w:fill="FFFFFF"/>
            <w:tcMar>
              <w:top w:w="40" w:type="dxa"/>
              <w:left w:w="0" w:type="dxa"/>
              <w:bottom w:w="40" w:type="dxa"/>
              <w:right w:w="20" w:type="dxa"/>
            </w:tcMar>
            <w:vAlign w:val="bottom"/>
          </w:tcPr>
          <w:p w14:paraId="1E80423E" w14:textId="77777777" w:rsidR="00F20ABF" w:rsidRDefault="00F20ABF">
            <w:pPr>
              <w:jc w:val="right"/>
              <w:rPr>
                <w:rFonts w:ascii="宋体"/>
              </w:rPr>
            </w:pPr>
          </w:p>
        </w:tc>
      </w:tr>
      <w:tr w:rsidR="00F20ABF" w14:paraId="1E804244" w14:textId="77777777">
        <w:tc>
          <w:tcPr>
            <w:tcW w:w="0" w:type="auto"/>
            <w:gridSpan w:val="3"/>
            <w:shd w:val="clear" w:color="auto" w:fill="E2EFD9"/>
            <w:tcMar>
              <w:top w:w="40" w:type="dxa"/>
              <w:left w:w="20" w:type="dxa"/>
              <w:bottom w:w="40" w:type="dxa"/>
              <w:right w:w="20" w:type="dxa"/>
            </w:tcMar>
            <w:vAlign w:val="bottom"/>
          </w:tcPr>
          <w:p w14:paraId="1E804240" w14:textId="77777777" w:rsidR="00F20ABF" w:rsidRDefault="00CA4D2F">
            <w:pPr>
              <w:textAlignment w:val="bottom"/>
            </w:pPr>
            <w:r>
              <w:rPr>
                <w:rFonts w:ascii="sans-serif" w:eastAsia="sans-serif" w:hAnsi="sans-serif" w:cs="sans-serif"/>
                <w:color w:val="000000"/>
                <w:sz w:val="20"/>
                <w:szCs w:val="20"/>
              </w:rPr>
              <w:t>Accounts receivable, net</w:t>
            </w:r>
          </w:p>
        </w:tc>
        <w:tc>
          <w:tcPr>
            <w:tcW w:w="0" w:type="auto"/>
            <w:gridSpan w:val="3"/>
            <w:shd w:val="clear" w:color="auto" w:fill="E2EFD9"/>
            <w:tcMar>
              <w:top w:w="0" w:type="dxa"/>
              <w:left w:w="20" w:type="dxa"/>
              <w:bottom w:w="0" w:type="dxa"/>
              <w:right w:w="20" w:type="dxa"/>
            </w:tcMar>
          </w:tcPr>
          <w:p w14:paraId="1E804241"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242" w14:textId="77777777" w:rsidR="00F20ABF" w:rsidRDefault="00CA4D2F">
            <w:pPr>
              <w:jc w:val="right"/>
              <w:textAlignment w:val="bottom"/>
            </w:pPr>
            <w:r>
              <w:rPr>
                <w:rFonts w:ascii="sans-serif" w:eastAsia="sans-serif" w:hAnsi="sans-serif" w:cs="sans-serif"/>
                <w:color w:val="000000"/>
                <w:sz w:val="20"/>
                <w:szCs w:val="20"/>
              </w:rPr>
              <w:t>216 </w:t>
            </w:r>
          </w:p>
        </w:tc>
        <w:tc>
          <w:tcPr>
            <w:tcW w:w="0" w:type="auto"/>
            <w:shd w:val="clear" w:color="auto" w:fill="E2EFD9"/>
            <w:tcMar>
              <w:top w:w="40" w:type="dxa"/>
              <w:left w:w="0" w:type="dxa"/>
              <w:bottom w:w="40" w:type="dxa"/>
              <w:right w:w="20" w:type="dxa"/>
            </w:tcMar>
            <w:vAlign w:val="bottom"/>
          </w:tcPr>
          <w:p w14:paraId="1E804243" w14:textId="77777777" w:rsidR="00F20ABF" w:rsidRDefault="00F20ABF">
            <w:pPr>
              <w:jc w:val="right"/>
              <w:rPr>
                <w:rFonts w:ascii="宋体"/>
              </w:rPr>
            </w:pPr>
          </w:p>
        </w:tc>
      </w:tr>
      <w:tr w:rsidR="00F20ABF" w14:paraId="1E804249" w14:textId="77777777">
        <w:tc>
          <w:tcPr>
            <w:tcW w:w="0" w:type="auto"/>
            <w:gridSpan w:val="3"/>
            <w:shd w:val="clear" w:color="auto" w:fill="FFFFFF"/>
            <w:tcMar>
              <w:top w:w="40" w:type="dxa"/>
              <w:left w:w="20" w:type="dxa"/>
              <w:bottom w:w="40" w:type="dxa"/>
              <w:right w:w="20" w:type="dxa"/>
            </w:tcMar>
            <w:vAlign w:val="bottom"/>
          </w:tcPr>
          <w:p w14:paraId="1E804245" w14:textId="77777777" w:rsidR="00F20ABF" w:rsidRDefault="00CA4D2F">
            <w:pPr>
              <w:textAlignment w:val="bottom"/>
            </w:pPr>
            <w:r>
              <w:rPr>
                <w:rFonts w:ascii="sans-serif" w:eastAsia="sans-serif" w:hAnsi="sans-serif" w:cs="sans-serif"/>
                <w:color w:val="000000"/>
                <w:sz w:val="20"/>
                <w:szCs w:val="20"/>
              </w:rPr>
              <w:t>Inventories</w:t>
            </w:r>
          </w:p>
        </w:tc>
        <w:tc>
          <w:tcPr>
            <w:tcW w:w="0" w:type="auto"/>
            <w:gridSpan w:val="3"/>
            <w:shd w:val="clear" w:color="auto" w:fill="FFFFFF"/>
            <w:tcMar>
              <w:top w:w="0" w:type="dxa"/>
              <w:left w:w="20" w:type="dxa"/>
              <w:bottom w:w="0" w:type="dxa"/>
              <w:right w:w="20" w:type="dxa"/>
            </w:tcMar>
          </w:tcPr>
          <w:p w14:paraId="1E80424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247" w14:textId="77777777" w:rsidR="00F20ABF" w:rsidRDefault="00CA4D2F">
            <w:pPr>
              <w:jc w:val="right"/>
              <w:textAlignment w:val="bottom"/>
            </w:pPr>
            <w:r>
              <w:rPr>
                <w:rFonts w:ascii="sans-serif" w:eastAsia="sans-serif" w:hAnsi="sans-serif" w:cs="sans-serif"/>
                <w:color w:val="000000"/>
                <w:sz w:val="20"/>
                <w:szCs w:val="20"/>
              </w:rPr>
              <w:t>320 </w:t>
            </w:r>
          </w:p>
        </w:tc>
        <w:tc>
          <w:tcPr>
            <w:tcW w:w="0" w:type="auto"/>
            <w:shd w:val="clear" w:color="auto" w:fill="FFFFFF"/>
            <w:tcMar>
              <w:top w:w="40" w:type="dxa"/>
              <w:left w:w="0" w:type="dxa"/>
              <w:bottom w:w="40" w:type="dxa"/>
              <w:right w:w="20" w:type="dxa"/>
            </w:tcMar>
            <w:vAlign w:val="bottom"/>
          </w:tcPr>
          <w:p w14:paraId="1E804248" w14:textId="77777777" w:rsidR="00F20ABF" w:rsidRDefault="00F20ABF">
            <w:pPr>
              <w:jc w:val="right"/>
              <w:rPr>
                <w:rFonts w:ascii="宋体"/>
              </w:rPr>
            </w:pPr>
          </w:p>
        </w:tc>
      </w:tr>
      <w:tr w:rsidR="00F20ABF" w14:paraId="1E80424E" w14:textId="77777777">
        <w:tc>
          <w:tcPr>
            <w:tcW w:w="0" w:type="auto"/>
            <w:gridSpan w:val="3"/>
            <w:shd w:val="clear" w:color="auto" w:fill="E2EFD9"/>
            <w:tcMar>
              <w:top w:w="40" w:type="dxa"/>
              <w:left w:w="20" w:type="dxa"/>
              <w:bottom w:w="40" w:type="dxa"/>
              <w:right w:w="20" w:type="dxa"/>
            </w:tcMar>
            <w:vAlign w:val="bottom"/>
          </w:tcPr>
          <w:p w14:paraId="1E80424A" w14:textId="77777777" w:rsidR="00F20ABF" w:rsidRDefault="00CA4D2F">
            <w:pPr>
              <w:textAlignment w:val="bottom"/>
            </w:pPr>
            <w:r>
              <w:rPr>
                <w:rFonts w:ascii="sans-serif" w:eastAsia="sans-serif" w:hAnsi="sans-serif" w:cs="sans-serif"/>
                <w:color w:val="000000"/>
                <w:sz w:val="20"/>
                <w:szCs w:val="20"/>
              </w:rPr>
              <w:t>Prepaid expenses and other assets</w:t>
            </w:r>
          </w:p>
        </w:tc>
        <w:tc>
          <w:tcPr>
            <w:tcW w:w="0" w:type="auto"/>
            <w:gridSpan w:val="3"/>
            <w:shd w:val="clear" w:color="auto" w:fill="E2EFD9"/>
            <w:tcMar>
              <w:top w:w="0" w:type="dxa"/>
              <w:left w:w="20" w:type="dxa"/>
              <w:bottom w:w="0" w:type="dxa"/>
              <w:right w:w="20" w:type="dxa"/>
            </w:tcMar>
          </w:tcPr>
          <w:p w14:paraId="1E80424B"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24C" w14:textId="77777777" w:rsidR="00F20ABF" w:rsidRDefault="00CA4D2F">
            <w:pPr>
              <w:jc w:val="right"/>
              <w:textAlignment w:val="bottom"/>
            </w:pPr>
            <w:r>
              <w:rPr>
                <w:rFonts w:ascii="sans-serif" w:eastAsia="sans-serif" w:hAnsi="sans-serif" w:cs="sans-serif"/>
                <w:color w:val="000000"/>
                <w:sz w:val="20"/>
                <w:szCs w:val="20"/>
              </w:rPr>
              <w:t>179 </w:t>
            </w:r>
          </w:p>
        </w:tc>
        <w:tc>
          <w:tcPr>
            <w:tcW w:w="0" w:type="auto"/>
            <w:shd w:val="clear" w:color="auto" w:fill="E2EFD9"/>
            <w:tcMar>
              <w:top w:w="40" w:type="dxa"/>
              <w:left w:w="0" w:type="dxa"/>
              <w:bottom w:w="40" w:type="dxa"/>
              <w:right w:w="20" w:type="dxa"/>
            </w:tcMar>
            <w:vAlign w:val="bottom"/>
          </w:tcPr>
          <w:p w14:paraId="1E80424D" w14:textId="77777777" w:rsidR="00F20ABF" w:rsidRDefault="00F20ABF">
            <w:pPr>
              <w:jc w:val="right"/>
              <w:rPr>
                <w:rFonts w:ascii="宋体"/>
              </w:rPr>
            </w:pPr>
          </w:p>
        </w:tc>
      </w:tr>
      <w:tr w:rsidR="00F20ABF" w14:paraId="1E804253" w14:textId="77777777">
        <w:tc>
          <w:tcPr>
            <w:tcW w:w="0" w:type="auto"/>
            <w:gridSpan w:val="3"/>
            <w:shd w:val="clear" w:color="auto" w:fill="FFFFFF"/>
            <w:tcMar>
              <w:top w:w="40" w:type="dxa"/>
              <w:left w:w="20" w:type="dxa"/>
              <w:bottom w:w="40" w:type="dxa"/>
              <w:right w:w="20" w:type="dxa"/>
            </w:tcMar>
            <w:vAlign w:val="bottom"/>
          </w:tcPr>
          <w:p w14:paraId="1E80424F" w14:textId="77777777" w:rsidR="00F20ABF" w:rsidRDefault="00CA4D2F">
            <w:pPr>
              <w:textAlignment w:val="bottom"/>
            </w:pPr>
            <w:r>
              <w:rPr>
                <w:rFonts w:ascii="sans-serif" w:eastAsia="sans-serif" w:hAnsi="sans-serif" w:cs="sans-serif"/>
                <w:color w:val="000000"/>
                <w:sz w:val="20"/>
                <w:szCs w:val="20"/>
              </w:rPr>
              <w:t>Property and equipment, net</w:t>
            </w:r>
          </w:p>
        </w:tc>
        <w:tc>
          <w:tcPr>
            <w:tcW w:w="0" w:type="auto"/>
            <w:gridSpan w:val="3"/>
            <w:shd w:val="clear" w:color="auto" w:fill="FFFFFF"/>
            <w:tcMar>
              <w:top w:w="0" w:type="dxa"/>
              <w:left w:w="20" w:type="dxa"/>
              <w:bottom w:w="0" w:type="dxa"/>
              <w:right w:w="20" w:type="dxa"/>
            </w:tcMar>
          </w:tcPr>
          <w:p w14:paraId="1E804250"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251" w14:textId="77777777" w:rsidR="00F20ABF" w:rsidRDefault="00CA4D2F">
            <w:pPr>
              <w:jc w:val="right"/>
              <w:textAlignment w:val="bottom"/>
            </w:pPr>
            <w:r>
              <w:rPr>
                <w:rFonts w:ascii="sans-serif" w:eastAsia="sans-serif" w:hAnsi="sans-serif" w:cs="sans-serif"/>
                <w:color w:val="000000"/>
                <w:sz w:val="20"/>
                <w:szCs w:val="20"/>
              </w:rPr>
              <w:t>144 </w:t>
            </w:r>
          </w:p>
        </w:tc>
        <w:tc>
          <w:tcPr>
            <w:tcW w:w="0" w:type="auto"/>
            <w:shd w:val="clear" w:color="auto" w:fill="FFFFFF"/>
            <w:tcMar>
              <w:top w:w="40" w:type="dxa"/>
              <w:left w:w="0" w:type="dxa"/>
              <w:bottom w:w="40" w:type="dxa"/>
              <w:right w:w="20" w:type="dxa"/>
            </w:tcMar>
            <w:vAlign w:val="bottom"/>
          </w:tcPr>
          <w:p w14:paraId="1E804252" w14:textId="77777777" w:rsidR="00F20ABF" w:rsidRDefault="00F20ABF">
            <w:pPr>
              <w:jc w:val="right"/>
              <w:rPr>
                <w:rFonts w:ascii="宋体"/>
              </w:rPr>
            </w:pPr>
          </w:p>
        </w:tc>
      </w:tr>
      <w:tr w:rsidR="00F20ABF" w14:paraId="1E804258" w14:textId="77777777">
        <w:tc>
          <w:tcPr>
            <w:tcW w:w="0" w:type="auto"/>
            <w:gridSpan w:val="3"/>
            <w:shd w:val="clear" w:color="auto" w:fill="E2EFD9"/>
            <w:tcMar>
              <w:top w:w="40" w:type="dxa"/>
              <w:left w:w="20" w:type="dxa"/>
              <w:bottom w:w="40" w:type="dxa"/>
              <w:right w:w="20" w:type="dxa"/>
            </w:tcMar>
            <w:vAlign w:val="bottom"/>
          </w:tcPr>
          <w:p w14:paraId="1E804254" w14:textId="77777777" w:rsidR="00F20ABF" w:rsidRDefault="00CA4D2F">
            <w:pPr>
              <w:textAlignment w:val="bottom"/>
            </w:pPr>
            <w:r>
              <w:rPr>
                <w:rFonts w:ascii="sans-serif" w:eastAsia="sans-serif" w:hAnsi="sans-serif" w:cs="sans-serif"/>
                <w:color w:val="000000"/>
                <w:sz w:val="20"/>
                <w:szCs w:val="20"/>
              </w:rPr>
              <w:t>Goodwill</w:t>
            </w:r>
          </w:p>
        </w:tc>
        <w:tc>
          <w:tcPr>
            <w:tcW w:w="0" w:type="auto"/>
            <w:gridSpan w:val="3"/>
            <w:shd w:val="clear" w:color="auto" w:fill="E2EFD9"/>
            <w:tcMar>
              <w:top w:w="0" w:type="dxa"/>
              <w:left w:w="20" w:type="dxa"/>
              <w:bottom w:w="0" w:type="dxa"/>
              <w:right w:w="20" w:type="dxa"/>
            </w:tcMar>
          </w:tcPr>
          <w:p w14:paraId="1E804255"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256" w14:textId="77777777" w:rsidR="00F20ABF" w:rsidRDefault="00CA4D2F">
            <w:pPr>
              <w:jc w:val="right"/>
              <w:textAlignment w:val="bottom"/>
            </w:pPr>
            <w:r>
              <w:rPr>
                <w:rFonts w:ascii="sans-serif" w:eastAsia="sans-serif" w:hAnsi="sans-serif" w:cs="sans-serif"/>
                <w:color w:val="000000"/>
                <w:sz w:val="20"/>
                <w:szCs w:val="20"/>
              </w:rPr>
              <w:t>3,431 </w:t>
            </w:r>
          </w:p>
        </w:tc>
        <w:tc>
          <w:tcPr>
            <w:tcW w:w="0" w:type="auto"/>
            <w:shd w:val="clear" w:color="auto" w:fill="E2EFD9"/>
            <w:tcMar>
              <w:top w:w="40" w:type="dxa"/>
              <w:left w:w="0" w:type="dxa"/>
              <w:bottom w:w="40" w:type="dxa"/>
              <w:right w:w="20" w:type="dxa"/>
            </w:tcMar>
            <w:vAlign w:val="bottom"/>
          </w:tcPr>
          <w:p w14:paraId="1E804257" w14:textId="77777777" w:rsidR="00F20ABF" w:rsidRDefault="00F20ABF">
            <w:pPr>
              <w:jc w:val="right"/>
              <w:rPr>
                <w:rFonts w:ascii="宋体"/>
              </w:rPr>
            </w:pPr>
          </w:p>
        </w:tc>
      </w:tr>
      <w:tr w:rsidR="00F20ABF" w14:paraId="1E80425D" w14:textId="77777777">
        <w:tc>
          <w:tcPr>
            <w:tcW w:w="0" w:type="auto"/>
            <w:gridSpan w:val="3"/>
            <w:shd w:val="clear" w:color="auto" w:fill="FFFFFF"/>
            <w:tcMar>
              <w:top w:w="40" w:type="dxa"/>
              <w:left w:w="20" w:type="dxa"/>
              <w:bottom w:w="40" w:type="dxa"/>
              <w:right w:w="20" w:type="dxa"/>
            </w:tcMar>
            <w:vAlign w:val="bottom"/>
          </w:tcPr>
          <w:p w14:paraId="1E804259" w14:textId="77777777" w:rsidR="00F20ABF" w:rsidRDefault="00CA4D2F">
            <w:pPr>
              <w:textAlignment w:val="bottom"/>
            </w:pPr>
            <w:r>
              <w:rPr>
                <w:rFonts w:ascii="sans-serif" w:eastAsia="sans-serif" w:hAnsi="sans-serif" w:cs="sans-serif"/>
                <w:color w:val="000000"/>
                <w:sz w:val="20"/>
                <w:szCs w:val="20"/>
              </w:rPr>
              <w:t>Intangible assets</w:t>
            </w:r>
          </w:p>
        </w:tc>
        <w:tc>
          <w:tcPr>
            <w:tcW w:w="0" w:type="auto"/>
            <w:gridSpan w:val="3"/>
            <w:shd w:val="clear" w:color="auto" w:fill="FFFFFF"/>
            <w:tcMar>
              <w:top w:w="0" w:type="dxa"/>
              <w:left w:w="20" w:type="dxa"/>
              <w:bottom w:w="0" w:type="dxa"/>
              <w:right w:w="20" w:type="dxa"/>
            </w:tcMar>
          </w:tcPr>
          <w:p w14:paraId="1E80425A"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25B" w14:textId="77777777" w:rsidR="00F20ABF" w:rsidRDefault="00CA4D2F">
            <w:pPr>
              <w:jc w:val="right"/>
              <w:textAlignment w:val="bottom"/>
            </w:pPr>
            <w:r>
              <w:rPr>
                <w:rFonts w:ascii="sans-serif" w:eastAsia="sans-serif" w:hAnsi="sans-serif" w:cs="sans-serif"/>
                <w:color w:val="000000"/>
                <w:sz w:val="20"/>
                <w:szCs w:val="20"/>
              </w:rPr>
              <w:t>2,970 </w:t>
            </w:r>
          </w:p>
        </w:tc>
        <w:tc>
          <w:tcPr>
            <w:tcW w:w="0" w:type="auto"/>
            <w:shd w:val="clear" w:color="auto" w:fill="FFFFFF"/>
            <w:tcMar>
              <w:top w:w="40" w:type="dxa"/>
              <w:left w:w="0" w:type="dxa"/>
              <w:bottom w:w="40" w:type="dxa"/>
              <w:right w:w="20" w:type="dxa"/>
            </w:tcMar>
            <w:vAlign w:val="bottom"/>
          </w:tcPr>
          <w:p w14:paraId="1E80425C" w14:textId="77777777" w:rsidR="00F20ABF" w:rsidRDefault="00F20ABF">
            <w:pPr>
              <w:jc w:val="right"/>
              <w:rPr>
                <w:rFonts w:ascii="宋体"/>
              </w:rPr>
            </w:pPr>
          </w:p>
        </w:tc>
      </w:tr>
      <w:tr w:rsidR="00F20ABF" w14:paraId="1E804262" w14:textId="77777777">
        <w:tc>
          <w:tcPr>
            <w:tcW w:w="0" w:type="auto"/>
            <w:gridSpan w:val="3"/>
            <w:shd w:val="clear" w:color="auto" w:fill="E2EFD9"/>
            <w:tcMar>
              <w:top w:w="40" w:type="dxa"/>
              <w:left w:w="20" w:type="dxa"/>
              <w:bottom w:w="40" w:type="dxa"/>
              <w:right w:w="20" w:type="dxa"/>
            </w:tcMar>
            <w:vAlign w:val="bottom"/>
          </w:tcPr>
          <w:p w14:paraId="1E80425E" w14:textId="77777777" w:rsidR="00F20ABF" w:rsidRDefault="00CA4D2F">
            <w:pPr>
              <w:textAlignment w:val="bottom"/>
            </w:pPr>
            <w:r>
              <w:rPr>
                <w:rFonts w:ascii="sans-serif" w:eastAsia="sans-serif" w:hAnsi="sans-serif" w:cs="sans-serif"/>
                <w:color w:val="000000"/>
                <w:sz w:val="20"/>
                <w:szCs w:val="20"/>
              </w:rPr>
              <w:t>Accounts payable</w:t>
            </w:r>
          </w:p>
        </w:tc>
        <w:tc>
          <w:tcPr>
            <w:tcW w:w="0" w:type="auto"/>
            <w:gridSpan w:val="3"/>
            <w:shd w:val="clear" w:color="auto" w:fill="E2EFD9"/>
            <w:tcMar>
              <w:top w:w="0" w:type="dxa"/>
              <w:left w:w="20" w:type="dxa"/>
              <w:bottom w:w="0" w:type="dxa"/>
              <w:right w:w="20" w:type="dxa"/>
            </w:tcMar>
          </w:tcPr>
          <w:p w14:paraId="1E80425F"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260" w14:textId="77777777" w:rsidR="00F20ABF" w:rsidRDefault="00CA4D2F">
            <w:pPr>
              <w:jc w:val="right"/>
              <w:textAlignment w:val="bottom"/>
            </w:pPr>
            <w:r>
              <w:rPr>
                <w:rFonts w:ascii="sans-serif" w:eastAsia="sans-serif" w:hAnsi="sans-serif" w:cs="sans-serif"/>
                <w:color w:val="000000"/>
                <w:sz w:val="20"/>
                <w:szCs w:val="20"/>
              </w:rPr>
              <w:t>(136)</w:t>
            </w:r>
          </w:p>
        </w:tc>
        <w:tc>
          <w:tcPr>
            <w:tcW w:w="0" w:type="auto"/>
            <w:shd w:val="clear" w:color="auto" w:fill="E2EFD9"/>
            <w:tcMar>
              <w:top w:w="40" w:type="dxa"/>
              <w:left w:w="0" w:type="dxa"/>
              <w:bottom w:w="40" w:type="dxa"/>
              <w:right w:w="20" w:type="dxa"/>
            </w:tcMar>
            <w:vAlign w:val="bottom"/>
          </w:tcPr>
          <w:p w14:paraId="1E804261" w14:textId="77777777" w:rsidR="00F20ABF" w:rsidRDefault="00F20ABF">
            <w:pPr>
              <w:jc w:val="right"/>
              <w:rPr>
                <w:rFonts w:ascii="宋体"/>
              </w:rPr>
            </w:pPr>
          </w:p>
        </w:tc>
      </w:tr>
      <w:tr w:rsidR="00F20ABF" w14:paraId="1E804267" w14:textId="77777777">
        <w:tc>
          <w:tcPr>
            <w:tcW w:w="0" w:type="auto"/>
            <w:gridSpan w:val="3"/>
            <w:shd w:val="clear" w:color="auto" w:fill="FFFFFF"/>
            <w:tcMar>
              <w:top w:w="40" w:type="dxa"/>
              <w:left w:w="20" w:type="dxa"/>
              <w:bottom w:w="40" w:type="dxa"/>
              <w:right w:w="20" w:type="dxa"/>
            </w:tcMar>
            <w:vAlign w:val="bottom"/>
          </w:tcPr>
          <w:p w14:paraId="1E804263" w14:textId="77777777" w:rsidR="00F20ABF" w:rsidRDefault="00CA4D2F">
            <w:pPr>
              <w:textAlignment w:val="bottom"/>
            </w:pPr>
            <w:r>
              <w:rPr>
                <w:rFonts w:ascii="sans-serif" w:eastAsia="sans-serif" w:hAnsi="sans-serif" w:cs="sans-serif"/>
                <w:color w:val="000000"/>
                <w:sz w:val="20"/>
                <w:szCs w:val="20"/>
              </w:rPr>
              <w:t xml:space="preserve">Accrued and other current </w:t>
            </w:r>
            <w:r>
              <w:rPr>
                <w:rFonts w:ascii="sans-serif" w:eastAsia="sans-serif" w:hAnsi="sans-serif" w:cs="sans-serif"/>
                <w:color w:val="000000"/>
                <w:sz w:val="20"/>
                <w:szCs w:val="20"/>
              </w:rPr>
              <w:t>liabilities</w:t>
            </w:r>
          </w:p>
        </w:tc>
        <w:tc>
          <w:tcPr>
            <w:tcW w:w="0" w:type="auto"/>
            <w:gridSpan w:val="3"/>
            <w:shd w:val="clear" w:color="auto" w:fill="FFFFFF"/>
            <w:tcMar>
              <w:top w:w="0" w:type="dxa"/>
              <w:left w:w="20" w:type="dxa"/>
              <w:bottom w:w="0" w:type="dxa"/>
              <w:right w:w="20" w:type="dxa"/>
            </w:tcMar>
          </w:tcPr>
          <w:p w14:paraId="1E804264"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265" w14:textId="77777777" w:rsidR="00F20ABF" w:rsidRDefault="00CA4D2F">
            <w:pPr>
              <w:jc w:val="right"/>
              <w:textAlignment w:val="bottom"/>
            </w:pPr>
            <w:r>
              <w:rPr>
                <w:rFonts w:ascii="sans-serif" w:eastAsia="sans-serif" w:hAnsi="sans-serif" w:cs="sans-serif"/>
                <w:color w:val="000000"/>
                <w:sz w:val="20"/>
                <w:szCs w:val="20"/>
              </w:rPr>
              <w:t>(236)</w:t>
            </w:r>
          </w:p>
        </w:tc>
        <w:tc>
          <w:tcPr>
            <w:tcW w:w="0" w:type="auto"/>
            <w:shd w:val="clear" w:color="auto" w:fill="FFFFFF"/>
            <w:tcMar>
              <w:top w:w="40" w:type="dxa"/>
              <w:left w:w="0" w:type="dxa"/>
              <w:bottom w:w="40" w:type="dxa"/>
              <w:right w:w="20" w:type="dxa"/>
            </w:tcMar>
            <w:vAlign w:val="bottom"/>
          </w:tcPr>
          <w:p w14:paraId="1E804266" w14:textId="77777777" w:rsidR="00F20ABF" w:rsidRDefault="00F20ABF">
            <w:pPr>
              <w:jc w:val="right"/>
              <w:rPr>
                <w:rFonts w:ascii="宋体"/>
              </w:rPr>
            </w:pPr>
          </w:p>
        </w:tc>
      </w:tr>
      <w:tr w:rsidR="00F20ABF" w14:paraId="1E80426C" w14:textId="77777777">
        <w:tc>
          <w:tcPr>
            <w:tcW w:w="0" w:type="auto"/>
            <w:gridSpan w:val="3"/>
            <w:shd w:val="clear" w:color="auto" w:fill="E2EFD9"/>
            <w:tcMar>
              <w:top w:w="40" w:type="dxa"/>
              <w:left w:w="20" w:type="dxa"/>
              <w:bottom w:w="40" w:type="dxa"/>
              <w:right w:w="20" w:type="dxa"/>
            </w:tcMar>
            <w:vAlign w:val="bottom"/>
          </w:tcPr>
          <w:p w14:paraId="1E804268" w14:textId="77777777" w:rsidR="00F20ABF" w:rsidRDefault="00CA4D2F">
            <w:pPr>
              <w:textAlignment w:val="bottom"/>
            </w:pPr>
            <w:r>
              <w:rPr>
                <w:rFonts w:ascii="sans-serif" w:eastAsia="sans-serif" w:hAnsi="sans-serif" w:cs="sans-serif"/>
                <w:color w:val="000000"/>
                <w:sz w:val="20"/>
                <w:szCs w:val="20"/>
              </w:rPr>
              <w:t>Income tax liability</w:t>
            </w:r>
          </w:p>
        </w:tc>
        <w:tc>
          <w:tcPr>
            <w:tcW w:w="0" w:type="auto"/>
            <w:gridSpan w:val="3"/>
            <w:shd w:val="clear" w:color="auto" w:fill="E2EFD9"/>
            <w:tcMar>
              <w:top w:w="0" w:type="dxa"/>
              <w:left w:w="20" w:type="dxa"/>
              <w:bottom w:w="0" w:type="dxa"/>
              <w:right w:w="20" w:type="dxa"/>
            </w:tcMar>
          </w:tcPr>
          <w:p w14:paraId="1E80426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26A" w14:textId="77777777" w:rsidR="00F20ABF" w:rsidRDefault="00CA4D2F">
            <w:pPr>
              <w:jc w:val="right"/>
              <w:textAlignment w:val="bottom"/>
            </w:pPr>
            <w:r>
              <w:rPr>
                <w:rFonts w:ascii="sans-serif" w:eastAsia="sans-serif" w:hAnsi="sans-serif" w:cs="sans-serif"/>
                <w:color w:val="000000"/>
                <w:sz w:val="20"/>
                <w:szCs w:val="20"/>
              </w:rPr>
              <w:t>(191)</w:t>
            </w:r>
          </w:p>
        </w:tc>
        <w:tc>
          <w:tcPr>
            <w:tcW w:w="0" w:type="auto"/>
            <w:shd w:val="clear" w:color="auto" w:fill="E2EFD9"/>
            <w:tcMar>
              <w:top w:w="40" w:type="dxa"/>
              <w:left w:w="0" w:type="dxa"/>
              <w:bottom w:w="40" w:type="dxa"/>
              <w:right w:w="20" w:type="dxa"/>
            </w:tcMar>
            <w:vAlign w:val="bottom"/>
          </w:tcPr>
          <w:p w14:paraId="1E80426B" w14:textId="77777777" w:rsidR="00F20ABF" w:rsidRDefault="00F20ABF">
            <w:pPr>
              <w:jc w:val="right"/>
              <w:rPr>
                <w:rFonts w:ascii="宋体"/>
              </w:rPr>
            </w:pPr>
          </w:p>
        </w:tc>
      </w:tr>
      <w:tr w:rsidR="00F20ABF" w14:paraId="1E804271" w14:textId="77777777">
        <w:tc>
          <w:tcPr>
            <w:tcW w:w="0" w:type="auto"/>
            <w:gridSpan w:val="3"/>
            <w:shd w:val="clear" w:color="auto" w:fill="FFFFFF"/>
            <w:tcMar>
              <w:top w:w="40" w:type="dxa"/>
              <w:left w:w="20" w:type="dxa"/>
              <w:bottom w:w="40" w:type="dxa"/>
              <w:right w:w="20" w:type="dxa"/>
            </w:tcMar>
            <w:vAlign w:val="bottom"/>
          </w:tcPr>
          <w:p w14:paraId="1E80426D" w14:textId="77777777" w:rsidR="00F20ABF" w:rsidRDefault="00CA4D2F">
            <w:pPr>
              <w:textAlignment w:val="bottom"/>
            </w:pPr>
            <w:r>
              <w:rPr>
                <w:rFonts w:ascii="sans-serif" w:eastAsia="sans-serif" w:hAnsi="sans-serif" w:cs="sans-serif"/>
                <w:color w:val="000000"/>
                <w:sz w:val="20"/>
                <w:szCs w:val="20"/>
              </w:rPr>
              <w:t>Deferred income tax liability</w:t>
            </w:r>
          </w:p>
        </w:tc>
        <w:tc>
          <w:tcPr>
            <w:tcW w:w="0" w:type="auto"/>
            <w:gridSpan w:val="3"/>
            <w:shd w:val="clear" w:color="auto" w:fill="FFFFFF"/>
            <w:tcMar>
              <w:top w:w="0" w:type="dxa"/>
              <w:left w:w="20" w:type="dxa"/>
              <w:bottom w:w="0" w:type="dxa"/>
              <w:right w:w="20" w:type="dxa"/>
            </w:tcMar>
          </w:tcPr>
          <w:p w14:paraId="1E80426E"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26F" w14:textId="77777777" w:rsidR="00F20ABF" w:rsidRDefault="00CA4D2F">
            <w:pPr>
              <w:jc w:val="right"/>
              <w:textAlignment w:val="bottom"/>
            </w:pPr>
            <w:r>
              <w:rPr>
                <w:rFonts w:ascii="sans-serif" w:eastAsia="sans-serif" w:hAnsi="sans-serif" w:cs="sans-serif"/>
                <w:color w:val="000000"/>
                <w:sz w:val="20"/>
                <w:szCs w:val="20"/>
              </w:rPr>
              <w:t>(258)</w:t>
            </w:r>
          </w:p>
        </w:tc>
        <w:tc>
          <w:tcPr>
            <w:tcW w:w="0" w:type="auto"/>
            <w:shd w:val="clear" w:color="auto" w:fill="FFFFFF"/>
            <w:tcMar>
              <w:top w:w="40" w:type="dxa"/>
              <w:left w:w="0" w:type="dxa"/>
              <w:bottom w:w="40" w:type="dxa"/>
              <w:right w:w="20" w:type="dxa"/>
            </w:tcMar>
            <w:vAlign w:val="bottom"/>
          </w:tcPr>
          <w:p w14:paraId="1E804270" w14:textId="77777777" w:rsidR="00F20ABF" w:rsidRDefault="00F20ABF">
            <w:pPr>
              <w:jc w:val="right"/>
              <w:rPr>
                <w:rFonts w:ascii="宋体"/>
              </w:rPr>
            </w:pPr>
          </w:p>
        </w:tc>
      </w:tr>
      <w:tr w:rsidR="00F20ABF" w14:paraId="1E804276" w14:textId="77777777">
        <w:tc>
          <w:tcPr>
            <w:tcW w:w="0" w:type="auto"/>
            <w:gridSpan w:val="3"/>
            <w:shd w:val="clear" w:color="auto" w:fill="E2EFD9"/>
            <w:tcMar>
              <w:top w:w="40" w:type="dxa"/>
              <w:left w:w="20" w:type="dxa"/>
              <w:bottom w:w="40" w:type="dxa"/>
              <w:right w:w="20" w:type="dxa"/>
            </w:tcMar>
            <w:vAlign w:val="bottom"/>
          </w:tcPr>
          <w:p w14:paraId="1E804272" w14:textId="77777777" w:rsidR="00F20ABF" w:rsidRDefault="00CA4D2F">
            <w:pPr>
              <w:textAlignment w:val="bottom"/>
            </w:pPr>
            <w:r>
              <w:rPr>
                <w:rFonts w:ascii="sans-serif" w:eastAsia="sans-serif" w:hAnsi="sans-serif" w:cs="sans-serif"/>
                <w:color w:val="000000"/>
                <w:sz w:val="20"/>
                <w:szCs w:val="20"/>
              </w:rPr>
              <w:t>Other long-term liabilities</w:t>
            </w:r>
          </w:p>
        </w:tc>
        <w:tc>
          <w:tcPr>
            <w:tcW w:w="0" w:type="auto"/>
            <w:gridSpan w:val="3"/>
            <w:shd w:val="clear" w:color="auto" w:fill="E2EFD9"/>
            <w:tcMar>
              <w:top w:w="0" w:type="dxa"/>
              <w:left w:w="20" w:type="dxa"/>
              <w:bottom w:w="0" w:type="dxa"/>
              <w:right w:w="20" w:type="dxa"/>
            </w:tcMar>
          </w:tcPr>
          <w:p w14:paraId="1E804273"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274" w14:textId="77777777" w:rsidR="00F20ABF" w:rsidRDefault="00CA4D2F">
            <w:pPr>
              <w:jc w:val="right"/>
              <w:textAlignment w:val="bottom"/>
            </w:pPr>
            <w:r>
              <w:rPr>
                <w:rFonts w:ascii="sans-serif" w:eastAsia="sans-serif" w:hAnsi="sans-serif" w:cs="sans-serif"/>
                <w:color w:val="000000"/>
                <w:sz w:val="20"/>
                <w:szCs w:val="20"/>
              </w:rPr>
              <w:t>(119)</w:t>
            </w:r>
          </w:p>
        </w:tc>
        <w:tc>
          <w:tcPr>
            <w:tcW w:w="0" w:type="auto"/>
            <w:shd w:val="clear" w:color="auto" w:fill="E2EFD9"/>
            <w:tcMar>
              <w:top w:w="40" w:type="dxa"/>
              <w:left w:w="0" w:type="dxa"/>
              <w:bottom w:w="40" w:type="dxa"/>
              <w:right w:w="20" w:type="dxa"/>
            </w:tcMar>
            <w:vAlign w:val="bottom"/>
          </w:tcPr>
          <w:p w14:paraId="1E804275" w14:textId="77777777" w:rsidR="00F20ABF" w:rsidRDefault="00F20ABF">
            <w:pPr>
              <w:jc w:val="right"/>
              <w:rPr>
                <w:rFonts w:ascii="宋体"/>
              </w:rPr>
            </w:pPr>
          </w:p>
        </w:tc>
      </w:tr>
      <w:tr w:rsidR="00F20ABF" w14:paraId="1E80427C" w14:textId="77777777">
        <w:tc>
          <w:tcPr>
            <w:tcW w:w="0" w:type="auto"/>
            <w:gridSpan w:val="3"/>
            <w:shd w:val="clear" w:color="auto" w:fill="FFFFFF"/>
            <w:tcMar>
              <w:top w:w="0" w:type="dxa"/>
              <w:left w:w="20" w:type="dxa"/>
              <w:bottom w:w="0" w:type="dxa"/>
              <w:right w:w="20" w:type="dxa"/>
            </w:tcMar>
          </w:tcPr>
          <w:p w14:paraId="1E804277"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278"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279"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27A" w14:textId="77777777" w:rsidR="00F20ABF" w:rsidRDefault="00CA4D2F">
            <w:pPr>
              <w:jc w:val="right"/>
              <w:textAlignment w:val="bottom"/>
            </w:pPr>
            <w:r>
              <w:rPr>
                <w:rFonts w:ascii="sans-serif" w:eastAsia="sans-serif" w:hAnsi="sans-serif" w:cs="sans-serif"/>
                <w:color w:val="000000"/>
                <w:sz w:val="20"/>
                <w:szCs w:val="20"/>
              </w:rPr>
              <w:t>7,134 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27B" w14:textId="77777777" w:rsidR="00F20ABF" w:rsidRDefault="00F20ABF">
            <w:pPr>
              <w:jc w:val="right"/>
              <w:rPr>
                <w:rFonts w:ascii="宋体"/>
              </w:rPr>
            </w:pPr>
          </w:p>
        </w:tc>
      </w:tr>
    </w:tbl>
    <w:p w14:paraId="1E80427D" w14:textId="77777777" w:rsidR="00F20ABF" w:rsidRDefault="00F20ABF"/>
    <w:p w14:paraId="1E80427E" w14:textId="77777777" w:rsidR="00F20ABF" w:rsidRDefault="00CA4D2F">
      <w:pPr>
        <w:ind w:hanging="360"/>
        <w:jc w:val="both"/>
      </w:pPr>
      <w:r>
        <w:rPr>
          <w:rFonts w:ascii="sans-serif" w:eastAsia="sans-serif" w:hAnsi="sans-serif" w:cs="sans-serif"/>
          <w:color w:val="000000"/>
          <w:sz w:val="16"/>
          <w:szCs w:val="16"/>
        </w:rPr>
        <w:t xml:space="preserve">(1)    Represents the cash consideration of $125.00 per share paid to Mellanox shareholders for </w:t>
      </w:r>
      <w:r>
        <w:rPr>
          <w:rFonts w:ascii="sans-serif" w:eastAsia="sans-serif" w:hAnsi="sans-serif" w:cs="sans-serif"/>
          <w:color w:val="000000"/>
          <w:sz w:val="16"/>
          <w:szCs w:val="16"/>
        </w:rPr>
        <w:t>approximately 56 million shares of outstanding Mellanox ordinary shares.</w:t>
      </w:r>
      <w:r>
        <w:rPr>
          <w:rFonts w:ascii="Arial" w:eastAsia="宋体" w:hAnsi="Arial" w:cs="Arial"/>
          <w:i/>
          <w:iCs/>
          <w:color w:val="000000"/>
          <w:sz w:val="16"/>
          <w:szCs w:val="16"/>
        </w:rPr>
        <w:t xml:space="preserve"> </w:t>
      </w:r>
    </w:p>
    <w:p w14:paraId="1E80427F" w14:textId="77777777" w:rsidR="00F20ABF" w:rsidRDefault="00CA4D2F">
      <w:pPr>
        <w:ind w:hanging="360"/>
        <w:jc w:val="both"/>
      </w:pPr>
      <w:r>
        <w:rPr>
          <w:rFonts w:ascii="sans-serif" w:eastAsia="sans-serif" w:hAnsi="sans-serif" w:cs="sans-serif"/>
          <w:color w:val="000000"/>
          <w:sz w:val="16"/>
          <w:szCs w:val="16"/>
        </w:rPr>
        <w:t>(2)    Represents the cash consideration for the settlement of approximately 249 thousand Mellanox stock options held by employees and non-employee directors of Mellanox.</w:t>
      </w:r>
    </w:p>
    <w:p w14:paraId="1E804280" w14:textId="77777777" w:rsidR="00F20ABF" w:rsidRDefault="00CA4D2F">
      <w:pPr>
        <w:ind w:hanging="360"/>
        <w:jc w:val="both"/>
      </w:pPr>
      <w:r>
        <w:rPr>
          <w:rFonts w:ascii="sans-serif" w:eastAsia="sans-serif" w:hAnsi="sans-serif" w:cs="sans-serif"/>
          <w:color w:val="000000"/>
          <w:sz w:val="16"/>
          <w:szCs w:val="16"/>
        </w:rPr>
        <w:t>(3)    Represents the fair value of Mellanox’s stock-based compensation awards attributable to pre-combination services.</w:t>
      </w:r>
    </w:p>
    <w:p w14:paraId="1E804281" w14:textId="77777777" w:rsidR="00F20ABF" w:rsidRDefault="00F20ABF">
      <w:pPr>
        <w:ind w:hanging="360"/>
      </w:pPr>
    </w:p>
    <w:p w14:paraId="1E804282" w14:textId="77777777" w:rsidR="00F20ABF" w:rsidRDefault="00CA4D2F">
      <w:pPr>
        <w:spacing w:after="180"/>
        <w:jc w:val="both"/>
      </w:pPr>
      <w:r>
        <w:rPr>
          <w:rFonts w:ascii="sans-serif" w:eastAsia="sans-serif" w:hAnsi="sans-serif" w:cs="sans-serif"/>
          <w:color w:val="000000"/>
          <w:sz w:val="20"/>
          <w:szCs w:val="20"/>
        </w:rPr>
        <w:t>We allocated the purchase price to tangible and identified intangible assets acquired and liabilities assumed based on the preliminary</w:t>
      </w:r>
      <w:r>
        <w:rPr>
          <w:rFonts w:ascii="sans-serif" w:eastAsia="sans-serif" w:hAnsi="sans-serif" w:cs="sans-serif"/>
          <w:color w:val="000000"/>
          <w:sz w:val="20"/>
          <w:szCs w:val="20"/>
        </w:rPr>
        <w:t xml:space="preserve"> estimates of their estimated fair values, which were determined using generally accepted valuation techniques based on estimates and assumptions made by management at the time of the acquisition and are subject to change during the measurement period whic</w:t>
      </w:r>
      <w:r>
        <w:rPr>
          <w:rFonts w:ascii="sans-serif" w:eastAsia="sans-serif" w:hAnsi="sans-serif" w:cs="sans-serif"/>
          <w:color w:val="000000"/>
          <w:sz w:val="20"/>
          <w:szCs w:val="20"/>
        </w:rPr>
        <w:t>h is not expected to exceed one year. The primary tasks that are required to be completed include validation of business level forecasts, jurisdictional forecasts, customer attrition rates, contingent liabilities assessments and any related tax impacts fro</w:t>
      </w:r>
      <w:r>
        <w:rPr>
          <w:rFonts w:ascii="sans-serif" w:eastAsia="sans-serif" w:hAnsi="sans-serif" w:cs="sans-serif"/>
          <w:color w:val="000000"/>
          <w:sz w:val="20"/>
          <w:szCs w:val="20"/>
        </w:rPr>
        <w:t xml:space="preserve">m the acquisition. Any adjustments to our preliminary purchase price allocation identified during the measurement period will be recognized in the period in which the adjustments are determined. </w:t>
      </w:r>
    </w:p>
    <w:p w14:paraId="1E804283" w14:textId="77777777" w:rsidR="00F20ABF" w:rsidRDefault="00CA4D2F">
      <w:pPr>
        <w:spacing w:after="180"/>
        <w:jc w:val="both"/>
      </w:pPr>
      <w:r>
        <w:rPr>
          <w:rFonts w:ascii="sans-serif" w:eastAsia="sans-serif" w:hAnsi="sans-serif" w:cs="sans-serif"/>
          <w:color w:val="000000"/>
          <w:sz w:val="20"/>
          <w:szCs w:val="20"/>
        </w:rPr>
        <w:t>The goodwill is primarily attributable to the planned growth</w:t>
      </w:r>
      <w:r>
        <w:rPr>
          <w:rFonts w:ascii="sans-serif" w:eastAsia="sans-serif" w:hAnsi="sans-serif" w:cs="sans-serif"/>
          <w:color w:val="000000"/>
          <w:sz w:val="20"/>
          <w:szCs w:val="20"/>
        </w:rPr>
        <w:t xml:space="preserve"> in the combined business of NVIDIA and Mellanox. Goodwill is not amortized to earnings, but instead is reviewed for impairment at least annually, absent any interim indicators of impairment. Goodwill recognized in the acquisition is not expected to be ded</w:t>
      </w:r>
      <w:r>
        <w:rPr>
          <w:rFonts w:ascii="sans-serif" w:eastAsia="sans-serif" w:hAnsi="sans-serif" w:cs="sans-serif"/>
          <w:color w:val="000000"/>
          <w:sz w:val="20"/>
          <w:szCs w:val="20"/>
        </w:rPr>
        <w:t xml:space="preserve">uctible for foreign tax purposes. Goodwill </w:t>
      </w:r>
    </w:p>
    <w:p w14:paraId="1E804284" w14:textId="77777777" w:rsidR="00F20ABF" w:rsidRDefault="00CA4D2F">
      <w:pPr>
        <w:spacing w:after="180"/>
        <w:jc w:val="center"/>
      </w:pPr>
      <w:r>
        <w:rPr>
          <w:rFonts w:ascii="sans-serif" w:eastAsia="sans-serif" w:hAnsi="sans-serif" w:cs="sans-serif"/>
          <w:color w:val="000000"/>
          <w:sz w:val="20"/>
          <w:szCs w:val="20"/>
        </w:rPr>
        <w:t>11</w:t>
      </w:r>
    </w:p>
    <w:p w14:paraId="1E804285" w14:textId="77777777" w:rsidR="00F20ABF" w:rsidRDefault="00CA4D2F">
      <w:r>
        <w:pict w14:anchorId="1E805586">
          <v:rect id="_x0000_i1035" style="width:415.3pt;height:1.5pt" o:hralign="center" o:hrstd="t" o:hr="t" fillcolor="#a0a0a0" stroked="f"/>
        </w:pict>
      </w:r>
    </w:p>
    <w:p w14:paraId="1E804286" w14:textId="77777777" w:rsidR="00F20ABF" w:rsidRDefault="00CA4D2F">
      <w:pPr>
        <w:jc w:val="center"/>
      </w:pPr>
      <w:r>
        <w:rPr>
          <w:rFonts w:ascii="sans-serif" w:eastAsia="sans-serif" w:hAnsi="sans-serif" w:cs="sans-serif"/>
          <w:b/>
          <w:bCs/>
          <w:color w:val="000000"/>
          <w:sz w:val="20"/>
          <w:szCs w:val="20"/>
        </w:rPr>
        <w:t>NVIDIA CORPORATION AND SUBSIDIARIES</w:t>
      </w:r>
    </w:p>
    <w:p w14:paraId="1E804287" w14:textId="77777777" w:rsidR="00F20ABF" w:rsidRDefault="00CA4D2F">
      <w:pPr>
        <w:jc w:val="center"/>
      </w:pPr>
      <w:r>
        <w:rPr>
          <w:rFonts w:ascii="sans-serif" w:eastAsia="sans-serif" w:hAnsi="sans-serif" w:cs="sans-serif"/>
          <w:b/>
          <w:bCs/>
          <w:color w:val="000000"/>
          <w:sz w:val="20"/>
          <w:szCs w:val="20"/>
        </w:rPr>
        <w:t>NOTES TO CONDENSED CONSOLIDATED FINANCIAL STATEMENTS (Continued)</w:t>
      </w:r>
    </w:p>
    <w:p w14:paraId="1E804288" w14:textId="77777777" w:rsidR="00F20ABF" w:rsidRDefault="00CA4D2F">
      <w:pPr>
        <w:jc w:val="center"/>
      </w:pPr>
      <w:r>
        <w:rPr>
          <w:rFonts w:ascii="sans-serif" w:eastAsia="sans-serif" w:hAnsi="sans-serif" w:cs="sans-serif"/>
          <w:b/>
          <w:bCs/>
          <w:color w:val="000000"/>
          <w:sz w:val="20"/>
          <w:szCs w:val="20"/>
        </w:rPr>
        <w:t>(Unaudited)</w:t>
      </w:r>
    </w:p>
    <w:p w14:paraId="1E804289" w14:textId="77777777" w:rsidR="00F20ABF" w:rsidRDefault="00F20ABF">
      <w:pPr>
        <w:spacing w:after="180"/>
        <w:jc w:val="both"/>
      </w:pPr>
    </w:p>
    <w:p w14:paraId="1E80428A" w14:textId="77777777" w:rsidR="00F20ABF" w:rsidRDefault="00F20ABF">
      <w:pPr>
        <w:spacing w:after="180"/>
        <w:jc w:val="both"/>
      </w:pPr>
    </w:p>
    <w:p w14:paraId="1E80428B" w14:textId="77777777" w:rsidR="00F20ABF" w:rsidRDefault="00CA4D2F">
      <w:pPr>
        <w:spacing w:after="180"/>
        <w:jc w:val="both"/>
      </w:pPr>
      <w:r>
        <w:rPr>
          <w:rFonts w:ascii="sans-serif" w:eastAsia="sans-serif" w:hAnsi="sans-serif" w:cs="sans-serif"/>
          <w:color w:val="000000"/>
          <w:sz w:val="20"/>
          <w:szCs w:val="20"/>
        </w:rPr>
        <w:t xml:space="preserve">arising from the Mellanox acquisition has been allocated to the Compute and </w:t>
      </w:r>
      <w:r>
        <w:rPr>
          <w:rFonts w:ascii="sans-serif" w:eastAsia="sans-serif" w:hAnsi="sans-serif" w:cs="sans-serif"/>
          <w:color w:val="000000"/>
          <w:sz w:val="20"/>
          <w:szCs w:val="20"/>
        </w:rPr>
        <w:t>Networking segment. Refer to Note 15 – Segment Information for further details on segments.</w:t>
      </w:r>
    </w:p>
    <w:p w14:paraId="1E80428C" w14:textId="77777777" w:rsidR="00F20ABF" w:rsidRDefault="00CA4D2F">
      <w:pPr>
        <w:spacing w:after="180"/>
        <w:jc w:val="both"/>
      </w:pPr>
      <w:r>
        <w:rPr>
          <w:rFonts w:ascii="sans-serif" w:eastAsia="sans-serif" w:hAnsi="sans-serif" w:cs="sans-serif"/>
          <w:color w:val="000000"/>
          <w:sz w:val="20"/>
          <w:szCs w:val="20"/>
        </w:rPr>
        <w:t>The operating results of Mellanox have been included in our condensed consolidated financial statements for the third quarter and first nine months of fiscal year 2</w:t>
      </w:r>
      <w:r>
        <w:rPr>
          <w:rFonts w:ascii="sans-serif" w:eastAsia="sans-serif" w:hAnsi="sans-serif" w:cs="sans-serif"/>
          <w:color w:val="000000"/>
          <w:sz w:val="20"/>
          <w:szCs w:val="20"/>
        </w:rPr>
        <w:t>021 since the acquisition date of April 27, 2020. Revenue attributable to Mellanox was approximately 13% and 10% of consolidated revenue for the third quarter and first nine months of fiscal year 2021, respectively. There is not a practical way to determin</w:t>
      </w:r>
      <w:r>
        <w:rPr>
          <w:rFonts w:ascii="sans-serif" w:eastAsia="sans-serif" w:hAnsi="sans-serif" w:cs="sans-serif"/>
          <w:color w:val="000000"/>
          <w:sz w:val="20"/>
          <w:szCs w:val="20"/>
        </w:rPr>
        <w:t>e net income attributable to Mellanox due to integration. Acquisition-related costs attributable to Mellanox of $27 million were included in selling, general and administrative expense for the first nine months of fiscal year 2021.</w:t>
      </w:r>
    </w:p>
    <w:p w14:paraId="1E80428D" w14:textId="77777777" w:rsidR="00F20ABF" w:rsidRDefault="00CA4D2F">
      <w:pPr>
        <w:spacing w:before="240" w:after="60"/>
      </w:pPr>
      <w:r>
        <w:rPr>
          <w:rFonts w:ascii="sans-serif" w:eastAsia="sans-serif" w:hAnsi="sans-serif" w:cs="sans-serif"/>
          <w:b/>
          <w:bCs/>
          <w:color w:val="76B900"/>
          <w:sz w:val="20"/>
          <w:szCs w:val="20"/>
        </w:rPr>
        <w:t>Intangible Assets</w:t>
      </w:r>
    </w:p>
    <w:p w14:paraId="1E80428E" w14:textId="77777777" w:rsidR="00F20ABF" w:rsidRDefault="00CA4D2F">
      <w:pPr>
        <w:spacing w:after="180"/>
        <w:jc w:val="both"/>
      </w:pPr>
      <w:r>
        <w:rPr>
          <w:rFonts w:ascii="sans-serif" w:eastAsia="sans-serif" w:hAnsi="sans-serif" w:cs="sans-serif"/>
          <w:color w:val="000000"/>
          <w:sz w:val="20"/>
          <w:szCs w:val="20"/>
        </w:rPr>
        <w:t>The es</w:t>
      </w:r>
      <w:r>
        <w:rPr>
          <w:rFonts w:ascii="sans-serif" w:eastAsia="sans-serif" w:hAnsi="sans-serif" w:cs="sans-serif"/>
          <w:color w:val="000000"/>
          <w:sz w:val="20"/>
          <w:szCs w:val="20"/>
        </w:rPr>
        <w:t>timated fair value and weighted average useful life of the acquired intangible assets are as follows:</w:t>
      </w:r>
    </w:p>
    <w:tbl>
      <w:tblPr>
        <w:tblW w:w="5000" w:type="pct"/>
        <w:tblCellMar>
          <w:top w:w="15" w:type="dxa"/>
          <w:left w:w="15" w:type="dxa"/>
          <w:bottom w:w="15" w:type="dxa"/>
          <w:right w:w="15" w:type="dxa"/>
        </w:tblCellMar>
        <w:tblLook w:val="04A0" w:firstRow="1" w:lastRow="0" w:firstColumn="1" w:lastColumn="0" w:noHBand="0" w:noVBand="1"/>
      </w:tblPr>
      <w:tblGrid>
        <w:gridCol w:w="46"/>
        <w:gridCol w:w="5040"/>
        <w:gridCol w:w="38"/>
        <w:gridCol w:w="123"/>
        <w:gridCol w:w="1430"/>
        <w:gridCol w:w="37"/>
        <w:gridCol w:w="36"/>
        <w:gridCol w:w="36"/>
        <w:gridCol w:w="36"/>
        <w:gridCol w:w="48"/>
        <w:gridCol w:w="1429"/>
        <w:gridCol w:w="37"/>
      </w:tblGrid>
      <w:tr w:rsidR="00F20ABF" w14:paraId="1E80429B" w14:textId="77777777">
        <w:tc>
          <w:tcPr>
            <w:tcW w:w="50" w:type="pct"/>
            <w:shd w:val="clear" w:color="auto" w:fill="auto"/>
          </w:tcPr>
          <w:p w14:paraId="1E80428F" w14:textId="77777777" w:rsidR="00F20ABF" w:rsidRDefault="00F20ABF">
            <w:pPr>
              <w:rPr>
                <w:rFonts w:ascii="宋体"/>
              </w:rPr>
            </w:pPr>
          </w:p>
        </w:tc>
        <w:tc>
          <w:tcPr>
            <w:tcW w:w="3044" w:type="pct"/>
            <w:shd w:val="clear" w:color="auto" w:fill="auto"/>
          </w:tcPr>
          <w:p w14:paraId="1E804290" w14:textId="77777777" w:rsidR="00F20ABF" w:rsidRDefault="00F20ABF">
            <w:pPr>
              <w:rPr>
                <w:rFonts w:ascii="宋体"/>
              </w:rPr>
            </w:pPr>
          </w:p>
        </w:tc>
        <w:tc>
          <w:tcPr>
            <w:tcW w:w="5" w:type="pct"/>
            <w:shd w:val="clear" w:color="auto" w:fill="auto"/>
          </w:tcPr>
          <w:p w14:paraId="1E804291" w14:textId="77777777" w:rsidR="00F20ABF" w:rsidRDefault="00F20ABF">
            <w:pPr>
              <w:rPr>
                <w:rFonts w:ascii="宋体"/>
              </w:rPr>
            </w:pPr>
          </w:p>
        </w:tc>
        <w:tc>
          <w:tcPr>
            <w:tcW w:w="50" w:type="pct"/>
            <w:shd w:val="clear" w:color="auto" w:fill="auto"/>
          </w:tcPr>
          <w:p w14:paraId="1E804292" w14:textId="77777777" w:rsidR="00F20ABF" w:rsidRDefault="00F20ABF">
            <w:pPr>
              <w:rPr>
                <w:rFonts w:ascii="宋体"/>
              </w:rPr>
            </w:pPr>
          </w:p>
        </w:tc>
        <w:tc>
          <w:tcPr>
            <w:tcW w:w="880" w:type="pct"/>
            <w:shd w:val="clear" w:color="auto" w:fill="auto"/>
          </w:tcPr>
          <w:p w14:paraId="1E804293" w14:textId="77777777" w:rsidR="00F20ABF" w:rsidRDefault="00F20ABF">
            <w:pPr>
              <w:rPr>
                <w:rFonts w:ascii="宋体"/>
              </w:rPr>
            </w:pPr>
          </w:p>
        </w:tc>
        <w:tc>
          <w:tcPr>
            <w:tcW w:w="5" w:type="pct"/>
            <w:shd w:val="clear" w:color="auto" w:fill="auto"/>
          </w:tcPr>
          <w:p w14:paraId="1E804294" w14:textId="77777777" w:rsidR="00F20ABF" w:rsidRDefault="00F20ABF">
            <w:pPr>
              <w:rPr>
                <w:rFonts w:ascii="宋体"/>
              </w:rPr>
            </w:pPr>
          </w:p>
        </w:tc>
        <w:tc>
          <w:tcPr>
            <w:tcW w:w="5" w:type="pct"/>
            <w:shd w:val="clear" w:color="auto" w:fill="auto"/>
          </w:tcPr>
          <w:p w14:paraId="1E804295" w14:textId="77777777" w:rsidR="00F20ABF" w:rsidRDefault="00F20ABF">
            <w:pPr>
              <w:rPr>
                <w:rFonts w:ascii="宋体"/>
              </w:rPr>
            </w:pPr>
          </w:p>
        </w:tc>
        <w:tc>
          <w:tcPr>
            <w:tcW w:w="19" w:type="pct"/>
            <w:shd w:val="clear" w:color="auto" w:fill="auto"/>
          </w:tcPr>
          <w:p w14:paraId="1E804296" w14:textId="77777777" w:rsidR="00F20ABF" w:rsidRDefault="00F20ABF">
            <w:pPr>
              <w:rPr>
                <w:rFonts w:ascii="宋体"/>
              </w:rPr>
            </w:pPr>
          </w:p>
        </w:tc>
        <w:tc>
          <w:tcPr>
            <w:tcW w:w="5" w:type="pct"/>
            <w:shd w:val="clear" w:color="auto" w:fill="auto"/>
          </w:tcPr>
          <w:p w14:paraId="1E804297" w14:textId="77777777" w:rsidR="00F20ABF" w:rsidRDefault="00F20ABF">
            <w:pPr>
              <w:rPr>
                <w:rFonts w:ascii="宋体"/>
              </w:rPr>
            </w:pPr>
          </w:p>
        </w:tc>
        <w:tc>
          <w:tcPr>
            <w:tcW w:w="50" w:type="pct"/>
            <w:shd w:val="clear" w:color="auto" w:fill="auto"/>
          </w:tcPr>
          <w:p w14:paraId="1E804298" w14:textId="77777777" w:rsidR="00F20ABF" w:rsidRDefault="00F20ABF">
            <w:pPr>
              <w:rPr>
                <w:rFonts w:ascii="宋体"/>
              </w:rPr>
            </w:pPr>
          </w:p>
        </w:tc>
        <w:tc>
          <w:tcPr>
            <w:tcW w:w="880" w:type="pct"/>
            <w:shd w:val="clear" w:color="auto" w:fill="auto"/>
          </w:tcPr>
          <w:p w14:paraId="1E804299" w14:textId="77777777" w:rsidR="00F20ABF" w:rsidRDefault="00F20ABF">
            <w:pPr>
              <w:rPr>
                <w:rFonts w:ascii="宋体"/>
              </w:rPr>
            </w:pPr>
          </w:p>
        </w:tc>
        <w:tc>
          <w:tcPr>
            <w:tcW w:w="5" w:type="pct"/>
            <w:shd w:val="clear" w:color="auto" w:fill="auto"/>
          </w:tcPr>
          <w:p w14:paraId="1E80429A" w14:textId="77777777" w:rsidR="00F20ABF" w:rsidRDefault="00F20ABF">
            <w:pPr>
              <w:rPr>
                <w:rFonts w:ascii="宋体"/>
              </w:rPr>
            </w:pPr>
          </w:p>
        </w:tc>
      </w:tr>
      <w:tr w:rsidR="00F20ABF" w14:paraId="1E8042A0" w14:textId="77777777">
        <w:tc>
          <w:tcPr>
            <w:tcW w:w="0" w:type="auto"/>
            <w:gridSpan w:val="3"/>
            <w:shd w:val="clear" w:color="auto" w:fill="auto"/>
            <w:tcMar>
              <w:top w:w="0" w:type="dxa"/>
              <w:left w:w="20" w:type="dxa"/>
              <w:bottom w:w="0" w:type="dxa"/>
              <w:right w:w="20" w:type="dxa"/>
            </w:tcMar>
          </w:tcPr>
          <w:p w14:paraId="1E80429C"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29D" w14:textId="77777777" w:rsidR="00F20ABF" w:rsidRDefault="00CA4D2F">
            <w:pPr>
              <w:jc w:val="center"/>
              <w:textAlignment w:val="bottom"/>
            </w:pPr>
            <w:r>
              <w:rPr>
                <w:rFonts w:ascii="sans-serif" w:eastAsia="sans-serif" w:hAnsi="sans-serif" w:cs="sans-serif"/>
                <w:b/>
                <w:bCs/>
                <w:color w:val="000000"/>
                <w:sz w:val="20"/>
                <w:szCs w:val="20"/>
              </w:rPr>
              <w:t>Fair Value</w:t>
            </w:r>
          </w:p>
        </w:tc>
        <w:tc>
          <w:tcPr>
            <w:tcW w:w="0" w:type="auto"/>
            <w:gridSpan w:val="3"/>
            <w:shd w:val="clear" w:color="auto" w:fill="auto"/>
            <w:tcMar>
              <w:top w:w="0" w:type="dxa"/>
              <w:left w:w="20" w:type="dxa"/>
              <w:bottom w:w="0" w:type="dxa"/>
              <w:right w:w="20" w:type="dxa"/>
            </w:tcMar>
          </w:tcPr>
          <w:p w14:paraId="1E80429E"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29F" w14:textId="77777777" w:rsidR="00F20ABF" w:rsidRDefault="00CA4D2F">
            <w:pPr>
              <w:jc w:val="center"/>
              <w:textAlignment w:val="bottom"/>
            </w:pPr>
            <w:r>
              <w:rPr>
                <w:rFonts w:ascii="sans-serif" w:eastAsia="sans-serif" w:hAnsi="sans-serif" w:cs="sans-serif"/>
                <w:b/>
                <w:bCs/>
                <w:color w:val="000000"/>
                <w:sz w:val="20"/>
                <w:szCs w:val="20"/>
              </w:rPr>
              <w:t>Weighted Average Useful Lives</w:t>
            </w:r>
          </w:p>
        </w:tc>
      </w:tr>
      <w:tr w:rsidR="00F20ABF" w14:paraId="1E8042A5" w14:textId="77777777">
        <w:tc>
          <w:tcPr>
            <w:tcW w:w="0" w:type="auto"/>
            <w:gridSpan w:val="3"/>
            <w:shd w:val="clear" w:color="auto" w:fill="auto"/>
            <w:tcMar>
              <w:top w:w="0" w:type="dxa"/>
              <w:left w:w="20" w:type="dxa"/>
              <w:bottom w:w="0" w:type="dxa"/>
              <w:right w:w="20" w:type="dxa"/>
            </w:tcMar>
          </w:tcPr>
          <w:p w14:paraId="1E8042A1"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2A2" w14:textId="77777777" w:rsidR="00F20ABF" w:rsidRDefault="00CA4D2F">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Mar>
              <w:top w:w="0" w:type="dxa"/>
              <w:left w:w="20" w:type="dxa"/>
              <w:bottom w:w="0" w:type="dxa"/>
              <w:right w:w="20" w:type="dxa"/>
            </w:tcMar>
          </w:tcPr>
          <w:p w14:paraId="1E8042A3"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2A4" w14:textId="77777777" w:rsidR="00F20ABF" w:rsidRDefault="00F20ABF">
            <w:pPr>
              <w:rPr>
                <w:rFonts w:ascii="宋体"/>
              </w:rPr>
            </w:pPr>
          </w:p>
        </w:tc>
      </w:tr>
      <w:tr w:rsidR="00F20ABF" w14:paraId="1E8042AC" w14:textId="77777777">
        <w:tc>
          <w:tcPr>
            <w:tcW w:w="0" w:type="auto"/>
            <w:gridSpan w:val="3"/>
            <w:shd w:val="clear" w:color="auto" w:fill="E2EFD9"/>
            <w:tcMar>
              <w:top w:w="40" w:type="dxa"/>
              <w:left w:w="20" w:type="dxa"/>
              <w:bottom w:w="40" w:type="dxa"/>
              <w:right w:w="20" w:type="dxa"/>
            </w:tcMar>
            <w:vAlign w:val="bottom"/>
          </w:tcPr>
          <w:p w14:paraId="1E8042A6" w14:textId="77777777" w:rsidR="00F20ABF" w:rsidRDefault="00CA4D2F">
            <w:pPr>
              <w:textAlignment w:val="bottom"/>
            </w:pPr>
            <w:r>
              <w:rPr>
                <w:rFonts w:ascii="sans-serif" w:eastAsia="sans-serif" w:hAnsi="sans-serif" w:cs="sans-serif"/>
                <w:color w:val="000000"/>
                <w:sz w:val="20"/>
                <w:szCs w:val="20"/>
              </w:rPr>
              <w:t>Developed technology (1)</w:t>
            </w:r>
          </w:p>
        </w:tc>
        <w:tc>
          <w:tcPr>
            <w:tcW w:w="0" w:type="auto"/>
            <w:shd w:val="clear" w:color="auto" w:fill="E2EFD9"/>
            <w:tcMar>
              <w:top w:w="40" w:type="dxa"/>
              <w:left w:w="20" w:type="dxa"/>
              <w:bottom w:w="40" w:type="dxa"/>
              <w:right w:w="0" w:type="dxa"/>
            </w:tcMar>
            <w:vAlign w:val="bottom"/>
          </w:tcPr>
          <w:p w14:paraId="1E8042A7"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2A8" w14:textId="77777777" w:rsidR="00F20ABF" w:rsidRDefault="00CA4D2F">
            <w:pPr>
              <w:jc w:val="right"/>
              <w:textAlignment w:val="bottom"/>
            </w:pPr>
            <w:r>
              <w:rPr>
                <w:rFonts w:ascii="sans-serif" w:eastAsia="sans-serif" w:hAnsi="sans-serif" w:cs="sans-serif"/>
                <w:color w:val="000000"/>
                <w:sz w:val="20"/>
                <w:szCs w:val="20"/>
              </w:rPr>
              <w:t>1,640 </w:t>
            </w:r>
          </w:p>
        </w:tc>
        <w:tc>
          <w:tcPr>
            <w:tcW w:w="0" w:type="auto"/>
            <w:shd w:val="clear" w:color="auto" w:fill="E2EFD9"/>
            <w:tcMar>
              <w:top w:w="40" w:type="dxa"/>
              <w:left w:w="0" w:type="dxa"/>
              <w:bottom w:w="40" w:type="dxa"/>
              <w:right w:w="20" w:type="dxa"/>
            </w:tcMar>
            <w:vAlign w:val="bottom"/>
          </w:tcPr>
          <w:p w14:paraId="1E8042A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2AA" w14:textId="77777777" w:rsidR="00F20ABF" w:rsidRDefault="00F20ABF">
            <w:pPr>
              <w:rPr>
                <w:rFonts w:ascii="宋体"/>
              </w:rPr>
            </w:pPr>
          </w:p>
        </w:tc>
        <w:tc>
          <w:tcPr>
            <w:tcW w:w="0" w:type="auto"/>
            <w:gridSpan w:val="3"/>
            <w:shd w:val="clear" w:color="auto" w:fill="E2EFD9"/>
            <w:tcMar>
              <w:top w:w="40" w:type="dxa"/>
              <w:left w:w="20" w:type="dxa"/>
              <w:bottom w:w="40" w:type="dxa"/>
              <w:right w:w="20" w:type="dxa"/>
            </w:tcMar>
            <w:vAlign w:val="bottom"/>
          </w:tcPr>
          <w:p w14:paraId="1E8042AB" w14:textId="77777777" w:rsidR="00F20ABF" w:rsidRDefault="00CA4D2F">
            <w:pPr>
              <w:jc w:val="center"/>
              <w:textAlignment w:val="bottom"/>
            </w:pPr>
            <w:r>
              <w:rPr>
                <w:rFonts w:ascii="sans-serif" w:eastAsia="sans-serif" w:hAnsi="sans-serif" w:cs="sans-serif"/>
                <w:color w:val="000000"/>
                <w:sz w:val="20"/>
                <w:szCs w:val="20"/>
              </w:rPr>
              <w:t>5 years</w:t>
            </w:r>
          </w:p>
        </w:tc>
      </w:tr>
      <w:tr w:rsidR="00F20ABF" w14:paraId="1E8042B2" w14:textId="77777777">
        <w:tc>
          <w:tcPr>
            <w:tcW w:w="0" w:type="auto"/>
            <w:gridSpan w:val="3"/>
            <w:shd w:val="clear" w:color="auto" w:fill="FFFFFF"/>
            <w:tcMar>
              <w:top w:w="40" w:type="dxa"/>
              <w:left w:w="20" w:type="dxa"/>
              <w:bottom w:w="40" w:type="dxa"/>
              <w:right w:w="20" w:type="dxa"/>
            </w:tcMar>
            <w:vAlign w:val="bottom"/>
          </w:tcPr>
          <w:p w14:paraId="1E8042AD" w14:textId="77777777" w:rsidR="00F20ABF" w:rsidRDefault="00CA4D2F">
            <w:pPr>
              <w:textAlignment w:val="bottom"/>
            </w:pPr>
            <w:r>
              <w:rPr>
                <w:rFonts w:ascii="sans-serif" w:eastAsia="sans-serif" w:hAnsi="sans-serif" w:cs="sans-serif"/>
                <w:color w:val="000000"/>
                <w:sz w:val="20"/>
                <w:szCs w:val="20"/>
              </w:rPr>
              <w:t xml:space="preserve">Customer </w:t>
            </w:r>
            <w:r>
              <w:rPr>
                <w:rFonts w:ascii="sans-serif" w:eastAsia="sans-serif" w:hAnsi="sans-serif" w:cs="sans-serif"/>
                <w:color w:val="000000"/>
                <w:sz w:val="20"/>
                <w:szCs w:val="20"/>
              </w:rPr>
              <w:t>relationships (2)</w:t>
            </w:r>
          </w:p>
        </w:tc>
        <w:tc>
          <w:tcPr>
            <w:tcW w:w="0" w:type="auto"/>
            <w:gridSpan w:val="2"/>
            <w:shd w:val="clear" w:color="auto" w:fill="FFFFFF"/>
            <w:tcMar>
              <w:top w:w="40" w:type="dxa"/>
              <w:left w:w="20" w:type="dxa"/>
              <w:bottom w:w="40" w:type="dxa"/>
              <w:right w:w="0" w:type="dxa"/>
            </w:tcMar>
            <w:vAlign w:val="bottom"/>
          </w:tcPr>
          <w:p w14:paraId="1E8042AE" w14:textId="77777777" w:rsidR="00F20ABF" w:rsidRDefault="00CA4D2F">
            <w:pPr>
              <w:jc w:val="right"/>
              <w:textAlignment w:val="bottom"/>
            </w:pPr>
            <w:r>
              <w:rPr>
                <w:rFonts w:ascii="sans-serif" w:eastAsia="sans-serif" w:hAnsi="sans-serif" w:cs="sans-serif"/>
                <w:color w:val="000000"/>
                <w:sz w:val="20"/>
                <w:szCs w:val="20"/>
              </w:rPr>
              <w:t>440 </w:t>
            </w:r>
          </w:p>
        </w:tc>
        <w:tc>
          <w:tcPr>
            <w:tcW w:w="0" w:type="auto"/>
            <w:shd w:val="clear" w:color="auto" w:fill="FFFFFF"/>
            <w:tcMar>
              <w:top w:w="40" w:type="dxa"/>
              <w:left w:w="0" w:type="dxa"/>
              <w:bottom w:w="40" w:type="dxa"/>
              <w:right w:w="20" w:type="dxa"/>
            </w:tcMar>
            <w:vAlign w:val="bottom"/>
          </w:tcPr>
          <w:p w14:paraId="1E8042A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2B0"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42B1" w14:textId="77777777" w:rsidR="00F20ABF" w:rsidRDefault="00CA4D2F">
            <w:pPr>
              <w:jc w:val="center"/>
              <w:textAlignment w:val="bottom"/>
            </w:pPr>
            <w:r>
              <w:rPr>
                <w:rFonts w:ascii="sans-serif" w:eastAsia="sans-serif" w:hAnsi="sans-serif" w:cs="sans-serif"/>
                <w:color w:val="000000"/>
                <w:sz w:val="20"/>
                <w:szCs w:val="20"/>
              </w:rPr>
              <w:t>3 years</w:t>
            </w:r>
          </w:p>
        </w:tc>
      </w:tr>
      <w:tr w:rsidR="00F20ABF" w14:paraId="1E8042B8" w14:textId="77777777">
        <w:tc>
          <w:tcPr>
            <w:tcW w:w="0" w:type="auto"/>
            <w:gridSpan w:val="3"/>
            <w:shd w:val="clear" w:color="auto" w:fill="E2EFD9"/>
            <w:tcMar>
              <w:top w:w="40" w:type="dxa"/>
              <w:left w:w="20" w:type="dxa"/>
              <w:bottom w:w="40" w:type="dxa"/>
              <w:right w:w="20" w:type="dxa"/>
            </w:tcMar>
            <w:vAlign w:val="bottom"/>
          </w:tcPr>
          <w:p w14:paraId="1E8042B3" w14:textId="77777777" w:rsidR="00F20ABF" w:rsidRDefault="00CA4D2F">
            <w:pPr>
              <w:textAlignment w:val="bottom"/>
            </w:pPr>
            <w:r>
              <w:rPr>
                <w:rFonts w:ascii="sans-serif" w:eastAsia="sans-serif" w:hAnsi="sans-serif" w:cs="sans-serif"/>
                <w:color w:val="000000"/>
                <w:sz w:val="20"/>
                <w:szCs w:val="20"/>
              </w:rPr>
              <w:t>Order backlog (3)</w:t>
            </w:r>
          </w:p>
        </w:tc>
        <w:tc>
          <w:tcPr>
            <w:tcW w:w="0" w:type="auto"/>
            <w:gridSpan w:val="2"/>
            <w:shd w:val="clear" w:color="auto" w:fill="E2EFD9"/>
            <w:tcMar>
              <w:top w:w="40" w:type="dxa"/>
              <w:left w:w="20" w:type="dxa"/>
              <w:bottom w:w="40" w:type="dxa"/>
              <w:right w:w="0" w:type="dxa"/>
            </w:tcMar>
            <w:vAlign w:val="bottom"/>
          </w:tcPr>
          <w:p w14:paraId="1E8042B4" w14:textId="77777777" w:rsidR="00F20ABF" w:rsidRDefault="00CA4D2F">
            <w:pPr>
              <w:jc w:val="right"/>
              <w:textAlignment w:val="bottom"/>
            </w:pPr>
            <w:r>
              <w:rPr>
                <w:rFonts w:ascii="sans-serif" w:eastAsia="sans-serif" w:hAnsi="sans-serif" w:cs="sans-serif"/>
                <w:color w:val="000000"/>
                <w:sz w:val="20"/>
                <w:szCs w:val="20"/>
              </w:rPr>
              <w:t>190 </w:t>
            </w:r>
          </w:p>
        </w:tc>
        <w:tc>
          <w:tcPr>
            <w:tcW w:w="0" w:type="auto"/>
            <w:shd w:val="clear" w:color="auto" w:fill="E2EFD9"/>
            <w:tcMar>
              <w:top w:w="40" w:type="dxa"/>
              <w:left w:w="0" w:type="dxa"/>
              <w:bottom w:w="40" w:type="dxa"/>
              <w:right w:w="20" w:type="dxa"/>
            </w:tcMar>
            <w:vAlign w:val="bottom"/>
          </w:tcPr>
          <w:p w14:paraId="1E8042B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2B6" w14:textId="77777777" w:rsidR="00F20ABF" w:rsidRDefault="00F20ABF">
            <w:pPr>
              <w:rPr>
                <w:rFonts w:ascii="宋体"/>
              </w:rPr>
            </w:pPr>
          </w:p>
        </w:tc>
        <w:tc>
          <w:tcPr>
            <w:tcW w:w="0" w:type="auto"/>
            <w:gridSpan w:val="3"/>
            <w:shd w:val="clear" w:color="auto" w:fill="E2EFD9"/>
            <w:tcMar>
              <w:top w:w="40" w:type="dxa"/>
              <w:left w:w="20" w:type="dxa"/>
              <w:bottom w:w="40" w:type="dxa"/>
              <w:right w:w="20" w:type="dxa"/>
            </w:tcMar>
            <w:vAlign w:val="bottom"/>
          </w:tcPr>
          <w:p w14:paraId="1E8042B7" w14:textId="77777777" w:rsidR="00F20ABF" w:rsidRDefault="00CA4D2F">
            <w:pPr>
              <w:jc w:val="center"/>
              <w:textAlignment w:val="bottom"/>
            </w:pPr>
            <w:r>
              <w:rPr>
                <w:rFonts w:ascii="sans-serif" w:eastAsia="sans-serif" w:hAnsi="sans-serif" w:cs="sans-serif"/>
                <w:color w:val="000000"/>
                <w:sz w:val="20"/>
                <w:szCs w:val="20"/>
              </w:rPr>
              <w:t>Based on actual shipments</w:t>
            </w:r>
          </w:p>
        </w:tc>
      </w:tr>
      <w:tr w:rsidR="00F20ABF" w14:paraId="1E8042BE" w14:textId="77777777">
        <w:tc>
          <w:tcPr>
            <w:tcW w:w="0" w:type="auto"/>
            <w:gridSpan w:val="3"/>
            <w:shd w:val="clear" w:color="auto" w:fill="FFFFFF"/>
            <w:tcMar>
              <w:top w:w="40" w:type="dxa"/>
              <w:left w:w="20" w:type="dxa"/>
              <w:bottom w:w="40" w:type="dxa"/>
              <w:right w:w="20" w:type="dxa"/>
            </w:tcMar>
            <w:vAlign w:val="bottom"/>
          </w:tcPr>
          <w:p w14:paraId="1E8042B9" w14:textId="77777777" w:rsidR="00F20ABF" w:rsidRDefault="00CA4D2F">
            <w:pPr>
              <w:textAlignment w:val="bottom"/>
            </w:pPr>
            <w:r>
              <w:rPr>
                <w:rFonts w:ascii="sans-serif" w:eastAsia="sans-serif" w:hAnsi="sans-serif" w:cs="sans-serif"/>
                <w:color w:val="000000"/>
                <w:sz w:val="20"/>
                <w:szCs w:val="20"/>
              </w:rPr>
              <w:t>Trade names (4)</w:t>
            </w:r>
          </w:p>
        </w:tc>
        <w:tc>
          <w:tcPr>
            <w:tcW w:w="0" w:type="auto"/>
            <w:gridSpan w:val="2"/>
            <w:shd w:val="clear" w:color="auto" w:fill="FFFFFF"/>
            <w:tcMar>
              <w:top w:w="40" w:type="dxa"/>
              <w:left w:w="20" w:type="dxa"/>
              <w:bottom w:w="40" w:type="dxa"/>
              <w:right w:w="0" w:type="dxa"/>
            </w:tcMar>
            <w:vAlign w:val="bottom"/>
          </w:tcPr>
          <w:p w14:paraId="1E8042BA" w14:textId="77777777" w:rsidR="00F20ABF" w:rsidRDefault="00CA4D2F">
            <w:pPr>
              <w:jc w:val="right"/>
              <w:textAlignment w:val="bottom"/>
            </w:pPr>
            <w:r>
              <w:rPr>
                <w:rFonts w:ascii="sans-serif" w:eastAsia="sans-serif" w:hAnsi="sans-serif" w:cs="sans-serif"/>
                <w:color w:val="000000"/>
                <w:sz w:val="20"/>
                <w:szCs w:val="20"/>
              </w:rPr>
              <w:t>70 </w:t>
            </w:r>
          </w:p>
        </w:tc>
        <w:tc>
          <w:tcPr>
            <w:tcW w:w="0" w:type="auto"/>
            <w:shd w:val="clear" w:color="auto" w:fill="FFFFFF"/>
            <w:tcMar>
              <w:top w:w="40" w:type="dxa"/>
              <w:left w:w="0" w:type="dxa"/>
              <w:bottom w:w="40" w:type="dxa"/>
              <w:right w:w="20" w:type="dxa"/>
            </w:tcMar>
            <w:vAlign w:val="bottom"/>
          </w:tcPr>
          <w:p w14:paraId="1E8042B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2BC"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42BD" w14:textId="77777777" w:rsidR="00F20ABF" w:rsidRDefault="00CA4D2F">
            <w:pPr>
              <w:jc w:val="center"/>
              <w:textAlignment w:val="bottom"/>
            </w:pPr>
            <w:r>
              <w:rPr>
                <w:rFonts w:ascii="sans-serif" w:eastAsia="sans-serif" w:hAnsi="sans-serif" w:cs="sans-serif"/>
                <w:color w:val="000000"/>
                <w:sz w:val="20"/>
                <w:szCs w:val="20"/>
              </w:rPr>
              <w:t>5 years</w:t>
            </w:r>
          </w:p>
        </w:tc>
      </w:tr>
      <w:tr w:rsidR="00F20ABF" w14:paraId="1E8042C4" w14:textId="77777777">
        <w:tc>
          <w:tcPr>
            <w:tcW w:w="0" w:type="auto"/>
            <w:gridSpan w:val="3"/>
            <w:shd w:val="clear" w:color="auto" w:fill="E2EFD9"/>
            <w:tcMar>
              <w:top w:w="40" w:type="dxa"/>
              <w:left w:w="260" w:type="dxa"/>
              <w:bottom w:w="40" w:type="dxa"/>
              <w:right w:w="20" w:type="dxa"/>
            </w:tcMar>
            <w:vAlign w:val="bottom"/>
          </w:tcPr>
          <w:p w14:paraId="1E8042BF" w14:textId="77777777" w:rsidR="00F20ABF" w:rsidRDefault="00CA4D2F">
            <w:pPr>
              <w:textAlignment w:val="bottom"/>
            </w:pPr>
            <w:r>
              <w:rPr>
                <w:rFonts w:ascii="sans-serif" w:eastAsia="sans-serif" w:hAnsi="sans-serif" w:cs="sans-serif"/>
                <w:color w:val="000000"/>
                <w:sz w:val="20"/>
                <w:szCs w:val="20"/>
              </w:rPr>
              <w:t>Total identified finite-lived intangible assets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42C0" w14:textId="77777777" w:rsidR="00F20ABF" w:rsidRDefault="00CA4D2F">
            <w:pPr>
              <w:jc w:val="right"/>
              <w:textAlignment w:val="bottom"/>
            </w:pPr>
            <w:r>
              <w:rPr>
                <w:rFonts w:ascii="sans-serif" w:eastAsia="sans-serif" w:hAnsi="sans-serif" w:cs="sans-serif"/>
                <w:color w:val="000000"/>
                <w:sz w:val="20"/>
                <w:szCs w:val="20"/>
              </w:rPr>
              <w:t>2,340 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42C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2C2"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2C3" w14:textId="77777777" w:rsidR="00F20ABF" w:rsidRDefault="00F20ABF">
            <w:pPr>
              <w:rPr>
                <w:rFonts w:ascii="宋体"/>
              </w:rPr>
            </w:pPr>
          </w:p>
        </w:tc>
      </w:tr>
      <w:tr w:rsidR="00F20ABF" w14:paraId="1E8042CA" w14:textId="77777777">
        <w:tc>
          <w:tcPr>
            <w:tcW w:w="0" w:type="auto"/>
            <w:gridSpan w:val="3"/>
            <w:shd w:val="clear" w:color="auto" w:fill="FFFFFF"/>
            <w:tcMar>
              <w:top w:w="40" w:type="dxa"/>
              <w:left w:w="20" w:type="dxa"/>
              <w:bottom w:w="40" w:type="dxa"/>
              <w:right w:w="20" w:type="dxa"/>
            </w:tcMar>
            <w:vAlign w:val="bottom"/>
          </w:tcPr>
          <w:p w14:paraId="1E8042C5" w14:textId="77777777" w:rsidR="00F20ABF" w:rsidRDefault="00CA4D2F">
            <w:pPr>
              <w:textAlignment w:val="bottom"/>
            </w:pPr>
            <w:r>
              <w:rPr>
                <w:rFonts w:ascii="sans-serif" w:eastAsia="sans-serif" w:hAnsi="sans-serif" w:cs="sans-serif"/>
                <w:color w:val="000000"/>
                <w:sz w:val="20"/>
                <w:szCs w:val="20"/>
              </w:rPr>
              <w:t>IPR&amp;D (5)</w:t>
            </w:r>
          </w:p>
        </w:tc>
        <w:tc>
          <w:tcPr>
            <w:tcW w:w="0" w:type="auto"/>
            <w:gridSpan w:val="2"/>
            <w:shd w:val="clear" w:color="auto" w:fill="FFFFFF"/>
            <w:tcMar>
              <w:top w:w="40" w:type="dxa"/>
              <w:left w:w="20" w:type="dxa"/>
              <w:bottom w:w="40" w:type="dxa"/>
              <w:right w:w="0" w:type="dxa"/>
            </w:tcMar>
            <w:vAlign w:val="bottom"/>
          </w:tcPr>
          <w:p w14:paraId="1E8042C6" w14:textId="77777777" w:rsidR="00F20ABF" w:rsidRDefault="00CA4D2F">
            <w:pPr>
              <w:jc w:val="right"/>
              <w:textAlignment w:val="bottom"/>
            </w:pPr>
            <w:r>
              <w:rPr>
                <w:rFonts w:ascii="sans-serif" w:eastAsia="sans-serif" w:hAnsi="sans-serif" w:cs="sans-serif"/>
                <w:color w:val="000000"/>
                <w:sz w:val="20"/>
                <w:szCs w:val="20"/>
              </w:rPr>
              <w:t>630 </w:t>
            </w:r>
          </w:p>
        </w:tc>
        <w:tc>
          <w:tcPr>
            <w:tcW w:w="0" w:type="auto"/>
            <w:shd w:val="clear" w:color="auto" w:fill="FFFFFF"/>
            <w:tcMar>
              <w:top w:w="40" w:type="dxa"/>
              <w:left w:w="0" w:type="dxa"/>
              <w:bottom w:w="40" w:type="dxa"/>
              <w:right w:w="20" w:type="dxa"/>
            </w:tcMar>
            <w:vAlign w:val="bottom"/>
          </w:tcPr>
          <w:p w14:paraId="1E8042C7"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2C8"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42C9" w14:textId="77777777" w:rsidR="00F20ABF" w:rsidRDefault="00CA4D2F">
            <w:pPr>
              <w:jc w:val="center"/>
              <w:textAlignment w:val="bottom"/>
            </w:pPr>
            <w:r>
              <w:rPr>
                <w:rFonts w:ascii="sans-serif" w:eastAsia="sans-serif" w:hAnsi="sans-serif" w:cs="sans-serif"/>
                <w:color w:val="000000"/>
                <w:sz w:val="20"/>
                <w:szCs w:val="20"/>
              </w:rPr>
              <w:t>N/A</w:t>
            </w:r>
          </w:p>
        </w:tc>
      </w:tr>
      <w:tr w:rsidR="00F20ABF" w14:paraId="1E8042D1" w14:textId="77777777">
        <w:tc>
          <w:tcPr>
            <w:tcW w:w="0" w:type="auto"/>
            <w:gridSpan w:val="3"/>
            <w:shd w:val="clear" w:color="auto" w:fill="E2EFD9"/>
            <w:tcMar>
              <w:top w:w="40" w:type="dxa"/>
              <w:left w:w="260" w:type="dxa"/>
              <w:bottom w:w="40" w:type="dxa"/>
              <w:right w:w="20" w:type="dxa"/>
            </w:tcMar>
            <w:vAlign w:val="bottom"/>
          </w:tcPr>
          <w:p w14:paraId="1E8042CB" w14:textId="77777777" w:rsidR="00F20ABF" w:rsidRDefault="00CA4D2F">
            <w:pPr>
              <w:textAlignment w:val="bottom"/>
            </w:pPr>
            <w:r>
              <w:rPr>
                <w:rFonts w:ascii="sans-serif" w:eastAsia="sans-serif" w:hAnsi="sans-serif" w:cs="sans-serif"/>
                <w:color w:val="000000"/>
                <w:sz w:val="20"/>
                <w:szCs w:val="20"/>
              </w:rPr>
              <w:t>Total identified intangible assets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2CC"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2CD" w14:textId="77777777" w:rsidR="00F20ABF" w:rsidRDefault="00CA4D2F">
            <w:pPr>
              <w:jc w:val="right"/>
              <w:textAlignment w:val="bottom"/>
            </w:pPr>
            <w:r>
              <w:rPr>
                <w:rFonts w:ascii="sans-serif" w:eastAsia="sans-serif" w:hAnsi="sans-serif" w:cs="sans-serif"/>
                <w:color w:val="000000"/>
                <w:sz w:val="20"/>
                <w:szCs w:val="20"/>
              </w:rPr>
              <w:t>2,970 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2C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2CF"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2D0" w14:textId="77777777" w:rsidR="00F20ABF" w:rsidRDefault="00F20ABF">
            <w:pPr>
              <w:rPr>
                <w:rFonts w:ascii="宋体"/>
              </w:rPr>
            </w:pPr>
          </w:p>
        </w:tc>
      </w:tr>
    </w:tbl>
    <w:p w14:paraId="1E8042D2" w14:textId="77777777" w:rsidR="00F20ABF" w:rsidRDefault="00F20ABF"/>
    <w:p w14:paraId="1E8042D3" w14:textId="77777777" w:rsidR="00F20ABF" w:rsidRDefault="00CA4D2F">
      <w:pPr>
        <w:ind w:hanging="360"/>
        <w:jc w:val="both"/>
      </w:pPr>
      <w:r>
        <w:rPr>
          <w:rFonts w:ascii="sans-serif" w:eastAsia="sans-serif" w:hAnsi="sans-serif" w:cs="sans-serif"/>
          <w:color w:val="000000"/>
          <w:sz w:val="16"/>
          <w:szCs w:val="16"/>
        </w:rPr>
        <w:t>(1)    The fair value of developed technology was identified using the Multi-Period Excess Earning Method.</w:t>
      </w:r>
    </w:p>
    <w:p w14:paraId="1E8042D4" w14:textId="77777777" w:rsidR="00F20ABF" w:rsidRDefault="00CA4D2F">
      <w:pPr>
        <w:ind w:hanging="360"/>
        <w:jc w:val="both"/>
      </w:pPr>
      <w:r>
        <w:rPr>
          <w:rFonts w:ascii="sans-serif" w:eastAsia="sans-serif" w:hAnsi="sans-serif" w:cs="sans-serif"/>
          <w:color w:val="000000"/>
          <w:sz w:val="16"/>
          <w:szCs w:val="16"/>
        </w:rPr>
        <w:t>(2)    Customer relationships represent the fair value of the existing relationships using the With and Without Method.</w:t>
      </w:r>
    </w:p>
    <w:p w14:paraId="1E8042D5" w14:textId="77777777" w:rsidR="00F20ABF" w:rsidRDefault="00CA4D2F">
      <w:pPr>
        <w:ind w:hanging="360"/>
        <w:jc w:val="both"/>
      </w:pPr>
      <w:r>
        <w:rPr>
          <w:rFonts w:ascii="sans-serif" w:eastAsia="sans-serif" w:hAnsi="sans-serif" w:cs="sans-serif"/>
          <w:color w:val="000000"/>
          <w:sz w:val="16"/>
          <w:szCs w:val="16"/>
        </w:rPr>
        <w:t>(3)    Order backlog represen</w:t>
      </w:r>
      <w:r>
        <w:rPr>
          <w:rFonts w:ascii="sans-serif" w:eastAsia="sans-serif" w:hAnsi="sans-serif" w:cs="sans-serif"/>
          <w:color w:val="000000"/>
          <w:sz w:val="16"/>
          <w:szCs w:val="16"/>
        </w:rPr>
        <w:t>ts primarily the fair value of purchase arrangements with customers using the Multi-Period Excess Earning Method.</w:t>
      </w:r>
    </w:p>
    <w:p w14:paraId="1E8042D6" w14:textId="77777777" w:rsidR="00F20ABF" w:rsidRDefault="00CA4D2F">
      <w:pPr>
        <w:ind w:hanging="360"/>
        <w:jc w:val="both"/>
      </w:pPr>
      <w:r>
        <w:rPr>
          <w:rFonts w:ascii="sans-serif" w:eastAsia="sans-serif" w:hAnsi="sans-serif" w:cs="sans-serif"/>
          <w:color w:val="000000"/>
          <w:sz w:val="16"/>
          <w:szCs w:val="16"/>
        </w:rPr>
        <w:t>(4)    Trade names primarily relate to Mellanox trade names and fair value was determined by applying the Relief-from-Royalty Method under the</w:t>
      </w:r>
      <w:r>
        <w:rPr>
          <w:rFonts w:ascii="sans-serif" w:eastAsia="sans-serif" w:hAnsi="sans-serif" w:cs="sans-serif"/>
          <w:color w:val="000000"/>
          <w:sz w:val="16"/>
          <w:szCs w:val="16"/>
        </w:rPr>
        <w:t xml:space="preserve"> income approach.</w:t>
      </w:r>
    </w:p>
    <w:p w14:paraId="1E8042D7" w14:textId="77777777" w:rsidR="00F20ABF" w:rsidRDefault="00CA4D2F">
      <w:pPr>
        <w:ind w:hanging="360"/>
        <w:jc w:val="both"/>
      </w:pPr>
      <w:r>
        <w:rPr>
          <w:rFonts w:ascii="sans-serif" w:eastAsia="sans-serif" w:hAnsi="sans-serif" w:cs="sans-serif"/>
          <w:color w:val="000000"/>
          <w:sz w:val="16"/>
          <w:szCs w:val="16"/>
        </w:rPr>
        <w:t>(5)    The fair value of IPR&amp;D was determined using the Multi-Period Excess Earning Method.</w:t>
      </w:r>
    </w:p>
    <w:p w14:paraId="1E8042D8" w14:textId="77777777" w:rsidR="00F20ABF" w:rsidRDefault="00F20ABF">
      <w:pPr>
        <w:ind w:hanging="360"/>
        <w:jc w:val="both"/>
      </w:pPr>
    </w:p>
    <w:p w14:paraId="1E8042D9" w14:textId="77777777" w:rsidR="00F20ABF" w:rsidRDefault="00CA4D2F">
      <w:pPr>
        <w:spacing w:after="180"/>
        <w:jc w:val="both"/>
      </w:pPr>
      <w:r>
        <w:rPr>
          <w:rFonts w:ascii="sans-serif" w:eastAsia="sans-serif" w:hAnsi="sans-serif" w:cs="sans-serif"/>
          <w:color w:val="000000"/>
          <w:sz w:val="20"/>
          <w:szCs w:val="20"/>
        </w:rPr>
        <w:t>The fair value of the finite-lived intangible assets will be amortized over the estimated useful lives based on the pattern in which the economic</w:t>
      </w:r>
      <w:r>
        <w:rPr>
          <w:rFonts w:ascii="sans-serif" w:eastAsia="sans-serif" w:hAnsi="sans-serif" w:cs="sans-serif"/>
          <w:color w:val="000000"/>
          <w:sz w:val="20"/>
          <w:szCs w:val="20"/>
        </w:rPr>
        <w:t xml:space="preserve"> benefits are expected to be received to cost of revenue and operating expenses. </w:t>
      </w:r>
    </w:p>
    <w:p w14:paraId="1E8042DA" w14:textId="77777777" w:rsidR="00F20ABF" w:rsidRDefault="00CA4D2F">
      <w:pPr>
        <w:spacing w:after="180"/>
        <w:jc w:val="both"/>
      </w:pPr>
      <w:r>
        <w:rPr>
          <w:rFonts w:ascii="sans-serif" w:eastAsia="sans-serif" w:hAnsi="sans-serif" w:cs="sans-serif"/>
          <w:color w:val="000000"/>
          <w:sz w:val="20"/>
          <w:szCs w:val="20"/>
        </w:rPr>
        <w:t>Mellanox had an IPR&amp;D project associated with the next generation interconnect product that had not yet reached technological feasibility as of the acquisition date. Accordin</w:t>
      </w:r>
      <w:r>
        <w:rPr>
          <w:rFonts w:ascii="sans-serif" w:eastAsia="sans-serif" w:hAnsi="sans-serif" w:cs="sans-serif"/>
          <w:color w:val="000000"/>
          <w:sz w:val="20"/>
          <w:szCs w:val="20"/>
        </w:rPr>
        <w:t>gly, we recorded an indefinite-lived intangible asset of $630 million for the fair value of this project, which will initially not be amortized. Instead, the project will be tested for impairment whenever events or changes in circumstances indicate that th</w:t>
      </w:r>
      <w:r>
        <w:rPr>
          <w:rFonts w:ascii="sans-serif" w:eastAsia="sans-serif" w:hAnsi="sans-serif" w:cs="sans-serif"/>
          <w:color w:val="000000"/>
          <w:sz w:val="20"/>
          <w:szCs w:val="20"/>
        </w:rPr>
        <w:t>e project may be impaired or may have reached technological feasibility. Once the project reaches technological feasibility, we will begin to amortize the intangible asset over its estimated useful life.</w:t>
      </w:r>
    </w:p>
    <w:p w14:paraId="1E8042DB" w14:textId="77777777" w:rsidR="00F20ABF" w:rsidRDefault="00CA4D2F">
      <w:pPr>
        <w:spacing w:before="240" w:after="60"/>
        <w:jc w:val="both"/>
      </w:pPr>
      <w:r>
        <w:rPr>
          <w:rFonts w:ascii="sans-serif" w:eastAsia="sans-serif" w:hAnsi="sans-serif" w:cs="sans-serif"/>
          <w:b/>
          <w:bCs/>
          <w:color w:val="76B900"/>
          <w:sz w:val="20"/>
          <w:szCs w:val="20"/>
        </w:rPr>
        <w:t>Supplemental Unaudited Pro Forma Information</w:t>
      </w:r>
    </w:p>
    <w:p w14:paraId="1E8042DC" w14:textId="77777777" w:rsidR="00F20ABF" w:rsidRDefault="00CA4D2F">
      <w:pPr>
        <w:spacing w:after="180"/>
        <w:jc w:val="both"/>
      </w:pPr>
      <w:r>
        <w:rPr>
          <w:rFonts w:ascii="sans-serif" w:eastAsia="sans-serif" w:hAnsi="sans-serif" w:cs="sans-serif"/>
          <w:color w:val="000000"/>
          <w:sz w:val="20"/>
          <w:szCs w:val="20"/>
        </w:rPr>
        <w:t>The fol</w:t>
      </w:r>
      <w:r>
        <w:rPr>
          <w:rFonts w:ascii="sans-serif" w:eastAsia="sans-serif" w:hAnsi="sans-serif" w:cs="sans-serif"/>
          <w:color w:val="000000"/>
          <w:sz w:val="20"/>
          <w:szCs w:val="20"/>
        </w:rPr>
        <w:t xml:space="preserve">lowing unaudited pro forma financial information summarizes the combined results of operations for NVIDIA and Mellanox as if the companies were combined as of the beginning of fiscal year 2020: </w:t>
      </w:r>
    </w:p>
    <w:tbl>
      <w:tblPr>
        <w:tblW w:w="5000" w:type="pct"/>
        <w:tblCellMar>
          <w:top w:w="15" w:type="dxa"/>
          <w:left w:w="15" w:type="dxa"/>
          <w:bottom w:w="15" w:type="dxa"/>
          <w:right w:w="15" w:type="dxa"/>
        </w:tblCellMar>
        <w:tblLook w:val="04A0" w:firstRow="1" w:lastRow="0" w:firstColumn="1" w:lastColumn="0" w:noHBand="0" w:noVBand="1"/>
      </w:tblPr>
      <w:tblGrid>
        <w:gridCol w:w="37"/>
        <w:gridCol w:w="2497"/>
        <w:gridCol w:w="36"/>
        <w:gridCol w:w="123"/>
        <w:gridCol w:w="1234"/>
        <w:gridCol w:w="37"/>
        <w:gridCol w:w="36"/>
        <w:gridCol w:w="36"/>
        <w:gridCol w:w="36"/>
        <w:gridCol w:w="123"/>
        <w:gridCol w:w="1190"/>
        <w:gridCol w:w="37"/>
        <w:gridCol w:w="36"/>
        <w:gridCol w:w="36"/>
        <w:gridCol w:w="36"/>
        <w:gridCol w:w="122"/>
        <w:gridCol w:w="1190"/>
        <w:gridCol w:w="36"/>
        <w:gridCol w:w="36"/>
        <w:gridCol w:w="36"/>
        <w:gridCol w:w="36"/>
        <w:gridCol w:w="123"/>
        <w:gridCol w:w="1190"/>
        <w:gridCol w:w="37"/>
      </w:tblGrid>
      <w:tr w:rsidR="00F20ABF" w14:paraId="1E8042F5" w14:textId="77777777">
        <w:tc>
          <w:tcPr>
            <w:tcW w:w="50" w:type="pct"/>
            <w:shd w:val="clear" w:color="auto" w:fill="auto"/>
          </w:tcPr>
          <w:p w14:paraId="1E8042DD" w14:textId="77777777" w:rsidR="00F20ABF" w:rsidRDefault="00F20ABF">
            <w:pPr>
              <w:rPr>
                <w:rFonts w:ascii="宋体"/>
              </w:rPr>
            </w:pPr>
          </w:p>
        </w:tc>
        <w:tc>
          <w:tcPr>
            <w:tcW w:w="1531" w:type="pct"/>
            <w:shd w:val="clear" w:color="auto" w:fill="auto"/>
          </w:tcPr>
          <w:p w14:paraId="1E8042DE" w14:textId="77777777" w:rsidR="00F20ABF" w:rsidRDefault="00F20ABF">
            <w:pPr>
              <w:rPr>
                <w:rFonts w:ascii="宋体"/>
              </w:rPr>
            </w:pPr>
          </w:p>
        </w:tc>
        <w:tc>
          <w:tcPr>
            <w:tcW w:w="5" w:type="pct"/>
            <w:shd w:val="clear" w:color="auto" w:fill="auto"/>
          </w:tcPr>
          <w:p w14:paraId="1E8042DF" w14:textId="77777777" w:rsidR="00F20ABF" w:rsidRDefault="00F20ABF">
            <w:pPr>
              <w:rPr>
                <w:rFonts w:ascii="宋体"/>
              </w:rPr>
            </w:pPr>
          </w:p>
        </w:tc>
        <w:tc>
          <w:tcPr>
            <w:tcW w:w="50" w:type="pct"/>
            <w:shd w:val="clear" w:color="auto" w:fill="auto"/>
          </w:tcPr>
          <w:p w14:paraId="1E8042E0" w14:textId="77777777" w:rsidR="00F20ABF" w:rsidRDefault="00F20ABF">
            <w:pPr>
              <w:rPr>
                <w:rFonts w:ascii="宋体"/>
              </w:rPr>
            </w:pPr>
          </w:p>
        </w:tc>
        <w:tc>
          <w:tcPr>
            <w:tcW w:w="771" w:type="pct"/>
            <w:shd w:val="clear" w:color="auto" w:fill="auto"/>
          </w:tcPr>
          <w:p w14:paraId="1E8042E1" w14:textId="77777777" w:rsidR="00F20ABF" w:rsidRDefault="00F20ABF">
            <w:pPr>
              <w:rPr>
                <w:rFonts w:ascii="宋体"/>
              </w:rPr>
            </w:pPr>
          </w:p>
        </w:tc>
        <w:tc>
          <w:tcPr>
            <w:tcW w:w="5" w:type="pct"/>
            <w:shd w:val="clear" w:color="auto" w:fill="auto"/>
          </w:tcPr>
          <w:p w14:paraId="1E8042E2" w14:textId="77777777" w:rsidR="00F20ABF" w:rsidRDefault="00F20ABF">
            <w:pPr>
              <w:rPr>
                <w:rFonts w:ascii="宋体"/>
              </w:rPr>
            </w:pPr>
          </w:p>
        </w:tc>
        <w:tc>
          <w:tcPr>
            <w:tcW w:w="5" w:type="pct"/>
            <w:shd w:val="clear" w:color="auto" w:fill="auto"/>
          </w:tcPr>
          <w:p w14:paraId="1E8042E3" w14:textId="77777777" w:rsidR="00F20ABF" w:rsidRDefault="00F20ABF">
            <w:pPr>
              <w:rPr>
                <w:rFonts w:ascii="宋体"/>
              </w:rPr>
            </w:pPr>
          </w:p>
        </w:tc>
        <w:tc>
          <w:tcPr>
            <w:tcW w:w="26" w:type="pct"/>
            <w:shd w:val="clear" w:color="auto" w:fill="auto"/>
          </w:tcPr>
          <w:p w14:paraId="1E8042E4" w14:textId="77777777" w:rsidR="00F20ABF" w:rsidRDefault="00F20ABF">
            <w:pPr>
              <w:rPr>
                <w:rFonts w:ascii="宋体"/>
              </w:rPr>
            </w:pPr>
          </w:p>
        </w:tc>
        <w:tc>
          <w:tcPr>
            <w:tcW w:w="5" w:type="pct"/>
            <w:shd w:val="clear" w:color="auto" w:fill="auto"/>
          </w:tcPr>
          <w:p w14:paraId="1E8042E5" w14:textId="77777777" w:rsidR="00F20ABF" w:rsidRDefault="00F20ABF">
            <w:pPr>
              <w:rPr>
                <w:rFonts w:ascii="宋体"/>
              </w:rPr>
            </w:pPr>
          </w:p>
        </w:tc>
        <w:tc>
          <w:tcPr>
            <w:tcW w:w="50" w:type="pct"/>
            <w:shd w:val="clear" w:color="auto" w:fill="auto"/>
          </w:tcPr>
          <w:p w14:paraId="1E8042E6" w14:textId="77777777" w:rsidR="00F20ABF" w:rsidRDefault="00F20ABF">
            <w:pPr>
              <w:rPr>
                <w:rFonts w:ascii="宋体"/>
              </w:rPr>
            </w:pPr>
          </w:p>
        </w:tc>
        <w:tc>
          <w:tcPr>
            <w:tcW w:w="771" w:type="pct"/>
            <w:shd w:val="clear" w:color="auto" w:fill="auto"/>
          </w:tcPr>
          <w:p w14:paraId="1E8042E7" w14:textId="77777777" w:rsidR="00F20ABF" w:rsidRDefault="00F20ABF">
            <w:pPr>
              <w:rPr>
                <w:rFonts w:ascii="宋体"/>
              </w:rPr>
            </w:pPr>
          </w:p>
        </w:tc>
        <w:tc>
          <w:tcPr>
            <w:tcW w:w="5" w:type="pct"/>
            <w:shd w:val="clear" w:color="auto" w:fill="auto"/>
          </w:tcPr>
          <w:p w14:paraId="1E8042E8" w14:textId="77777777" w:rsidR="00F20ABF" w:rsidRDefault="00F20ABF">
            <w:pPr>
              <w:rPr>
                <w:rFonts w:ascii="宋体"/>
              </w:rPr>
            </w:pPr>
          </w:p>
        </w:tc>
        <w:tc>
          <w:tcPr>
            <w:tcW w:w="5" w:type="pct"/>
            <w:shd w:val="clear" w:color="auto" w:fill="auto"/>
          </w:tcPr>
          <w:p w14:paraId="1E8042E9" w14:textId="77777777" w:rsidR="00F20ABF" w:rsidRDefault="00F20ABF">
            <w:pPr>
              <w:rPr>
                <w:rFonts w:ascii="宋体"/>
              </w:rPr>
            </w:pPr>
          </w:p>
        </w:tc>
        <w:tc>
          <w:tcPr>
            <w:tcW w:w="26" w:type="pct"/>
            <w:shd w:val="clear" w:color="auto" w:fill="auto"/>
          </w:tcPr>
          <w:p w14:paraId="1E8042EA" w14:textId="77777777" w:rsidR="00F20ABF" w:rsidRDefault="00F20ABF">
            <w:pPr>
              <w:rPr>
                <w:rFonts w:ascii="宋体"/>
              </w:rPr>
            </w:pPr>
          </w:p>
        </w:tc>
        <w:tc>
          <w:tcPr>
            <w:tcW w:w="5" w:type="pct"/>
            <w:shd w:val="clear" w:color="auto" w:fill="auto"/>
          </w:tcPr>
          <w:p w14:paraId="1E8042EB" w14:textId="77777777" w:rsidR="00F20ABF" w:rsidRDefault="00F20ABF">
            <w:pPr>
              <w:rPr>
                <w:rFonts w:ascii="宋体"/>
              </w:rPr>
            </w:pPr>
          </w:p>
        </w:tc>
        <w:tc>
          <w:tcPr>
            <w:tcW w:w="50" w:type="pct"/>
            <w:shd w:val="clear" w:color="auto" w:fill="auto"/>
          </w:tcPr>
          <w:p w14:paraId="1E8042EC" w14:textId="77777777" w:rsidR="00F20ABF" w:rsidRDefault="00F20ABF">
            <w:pPr>
              <w:rPr>
                <w:rFonts w:ascii="宋体"/>
              </w:rPr>
            </w:pPr>
          </w:p>
        </w:tc>
        <w:tc>
          <w:tcPr>
            <w:tcW w:w="771" w:type="pct"/>
            <w:shd w:val="clear" w:color="auto" w:fill="auto"/>
          </w:tcPr>
          <w:p w14:paraId="1E8042ED" w14:textId="77777777" w:rsidR="00F20ABF" w:rsidRDefault="00F20ABF">
            <w:pPr>
              <w:rPr>
                <w:rFonts w:ascii="宋体"/>
              </w:rPr>
            </w:pPr>
          </w:p>
        </w:tc>
        <w:tc>
          <w:tcPr>
            <w:tcW w:w="5" w:type="pct"/>
            <w:shd w:val="clear" w:color="auto" w:fill="auto"/>
          </w:tcPr>
          <w:p w14:paraId="1E8042EE" w14:textId="77777777" w:rsidR="00F20ABF" w:rsidRDefault="00F20ABF">
            <w:pPr>
              <w:rPr>
                <w:rFonts w:ascii="宋体"/>
              </w:rPr>
            </w:pPr>
          </w:p>
        </w:tc>
        <w:tc>
          <w:tcPr>
            <w:tcW w:w="5" w:type="pct"/>
            <w:shd w:val="clear" w:color="auto" w:fill="auto"/>
          </w:tcPr>
          <w:p w14:paraId="1E8042EF" w14:textId="77777777" w:rsidR="00F20ABF" w:rsidRDefault="00F20ABF">
            <w:pPr>
              <w:rPr>
                <w:rFonts w:ascii="宋体"/>
              </w:rPr>
            </w:pPr>
          </w:p>
        </w:tc>
        <w:tc>
          <w:tcPr>
            <w:tcW w:w="26" w:type="pct"/>
            <w:shd w:val="clear" w:color="auto" w:fill="auto"/>
          </w:tcPr>
          <w:p w14:paraId="1E8042F0" w14:textId="77777777" w:rsidR="00F20ABF" w:rsidRDefault="00F20ABF">
            <w:pPr>
              <w:rPr>
                <w:rFonts w:ascii="宋体"/>
              </w:rPr>
            </w:pPr>
          </w:p>
        </w:tc>
        <w:tc>
          <w:tcPr>
            <w:tcW w:w="5" w:type="pct"/>
            <w:shd w:val="clear" w:color="auto" w:fill="auto"/>
          </w:tcPr>
          <w:p w14:paraId="1E8042F1" w14:textId="77777777" w:rsidR="00F20ABF" w:rsidRDefault="00F20ABF">
            <w:pPr>
              <w:rPr>
                <w:rFonts w:ascii="宋体"/>
              </w:rPr>
            </w:pPr>
          </w:p>
        </w:tc>
        <w:tc>
          <w:tcPr>
            <w:tcW w:w="50" w:type="pct"/>
            <w:shd w:val="clear" w:color="auto" w:fill="auto"/>
          </w:tcPr>
          <w:p w14:paraId="1E8042F2" w14:textId="77777777" w:rsidR="00F20ABF" w:rsidRDefault="00F20ABF">
            <w:pPr>
              <w:rPr>
                <w:rFonts w:ascii="宋体"/>
              </w:rPr>
            </w:pPr>
          </w:p>
        </w:tc>
        <w:tc>
          <w:tcPr>
            <w:tcW w:w="771" w:type="pct"/>
            <w:shd w:val="clear" w:color="auto" w:fill="auto"/>
          </w:tcPr>
          <w:p w14:paraId="1E8042F3" w14:textId="77777777" w:rsidR="00F20ABF" w:rsidRDefault="00F20ABF">
            <w:pPr>
              <w:rPr>
                <w:rFonts w:ascii="宋体"/>
              </w:rPr>
            </w:pPr>
          </w:p>
        </w:tc>
        <w:tc>
          <w:tcPr>
            <w:tcW w:w="5" w:type="pct"/>
            <w:shd w:val="clear" w:color="auto" w:fill="auto"/>
          </w:tcPr>
          <w:p w14:paraId="1E8042F4" w14:textId="77777777" w:rsidR="00F20ABF" w:rsidRDefault="00F20ABF">
            <w:pPr>
              <w:rPr>
                <w:rFonts w:ascii="宋体"/>
              </w:rPr>
            </w:pPr>
          </w:p>
        </w:tc>
      </w:tr>
      <w:tr w:rsidR="00F20ABF" w14:paraId="1E8042F8" w14:textId="77777777">
        <w:tc>
          <w:tcPr>
            <w:tcW w:w="0" w:type="auto"/>
            <w:gridSpan w:val="3"/>
            <w:shd w:val="clear" w:color="auto" w:fill="auto"/>
            <w:tcMar>
              <w:top w:w="0" w:type="dxa"/>
              <w:left w:w="20" w:type="dxa"/>
              <w:bottom w:w="0" w:type="dxa"/>
              <w:right w:w="20" w:type="dxa"/>
            </w:tcMar>
          </w:tcPr>
          <w:p w14:paraId="1E8042F6" w14:textId="77777777" w:rsidR="00F20ABF" w:rsidRDefault="00F20ABF">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1E8042F7" w14:textId="77777777" w:rsidR="00F20ABF" w:rsidRDefault="00CA4D2F">
            <w:pPr>
              <w:jc w:val="center"/>
              <w:textAlignment w:val="bottom"/>
            </w:pPr>
            <w:r>
              <w:rPr>
                <w:rFonts w:ascii="sans-serif" w:eastAsia="sans-serif" w:hAnsi="sans-serif" w:cs="sans-serif"/>
                <w:b/>
                <w:bCs/>
                <w:color w:val="000000"/>
                <w:sz w:val="20"/>
                <w:szCs w:val="20"/>
              </w:rPr>
              <w:t>Pro Forma</w:t>
            </w:r>
          </w:p>
        </w:tc>
      </w:tr>
      <w:tr w:rsidR="00F20ABF" w14:paraId="1E8042FD" w14:textId="77777777">
        <w:tc>
          <w:tcPr>
            <w:tcW w:w="0" w:type="auto"/>
            <w:gridSpan w:val="3"/>
            <w:shd w:val="clear" w:color="auto" w:fill="auto"/>
            <w:tcMar>
              <w:top w:w="40" w:type="dxa"/>
              <w:left w:w="20" w:type="dxa"/>
              <w:bottom w:w="40" w:type="dxa"/>
              <w:right w:w="20" w:type="dxa"/>
            </w:tcMar>
            <w:vAlign w:val="bottom"/>
          </w:tcPr>
          <w:p w14:paraId="1E8042F9" w14:textId="77777777" w:rsidR="00F20ABF" w:rsidRDefault="00CA4D2F">
            <w:pPr>
              <w:textAlignment w:val="bottom"/>
            </w:pPr>
            <w:r>
              <w:rPr>
                <w:rFonts w:ascii="sans-serif" w:eastAsia="sans-serif" w:hAnsi="sans-serif" w:cs="sans-serif"/>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E8042FA" w14:textId="77777777" w:rsidR="00F20ABF" w:rsidRDefault="00CA4D2F">
            <w:pPr>
              <w:jc w:val="center"/>
              <w:textAlignment w:val="bottom"/>
            </w:pPr>
            <w:r>
              <w:rPr>
                <w:rFonts w:ascii="sans-serif" w:eastAsia="sans-serif" w:hAnsi="sans-serif" w:cs="sans-serif"/>
                <w:b/>
                <w:bCs/>
                <w:color w:val="000000"/>
                <w:sz w:val="20"/>
                <w:szCs w:val="20"/>
              </w:rPr>
              <w:t>Three Months Ended</w:t>
            </w:r>
          </w:p>
        </w:tc>
        <w:tc>
          <w:tcPr>
            <w:tcW w:w="0" w:type="auto"/>
            <w:gridSpan w:val="3"/>
            <w:tcBorders>
              <w:top w:val="single" w:sz="8" w:space="0" w:color="000000"/>
            </w:tcBorders>
            <w:shd w:val="clear" w:color="auto" w:fill="auto"/>
            <w:tcMar>
              <w:top w:w="0" w:type="dxa"/>
              <w:left w:w="20" w:type="dxa"/>
              <w:bottom w:w="0" w:type="dxa"/>
              <w:right w:w="20" w:type="dxa"/>
            </w:tcMar>
          </w:tcPr>
          <w:p w14:paraId="1E8042FB" w14:textId="77777777" w:rsidR="00F20ABF" w:rsidRDefault="00F20AB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E8042FC" w14:textId="77777777" w:rsidR="00F20ABF" w:rsidRDefault="00CA4D2F">
            <w:pPr>
              <w:jc w:val="center"/>
              <w:textAlignment w:val="bottom"/>
            </w:pPr>
            <w:r>
              <w:rPr>
                <w:rFonts w:ascii="sans-serif" w:eastAsia="sans-serif" w:hAnsi="sans-serif" w:cs="sans-serif"/>
                <w:b/>
                <w:bCs/>
                <w:color w:val="000000"/>
                <w:sz w:val="20"/>
                <w:szCs w:val="20"/>
              </w:rPr>
              <w:t>Nine Months Ended</w:t>
            </w:r>
          </w:p>
        </w:tc>
      </w:tr>
      <w:tr w:rsidR="00F20ABF" w14:paraId="1E804306" w14:textId="77777777">
        <w:tc>
          <w:tcPr>
            <w:tcW w:w="0" w:type="auto"/>
            <w:gridSpan w:val="3"/>
            <w:shd w:val="clear" w:color="auto" w:fill="FFFFFF"/>
            <w:tcMar>
              <w:top w:w="40" w:type="dxa"/>
              <w:left w:w="20" w:type="dxa"/>
              <w:bottom w:w="40" w:type="dxa"/>
              <w:right w:w="20" w:type="dxa"/>
            </w:tcMar>
            <w:vAlign w:val="bottom"/>
          </w:tcPr>
          <w:p w14:paraId="1E8042FE"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E8042FF" w14:textId="77777777" w:rsidR="00F20ABF" w:rsidRDefault="00CA4D2F">
            <w:pPr>
              <w:jc w:val="center"/>
              <w:textAlignment w:val="bottom"/>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FFFFFF"/>
            <w:tcMar>
              <w:top w:w="0" w:type="dxa"/>
              <w:left w:w="20" w:type="dxa"/>
              <w:bottom w:w="0" w:type="dxa"/>
              <w:right w:w="20" w:type="dxa"/>
            </w:tcMar>
          </w:tcPr>
          <w:p w14:paraId="1E804300" w14:textId="77777777" w:rsidR="00F20ABF" w:rsidRDefault="00F20AB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E804301" w14:textId="77777777" w:rsidR="00F20ABF" w:rsidRDefault="00CA4D2F">
            <w:pPr>
              <w:jc w:val="center"/>
              <w:textAlignment w:val="bottom"/>
            </w:pPr>
            <w:r>
              <w:rPr>
                <w:rFonts w:ascii="sans-serif" w:eastAsia="sans-serif" w:hAnsi="sans-serif" w:cs="sans-serif"/>
                <w:b/>
                <w:bCs/>
                <w:color w:val="000000"/>
                <w:sz w:val="20"/>
                <w:szCs w:val="20"/>
              </w:rPr>
              <w:t>October 27,</w:t>
            </w:r>
            <w:r>
              <w:rPr>
                <w:rFonts w:ascii="sans-serif" w:eastAsia="sans-serif" w:hAnsi="sans-serif" w:cs="sans-serif"/>
                <w:b/>
                <w:bCs/>
                <w:color w:val="000000"/>
                <w:sz w:val="20"/>
                <w:szCs w:val="20"/>
              </w:rPr>
              <w:br/>
              <w:t>2019</w:t>
            </w:r>
          </w:p>
        </w:tc>
        <w:tc>
          <w:tcPr>
            <w:tcW w:w="0" w:type="auto"/>
            <w:gridSpan w:val="3"/>
            <w:shd w:val="clear" w:color="auto" w:fill="FFFFFF"/>
            <w:tcMar>
              <w:top w:w="0" w:type="dxa"/>
              <w:left w:w="20" w:type="dxa"/>
              <w:bottom w:w="0" w:type="dxa"/>
              <w:right w:w="20" w:type="dxa"/>
            </w:tcMar>
          </w:tcPr>
          <w:p w14:paraId="1E804302" w14:textId="77777777" w:rsidR="00F20ABF" w:rsidRDefault="00F20AB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E804303" w14:textId="77777777" w:rsidR="00F20ABF" w:rsidRDefault="00CA4D2F">
            <w:pPr>
              <w:jc w:val="center"/>
              <w:textAlignment w:val="bottom"/>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FFFFFF"/>
            <w:tcMar>
              <w:top w:w="0" w:type="dxa"/>
              <w:left w:w="20" w:type="dxa"/>
              <w:bottom w:w="0" w:type="dxa"/>
              <w:right w:w="20" w:type="dxa"/>
            </w:tcMar>
          </w:tcPr>
          <w:p w14:paraId="1E804304" w14:textId="77777777" w:rsidR="00F20ABF" w:rsidRDefault="00F20AB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E804305" w14:textId="77777777" w:rsidR="00F20ABF" w:rsidRDefault="00CA4D2F">
            <w:pPr>
              <w:jc w:val="center"/>
              <w:textAlignment w:val="bottom"/>
            </w:pPr>
            <w:r>
              <w:rPr>
                <w:rFonts w:ascii="sans-serif" w:eastAsia="sans-serif" w:hAnsi="sans-serif" w:cs="sans-serif"/>
                <w:b/>
                <w:bCs/>
                <w:color w:val="000000"/>
                <w:sz w:val="20"/>
                <w:szCs w:val="20"/>
              </w:rPr>
              <w:t>October 27,</w:t>
            </w:r>
            <w:r>
              <w:rPr>
                <w:rFonts w:ascii="sans-serif" w:eastAsia="sans-serif" w:hAnsi="sans-serif" w:cs="sans-serif"/>
                <w:b/>
                <w:bCs/>
                <w:color w:val="000000"/>
                <w:sz w:val="20"/>
                <w:szCs w:val="20"/>
              </w:rPr>
              <w:br/>
              <w:t>2019</w:t>
            </w:r>
          </w:p>
        </w:tc>
      </w:tr>
      <w:tr w:rsidR="00F20ABF" w14:paraId="1E80430F" w14:textId="77777777">
        <w:trPr>
          <w:trHeight w:val="60"/>
        </w:trPr>
        <w:tc>
          <w:tcPr>
            <w:tcW w:w="0" w:type="auto"/>
            <w:gridSpan w:val="3"/>
            <w:shd w:val="clear" w:color="auto" w:fill="FFFFFF"/>
            <w:tcMar>
              <w:top w:w="0" w:type="dxa"/>
              <w:left w:w="20" w:type="dxa"/>
              <w:bottom w:w="0" w:type="dxa"/>
              <w:right w:w="20" w:type="dxa"/>
            </w:tcMar>
          </w:tcPr>
          <w:p w14:paraId="1E804307"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308"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309"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30A"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30B"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30C"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30D"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30E" w14:textId="77777777" w:rsidR="00F20ABF" w:rsidRDefault="00F20ABF">
            <w:pPr>
              <w:rPr>
                <w:rFonts w:ascii="宋体"/>
              </w:rPr>
            </w:pPr>
          </w:p>
        </w:tc>
      </w:tr>
      <w:tr w:rsidR="00F20ABF" w14:paraId="1E804312" w14:textId="77777777">
        <w:tc>
          <w:tcPr>
            <w:tcW w:w="0" w:type="auto"/>
            <w:gridSpan w:val="3"/>
            <w:shd w:val="clear" w:color="auto" w:fill="FFFFFF"/>
            <w:tcMar>
              <w:top w:w="0" w:type="dxa"/>
              <w:left w:w="20" w:type="dxa"/>
              <w:bottom w:w="0" w:type="dxa"/>
              <w:right w:w="20" w:type="dxa"/>
            </w:tcMar>
          </w:tcPr>
          <w:p w14:paraId="1E804310" w14:textId="77777777" w:rsidR="00F20ABF" w:rsidRDefault="00F20ABF">
            <w:pPr>
              <w:rPr>
                <w:rFonts w:ascii="宋体"/>
              </w:rPr>
            </w:pPr>
          </w:p>
        </w:tc>
        <w:tc>
          <w:tcPr>
            <w:tcW w:w="0" w:type="auto"/>
            <w:gridSpan w:val="21"/>
            <w:shd w:val="clear" w:color="auto" w:fill="FFFFFF"/>
            <w:tcMar>
              <w:top w:w="40" w:type="dxa"/>
              <w:left w:w="20" w:type="dxa"/>
              <w:bottom w:w="40" w:type="dxa"/>
              <w:right w:w="20" w:type="dxa"/>
            </w:tcMar>
            <w:vAlign w:val="bottom"/>
          </w:tcPr>
          <w:p w14:paraId="1E804311"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323" w14:textId="77777777">
        <w:tc>
          <w:tcPr>
            <w:tcW w:w="0" w:type="auto"/>
            <w:gridSpan w:val="3"/>
            <w:shd w:val="clear" w:color="auto" w:fill="E2EFD9"/>
            <w:tcMar>
              <w:top w:w="40" w:type="dxa"/>
              <w:left w:w="20" w:type="dxa"/>
              <w:bottom w:w="40" w:type="dxa"/>
              <w:right w:w="20" w:type="dxa"/>
            </w:tcMar>
            <w:vAlign w:val="bottom"/>
          </w:tcPr>
          <w:p w14:paraId="1E804313" w14:textId="77777777" w:rsidR="00F20ABF" w:rsidRDefault="00CA4D2F">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1E804314"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315" w14:textId="77777777" w:rsidR="00F20ABF" w:rsidRDefault="00CA4D2F">
            <w:pPr>
              <w:jc w:val="right"/>
              <w:textAlignment w:val="bottom"/>
            </w:pPr>
            <w:r>
              <w:rPr>
                <w:rFonts w:ascii="sans-serif" w:eastAsia="sans-serif" w:hAnsi="sans-serif" w:cs="sans-serif"/>
                <w:color w:val="000000"/>
                <w:sz w:val="20"/>
                <w:szCs w:val="20"/>
              </w:rPr>
              <w:t>4,726 </w:t>
            </w:r>
          </w:p>
        </w:tc>
        <w:tc>
          <w:tcPr>
            <w:tcW w:w="0" w:type="auto"/>
            <w:shd w:val="clear" w:color="auto" w:fill="E2EFD9"/>
            <w:tcMar>
              <w:top w:w="40" w:type="dxa"/>
              <w:left w:w="0" w:type="dxa"/>
              <w:bottom w:w="40" w:type="dxa"/>
              <w:right w:w="20" w:type="dxa"/>
            </w:tcMar>
            <w:vAlign w:val="bottom"/>
          </w:tcPr>
          <w:p w14:paraId="1E80431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317"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318"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319" w14:textId="77777777" w:rsidR="00F20ABF" w:rsidRDefault="00CA4D2F">
            <w:pPr>
              <w:jc w:val="right"/>
              <w:textAlignment w:val="bottom"/>
            </w:pPr>
            <w:r>
              <w:rPr>
                <w:rFonts w:ascii="sans-serif" w:eastAsia="sans-serif" w:hAnsi="sans-serif" w:cs="sans-serif"/>
                <w:color w:val="000000"/>
                <w:sz w:val="20"/>
                <w:szCs w:val="20"/>
              </w:rPr>
              <w:t>3,350 </w:t>
            </w:r>
          </w:p>
        </w:tc>
        <w:tc>
          <w:tcPr>
            <w:tcW w:w="0" w:type="auto"/>
            <w:shd w:val="clear" w:color="auto" w:fill="E2EFD9"/>
            <w:tcMar>
              <w:top w:w="40" w:type="dxa"/>
              <w:left w:w="0" w:type="dxa"/>
              <w:bottom w:w="40" w:type="dxa"/>
              <w:right w:w="20" w:type="dxa"/>
            </w:tcMar>
            <w:vAlign w:val="bottom"/>
          </w:tcPr>
          <w:p w14:paraId="1E80431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31B"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31C"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31D" w14:textId="77777777" w:rsidR="00F20ABF" w:rsidRDefault="00CA4D2F">
            <w:pPr>
              <w:jc w:val="right"/>
              <w:textAlignment w:val="bottom"/>
            </w:pPr>
            <w:r>
              <w:rPr>
                <w:rFonts w:ascii="sans-serif" w:eastAsia="sans-serif" w:hAnsi="sans-serif" w:cs="sans-serif"/>
                <w:color w:val="000000"/>
                <w:sz w:val="20"/>
                <w:szCs w:val="20"/>
              </w:rPr>
              <w:t>12,101 </w:t>
            </w:r>
          </w:p>
        </w:tc>
        <w:tc>
          <w:tcPr>
            <w:tcW w:w="0" w:type="auto"/>
            <w:shd w:val="clear" w:color="auto" w:fill="E2EFD9"/>
            <w:tcMar>
              <w:top w:w="40" w:type="dxa"/>
              <w:left w:w="0" w:type="dxa"/>
              <w:bottom w:w="40" w:type="dxa"/>
              <w:right w:w="20" w:type="dxa"/>
            </w:tcMar>
            <w:vAlign w:val="bottom"/>
          </w:tcPr>
          <w:p w14:paraId="1E80431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31F"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320"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321" w14:textId="77777777" w:rsidR="00F20ABF" w:rsidRDefault="00CA4D2F">
            <w:pPr>
              <w:jc w:val="right"/>
              <w:textAlignment w:val="bottom"/>
            </w:pPr>
            <w:r>
              <w:rPr>
                <w:rFonts w:ascii="sans-serif" w:eastAsia="sans-serif" w:hAnsi="sans-serif" w:cs="sans-serif"/>
                <w:color w:val="000000"/>
                <w:sz w:val="20"/>
                <w:szCs w:val="20"/>
              </w:rPr>
              <w:t>8,765 </w:t>
            </w:r>
          </w:p>
        </w:tc>
        <w:tc>
          <w:tcPr>
            <w:tcW w:w="0" w:type="auto"/>
            <w:shd w:val="clear" w:color="auto" w:fill="E2EFD9"/>
            <w:tcMar>
              <w:top w:w="40" w:type="dxa"/>
              <w:left w:w="0" w:type="dxa"/>
              <w:bottom w:w="40" w:type="dxa"/>
              <w:right w:w="20" w:type="dxa"/>
            </w:tcMar>
            <w:vAlign w:val="bottom"/>
          </w:tcPr>
          <w:p w14:paraId="1E804322" w14:textId="77777777" w:rsidR="00F20ABF" w:rsidRDefault="00F20ABF">
            <w:pPr>
              <w:jc w:val="right"/>
              <w:rPr>
                <w:rFonts w:ascii="宋体"/>
              </w:rPr>
            </w:pPr>
          </w:p>
        </w:tc>
      </w:tr>
      <w:tr w:rsidR="00F20ABF" w14:paraId="1E804334" w14:textId="77777777">
        <w:tc>
          <w:tcPr>
            <w:tcW w:w="0" w:type="auto"/>
            <w:gridSpan w:val="3"/>
            <w:shd w:val="clear" w:color="auto" w:fill="FFFFFF"/>
            <w:tcMar>
              <w:top w:w="40" w:type="dxa"/>
              <w:left w:w="20" w:type="dxa"/>
              <w:bottom w:w="40" w:type="dxa"/>
              <w:right w:w="20" w:type="dxa"/>
            </w:tcMar>
            <w:vAlign w:val="bottom"/>
          </w:tcPr>
          <w:p w14:paraId="1E804324" w14:textId="77777777" w:rsidR="00F20ABF" w:rsidRDefault="00CA4D2F">
            <w:pPr>
              <w:textAlignment w:val="bottom"/>
            </w:pPr>
            <w:r>
              <w:rPr>
                <w:rFonts w:ascii="sans-serif" w:eastAsia="sans-serif" w:hAnsi="sans-serif" w:cs="sans-serif"/>
                <w:color w:val="000000"/>
                <w:sz w:val="20"/>
                <w:szCs w:val="20"/>
              </w:rPr>
              <w:t>Net income</w:t>
            </w:r>
          </w:p>
        </w:tc>
        <w:tc>
          <w:tcPr>
            <w:tcW w:w="0" w:type="auto"/>
            <w:shd w:val="clear" w:color="auto" w:fill="FFFFFF"/>
            <w:tcMar>
              <w:top w:w="40" w:type="dxa"/>
              <w:left w:w="20" w:type="dxa"/>
              <w:bottom w:w="40" w:type="dxa"/>
              <w:right w:w="0" w:type="dxa"/>
            </w:tcMar>
            <w:vAlign w:val="bottom"/>
          </w:tcPr>
          <w:p w14:paraId="1E804325"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326" w14:textId="77777777" w:rsidR="00F20ABF" w:rsidRDefault="00CA4D2F">
            <w:pPr>
              <w:jc w:val="right"/>
              <w:textAlignment w:val="bottom"/>
            </w:pPr>
            <w:r>
              <w:rPr>
                <w:rFonts w:ascii="sans-serif" w:eastAsia="sans-serif" w:hAnsi="sans-serif" w:cs="sans-serif"/>
                <w:color w:val="000000"/>
                <w:sz w:val="20"/>
                <w:szCs w:val="20"/>
              </w:rPr>
              <w:t>1,388 </w:t>
            </w:r>
          </w:p>
        </w:tc>
        <w:tc>
          <w:tcPr>
            <w:tcW w:w="0" w:type="auto"/>
            <w:shd w:val="clear" w:color="auto" w:fill="FFFFFF"/>
            <w:tcMar>
              <w:top w:w="40" w:type="dxa"/>
              <w:left w:w="0" w:type="dxa"/>
              <w:bottom w:w="40" w:type="dxa"/>
              <w:right w:w="20" w:type="dxa"/>
            </w:tcMar>
            <w:vAlign w:val="bottom"/>
          </w:tcPr>
          <w:p w14:paraId="1E804327"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328"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329"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32A" w14:textId="77777777" w:rsidR="00F20ABF" w:rsidRDefault="00CA4D2F">
            <w:pPr>
              <w:jc w:val="right"/>
              <w:textAlignment w:val="bottom"/>
            </w:pPr>
            <w:r>
              <w:rPr>
                <w:rFonts w:ascii="sans-serif" w:eastAsia="sans-serif" w:hAnsi="sans-serif" w:cs="sans-serif"/>
                <w:color w:val="000000"/>
                <w:sz w:val="20"/>
                <w:szCs w:val="20"/>
              </w:rPr>
              <w:t>786 </w:t>
            </w:r>
          </w:p>
        </w:tc>
        <w:tc>
          <w:tcPr>
            <w:tcW w:w="0" w:type="auto"/>
            <w:shd w:val="clear" w:color="auto" w:fill="FFFFFF"/>
            <w:tcMar>
              <w:top w:w="40" w:type="dxa"/>
              <w:left w:w="0" w:type="dxa"/>
              <w:bottom w:w="40" w:type="dxa"/>
              <w:right w:w="20" w:type="dxa"/>
            </w:tcMar>
            <w:vAlign w:val="bottom"/>
          </w:tcPr>
          <w:p w14:paraId="1E80432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32C"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32D"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32E" w14:textId="77777777" w:rsidR="00F20ABF" w:rsidRDefault="00CA4D2F">
            <w:pPr>
              <w:jc w:val="right"/>
              <w:textAlignment w:val="bottom"/>
            </w:pPr>
            <w:r>
              <w:rPr>
                <w:rFonts w:ascii="sans-serif" w:eastAsia="sans-serif" w:hAnsi="sans-serif" w:cs="sans-serif"/>
                <w:color w:val="000000"/>
                <w:sz w:val="20"/>
                <w:szCs w:val="20"/>
              </w:rPr>
              <w:t>3,267 </w:t>
            </w:r>
          </w:p>
        </w:tc>
        <w:tc>
          <w:tcPr>
            <w:tcW w:w="0" w:type="auto"/>
            <w:shd w:val="clear" w:color="auto" w:fill="FFFFFF"/>
            <w:tcMar>
              <w:top w:w="40" w:type="dxa"/>
              <w:left w:w="0" w:type="dxa"/>
              <w:bottom w:w="40" w:type="dxa"/>
              <w:right w:w="20" w:type="dxa"/>
            </w:tcMar>
            <w:vAlign w:val="bottom"/>
          </w:tcPr>
          <w:p w14:paraId="1E80432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330"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331"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332" w14:textId="77777777" w:rsidR="00F20ABF" w:rsidRDefault="00CA4D2F">
            <w:pPr>
              <w:jc w:val="right"/>
              <w:textAlignment w:val="bottom"/>
            </w:pPr>
            <w:r>
              <w:rPr>
                <w:rFonts w:ascii="sans-serif" w:eastAsia="sans-serif" w:hAnsi="sans-serif" w:cs="sans-serif"/>
                <w:color w:val="000000"/>
                <w:sz w:val="20"/>
                <w:szCs w:val="20"/>
              </w:rPr>
              <w:t>1,190 </w:t>
            </w:r>
          </w:p>
        </w:tc>
        <w:tc>
          <w:tcPr>
            <w:tcW w:w="0" w:type="auto"/>
            <w:shd w:val="clear" w:color="auto" w:fill="FFFFFF"/>
            <w:tcMar>
              <w:top w:w="40" w:type="dxa"/>
              <w:left w:w="0" w:type="dxa"/>
              <w:bottom w:w="40" w:type="dxa"/>
              <w:right w:w="20" w:type="dxa"/>
            </w:tcMar>
            <w:vAlign w:val="bottom"/>
          </w:tcPr>
          <w:p w14:paraId="1E804333" w14:textId="77777777" w:rsidR="00F20ABF" w:rsidRDefault="00F20ABF">
            <w:pPr>
              <w:jc w:val="right"/>
              <w:rPr>
                <w:rFonts w:ascii="宋体"/>
              </w:rPr>
            </w:pPr>
          </w:p>
        </w:tc>
      </w:tr>
    </w:tbl>
    <w:p w14:paraId="1E804335" w14:textId="77777777" w:rsidR="00F20ABF" w:rsidRDefault="00CA4D2F">
      <w:pPr>
        <w:spacing w:after="180"/>
        <w:jc w:val="center"/>
      </w:pPr>
      <w:r>
        <w:rPr>
          <w:rFonts w:ascii="sans-serif" w:eastAsia="sans-serif" w:hAnsi="sans-serif" w:cs="sans-serif"/>
          <w:color w:val="000000"/>
          <w:sz w:val="20"/>
          <w:szCs w:val="20"/>
        </w:rPr>
        <w:t>12</w:t>
      </w:r>
    </w:p>
    <w:p w14:paraId="1E804336" w14:textId="77777777" w:rsidR="00F20ABF" w:rsidRDefault="00CA4D2F">
      <w:r>
        <w:pict w14:anchorId="1E805587">
          <v:rect id="_x0000_i1036" style="width:415.3pt;height:1.5pt" o:hralign="center" o:hrstd="t" o:hr="t" fillcolor="#a0a0a0" stroked="f"/>
        </w:pict>
      </w:r>
    </w:p>
    <w:p w14:paraId="1E804337" w14:textId="77777777" w:rsidR="00F20ABF" w:rsidRDefault="00CA4D2F">
      <w:pPr>
        <w:jc w:val="center"/>
      </w:pPr>
      <w:r>
        <w:rPr>
          <w:rFonts w:ascii="sans-serif" w:eastAsia="sans-serif" w:hAnsi="sans-serif" w:cs="sans-serif"/>
          <w:b/>
          <w:bCs/>
          <w:color w:val="000000"/>
          <w:sz w:val="20"/>
          <w:szCs w:val="20"/>
        </w:rPr>
        <w:t>NVIDIA CORPORATION AND SUBSIDIARIES</w:t>
      </w:r>
    </w:p>
    <w:p w14:paraId="1E804338" w14:textId="77777777" w:rsidR="00F20ABF" w:rsidRDefault="00CA4D2F">
      <w:pPr>
        <w:jc w:val="center"/>
      </w:pPr>
      <w:r>
        <w:rPr>
          <w:rFonts w:ascii="sans-serif" w:eastAsia="sans-serif" w:hAnsi="sans-serif" w:cs="sans-serif"/>
          <w:b/>
          <w:bCs/>
          <w:color w:val="000000"/>
          <w:sz w:val="20"/>
          <w:szCs w:val="20"/>
        </w:rPr>
        <w:t>NOTES TO CONDENSED CONSOLIDATED FINANCIAL STATEMENTS (Continued)</w:t>
      </w:r>
    </w:p>
    <w:p w14:paraId="1E804339" w14:textId="77777777" w:rsidR="00F20ABF" w:rsidRDefault="00CA4D2F">
      <w:pPr>
        <w:jc w:val="center"/>
      </w:pPr>
      <w:r>
        <w:rPr>
          <w:rFonts w:ascii="sans-serif" w:eastAsia="sans-serif" w:hAnsi="sans-serif" w:cs="sans-serif"/>
          <w:b/>
          <w:bCs/>
          <w:color w:val="000000"/>
          <w:sz w:val="20"/>
          <w:szCs w:val="20"/>
        </w:rPr>
        <w:t>(Unaudited)</w:t>
      </w:r>
    </w:p>
    <w:p w14:paraId="1E80433A" w14:textId="77777777" w:rsidR="00F20ABF" w:rsidRDefault="00F20ABF">
      <w:pPr>
        <w:spacing w:after="180"/>
        <w:jc w:val="both"/>
      </w:pPr>
    </w:p>
    <w:p w14:paraId="1E80433B" w14:textId="77777777" w:rsidR="00F20ABF" w:rsidRDefault="00F20ABF">
      <w:pPr>
        <w:spacing w:after="180"/>
        <w:jc w:val="both"/>
      </w:pPr>
    </w:p>
    <w:p w14:paraId="1E80433C" w14:textId="77777777" w:rsidR="00F20ABF" w:rsidRDefault="00CA4D2F">
      <w:pPr>
        <w:spacing w:after="180"/>
        <w:jc w:val="both"/>
      </w:pPr>
      <w:r>
        <w:rPr>
          <w:rFonts w:ascii="sans-serif" w:eastAsia="sans-serif" w:hAnsi="sans-serif" w:cs="sans-serif"/>
          <w:color w:val="000000"/>
          <w:sz w:val="20"/>
          <w:szCs w:val="20"/>
        </w:rPr>
        <w:t>The unaudited pro forma information includes adjustments related to amortization of acquired intangible assets, adjustments to stock-based co</w:t>
      </w:r>
      <w:r>
        <w:rPr>
          <w:rFonts w:ascii="sans-serif" w:eastAsia="sans-serif" w:hAnsi="sans-serif" w:cs="sans-serif"/>
          <w:color w:val="000000"/>
          <w:sz w:val="20"/>
          <w:szCs w:val="20"/>
        </w:rPr>
        <w:t xml:space="preserve">mpensation expense, fair value of acquired inventory, and transaction costs. The unaudited pro forma information presented above is for informational purposes only and is not necessarily indicative of our consolidated results of operations of the combined </w:t>
      </w:r>
      <w:r>
        <w:rPr>
          <w:rFonts w:ascii="sans-serif" w:eastAsia="sans-serif" w:hAnsi="sans-serif" w:cs="sans-serif"/>
          <w:color w:val="000000"/>
          <w:sz w:val="20"/>
          <w:szCs w:val="20"/>
        </w:rPr>
        <w:t>business had the acquisition actually occurred at the beginning of fiscal year 2020 or of the results of our future operations of the combined businesses.</w:t>
      </w:r>
    </w:p>
    <w:p w14:paraId="1E80433D" w14:textId="77777777" w:rsidR="00F20ABF" w:rsidRDefault="00CA4D2F">
      <w:pPr>
        <w:spacing w:after="180"/>
        <w:jc w:val="both"/>
      </w:pPr>
      <w:r>
        <w:rPr>
          <w:rFonts w:ascii="sans-serif" w:eastAsia="sans-serif" w:hAnsi="sans-serif" w:cs="sans-serif"/>
          <w:color w:val="000000"/>
          <w:sz w:val="20"/>
          <w:szCs w:val="20"/>
        </w:rPr>
        <w:t xml:space="preserve">The pro forma results reflect the inventory step-up expense of $161 million in the first nine months </w:t>
      </w:r>
      <w:r>
        <w:rPr>
          <w:rFonts w:ascii="sans-serif" w:eastAsia="sans-serif" w:hAnsi="sans-serif" w:cs="sans-serif"/>
          <w:color w:val="000000"/>
          <w:sz w:val="20"/>
          <w:szCs w:val="20"/>
        </w:rPr>
        <w:t>of fiscal year 2020 and were excluded from the pro forma results for the first nine months of fiscal year 2021. There were no other material nonrecurring adjustments.</w:t>
      </w:r>
    </w:p>
    <w:p w14:paraId="1E80433E" w14:textId="77777777" w:rsidR="00F20ABF" w:rsidRDefault="00CA4D2F">
      <w:pPr>
        <w:spacing w:before="240" w:after="120"/>
        <w:jc w:val="both"/>
      </w:pPr>
      <w:r>
        <w:rPr>
          <w:rFonts w:ascii="sans-serif" w:eastAsia="sans-serif" w:hAnsi="sans-serif" w:cs="sans-serif"/>
          <w:b/>
          <w:bCs/>
          <w:color w:val="76B900"/>
          <w:sz w:val="22"/>
          <w:szCs w:val="22"/>
        </w:rPr>
        <w:t>Note 3 - Leases</w:t>
      </w:r>
    </w:p>
    <w:p w14:paraId="1E80433F" w14:textId="77777777" w:rsidR="00F20ABF" w:rsidRDefault="00CA4D2F">
      <w:pPr>
        <w:spacing w:before="240" w:after="60"/>
        <w:jc w:val="both"/>
      </w:pPr>
      <w:r>
        <w:rPr>
          <w:rFonts w:ascii="sans-serif" w:eastAsia="sans-serif" w:hAnsi="sans-serif" w:cs="sans-serif"/>
          <w:color w:val="000000"/>
          <w:sz w:val="20"/>
          <w:szCs w:val="20"/>
        </w:rPr>
        <w:t>Our lease obligations primarily consist of operating leases for our headq</w:t>
      </w:r>
      <w:r>
        <w:rPr>
          <w:rFonts w:ascii="sans-serif" w:eastAsia="sans-serif" w:hAnsi="sans-serif" w:cs="sans-serif"/>
          <w:color w:val="000000"/>
          <w:sz w:val="20"/>
          <w:szCs w:val="20"/>
        </w:rPr>
        <w:t>uarters complex, domestic and international office facilities, and data center space, with lease periods expiring between fiscal years 2021 and 2035.</w:t>
      </w:r>
    </w:p>
    <w:p w14:paraId="1E804340" w14:textId="77777777" w:rsidR="00F20ABF" w:rsidRDefault="00CA4D2F">
      <w:pPr>
        <w:spacing w:before="180" w:after="360"/>
        <w:jc w:val="both"/>
      </w:pPr>
      <w:r>
        <w:rPr>
          <w:rFonts w:ascii="sans-serif" w:eastAsia="sans-serif" w:hAnsi="sans-serif" w:cs="sans-serif"/>
          <w:color w:val="000000"/>
          <w:sz w:val="20"/>
          <w:szCs w:val="20"/>
        </w:rPr>
        <w:t>Future minimum lease payments under our non-cancelable operating leases as of October 25, 2020, are as fol</w:t>
      </w:r>
      <w:r>
        <w:rPr>
          <w:rFonts w:ascii="sans-serif" w:eastAsia="sans-serif" w:hAnsi="sans-serif" w:cs="sans-serif"/>
          <w:color w:val="000000"/>
          <w:sz w:val="20"/>
          <w:szCs w:val="20"/>
        </w:rPr>
        <w:t>lows:   </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653"/>
        <w:gridCol w:w="38"/>
        <w:gridCol w:w="123"/>
        <w:gridCol w:w="1435"/>
        <w:gridCol w:w="36"/>
      </w:tblGrid>
      <w:tr w:rsidR="00F20ABF" w14:paraId="1E804347" w14:textId="77777777">
        <w:trPr>
          <w:jc w:val="center"/>
        </w:trPr>
        <w:tc>
          <w:tcPr>
            <w:tcW w:w="50" w:type="pct"/>
            <w:shd w:val="clear" w:color="auto" w:fill="auto"/>
          </w:tcPr>
          <w:p w14:paraId="1E804341" w14:textId="77777777" w:rsidR="00F20ABF" w:rsidRDefault="00F20ABF">
            <w:pPr>
              <w:rPr>
                <w:rFonts w:ascii="宋体"/>
              </w:rPr>
            </w:pPr>
          </w:p>
        </w:tc>
        <w:tc>
          <w:tcPr>
            <w:tcW w:w="4009" w:type="pct"/>
            <w:shd w:val="clear" w:color="auto" w:fill="auto"/>
          </w:tcPr>
          <w:p w14:paraId="1E804342" w14:textId="77777777" w:rsidR="00F20ABF" w:rsidRDefault="00F20ABF">
            <w:pPr>
              <w:rPr>
                <w:rFonts w:ascii="宋体"/>
              </w:rPr>
            </w:pPr>
          </w:p>
        </w:tc>
        <w:tc>
          <w:tcPr>
            <w:tcW w:w="5" w:type="pct"/>
            <w:shd w:val="clear" w:color="auto" w:fill="auto"/>
          </w:tcPr>
          <w:p w14:paraId="1E804343" w14:textId="77777777" w:rsidR="00F20ABF" w:rsidRDefault="00F20ABF">
            <w:pPr>
              <w:rPr>
                <w:rFonts w:ascii="宋体"/>
              </w:rPr>
            </w:pPr>
          </w:p>
        </w:tc>
        <w:tc>
          <w:tcPr>
            <w:tcW w:w="50" w:type="pct"/>
            <w:shd w:val="clear" w:color="auto" w:fill="auto"/>
          </w:tcPr>
          <w:p w14:paraId="1E804344" w14:textId="77777777" w:rsidR="00F20ABF" w:rsidRDefault="00F20ABF">
            <w:pPr>
              <w:rPr>
                <w:rFonts w:ascii="宋体"/>
              </w:rPr>
            </w:pPr>
          </w:p>
        </w:tc>
        <w:tc>
          <w:tcPr>
            <w:tcW w:w="880" w:type="pct"/>
            <w:shd w:val="clear" w:color="auto" w:fill="auto"/>
          </w:tcPr>
          <w:p w14:paraId="1E804345" w14:textId="77777777" w:rsidR="00F20ABF" w:rsidRDefault="00F20ABF">
            <w:pPr>
              <w:rPr>
                <w:rFonts w:ascii="宋体"/>
              </w:rPr>
            </w:pPr>
          </w:p>
        </w:tc>
        <w:tc>
          <w:tcPr>
            <w:tcW w:w="5" w:type="pct"/>
            <w:shd w:val="clear" w:color="auto" w:fill="auto"/>
          </w:tcPr>
          <w:p w14:paraId="1E804346" w14:textId="77777777" w:rsidR="00F20ABF" w:rsidRDefault="00F20ABF">
            <w:pPr>
              <w:rPr>
                <w:rFonts w:ascii="宋体"/>
              </w:rPr>
            </w:pPr>
          </w:p>
        </w:tc>
      </w:tr>
      <w:tr w:rsidR="00F20ABF" w14:paraId="1E80434A" w14:textId="77777777">
        <w:trPr>
          <w:jc w:val="center"/>
        </w:trPr>
        <w:tc>
          <w:tcPr>
            <w:tcW w:w="0" w:type="auto"/>
            <w:gridSpan w:val="3"/>
            <w:shd w:val="clear" w:color="auto" w:fill="auto"/>
            <w:tcMar>
              <w:top w:w="0" w:type="dxa"/>
              <w:left w:w="20" w:type="dxa"/>
              <w:bottom w:w="0" w:type="dxa"/>
              <w:right w:w="20" w:type="dxa"/>
            </w:tcMar>
          </w:tcPr>
          <w:p w14:paraId="1E804348"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4349" w14:textId="77777777" w:rsidR="00F20ABF" w:rsidRDefault="00CA4D2F">
            <w:pPr>
              <w:jc w:val="center"/>
              <w:textAlignment w:val="bottom"/>
            </w:pPr>
            <w:r>
              <w:rPr>
                <w:rFonts w:ascii="sans-serif" w:eastAsia="sans-serif" w:hAnsi="sans-serif" w:cs="sans-serif"/>
                <w:b/>
                <w:bCs/>
                <w:color w:val="000000"/>
                <w:sz w:val="20"/>
                <w:szCs w:val="20"/>
              </w:rPr>
              <w:t>Operating Lease Obligations</w:t>
            </w:r>
          </w:p>
        </w:tc>
      </w:tr>
      <w:tr w:rsidR="00F20ABF" w14:paraId="1E80434D" w14:textId="77777777">
        <w:trPr>
          <w:jc w:val="center"/>
        </w:trPr>
        <w:tc>
          <w:tcPr>
            <w:tcW w:w="0" w:type="auto"/>
            <w:gridSpan w:val="3"/>
            <w:shd w:val="clear" w:color="auto" w:fill="auto"/>
            <w:tcMar>
              <w:top w:w="40" w:type="dxa"/>
              <w:left w:w="20" w:type="dxa"/>
              <w:bottom w:w="40" w:type="dxa"/>
              <w:right w:w="20" w:type="dxa"/>
            </w:tcMar>
            <w:vAlign w:val="bottom"/>
          </w:tcPr>
          <w:p w14:paraId="1E80434B"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34C"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350" w14:textId="77777777">
        <w:trPr>
          <w:jc w:val="center"/>
        </w:trPr>
        <w:tc>
          <w:tcPr>
            <w:tcW w:w="0" w:type="auto"/>
            <w:gridSpan w:val="3"/>
            <w:shd w:val="clear" w:color="auto" w:fill="E2EFD9"/>
            <w:tcMar>
              <w:top w:w="40" w:type="dxa"/>
              <w:left w:w="20" w:type="dxa"/>
              <w:bottom w:w="40" w:type="dxa"/>
              <w:right w:w="20" w:type="dxa"/>
            </w:tcMar>
            <w:vAlign w:val="bottom"/>
          </w:tcPr>
          <w:p w14:paraId="1E80434E" w14:textId="77777777" w:rsidR="00F20ABF" w:rsidRDefault="00CA4D2F">
            <w:pPr>
              <w:textAlignment w:val="bottom"/>
            </w:pPr>
            <w:r>
              <w:rPr>
                <w:rFonts w:ascii="sans-serif" w:eastAsia="sans-serif" w:hAnsi="sans-serif" w:cs="sans-serif"/>
                <w:b/>
                <w:bCs/>
                <w:color w:val="000000"/>
                <w:sz w:val="20"/>
                <w:szCs w:val="20"/>
              </w:rPr>
              <w:t>Fiscal Year:</w:t>
            </w:r>
          </w:p>
        </w:tc>
        <w:tc>
          <w:tcPr>
            <w:tcW w:w="0" w:type="auto"/>
            <w:gridSpan w:val="3"/>
            <w:shd w:val="clear" w:color="auto" w:fill="E2EFD9"/>
            <w:tcMar>
              <w:top w:w="40" w:type="dxa"/>
              <w:left w:w="20" w:type="dxa"/>
              <w:bottom w:w="40" w:type="dxa"/>
              <w:right w:w="20" w:type="dxa"/>
            </w:tcMar>
            <w:vAlign w:val="bottom"/>
          </w:tcPr>
          <w:p w14:paraId="1E80434F" w14:textId="77777777" w:rsidR="00F20ABF" w:rsidRDefault="00CA4D2F">
            <w:pPr>
              <w:textAlignment w:val="bottom"/>
            </w:pPr>
            <w:r>
              <w:rPr>
                <w:rFonts w:ascii="sans-serif" w:eastAsia="sans-serif" w:hAnsi="sans-serif" w:cs="sans-serif"/>
                <w:color w:val="000000"/>
                <w:sz w:val="20"/>
                <w:szCs w:val="20"/>
              </w:rPr>
              <w:t> </w:t>
            </w:r>
          </w:p>
        </w:tc>
      </w:tr>
      <w:tr w:rsidR="00F20ABF" w14:paraId="1E804355" w14:textId="77777777">
        <w:trPr>
          <w:jc w:val="center"/>
        </w:trPr>
        <w:tc>
          <w:tcPr>
            <w:tcW w:w="0" w:type="auto"/>
            <w:gridSpan w:val="3"/>
            <w:shd w:val="clear" w:color="auto" w:fill="FFFFFF"/>
            <w:tcMar>
              <w:top w:w="40" w:type="dxa"/>
              <w:left w:w="20" w:type="dxa"/>
              <w:bottom w:w="40" w:type="dxa"/>
              <w:right w:w="20" w:type="dxa"/>
            </w:tcMar>
            <w:vAlign w:val="bottom"/>
          </w:tcPr>
          <w:p w14:paraId="1E804351" w14:textId="77777777" w:rsidR="00F20ABF" w:rsidRDefault="00CA4D2F">
            <w:pPr>
              <w:textAlignment w:val="bottom"/>
            </w:pPr>
            <w:r>
              <w:rPr>
                <w:rFonts w:ascii="sans-serif" w:eastAsia="sans-serif" w:hAnsi="sans-serif" w:cs="sans-serif"/>
                <w:color w:val="000000"/>
                <w:sz w:val="20"/>
                <w:szCs w:val="20"/>
              </w:rPr>
              <w:t>2021 (excluding first nine months of fiscal year 2021)</w:t>
            </w:r>
          </w:p>
        </w:tc>
        <w:tc>
          <w:tcPr>
            <w:tcW w:w="0" w:type="auto"/>
            <w:shd w:val="clear" w:color="auto" w:fill="FFFFFF"/>
            <w:tcMar>
              <w:top w:w="40" w:type="dxa"/>
              <w:left w:w="20" w:type="dxa"/>
              <w:bottom w:w="40" w:type="dxa"/>
              <w:right w:w="0" w:type="dxa"/>
            </w:tcMar>
            <w:vAlign w:val="bottom"/>
          </w:tcPr>
          <w:p w14:paraId="1E804352"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353" w14:textId="77777777" w:rsidR="00F20ABF" w:rsidRDefault="00CA4D2F">
            <w:pPr>
              <w:jc w:val="right"/>
              <w:textAlignment w:val="bottom"/>
            </w:pPr>
            <w:r>
              <w:rPr>
                <w:rFonts w:ascii="sans-serif" w:eastAsia="sans-serif" w:hAnsi="sans-serif" w:cs="sans-serif"/>
                <w:color w:val="000000"/>
                <w:sz w:val="20"/>
                <w:szCs w:val="20"/>
              </w:rPr>
              <w:t>38 </w:t>
            </w:r>
          </w:p>
        </w:tc>
        <w:tc>
          <w:tcPr>
            <w:tcW w:w="0" w:type="auto"/>
            <w:shd w:val="clear" w:color="auto" w:fill="FFFFFF"/>
            <w:tcMar>
              <w:top w:w="40" w:type="dxa"/>
              <w:left w:w="0" w:type="dxa"/>
              <w:bottom w:w="40" w:type="dxa"/>
              <w:right w:w="20" w:type="dxa"/>
            </w:tcMar>
            <w:vAlign w:val="bottom"/>
          </w:tcPr>
          <w:p w14:paraId="1E804354" w14:textId="77777777" w:rsidR="00F20ABF" w:rsidRDefault="00F20ABF">
            <w:pPr>
              <w:jc w:val="right"/>
              <w:rPr>
                <w:rFonts w:ascii="宋体"/>
              </w:rPr>
            </w:pPr>
          </w:p>
        </w:tc>
      </w:tr>
      <w:tr w:rsidR="00F20ABF" w14:paraId="1E804359" w14:textId="77777777">
        <w:trPr>
          <w:jc w:val="center"/>
        </w:trPr>
        <w:tc>
          <w:tcPr>
            <w:tcW w:w="0" w:type="auto"/>
            <w:gridSpan w:val="3"/>
            <w:shd w:val="clear" w:color="auto" w:fill="E2EFD9"/>
            <w:tcMar>
              <w:top w:w="40" w:type="dxa"/>
              <w:left w:w="20" w:type="dxa"/>
              <w:bottom w:w="40" w:type="dxa"/>
              <w:right w:w="20" w:type="dxa"/>
            </w:tcMar>
            <w:vAlign w:val="bottom"/>
          </w:tcPr>
          <w:p w14:paraId="1E804356" w14:textId="77777777" w:rsidR="00F20ABF" w:rsidRDefault="00CA4D2F">
            <w:pPr>
              <w:textAlignment w:val="bottom"/>
            </w:pPr>
            <w:r>
              <w:rPr>
                <w:rFonts w:ascii="sans-serif" w:eastAsia="sans-serif" w:hAnsi="sans-serif" w:cs="sans-serif"/>
                <w:color w:val="000000"/>
                <w:sz w:val="20"/>
                <w:szCs w:val="20"/>
              </w:rPr>
              <w:t>2022</w:t>
            </w:r>
          </w:p>
        </w:tc>
        <w:tc>
          <w:tcPr>
            <w:tcW w:w="0" w:type="auto"/>
            <w:gridSpan w:val="2"/>
            <w:shd w:val="clear" w:color="auto" w:fill="E2EFD9"/>
            <w:tcMar>
              <w:top w:w="40" w:type="dxa"/>
              <w:left w:w="20" w:type="dxa"/>
              <w:bottom w:w="40" w:type="dxa"/>
              <w:right w:w="0" w:type="dxa"/>
            </w:tcMar>
            <w:vAlign w:val="bottom"/>
          </w:tcPr>
          <w:p w14:paraId="1E804357" w14:textId="77777777" w:rsidR="00F20ABF" w:rsidRDefault="00CA4D2F">
            <w:pPr>
              <w:jc w:val="right"/>
              <w:textAlignment w:val="bottom"/>
            </w:pPr>
            <w:r>
              <w:rPr>
                <w:rFonts w:ascii="sans-serif" w:eastAsia="sans-serif" w:hAnsi="sans-serif" w:cs="sans-serif"/>
                <w:color w:val="000000"/>
                <w:sz w:val="20"/>
                <w:szCs w:val="20"/>
              </w:rPr>
              <w:t>143 </w:t>
            </w:r>
          </w:p>
        </w:tc>
        <w:tc>
          <w:tcPr>
            <w:tcW w:w="0" w:type="auto"/>
            <w:shd w:val="clear" w:color="auto" w:fill="E2EFD9"/>
            <w:tcMar>
              <w:top w:w="40" w:type="dxa"/>
              <w:left w:w="0" w:type="dxa"/>
              <w:bottom w:w="40" w:type="dxa"/>
              <w:right w:w="20" w:type="dxa"/>
            </w:tcMar>
            <w:vAlign w:val="bottom"/>
          </w:tcPr>
          <w:p w14:paraId="1E804358" w14:textId="77777777" w:rsidR="00F20ABF" w:rsidRDefault="00F20ABF">
            <w:pPr>
              <w:jc w:val="right"/>
              <w:rPr>
                <w:rFonts w:ascii="宋体"/>
              </w:rPr>
            </w:pPr>
          </w:p>
        </w:tc>
      </w:tr>
      <w:tr w:rsidR="00F20ABF" w14:paraId="1E80435D" w14:textId="77777777">
        <w:trPr>
          <w:jc w:val="center"/>
        </w:trPr>
        <w:tc>
          <w:tcPr>
            <w:tcW w:w="0" w:type="auto"/>
            <w:gridSpan w:val="3"/>
            <w:shd w:val="clear" w:color="auto" w:fill="FFFFFF"/>
            <w:tcMar>
              <w:top w:w="40" w:type="dxa"/>
              <w:left w:w="20" w:type="dxa"/>
              <w:bottom w:w="40" w:type="dxa"/>
              <w:right w:w="20" w:type="dxa"/>
            </w:tcMar>
            <w:vAlign w:val="bottom"/>
          </w:tcPr>
          <w:p w14:paraId="1E80435A" w14:textId="77777777" w:rsidR="00F20ABF" w:rsidRDefault="00CA4D2F">
            <w:pPr>
              <w:textAlignment w:val="bottom"/>
            </w:pPr>
            <w:r>
              <w:rPr>
                <w:rFonts w:ascii="sans-serif" w:eastAsia="sans-serif" w:hAnsi="sans-serif" w:cs="sans-serif"/>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1E80435B" w14:textId="77777777" w:rsidR="00F20ABF" w:rsidRDefault="00CA4D2F">
            <w:pPr>
              <w:jc w:val="right"/>
              <w:textAlignment w:val="bottom"/>
            </w:pPr>
            <w:r>
              <w:rPr>
                <w:rFonts w:ascii="sans-serif" w:eastAsia="sans-serif" w:hAnsi="sans-serif" w:cs="sans-serif"/>
                <w:color w:val="000000"/>
                <w:sz w:val="20"/>
                <w:szCs w:val="20"/>
              </w:rPr>
              <w:t>122 </w:t>
            </w:r>
          </w:p>
        </w:tc>
        <w:tc>
          <w:tcPr>
            <w:tcW w:w="0" w:type="auto"/>
            <w:shd w:val="clear" w:color="auto" w:fill="FFFFFF"/>
            <w:tcMar>
              <w:top w:w="40" w:type="dxa"/>
              <w:left w:w="0" w:type="dxa"/>
              <w:bottom w:w="40" w:type="dxa"/>
              <w:right w:w="20" w:type="dxa"/>
            </w:tcMar>
            <w:vAlign w:val="bottom"/>
          </w:tcPr>
          <w:p w14:paraId="1E80435C" w14:textId="77777777" w:rsidR="00F20ABF" w:rsidRDefault="00F20ABF">
            <w:pPr>
              <w:jc w:val="right"/>
              <w:rPr>
                <w:rFonts w:ascii="宋体"/>
              </w:rPr>
            </w:pPr>
          </w:p>
        </w:tc>
      </w:tr>
      <w:tr w:rsidR="00F20ABF" w14:paraId="1E804361" w14:textId="77777777">
        <w:trPr>
          <w:jc w:val="center"/>
        </w:trPr>
        <w:tc>
          <w:tcPr>
            <w:tcW w:w="0" w:type="auto"/>
            <w:gridSpan w:val="3"/>
            <w:shd w:val="clear" w:color="auto" w:fill="E2EFD9"/>
            <w:tcMar>
              <w:top w:w="40" w:type="dxa"/>
              <w:left w:w="20" w:type="dxa"/>
              <w:bottom w:w="40" w:type="dxa"/>
              <w:right w:w="20" w:type="dxa"/>
            </w:tcMar>
            <w:vAlign w:val="bottom"/>
          </w:tcPr>
          <w:p w14:paraId="1E80435E" w14:textId="77777777" w:rsidR="00F20ABF" w:rsidRDefault="00CA4D2F">
            <w:pPr>
              <w:textAlignment w:val="bottom"/>
            </w:pPr>
            <w:r>
              <w:rPr>
                <w:rFonts w:ascii="sans-serif" w:eastAsia="sans-serif" w:hAnsi="sans-serif" w:cs="sans-serif"/>
                <w:color w:val="000000"/>
                <w:sz w:val="20"/>
                <w:szCs w:val="20"/>
              </w:rPr>
              <w:t>2024</w:t>
            </w:r>
          </w:p>
        </w:tc>
        <w:tc>
          <w:tcPr>
            <w:tcW w:w="0" w:type="auto"/>
            <w:gridSpan w:val="2"/>
            <w:shd w:val="clear" w:color="auto" w:fill="E2EFD9"/>
            <w:tcMar>
              <w:top w:w="40" w:type="dxa"/>
              <w:left w:w="20" w:type="dxa"/>
              <w:bottom w:w="40" w:type="dxa"/>
              <w:right w:w="0" w:type="dxa"/>
            </w:tcMar>
            <w:vAlign w:val="bottom"/>
          </w:tcPr>
          <w:p w14:paraId="1E80435F" w14:textId="77777777" w:rsidR="00F20ABF" w:rsidRDefault="00CA4D2F">
            <w:pPr>
              <w:jc w:val="right"/>
              <w:textAlignment w:val="bottom"/>
            </w:pPr>
            <w:r>
              <w:rPr>
                <w:rFonts w:ascii="sans-serif" w:eastAsia="sans-serif" w:hAnsi="sans-serif" w:cs="sans-serif"/>
                <w:color w:val="000000"/>
                <w:sz w:val="20"/>
                <w:szCs w:val="20"/>
              </w:rPr>
              <w:t>102 </w:t>
            </w:r>
          </w:p>
        </w:tc>
        <w:tc>
          <w:tcPr>
            <w:tcW w:w="0" w:type="auto"/>
            <w:shd w:val="clear" w:color="auto" w:fill="E2EFD9"/>
            <w:tcMar>
              <w:top w:w="40" w:type="dxa"/>
              <w:left w:w="0" w:type="dxa"/>
              <w:bottom w:w="40" w:type="dxa"/>
              <w:right w:w="20" w:type="dxa"/>
            </w:tcMar>
            <w:vAlign w:val="bottom"/>
          </w:tcPr>
          <w:p w14:paraId="1E804360" w14:textId="77777777" w:rsidR="00F20ABF" w:rsidRDefault="00F20ABF">
            <w:pPr>
              <w:jc w:val="right"/>
              <w:rPr>
                <w:rFonts w:ascii="宋体"/>
              </w:rPr>
            </w:pPr>
          </w:p>
        </w:tc>
      </w:tr>
      <w:tr w:rsidR="00F20ABF" w14:paraId="1E804365" w14:textId="77777777">
        <w:trPr>
          <w:jc w:val="center"/>
        </w:trPr>
        <w:tc>
          <w:tcPr>
            <w:tcW w:w="0" w:type="auto"/>
            <w:gridSpan w:val="3"/>
            <w:shd w:val="clear" w:color="auto" w:fill="FFFFFF"/>
            <w:tcMar>
              <w:top w:w="40" w:type="dxa"/>
              <w:left w:w="20" w:type="dxa"/>
              <w:bottom w:w="40" w:type="dxa"/>
              <w:right w:w="20" w:type="dxa"/>
            </w:tcMar>
            <w:vAlign w:val="bottom"/>
          </w:tcPr>
          <w:p w14:paraId="1E804362" w14:textId="77777777" w:rsidR="00F20ABF" w:rsidRDefault="00CA4D2F">
            <w:pPr>
              <w:textAlignment w:val="bottom"/>
            </w:pPr>
            <w:r>
              <w:rPr>
                <w:rFonts w:ascii="sans-serif" w:eastAsia="sans-serif" w:hAnsi="sans-serif" w:cs="sans-serif"/>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1E804363" w14:textId="77777777" w:rsidR="00F20ABF" w:rsidRDefault="00CA4D2F">
            <w:pPr>
              <w:jc w:val="right"/>
              <w:textAlignment w:val="bottom"/>
            </w:pPr>
            <w:r>
              <w:rPr>
                <w:rFonts w:ascii="sans-serif" w:eastAsia="sans-serif" w:hAnsi="sans-serif" w:cs="sans-serif"/>
                <w:color w:val="000000"/>
                <w:sz w:val="20"/>
                <w:szCs w:val="20"/>
              </w:rPr>
              <w:t>83 </w:t>
            </w:r>
          </w:p>
        </w:tc>
        <w:tc>
          <w:tcPr>
            <w:tcW w:w="0" w:type="auto"/>
            <w:shd w:val="clear" w:color="auto" w:fill="FFFFFF"/>
            <w:tcMar>
              <w:top w:w="40" w:type="dxa"/>
              <w:left w:w="0" w:type="dxa"/>
              <w:bottom w:w="40" w:type="dxa"/>
              <w:right w:w="20" w:type="dxa"/>
            </w:tcMar>
            <w:vAlign w:val="bottom"/>
          </w:tcPr>
          <w:p w14:paraId="1E804364" w14:textId="77777777" w:rsidR="00F20ABF" w:rsidRDefault="00F20ABF">
            <w:pPr>
              <w:jc w:val="right"/>
              <w:rPr>
                <w:rFonts w:ascii="宋体"/>
              </w:rPr>
            </w:pPr>
          </w:p>
        </w:tc>
      </w:tr>
      <w:tr w:rsidR="00F20ABF" w14:paraId="1E804369" w14:textId="77777777">
        <w:trPr>
          <w:jc w:val="center"/>
        </w:trPr>
        <w:tc>
          <w:tcPr>
            <w:tcW w:w="0" w:type="auto"/>
            <w:gridSpan w:val="3"/>
            <w:shd w:val="clear" w:color="auto" w:fill="E2EFD9"/>
            <w:tcMar>
              <w:top w:w="40" w:type="dxa"/>
              <w:left w:w="20" w:type="dxa"/>
              <w:bottom w:w="40" w:type="dxa"/>
              <w:right w:w="20" w:type="dxa"/>
            </w:tcMar>
            <w:vAlign w:val="bottom"/>
          </w:tcPr>
          <w:p w14:paraId="1E804366" w14:textId="77777777" w:rsidR="00F20ABF" w:rsidRDefault="00CA4D2F">
            <w:pPr>
              <w:textAlignment w:val="bottom"/>
            </w:pPr>
            <w:r>
              <w:rPr>
                <w:rFonts w:ascii="sans-serif" w:eastAsia="sans-serif" w:hAnsi="sans-serif" w:cs="sans-serif"/>
                <w:color w:val="000000"/>
                <w:sz w:val="20"/>
                <w:szCs w:val="20"/>
              </w:rPr>
              <w:t>2026 and thereafter</w:t>
            </w:r>
          </w:p>
        </w:tc>
        <w:tc>
          <w:tcPr>
            <w:tcW w:w="0" w:type="auto"/>
            <w:gridSpan w:val="2"/>
            <w:shd w:val="clear" w:color="auto" w:fill="E2EFD9"/>
            <w:tcMar>
              <w:top w:w="40" w:type="dxa"/>
              <w:left w:w="20" w:type="dxa"/>
              <w:bottom w:w="40" w:type="dxa"/>
              <w:right w:w="0" w:type="dxa"/>
            </w:tcMar>
            <w:vAlign w:val="bottom"/>
          </w:tcPr>
          <w:p w14:paraId="1E804367" w14:textId="77777777" w:rsidR="00F20ABF" w:rsidRDefault="00CA4D2F">
            <w:pPr>
              <w:jc w:val="right"/>
              <w:textAlignment w:val="bottom"/>
            </w:pPr>
            <w:r>
              <w:rPr>
                <w:rFonts w:ascii="sans-serif" w:eastAsia="sans-serif" w:hAnsi="sans-serif" w:cs="sans-serif"/>
                <w:color w:val="000000"/>
                <w:sz w:val="20"/>
                <w:szCs w:val="20"/>
              </w:rPr>
              <w:t>347 </w:t>
            </w:r>
          </w:p>
        </w:tc>
        <w:tc>
          <w:tcPr>
            <w:tcW w:w="0" w:type="auto"/>
            <w:shd w:val="clear" w:color="auto" w:fill="E2EFD9"/>
            <w:tcMar>
              <w:top w:w="40" w:type="dxa"/>
              <w:left w:w="0" w:type="dxa"/>
              <w:bottom w:w="40" w:type="dxa"/>
              <w:right w:w="20" w:type="dxa"/>
            </w:tcMar>
            <w:vAlign w:val="bottom"/>
          </w:tcPr>
          <w:p w14:paraId="1E804368" w14:textId="77777777" w:rsidR="00F20ABF" w:rsidRDefault="00F20ABF">
            <w:pPr>
              <w:jc w:val="right"/>
              <w:rPr>
                <w:rFonts w:ascii="宋体"/>
              </w:rPr>
            </w:pPr>
          </w:p>
        </w:tc>
      </w:tr>
      <w:tr w:rsidR="00F20ABF" w14:paraId="1E80436D" w14:textId="77777777">
        <w:trPr>
          <w:jc w:val="center"/>
        </w:trPr>
        <w:tc>
          <w:tcPr>
            <w:tcW w:w="0" w:type="auto"/>
            <w:gridSpan w:val="3"/>
            <w:shd w:val="clear" w:color="auto" w:fill="FFFFFF"/>
            <w:tcMar>
              <w:top w:w="40" w:type="dxa"/>
              <w:left w:w="245" w:type="dxa"/>
              <w:bottom w:w="40" w:type="dxa"/>
              <w:right w:w="20" w:type="dxa"/>
            </w:tcMar>
            <w:vAlign w:val="bottom"/>
          </w:tcPr>
          <w:p w14:paraId="1E80436A" w14:textId="77777777" w:rsidR="00F20ABF" w:rsidRDefault="00CA4D2F">
            <w:pPr>
              <w:textAlignment w:val="bottom"/>
            </w:pPr>
            <w:r>
              <w:rPr>
                <w:rFonts w:ascii="sans-serif" w:eastAsia="sans-serif" w:hAnsi="sans-serif" w:cs="sans-serif"/>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436B" w14:textId="77777777" w:rsidR="00F20ABF" w:rsidRDefault="00CA4D2F">
            <w:pPr>
              <w:jc w:val="right"/>
              <w:textAlignment w:val="bottom"/>
            </w:pPr>
            <w:r>
              <w:rPr>
                <w:rFonts w:ascii="sans-serif" w:eastAsia="sans-serif" w:hAnsi="sans-serif" w:cs="sans-serif"/>
                <w:color w:val="000000"/>
                <w:sz w:val="20"/>
                <w:szCs w:val="20"/>
              </w:rPr>
              <w:t>835 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436C" w14:textId="77777777" w:rsidR="00F20ABF" w:rsidRDefault="00F20ABF">
            <w:pPr>
              <w:jc w:val="right"/>
              <w:rPr>
                <w:rFonts w:ascii="宋体"/>
              </w:rPr>
            </w:pPr>
          </w:p>
        </w:tc>
      </w:tr>
      <w:tr w:rsidR="00F20ABF" w14:paraId="1E804371" w14:textId="77777777">
        <w:trPr>
          <w:jc w:val="center"/>
        </w:trPr>
        <w:tc>
          <w:tcPr>
            <w:tcW w:w="0" w:type="auto"/>
            <w:gridSpan w:val="3"/>
            <w:shd w:val="clear" w:color="auto" w:fill="E2EFD9"/>
            <w:tcMar>
              <w:top w:w="40" w:type="dxa"/>
              <w:left w:w="20" w:type="dxa"/>
              <w:bottom w:w="40" w:type="dxa"/>
              <w:right w:w="20" w:type="dxa"/>
            </w:tcMar>
            <w:vAlign w:val="bottom"/>
          </w:tcPr>
          <w:p w14:paraId="1E80436E" w14:textId="77777777" w:rsidR="00F20ABF" w:rsidRDefault="00CA4D2F">
            <w:pPr>
              <w:textAlignment w:val="bottom"/>
            </w:pPr>
            <w:r>
              <w:rPr>
                <w:rFonts w:ascii="sans-serif" w:eastAsia="sans-serif" w:hAnsi="sans-serif" w:cs="sans-serif"/>
                <w:color w:val="000000"/>
                <w:sz w:val="20"/>
                <w:szCs w:val="20"/>
              </w:rPr>
              <w:t xml:space="preserve">Less imputed </w:t>
            </w:r>
            <w:r>
              <w:rPr>
                <w:rFonts w:ascii="sans-serif" w:eastAsia="sans-serif" w:hAnsi="sans-serif" w:cs="sans-serif"/>
                <w:color w:val="000000"/>
                <w:sz w:val="20"/>
                <w:szCs w:val="20"/>
              </w:rPr>
              <w:t>interest</w:t>
            </w:r>
          </w:p>
        </w:tc>
        <w:tc>
          <w:tcPr>
            <w:tcW w:w="0" w:type="auto"/>
            <w:gridSpan w:val="2"/>
            <w:shd w:val="clear" w:color="auto" w:fill="E2EFD9"/>
            <w:tcMar>
              <w:top w:w="40" w:type="dxa"/>
              <w:left w:w="20" w:type="dxa"/>
              <w:bottom w:w="40" w:type="dxa"/>
              <w:right w:w="0" w:type="dxa"/>
            </w:tcMar>
            <w:vAlign w:val="bottom"/>
          </w:tcPr>
          <w:p w14:paraId="1E80436F" w14:textId="77777777" w:rsidR="00F20ABF" w:rsidRDefault="00CA4D2F">
            <w:pPr>
              <w:jc w:val="right"/>
              <w:textAlignment w:val="bottom"/>
            </w:pPr>
            <w:r>
              <w:rPr>
                <w:rFonts w:ascii="sans-serif" w:eastAsia="sans-serif" w:hAnsi="sans-serif" w:cs="sans-serif"/>
                <w:color w:val="000000"/>
                <w:sz w:val="20"/>
                <w:szCs w:val="20"/>
              </w:rPr>
              <w:t>115 </w:t>
            </w:r>
          </w:p>
        </w:tc>
        <w:tc>
          <w:tcPr>
            <w:tcW w:w="0" w:type="auto"/>
            <w:shd w:val="clear" w:color="auto" w:fill="E2EFD9"/>
            <w:tcMar>
              <w:top w:w="40" w:type="dxa"/>
              <w:left w:w="0" w:type="dxa"/>
              <w:bottom w:w="40" w:type="dxa"/>
              <w:right w:w="20" w:type="dxa"/>
            </w:tcMar>
            <w:vAlign w:val="bottom"/>
          </w:tcPr>
          <w:p w14:paraId="1E804370" w14:textId="77777777" w:rsidR="00F20ABF" w:rsidRDefault="00F20ABF">
            <w:pPr>
              <w:jc w:val="right"/>
              <w:rPr>
                <w:rFonts w:ascii="宋体"/>
              </w:rPr>
            </w:pPr>
          </w:p>
        </w:tc>
      </w:tr>
      <w:tr w:rsidR="00F20ABF" w14:paraId="1E804375" w14:textId="77777777">
        <w:trPr>
          <w:jc w:val="center"/>
        </w:trPr>
        <w:tc>
          <w:tcPr>
            <w:tcW w:w="0" w:type="auto"/>
            <w:gridSpan w:val="3"/>
            <w:shd w:val="clear" w:color="auto" w:fill="FFFFFF"/>
            <w:tcMar>
              <w:top w:w="40" w:type="dxa"/>
              <w:left w:w="20" w:type="dxa"/>
              <w:bottom w:w="40" w:type="dxa"/>
              <w:right w:w="20" w:type="dxa"/>
            </w:tcMar>
            <w:vAlign w:val="bottom"/>
          </w:tcPr>
          <w:p w14:paraId="1E804372" w14:textId="77777777" w:rsidR="00F20ABF" w:rsidRDefault="00CA4D2F">
            <w:pPr>
              <w:textAlignment w:val="bottom"/>
            </w:pPr>
            <w:r>
              <w:rPr>
                <w:rFonts w:ascii="sans-serif" w:eastAsia="sans-serif" w:hAnsi="sans-serif" w:cs="sans-serif"/>
                <w:color w:val="000000"/>
                <w:sz w:val="20"/>
                <w:szCs w:val="20"/>
              </w:rPr>
              <w:t>Present value of net future minimum lease payments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4373" w14:textId="77777777" w:rsidR="00F20ABF" w:rsidRDefault="00CA4D2F">
            <w:pPr>
              <w:jc w:val="right"/>
              <w:textAlignment w:val="bottom"/>
            </w:pPr>
            <w:r>
              <w:rPr>
                <w:rFonts w:ascii="sans-serif" w:eastAsia="sans-serif" w:hAnsi="sans-serif" w:cs="sans-serif"/>
                <w:color w:val="000000"/>
                <w:sz w:val="20"/>
                <w:szCs w:val="20"/>
              </w:rPr>
              <w:t>720 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4374" w14:textId="77777777" w:rsidR="00F20ABF" w:rsidRDefault="00F20ABF">
            <w:pPr>
              <w:jc w:val="right"/>
              <w:rPr>
                <w:rFonts w:ascii="宋体"/>
              </w:rPr>
            </w:pPr>
          </w:p>
        </w:tc>
      </w:tr>
      <w:tr w:rsidR="00F20ABF" w14:paraId="1E804379" w14:textId="77777777">
        <w:trPr>
          <w:jc w:val="center"/>
        </w:trPr>
        <w:tc>
          <w:tcPr>
            <w:tcW w:w="0" w:type="auto"/>
            <w:gridSpan w:val="3"/>
            <w:shd w:val="clear" w:color="auto" w:fill="E2EFD9"/>
            <w:tcMar>
              <w:top w:w="40" w:type="dxa"/>
              <w:left w:w="20" w:type="dxa"/>
              <w:bottom w:w="40" w:type="dxa"/>
              <w:right w:w="20" w:type="dxa"/>
            </w:tcMar>
            <w:vAlign w:val="bottom"/>
          </w:tcPr>
          <w:p w14:paraId="1E804376" w14:textId="77777777" w:rsidR="00F20ABF" w:rsidRDefault="00CA4D2F">
            <w:pPr>
              <w:textAlignment w:val="bottom"/>
            </w:pPr>
            <w:r>
              <w:rPr>
                <w:rFonts w:ascii="sans-serif" w:eastAsia="sans-serif" w:hAnsi="sans-serif" w:cs="sans-serif"/>
                <w:color w:val="000000"/>
                <w:sz w:val="20"/>
                <w:szCs w:val="20"/>
              </w:rPr>
              <w:t>Less short-term operating lease liabilities</w:t>
            </w:r>
          </w:p>
        </w:tc>
        <w:tc>
          <w:tcPr>
            <w:tcW w:w="0" w:type="auto"/>
            <w:gridSpan w:val="2"/>
            <w:shd w:val="clear" w:color="auto" w:fill="E2EFD9"/>
            <w:tcMar>
              <w:top w:w="40" w:type="dxa"/>
              <w:left w:w="20" w:type="dxa"/>
              <w:bottom w:w="40" w:type="dxa"/>
              <w:right w:w="0" w:type="dxa"/>
            </w:tcMar>
            <w:vAlign w:val="bottom"/>
          </w:tcPr>
          <w:p w14:paraId="1E804377" w14:textId="77777777" w:rsidR="00F20ABF" w:rsidRDefault="00CA4D2F">
            <w:pPr>
              <w:jc w:val="right"/>
              <w:textAlignment w:val="bottom"/>
            </w:pPr>
            <w:r>
              <w:rPr>
                <w:rFonts w:ascii="sans-serif" w:eastAsia="sans-serif" w:hAnsi="sans-serif" w:cs="sans-serif"/>
                <w:color w:val="000000"/>
                <w:sz w:val="20"/>
                <w:szCs w:val="20"/>
              </w:rPr>
              <w:t>116 </w:t>
            </w:r>
          </w:p>
        </w:tc>
        <w:tc>
          <w:tcPr>
            <w:tcW w:w="0" w:type="auto"/>
            <w:shd w:val="clear" w:color="auto" w:fill="E2EFD9"/>
            <w:tcMar>
              <w:top w:w="40" w:type="dxa"/>
              <w:left w:w="0" w:type="dxa"/>
              <w:bottom w:w="40" w:type="dxa"/>
              <w:right w:w="20" w:type="dxa"/>
            </w:tcMar>
            <w:vAlign w:val="bottom"/>
          </w:tcPr>
          <w:p w14:paraId="1E804378" w14:textId="77777777" w:rsidR="00F20ABF" w:rsidRDefault="00F20ABF">
            <w:pPr>
              <w:jc w:val="right"/>
              <w:rPr>
                <w:rFonts w:ascii="宋体"/>
              </w:rPr>
            </w:pPr>
          </w:p>
        </w:tc>
      </w:tr>
      <w:tr w:rsidR="00F20ABF" w14:paraId="1E80437E" w14:textId="77777777">
        <w:trPr>
          <w:jc w:val="center"/>
        </w:trPr>
        <w:tc>
          <w:tcPr>
            <w:tcW w:w="0" w:type="auto"/>
            <w:gridSpan w:val="3"/>
            <w:shd w:val="clear" w:color="auto" w:fill="FFFFFF"/>
            <w:tcMar>
              <w:top w:w="40" w:type="dxa"/>
              <w:left w:w="245" w:type="dxa"/>
              <w:bottom w:w="40" w:type="dxa"/>
              <w:right w:w="20" w:type="dxa"/>
            </w:tcMar>
            <w:vAlign w:val="bottom"/>
          </w:tcPr>
          <w:p w14:paraId="1E80437A" w14:textId="77777777" w:rsidR="00F20ABF" w:rsidRDefault="00CA4D2F">
            <w:pPr>
              <w:textAlignment w:val="bottom"/>
            </w:pPr>
            <w:r>
              <w:rPr>
                <w:rFonts w:ascii="sans-serif" w:eastAsia="sans-serif" w:hAnsi="sans-serif" w:cs="sans-serif"/>
                <w:color w:val="000000"/>
                <w:sz w:val="20"/>
                <w:szCs w:val="20"/>
              </w:rPr>
              <w:t>Long-term operating lease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37B"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37C" w14:textId="77777777" w:rsidR="00F20ABF" w:rsidRDefault="00CA4D2F">
            <w:pPr>
              <w:jc w:val="right"/>
              <w:textAlignment w:val="bottom"/>
            </w:pPr>
            <w:r>
              <w:rPr>
                <w:rFonts w:ascii="sans-serif" w:eastAsia="sans-serif" w:hAnsi="sans-serif" w:cs="sans-serif"/>
                <w:color w:val="000000"/>
                <w:sz w:val="20"/>
                <w:szCs w:val="20"/>
              </w:rPr>
              <w:t>604 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37D" w14:textId="77777777" w:rsidR="00F20ABF" w:rsidRDefault="00F20ABF">
            <w:pPr>
              <w:jc w:val="right"/>
              <w:rPr>
                <w:rFonts w:ascii="宋体"/>
              </w:rPr>
            </w:pPr>
          </w:p>
        </w:tc>
      </w:tr>
    </w:tbl>
    <w:p w14:paraId="1E80437F" w14:textId="77777777" w:rsidR="00F20ABF" w:rsidRDefault="00CA4D2F">
      <w:pPr>
        <w:spacing w:before="360" w:after="180"/>
        <w:jc w:val="both"/>
      </w:pPr>
      <w:r>
        <w:rPr>
          <w:rFonts w:ascii="sans-serif" w:eastAsia="sans-serif" w:hAnsi="sans-serif" w:cs="sans-serif"/>
          <w:color w:val="000000"/>
          <w:sz w:val="20"/>
          <w:szCs w:val="20"/>
        </w:rPr>
        <w:t>Operating lease expense was $37 million and $28 million for the third quarter of fiscal years 2021 and 2020, respectively, and $104 million and $83 million for the first nine months of fiscal years 2021 and 2020, respectively. Short-term and variable lease</w:t>
      </w:r>
      <w:r>
        <w:rPr>
          <w:rFonts w:ascii="sans-serif" w:eastAsia="sans-serif" w:hAnsi="sans-serif" w:cs="sans-serif"/>
          <w:color w:val="000000"/>
          <w:sz w:val="20"/>
          <w:szCs w:val="20"/>
        </w:rPr>
        <w:t xml:space="preserve"> expenses for the third quarter and first nine months of fiscal years 2021 and 2020 were not significant. </w:t>
      </w:r>
    </w:p>
    <w:p w14:paraId="1E804380" w14:textId="77777777" w:rsidR="00F20ABF" w:rsidRDefault="00CA4D2F">
      <w:pPr>
        <w:jc w:val="both"/>
      </w:pPr>
      <w:r>
        <w:rPr>
          <w:rFonts w:ascii="sans-serif" w:eastAsia="sans-serif" w:hAnsi="sans-serif" w:cs="sans-serif"/>
          <w:color w:val="000000"/>
          <w:sz w:val="20"/>
          <w:szCs w:val="20"/>
        </w:rPr>
        <w:t>Other information related to leases was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448"/>
        <w:gridCol w:w="36"/>
        <w:gridCol w:w="123"/>
        <w:gridCol w:w="1192"/>
        <w:gridCol w:w="37"/>
        <w:gridCol w:w="36"/>
        <w:gridCol w:w="37"/>
        <w:gridCol w:w="36"/>
        <w:gridCol w:w="123"/>
        <w:gridCol w:w="1192"/>
        <w:gridCol w:w="37"/>
      </w:tblGrid>
      <w:tr w:rsidR="00F20ABF" w14:paraId="1E80438D" w14:textId="77777777">
        <w:tc>
          <w:tcPr>
            <w:tcW w:w="50" w:type="pct"/>
            <w:shd w:val="clear" w:color="auto" w:fill="auto"/>
          </w:tcPr>
          <w:p w14:paraId="1E804381" w14:textId="77777777" w:rsidR="00F20ABF" w:rsidRDefault="00F20ABF">
            <w:pPr>
              <w:rPr>
                <w:rFonts w:ascii="宋体"/>
              </w:rPr>
            </w:pPr>
          </w:p>
        </w:tc>
        <w:tc>
          <w:tcPr>
            <w:tcW w:w="3292" w:type="pct"/>
            <w:shd w:val="clear" w:color="auto" w:fill="auto"/>
          </w:tcPr>
          <w:p w14:paraId="1E804382" w14:textId="77777777" w:rsidR="00F20ABF" w:rsidRDefault="00F20ABF">
            <w:pPr>
              <w:rPr>
                <w:rFonts w:ascii="宋体"/>
              </w:rPr>
            </w:pPr>
          </w:p>
        </w:tc>
        <w:tc>
          <w:tcPr>
            <w:tcW w:w="5" w:type="pct"/>
            <w:shd w:val="clear" w:color="auto" w:fill="auto"/>
          </w:tcPr>
          <w:p w14:paraId="1E804383" w14:textId="77777777" w:rsidR="00F20ABF" w:rsidRDefault="00F20ABF">
            <w:pPr>
              <w:rPr>
                <w:rFonts w:ascii="宋体"/>
              </w:rPr>
            </w:pPr>
          </w:p>
        </w:tc>
        <w:tc>
          <w:tcPr>
            <w:tcW w:w="50" w:type="pct"/>
            <w:shd w:val="clear" w:color="auto" w:fill="auto"/>
          </w:tcPr>
          <w:p w14:paraId="1E804384" w14:textId="77777777" w:rsidR="00F20ABF" w:rsidRDefault="00F20ABF">
            <w:pPr>
              <w:rPr>
                <w:rFonts w:ascii="宋体"/>
              </w:rPr>
            </w:pPr>
          </w:p>
        </w:tc>
        <w:tc>
          <w:tcPr>
            <w:tcW w:w="741" w:type="pct"/>
            <w:shd w:val="clear" w:color="auto" w:fill="auto"/>
          </w:tcPr>
          <w:p w14:paraId="1E804385" w14:textId="77777777" w:rsidR="00F20ABF" w:rsidRDefault="00F20ABF">
            <w:pPr>
              <w:rPr>
                <w:rFonts w:ascii="宋体"/>
              </w:rPr>
            </w:pPr>
          </w:p>
        </w:tc>
        <w:tc>
          <w:tcPr>
            <w:tcW w:w="5" w:type="pct"/>
            <w:shd w:val="clear" w:color="auto" w:fill="auto"/>
          </w:tcPr>
          <w:p w14:paraId="1E804386" w14:textId="77777777" w:rsidR="00F20ABF" w:rsidRDefault="00F20ABF">
            <w:pPr>
              <w:rPr>
                <w:rFonts w:ascii="宋体"/>
              </w:rPr>
            </w:pPr>
          </w:p>
        </w:tc>
        <w:tc>
          <w:tcPr>
            <w:tcW w:w="5" w:type="pct"/>
            <w:shd w:val="clear" w:color="auto" w:fill="auto"/>
          </w:tcPr>
          <w:p w14:paraId="1E804387" w14:textId="77777777" w:rsidR="00F20ABF" w:rsidRDefault="00F20ABF">
            <w:pPr>
              <w:rPr>
                <w:rFonts w:ascii="宋体"/>
              </w:rPr>
            </w:pPr>
          </w:p>
        </w:tc>
        <w:tc>
          <w:tcPr>
            <w:tcW w:w="48" w:type="pct"/>
            <w:shd w:val="clear" w:color="auto" w:fill="auto"/>
          </w:tcPr>
          <w:p w14:paraId="1E804388" w14:textId="77777777" w:rsidR="00F20ABF" w:rsidRDefault="00F20ABF">
            <w:pPr>
              <w:rPr>
                <w:rFonts w:ascii="宋体"/>
              </w:rPr>
            </w:pPr>
          </w:p>
        </w:tc>
        <w:tc>
          <w:tcPr>
            <w:tcW w:w="5" w:type="pct"/>
            <w:shd w:val="clear" w:color="auto" w:fill="auto"/>
          </w:tcPr>
          <w:p w14:paraId="1E804389" w14:textId="77777777" w:rsidR="00F20ABF" w:rsidRDefault="00F20ABF">
            <w:pPr>
              <w:rPr>
                <w:rFonts w:ascii="宋体"/>
              </w:rPr>
            </w:pPr>
          </w:p>
        </w:tc>
        <w:tc>
          <w:tcPr>
            <w:tcW w:w="50" w:type="pct"/>
            <w:shd w:val="clear" w:color="auto" w:fill="auto"/>
          </w:tcPr>
          <w:p w14:paraId="1E80438A" w14:textId="77777777" w:rsidR="00F20ABF" w:rsidRDefault="00F20ABF">
            <w:pPr>
              <w:rPr>
                <w:rFonts w:ascii="宋体"/>
              </w:rPr>
            </w:pPr>
          </w:p>
        </w:tc>
        <w:tc>
          <w:tcPr>
            <w:tcW w:w="741" w:type="pct"/>
            <w:shd w:val="clear" w:color="auto" w:fill="auto"/>
          </w:tcPr>
          <w:p w14:paraId="1E80438B" w14:textId="77777777" w:rsidR="00F20ABF" w:rsidRDefault="00F20ABF">
            <w:pPr>
              <w:rPr>
                <w:rFonts w:ascii="宋体"/>
              </w:rPr>
            </w:pPr>
          </w:p>
        </w:tc>
        <w:tc>
          <w:tcPr>
            <w:tcW w:w="5" w:type="pct"/>
            <w:shd w:val="clear" w:color="auto" w:fill="auto"/>
          </w:tcPr>
          <w:p w14:paraId="1E80438C" w14:textId="77777777" w:rsidR="00F20ABF" w:rsidRDefault="00F20ABF">
            <w:pPr>
              <w:rPr>
                <w:rFonts w:ascii="宋体"/>
              </w:rPr>
            </w:pPr>
          </w:p>
        </w:tc>
      </w:tr>
      <w:tr w:rsidR="00F20ABF" w14:paraId="1E804390" w14:textId="77777777">
        <w:tc>
          <w:tcPr>
            <w:tcW w:w="0" w:type="auto"/>
            <w:gridSpan w:val="3"/>
            <w:shd w:val="clear" w:color="auto" w:fill="auto"/>
            <w:tcMar>
              <w:top w:w="0" w:type="dxa"/>
              <w:left w:w="20" w:type="dxa"/>
              <w:bottom w:w="0" w:type="dxa"/>
              <w:right w:w="20" w:type="dxa"/>
            </w:tcMar>
          </w:tcPr>
          <w:p w14:paraId="1E80438E"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438F" w14:textId="77777777" w:rsidR="00F20ABF" w:rsidRDefault="00CA4D2F">
            <w:pPr>
              <w:jc w:val="center"/>
              <w:textAlignment w:val="bottom"/>
            </w:pPr>
            <w:r>
              <w:rPr>
                <w:rFonts w:ascii="sans-serif" w:eastAsia="sans-serif" w:hAnsi="sans-serif" w:cs="sans-serif"/>
                <w:b/>
                <w:bCs/>
                <w:color w:val="000000"/>
                <w:sz w:val="20"/>
                <w:szCs w:val="20"/>
              </w:rPr>
              <w:t>Nine Months Ended</w:t>
            </w:r>
          </w:p>
        </w:tc>
      </w:tr>
      <w:tr w:rsidR="00F20ABF" w14:paraId="1E804395" w14:textId="77777777">
        <w:tc>
          <w:tcPr>
            <w:tcW w:w="0" w:type="auto"/>
            <w:gridSpan w:val="3"/>
            <w:shd w:val="clear" w:color="auto" w:fill="auto"/>
            <w:tcMar>
              <w:top w:w="0" w:type="dxa"/>
              <w:left w:w="20" w:type="dxa"/>
              <w:bottom w:w="0" w:type="dxa"/>
              <w:right w:w="20" w:type="dxa"/>
            </w:tcMar>
          </w:tcPr>
          <w:p w14:paraId="1E804391"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392" w14:textId="77777777" w:rsidR="00F20ABF" w:rsidRDefault="00CA4D2F">
            <w:pPr>
              <w:jc w:val="center"/>
              <w:textAlignment w:val="bottom"/>
            </w:pPr>
            <w:r>
              <w:rPr>
                <w:rFonts w:ascii="sans-serif" w:eastAsia="sans-serif" w:hAnsi="sans-serif" w:cs="sans-serif"/>
                <w:b/>
                <w:bCs/>
                <w:color w:val="000000"/>
                <w:sz w:val="20"/>
                <w:szCs w:val="20"/>
              </w:rPr>
              <w:t>October 25, 2020</w:t>
            </w:r>
          </w:p>
        </w:tc>
        <w:tc>
          <w:tcPr>
            <w:tcW w:w="0" w:type="auto"/>
            <w:gridSpan w:val="3"/>
            <w:tcBorders>
              <w:top w:val="single" w:sz="8" w:space="0" w:color="000000"/>
            </w:tcBorders>
            <w:shd w:val="clear" w:color="auto" w:fill="auto"/>
            <w:tcMar>
              <w:top w:w="0" w:type="dxa"/>
              <w:left w:w="20" w:type="dxa"/>
              <w:bottom w:w="0" w:type="dxa"/>
              <w:right w:w="20" w:type="dxa"/>
            </w:tcMar>
          </w:tcPr>
          <w:p w14:paraId="1E804393"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394" w14:textId="77777777" w:rsidR="00F20ABF" w:rsidRDefault="00CA4D2F">
            <w:pPr>
              <w:jc w:val="center"/>
              <w:textAlignment w:val="bottom"/>
            </w:pPr>
            <w:r>
              <w:rPr>
                <w:rFonts w:ascii="sans-serif" w:eastAsia="sans-serif" w:hAnsi="sans-serif" w:cs="sans-serif"/>
                <w:b/>
                <w:bCs/>
                <w:color w:val="000000"/>
                <w:sz w:val="20"/>
                <w:szCs w:val="20"/>
              </w:rPr>
              <w:t>October 27, 2019</w:t>
            </w:r>
          </w:p>
        </w:tc>
      </w:tr>
      <w:tr w:rsidR="00F20ABF" w14:paraId="1E80439A" w14:textId="77777777">
        <w:trPr>
          <w:trHeight w:val="60"/>
        </w:trPr>
        <w:tc>
          <w:tcPr>
            <w:tcW w:w="0" w:type="auto"/>
            <w:gridSpan w:val="3"/>
            <w:shd w:val="clear" w:color="auto" w:fill="auto"/>
            <w:tcMar>
              <w:top w:w="0" w:type="dxa"/>
              <w:left w:w="20" w:type="dxa"/>
              <w:bottom w:w="0" w:type="dxa"/>
              <w:right w:w="20" w:type="dxa"/>
            </w:tcMar>
          </w:tcPr>
          <w:p w14:paraId="1E804396"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397"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398"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399" w14:textId="77777777" w:rsidR="00F20ABF" w:rsidRDefault="00F20ABF">
            <w:pPr>
              <w:rPr>
                <w:rFonts w:ascii="宋体"/>
              </w:rPr>
            </w:pPr>
          </w:p>
        </w:tc>
      </w:tr>
      <w:tr w:rsidR="00F20ABF" w14:paraId="1E80439D" w14:textId="77777777">
        <w:tc>
          <w:tcPr>
            <w:tcW w:w="0" w:type="auto"/>
            <w:gridSpan w:val="3"/>
            <w:shd w:val="clear" w:color="auto" w:fill="auto"/>
            <w:tcMar>
              <w:top w:w="40" w:type="dxa"/>
              <w:left w:w="20" w:type="dxa"/>
              <w:bottom w:w="40" w:type="dxa"/>
              <w:right w:w="20" w:type="dxa"/>
            </w:tcMar>
            <w:vAlign w:val="bottom"/>
          </w:tcPr>
          <w:p w14:paraId="1E80439B" w14:textId="77777777" w:rsidR="00F20ABF" w:rsidRDefault="00CA4D2F">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E80439C"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3A2" w14:textId="77777777">
        <w:tc>
          <w:tcPr>
            <w:tcW w:w="0" w:type="auto"/>
            <w:gridSpan w:val="3"/>
            <w:shd w:val="clear" w:color="auto" w:fill="E2EFD9"/>
            <w:tcMar>
              <w:top w:w="40" w:type="dxa"/>
              <w:left w:w="20" w:type="dxa"/>
              <w:bottom w:w="40" w:type="dxa"/>
              <w:right w:w="20" w:type="dxa"/>
            </w:tcMar>
            <w:vAlign w:val="bottom"/>
          </w:tcPr>
          <w:p w14:paraId="1E80439E" w14:textId="77777777" w:rsidR="00F20ABF" w:rsidRDefault="00CA4D2F">
            <w:pPr>
              <w:textAlignment w:val="bottom"/>
            </w:pPr>
            <w:r>
              <w:rPr>
                <w:rFonts w:ascii="sans-serif" w:eastAsia="sans-serif" w:hAnsi="sans-serif" w:cs="sans-serif"/>
                <w:b/>
                <w:bCs/>
                <w:color w:val="000000"/>
                <w:sz w:val="20"/>
                <w:szCs w:val="20"/>
              </w:rPr>
              <w:t>Supplemental cash flows information</w:t>
            </w:r>
          </w:p>
        </w:tc>
        <w:tc>
          <w:tcPr>
            <w:tcW w:w="0" w:type="auto"/>
            <w:gridSpan w:val="3"/>
            <w:shd w:val="clear" w:color="auto" w:fill="E2EFD9"/>
            <w:tcMar>
              <w:top w:w="0" w:type="dxa"/>
              <w:left w:w="20" w:type="dxa"/>
              <w:bottom w:w="0" w:type="dxa"/>
              <w:right w:w="20" w:type="dxa"/>
            </w:tcMar>
          </w:tcPr>
          <w:p w14:paraId="1E80439F"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3A0" w14:textId="77777777" w:rsidR="00F20ABF" w:rsidRDefault="00F20ABF">
            <w:pPr>
              <w:rPr>
                <w:rFonts w:ascii="宋体"/>
              </w:rPr>
            </w:pPr>
          </w:p>
        </w:tc>
        <w:tc>
          <w:tcPr>
            <w:tcW w:w="0" w:type="auto"/>
            <w:gridSpan w:val="3"/>
            <w:shd w:val="clear" w:color="auto" w:fill="E2EFD9"/>
            <w:tcMar>
              <w:top w:w="40" w:type="dxa"/>
              <w:left w:w="20" w:type="dxa"/>
              <w:bottom w:w="40" w:type="dxa"/>
              <w:right w:w="20" w:type="dxa"/>
            </w:tcMar>
            <w:vAlign w:val="bottom"/>
          </w:tcPr>
          <w:p w14:paraId="1E8043A1" w14:textId="77777777" w:rsidR="00F20ABF" w:rsidRDefault="00CA4D2F">
            <w:pPr>
              <w:textAlignment w:val="bottom"/>
            </w:pPr>
            <w:r>
              <w:rPr>
                <w:rFonts w:ascii="sans-serif" w:eastAsia="sans-serif" w:hAnsi="sans-serif" w:cs="sans-serif"/>
                <w:color w:val="000000"/>
                <w:sz w:val="20"/>
                <w:szCs w:val="20"/>
              </w:rPr>
              <w:t> </w:t>
            </w:r>
          </w:p>
        </w:tc>
      </w:tr>
      <w:tr w:rsidR="00F20ABF" w14:paraId="1E8043AB" w14:textId="77777777">
        <w:tc>
          <w:tcPr>
            <w:tcW w:w="0" w:type="auto"/>
            <w:gridSpan w:val="3"/>
            <w:shd w:val="clear" w:color="auto" w:fill="FFFFFF"/>
            <w:tcMar>
              <w:top w:w="40" w:type="dxa"/>
              <w:left w:w="20" w:type="dxa"/>
              <w:bottom w:w="40" w:type="dxa"/>
              <w:right w:w="20" w:type="dxa"/>
            </w:tcMar>
            <w:vAlign w:val="bottom"/>
          </w:tcPr>
          <w:p w14:paraId="1E8043A3" w14:textId="77777777" w:rsidR="00F20ABF" w:rsidRDefault="00CA4D2F">
            <w:pPr>
              <w:textAlignment w:val="bottom"/>
            </w:pPr>
            <w:r>
              <w:rPr>
                <w:rFonts w:ascii="sans-serif" w:eastAsia="sans-serif" w:hAnsi="sans-serif" w:cs="sans-serif"/>
                <w:color w:val="000000"/>
                <w:sz w:val="20"/>
                <w:szCs w:val="20"/>
              </w:rPr>
              <w:t>Operating cash flows used for operating leases</w:t>
            </w:r>
          </w:p>
        </w:tc>
        <w:tc>
          <w:tcPr>
            <w:tcW w:w="0" w:type="auto"/>
            <w:shd w:val="clear" w:color="auto" w:fill="FFFFFF"/>
            <w:tcMar>
              <w:top w:w="40" w:type="dxa"/>
              <w:left w:w="20" w:type="dxa"/>
              <w:bottom w:w="40" w:type="dxa"/>
              <w:right w:w="0" w:type="dxa"/>
            </w:tcMar>
            <w:vAlign w:val="bottom"/>
          </w:tcPr>
          <w:p w14:paraId="1E8043A4"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3A5" w14:textId="77777777" w:rsidR="00F20ABF" w:rsidRDefault="00CA4D2F">
            <w:pPr>
              <w:jc w:val="right"/>
              <w:textAlignment w:val="bottom"/>
            </w:pPr>
            <w:r>
              <w:rPr>
                <w:rFonts w:ascii="sans-serif" w:eastAsia="sans-serif" w:hAnsi="sans-serif" w:cs="sans-serif"/>
                <w:color w:val="000000"/>
                <w:sz w:val="20"/>
                <w:szCs w:val="20"/>
              </w:rPr>
              <w:t>103 </w:t>
            </w:r>
          </w:p>
        </w:tc>
        <w:tc>
          <w:tcPr>
            <w:tcW w:w="0" w:type="auto"/>
            <w:shd w:val="clear" w:color="auto" w:fill="FFFFFF"/>
            <w:tcMar>
              <w:top w:w="40" w:type="dxa"/>
              <w:left w:w="0" w:type="dxa"/>
              <w:bottom w:w="40" w:type="dxa"/>
              <w:right w:w="20" w:type="dxa"/>
            </w:tcMar>
            <w:vAlign w:val="bottom"/>
          </w:tcPr>
          <w:p w14:paraId="1E8043A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3A7"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3A8"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3A9" w14:textId="77777777" w:rsidR="00F20ABF" w:rsidRDefault="00CA4D2F">
            <w:pPr>
              <w:jc w:val="right"/>
              <w:textAlignment w:val="bottom"/>
            </w:pPr>
            <w:r>
              <w:rPr>
                <w:rFonts w:ascii="sans-serif" w:eastAsia="sans-serif" w:hAnsi="sans-serif" w:cs="sans-serif"/>
                <w:color w:val="000000"/>
                <w:sz w:val="20"/>
                <w:szCs w:val="20"/>
              </w:rPr>
              <w:t>78 </w:t>
            </w:r>
          </w:p>
        </w:tc>
        <w:tc>
          <w:tcPr>
            <w:tcW w:w="0" w:type="auto"/>
            <w:shd w:val="clear" w:color="auto" w:fill="FFFFFF"/>
            <w:tcMar>
              <w:top w:w="40" w:type="dxa"/>
              <w:left w:w="0" w:type="dxa"/>
              <w:bottom w:w="40" w:type="dxa"/>
              <w:right w:w="20" w:type="dxa"/>
            </w:tcMar>
            <w:vAlign w:val="bottom"/>
          </w:tcPr>
          <w:p w14:paraId="1E8043AA" w14:textId="77777777" w:rsidR="00F20ABF" w:rsidRDefault="00F20ABF">
            <w:pPr>
              <w:jc w:val="right"/>
              <w:rPr>
                <w:rFonts w:ascii="宋体"/>
              </w:rPr>
            </w:pPr>
          </w:p>
        </w:tc>
      </w:tr>
      <w:tr w:rsidR="00F20ABF" w14:paraId="1E8043B4" w14:textId="77777777">
        <w:tc>
          <w:tcPr>
            <w:tcW w:w="0" w:type="auto"/>
            <w:gridSpan w:val="3"/>
            <w:shd w:val="clear" w:color="auto" w:fill="E2EFD9"/>
            <w:tcMar>
              <w:top w:w="40" w:type="dxa"/>
              <w:left w:w="20" w:type="dxa"/>
              <w:bottom w:w="40" w:type="dxa"/>
              <w:right w:w="20" w:type="dxa"/>
            </w:tcMar>
            <w:vAlign w:val="bottom"/>
          </w:tcPr>
          <w:p w14:paraId="1E8043AC" w14:textId="77777777" w:rsidR="00F20ABF" w:rsidRDefault="00CA4D2F">
            <w:pPr>
              <w:textAlignment w:val="bottom"/>
            </w:pPr>
            <w:r>
              <w:rPr>
                <w:rFonts w:ascii="sans-serif" w:eastAsia="sans-serif" w:hAnsi="sans-serif" w:cs="sans-serif"/>
                <w:color w:val="000000"/>
                <w:sz w:val="20"/>
                <w:szCs w:val="20"/>
              </w:rPr>
              <w:t>Operating lease assets obtained in exchange for lease obligations (1)</w:t>
            </w:r>
          </w:p>
        </w:tc>
        <w:tc>
          <w:tcPr>
            <w:tcW w:w="0" w:type="auto"/>
            <w:shd w:val="clear" w:color="auto" w:fill="E2EFD9"/>
            <w:tcMar>
              <w:top w:w="40" w:type="dxa"/>
              <w:left w:w="20" w:type="dxa"/>
              <w:bottom w:w="40" w:type="dxa"/>
              <w:right w:w="0" w:type="dxa"/>
            </w:tcMar>
            <w:vAlign w:val="bottom"/>
          </w:tcPr>
          <w:p w14:paraId="1E8043AD"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3AE" w14:textId="77777777" w:rsidR="00F20ABF" w:rsidRDefault="00CA4D2F">
            <w:pPr>
              <w:jc w:val="right"/>
              <w:textAlignment w:val="bottom"/>
            </w:pPr>
            <w:r>
              <w:rPr>
                <w:rFonts w:ascii="sans-serif" w:eastAsia="sans-serif" w:hAnsi="sans-serif" w:cs="sans-serif"/>
                <w:color w:val="000000"/>
                <w:sz w:val="20"/>
                <w:szCs w:val="20"/>
              </w:rPr>
              <w:t>147 </w:t>
            </w:r>
          </w:p>
        </w:tc>
        <w:tc>
          <w:tcPr>
            <w:tcW w:w="0" w:type="auto"/>
            <w:shd w:val="clear" w:color="auto" w:fill="E2EFD9"/>
            <w:tcMar>
              <w:top w:w="40" w:type="dxa"/>
              <w:left w:w="0" w:type="dxa"/>
              <w:bottom w:w="40" w:type="dxa"/>
              <w:right w:w="20" w:type="dxa"/>
            </w:tcMar>
            <w:vAlign w:val="bottom"/>
          </w:tcPr>
          <w:p w14:paraId="1E8043A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3B0"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3B1"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3B2" w14:textId="77777777" w:rsidR="00F20ABF" w:rsidRDefault="00CA4D2F">
            <w:pPr>
              <w:jc w:val="right"/>
              <w:textAlignment w:val="bottom"/>
            </w:pPr>
            <w:r>
              <w:rPr>
                <w:rFonts w:ascii="sans-serif" w:eastAsia="sans-serif" w:hAnsi="sans-serif" w:cs="sans-serif"/>
                <w:color w:val="000000"/>
                <w:sz w:val="20"/>
                <w:szCs w:val="20"/>
              </w:rPr>
              <w:t>122 </w:t>
            </w:r>
          </w:p>
        </w:tc>
        <w:tc>
          <w:tcPr>
            <w:tcW w:w="0" w:type="auto"/>
            <w:shd w:val="clear" w:color="auto" w:fill="E2EFD9"/>
            <w:tcMar>
              <w:top w:w="40" w:type="dxa"/>
              <w:left w:w="0" w:type="dxa"/>
              <w:bottom w:w="40" w:type="dxa"/>
              <w:right w:w="20" w:type="dxa"/>
            </w:tcMar>
            <w:vAlign w:val="bottom"/>
          </w:tcPr>
          <w:p w14:paraId="1E8043B3" w14:textId="77777777" w:rsidR="00F20ABF" w:rsidRDefault="00F20ABF">
            <w:pPr>
              <w:jc w:val="right"/>
              <w:rPr>
                <w:rFonts w:ascii="宋体"/>
              </w:rPr>
            </w:pPr>
          </w:p>
        </w:tc>
      </w:tr>
    </w:tbl>
    <w:p w14:paraId="1E8043B5" w14:textId="77777777" w:rsidR="00F20ABF" w:rsidRDefault="00CA4D2F">
      <w:pPr>
        <w:spacing w:after="180"/>
        <w:jc w:val="both"/>
      </w:pPr>
      <w:r>
        <w:rPr>
          <w:rFonts w:ascii="sans-serif" w:eastAsia="sans-serif" w:hAnsi="sans-serif" w:cs="sans-serif"/>
          <w:color w:val="000000"/>
          <w:sz w:val="16"/>
          <w:szCs w:val="16"/>
        </w:rPr>
        <w:t xml:space="preserve">(1)    The first nine months of fiscal year </w:t>
      </w:r>
      <w:r>
        <w:rPr>
          <w:rFonts w:ascii="sans-serif" w:eastAsia="sans-serif" w:hAnsi="sans-serif" w:cs="sans-serif"/>
          <w:color w:val="000000"/>
          <w:sz w:val="16"/>
          <w:szCs w:val="16"/>
        </w:rPr>
        <w:t>2021 includes $80 million of operating lease assets addition due to a business combination.</w:t>
      </w:r>
    </w:p>
    <w:p w14:paraId="1E8043B6" w14:textId="77777777" w:rsidR="00F20ABF" w:rsidRDefault="00CA4D2F">
      <w:pPr>
        <w:spacing w:after="180"/>
        <w:jc w:val="both"/>
      </w:pPr>
      <w:r>
        <w:rPr>
          <w:rFonts w:ascii="sans-serif" w:eastAsia="sans-serif" w:hAnsi="sans-serif" w:cs="sans-serif"/>
          <w:color w:val="000000"/>
          <w:sz w:val="20"/>
          <w:szCs w:val="20"/>
        </w:rPr>
        <w:t>As of October 25, 2020, our operating leases had a weighted average remaining lease term of 7.8 years and a weighted average discount rate of 3.06%. As of January 2</w:t>
      </w:r>
      <w:r>
        <w:rPr>
          <w:rFonts w:ascii="sans-serif" w:eastAsia="sans-serif" w:hAnsi="sans-serif" w:cs="sans-serif"/>
          <w:color w:val="000000"/>
          <w:sz w:val="20"/>
          <w:szCs w:val="20"/>
        </w:rPr>
        <w:t>6, 2020, our operating leases had a weighted average remaining lease term of 8.3 years and a weighted average discount rate of 3.45%.</w:t>
      </w:r>
    </w:p>
    <w:p w14:paraId="1E8043B7" w14:textId="77777777" w:rsidR="00F20ABF" w:rsidRDefault="00CA4D2F">
      <w:pPr>
        <w:spacing w:after="180"/>
        <w:jc w:val="center"/>
      </w:pPr>
      <w:r>
        <w:rPr>
          <w:rFonts w:ascii="sans-serif" w:eastAsia="sans-serif" w:hAnsi="sans-serif" w:cs="sans-serif"/>
          <w:color w:val="000000"/>
          <w:sz w:val="20"/>
          <w:szCs w:val="20"/>
        </w:rPr>
        <w:t>13</w:t>
      </w:r>
    </w:p>
    <w:p w14:paraId="1E8043B8" w14:textId="77777777" w:rsidR="00F20ABF" w:rsidRDefault="00CA4D2F">
      <w:r>
        <w:pict w14:anchorId="1E805588">
          <v:rect id="_x0000_i1037" style="width:415.3pt;height:1.5pt" o:hralign="center" o:hrstd="t" o:hr="t" fillcolor="#a0a0a0" stroked="f"/>
        </w:pict>
      </w:r>
    </w:p>
    <w:p w14:paraId="1E8043B9" w14:textId="77777777" w:rsidR="00F20ABF" w:rsidRDefault="00CA4D2F">
      <w:pPr>
        <w:jc w:val="center"/>
      </w:pPr>
      <w:r>
        <w:rPr>
          <w:rFonts w:ascii="sans-serif" w:eastAsia="sans-serif" w:hAnsi="sans-serif" w:cs="sans-serif"/>
          <w:b/>
          <w:bCs/>
          <w:color w:val="000000"/>
          <w:sz w:val="20"/>
          <w:szCs w:val="20"/>
        </w:rPr>
        <w:t>NVIDIA CORPORATION AND SUBSIDIARIES</w:t>
      </w:r>
    </w:p>
    <w:p w14:paraId="1E8043BA" w14:textId="77777777" w:rsidR="00F20ABF" w:rsidRDefault="00CA4D2F">
      <w:pPr>
        <w:jc w:val="center"/>
      </w:pPr>
      <w:r>
        <w:rPr>
          <w:rFonts w:ascii="sans-serif" w:eastAsia="sans-serif" w:hAnsi="sans-serif" w:cs="sans-serif"/>
          <w:b/>
          <w:bCs/>
          <w:color w:val="000000"/>
          <w:sz w:val="20"/>
          <w:szCs w:val="20"/>
        </w:rPr>
        <w:t>NOTES TO CONDENSED CONSOLIDATED FINANCIAL STATEMENTS (Continued)</w:t>
      </w:r>
    </w:p>
    <w:p w14:paraId="1E8043BB" w14:textId="77777777" w:rsidR="00F20ABF" w:rsidRDefault="00CA4D2F">
      <w:pPr>
        <w:jc w:val="center"/>
      </w:pPr>
      <w:r>
        <w:rPr>
          <w:rFonts w:ascii="sans-serif" w:eastAsia="sans-serif" w:hAnsi="sans-serif" w:cs="sans-serif"/>
          <w:b/>
          <w:bCs/>
          <w:color w:val="000000"/>
          <w:sz w:val="20"/>
          <w:szCs w:val="20"/>
        </w:rPr>
        <w:t>(Unaudited)</w:t>
      </w:r>
    </w:p>
    <w:p w14:paraId="1E8043BC" w14:textId="77777777" w:rsidR="00F20ABF" w:rsidRDefault="00F20ABF">
      <w:pPr>
        <w:spacing w:after="180"/>
        <w:jc w:val="both"/>
      </w:pPr>
    </w:p>
    <w:p w14:paraId="1E8043BD" w14:textId="77777777" w:rsidR="00F20ABF" w:rsidRDefault="00F20ABF">
      <w:pPr>
        <w:spacing w:after="180"/>
        <w:jc w:val="both"/>
      </w:pPr>
    </w:p>
    <w:p w14:paraId="1E8043BE" w14:textId="77777777" w:rsidR="00F20ABF" w:rsidRDefault="00CA4D2F">
      <w:pPr>
        <w:spacing w:before="240" w:after="120"/>
        <w:jc w:val="both"/>
      </w:pPr>
      <w:r>
        <w:rPr>
          <w:rFonts w:ascii="sans-serif" w:eastAsia="sans-serif" w:hAnsi="sans-serif" w:cs="sans-serif"/>
          <w:b/>
          <w:bCs/>
          <w:color w:val="76B900"/>
          <w:sz w:val="22"/>
          <w:szCs w:val="22"/>
        </w:rPr>
        <w:t>Note 4 - Stock-Based Compensation</w:t>
      </w:r>
    </w:p>
    <w:p w14:paraId="1E8043BF" w14:textId="77777777" w:rsidR="00F20ABF" w:rsidRDefault="00CA4D2F">
      <w:pPr>
        <w:spacing w:after="180"/>
        <w:jc w:val="both"/>
      </w:pPr>
      <w:r>
        <w:rPr>
          <w:rFonts w:ascii="sans-serif" w:eastAsia="sans-serif" w:hAnsi="sans-serif" w:cs="sans-serif"/>
          <w:color w:val="000000"/>
          <w:sz w:val="20"/>
          <w:szCs w:val="20"/>
        </w:rPr>
        <w:t>Our stock-based compensation expense is associated with restricted stock units, or RSUs, performance stock units that are based on our corporate financial performance targets, or PSUs, performance stock units</w:t>
      </w:r>
      <w:r>
        <w:rPr>
          <w:rFonts w:ascii="sans-serif" w:eastAsia="sans-serif" w:hAnsi="sans-serif" w:cs="sans-serif"/>
          <w:color w:val="000000"/>
          <w:sz w:val="20"/>
          <w:szCs w:val="20"/>
        </w:rPr>
        <w:t xml:space="preserve"> that are based on market conditions, or market-based PSUs, and our employee stock purchase plan, or ESPP.</w:t>
      </w:r>
    </w:p>
    <w:p w14:paraId="1E8043C0" w14:textId="77777777" w:rsidR="00F20ABF" w:rsidRDefault="00CA4D2F">
      <w:pPr>
        <w:spacing w:after="180"/>
        <w:jc w:val="both"/>
      </w:pPr>
      <w:r>
        <w:rPr>
          <w:rFonts w:ascii="sans-serif" w:eastAsia="sans-serif" w:hAnsi="sans-serif" w:cs="sans-serif"/>
          <w:color w:val="000000"/>
          <w:sz w:val="20"/>
          <w:szCs w:val="20"/>
        </w:rPr>
        <w:t>Our Condensed Consolidated Statements of Income include stock-based compensation expense, net of amounts allocated to inventory,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494"/>
        <w:gridCol w:w="38"/>
        <w:gridCol w:w="123"/>
        <w:gridCol w:w="1233"/>
        <w:gridCol w:w="37"/>
        <w:gridCol w:w="36"/>
        <w:gridCol w:w="36"/>
        <w:gridCol w:w="36"/>
        <w:gridCol w:w="123"/>
        <w:gridCol w:w="1188"/>
        <w:gridCol w:w="37"/>
        <w:gridCol w:w="36"/>
        <w:gridCol w:w="36"/>
        <w:gridCol w:w="36"/>
        <w:gridCol w:w="123"/>
        <w:gridCol w:w="1190"/>
        <w:gridCol w:w="37"/>
        <w:gridCol w:w="36"/>
        <w:gridCol w:w="36"/>
        <w:gridCol w:w="36"/>
        <w:gridCol w:w="123"/>
        <w:gridCol w:w="1190"/>
        <w:gridCol w:w="37"/>
      </w:tblGrid>
      <w:tr w:rsidR="00F20ABF" w14:paraId="1E8043D9" w14:textId="77777777">
        <w:tc>
          <w:tcPr>
            <w:tcW w:w="50" w:type="pct"/>
            <w:shd w:val="clear" w:color="auto" w:fill="auto"/>
          </w:tcPr>
          <w:p w14:paraId="1E8043C1" w14:textId="77777777" w:rsidR="00F20ABF" w:rsidRDefault="00F20ABF">
            <w:pPr>
              <w:rPr>
                <w:rFonts w:ascii="宋体"/>
              </w:rPr>
            </w:pPr>
          </w:p>
        </w:tc>
        <w:tc>
          <w:tcPr>
            <w:tcW w:w="1531" w:type="pct"/>
            <w:shd w:val="clear" w:color="auto" w:fill="auto"/>
          </w:tcPr>
          <w:p w14:paraId="1E8043C2" w14:textId="77777777" w:rsidR="00F20ABF" w:rsidRDefault="00F20ABF">
            <w:pPr>
              <w:rPr>
                <w:rFonts w:ascii="宋体"/>
              </w:rPr>
            </w:pPr>
          </w:p>
        </w:tc>
        <w:tc>
          <w:tcPr>
            <w:tcW w:w="5" w:type="pct"/>
            <w:shd w:val="clear" w:color="auto" w:fill="auto"/>
          </w:tcPr>
          <w:p w14:paraId="1E8043C3" w14:textId="77777777" w:rsidR="00F20ABF" w:rsidRDefault="00F20ABF">
            <w:pPr>
              <w:rPr>
                <w:rFonts w:ascii="宋体"/>
              </w:rPr>
            </w:pPr>
          </w:p>
        </w:tc>
        <w:tc>
          <w:tcPr>
            <w:tcW w:w="50" w:type="pct"/>
            <w:shd w:val="clear" w:color="auto" w:fill="auto"/>
          </w:tcPr>
          <w:p w14:paraId="1E8043C4" w14:textId="77777777" w:rsidR="00F20ABF" w:rsidRDefault="00F20ABF">
            <w:pPr>
              <w:rPr>
                <w:rFonts w:ascii="宋体"/>
              </w:rPr>
            </w:pPr>
          </w:p>
        </w:tc>
        <w:tc>
          <w:tcPr>
            <w:tcW w:w="771" w:type="pct"/>
            <w:shd w:val="clear" w:color="auto" w:fill="auto"/>
          </w:tcPr>
          <w:p w14:paraId="1E8043C5" w14:textId="77777777" w:rsidR="00F20ABF" w:rsidRDefault="00F20ABF">
            <w:pPr>
              <w:rPr>
                <w:rFonts w:ascii="宋体"/>
              </w:rPr>
            </w:pPr>
          </w:p>
        </w:tc>
        <w:tc>
          <w:tcPr>
            <w:tcW w:w="5" w:type="pct"/>
            <w:shd w:val="clear" w:color="auto" w:fill="auto"/>
          </w:tcPr>
          <w:p w14:paraId="1E8043C6" w14:textId="77777777" w:rsidR="00F20ABF" w:rsidRDefault="00F20ABF">
            <w:pPr>
              <w:rPr>
                <w:rFonts w:ascii="宋体"/>
              </w:rPr>
            </w:pPr>
          </w:p>
        </w:tc>
        <w:tc>
          <w:tcPr>
            <w:tcW w:w="5" w:type="pct"/>
            <w:shd w:val="clear" w:color="auto" w:fill="auto"/>
          </w:tcPr>
          <w:p w14:paraId="1E8043C7" w14:textId="77777777" w:rsidR="00F20ABF" w:rsidRDefault="00F20ABF">
            <w:pPr>
              <w:rPr>
                <w:rFonts w:ascii="宋体"/>
              </w:rPr>
            </w:pPr>
          </w:p>
        </w:tc>
        <w:tc>
          <w:tcPr>
            <w:tcW w:w="26" w:type="pct"/>
            <w:shd w:val="clear" w:color="auto" w:fill="auto"/>
          </w:tcPr>
          <w:p w14:paraId="1E8043C8" w14:textId="77777777" w:rsidR="00F20ABF" w:rsidRDefault="00F20ABF">
            <w:pPr>
              <w:rPr>
                <w:rFonts w:ascii="宋体"/>
              </w:rPr>
            </w:pPr>
          </w:p>
        </w:tc>
        <w:tc>
          <w:tcPr>
            <w:tcW w:w="5" w:type="pct"/>
            <w:shd w:val="clear" w:color="auto" w:fill="auto"/>
          </w:tcPr>
          <w:p w14:paraId="1E8043C9" w14:textId="77777777" w:rsidR="00F20ABF" w:rsidRDefault="00F20ABF">
            <w:pPr>
              <w:rPr>
                <w:rFonts w:ascii="宋体"/>
              </w:rPr>
            </w:pPr>
          </w:p>
        </w:tc>
        <w:tc>
          <w:tcPr>
            <w:tcW w:w="50" w:type="pct"/>
            <w:shd w:val="clear" w:color="auto" w:fill="auto"/>
          </w:tcPr>
          <w:p w14:paraId="1E8043CA" w14:textId="77777777" w:rsidR="00F20ABF" w:rsidRDefault="00F20ABF">
            <w:pPr>
              <w:rPr>
                <w:rFonts w:ascii="宋体"/>
              </w:rPr>
            </w:pPr>
          </w:p>
        </w:tc>
        <w:tc>
          <w:tcPr>
            <w:tcW w:w="771" w:type="pct"/>
            <w:shd w:val="clear" w:color="auto" w:fill="auto"/>
          </w:tcPr>
          <w:p w14:paraId="1E8043CB" w14:textId="77777777" w:rsidR="00F20ABF" w:rsidRDefault="00F20ABF">
            <w:pPr>
              <w:rPr>
                <w:rFonts w:ascii="宋体"/>
              </w:rPr>
            </w:pPr>
          </w:p>
        </w:tc>
        <w:tc>
          <w:tcPr>
            <w:tcW w:w="5" w:type="pct"/>
            <w:shd w:val="clear" w:color="auto" w:fill="auto"/>
          </w:tcPr>
          <w:p w14:paraId="1E8043CC" w14:textId="77777777" w:rsidR="00F20ABF" w:rsidRDefault="00F20ABF">
            <w:pPr>
              <w:rPr>
                <w:rFonts w:ascii="宋体"/>
              </w:rPr>
            </w:pPr>
          </w:p>
        </w:tc>
        <w:tc>
          <w:tcPr>
            <w:tcW w:w="5" w:type="pct"/>
            <w:shd w:val="clear" w:color="auto" w:fill="auto"/>
          </w:tcPr>
          <w:p w14:paraId="1E8043CD" w14:textId="77777777" w:rsidR="00F20ABF" w:rsidRDefault="00F20ABF">
            <w:pPr>
              <w:rPr>
                <w:rFonts w:ascii="宋体"/>
              </w:rPr>
            </w:pPr>
          </w:p>
        </w:tc>
        <w:tc>
          <w:tcPr>
            <w:tcW w:w="26" w:type="pct"/>
            <w:shd w:val="clear" w:color="auto" w:fill="auto"/>
          </w:tcPr>
          <w:p w14:paraId="1E8043CE" w14:textId="77777777" w:rsidR="00F20ABF" w:rsidRDefault="00F20ABF">
            <w:pPr>
              <w:rPr>
                <w:rFonts w:ascii="宋体"/>
              </w:rPr>
            </w:pPr>
          </w:p>
        </w:tc>
        <w:tc>
          <w:tcPr>
            <w:tcW w:w="5" w:type="pct"/>
            <w:shd w:val="clear" w:color="auto" w:fill="auto"/>
          </w:tcPr>
          <w:p w14:paraId="1E8043CF" w14:textId="77777777" w:rsidR="00F20ABF" w:rsidRDefault="00F20ABF">
            <w:pPr>
              <w:rPr>
                <w:rFonts w:ascii="宋体"/>
              </w:rPr>
            </w:pPr>
          </w:p>
        </w:tc>
        <w:tc>
          <w:tcPr>
            <w:tcW w:w="50" w:type="pct"/>
            <w:shd w:val="clear" w:color="auto" w:fill="auto"/>
          </w:tcPr>
          <w:p w14:paraId="1E8043D0" w14:textId="77777777" w:rsidR="00F20ABF" w:rsidRDefault="00F20ABF">
            <w:pPr>
              <w:rPr>
                <w:rFonts w:ascii="宋体"/>
              </w:rPr>
            </w:pPr>
          </w:p>
        </w:tc>
        <w:tc>
          <w:tcPr>
            <w:tcW w:w="771" w:type="pct"/>
            <w:shd w:val="clear" w:color="auto" w:fill="auto"/>
          </w:tcPr>
          <w:p w14:paraId="1E8043D1" w14:textId="77777777" w:rsidR="00F20ABF" w:rsidRDefault="00F20ABF">
            <w:pPr>
              <w:rPr>
                <w:rFonts w:ascii="宋体"/>
              </w:rPr>
            </w:pPr>
          </w:p>
        </w:tc>
        <w:tc>
          <w:tcPr>
            <w:tcW w:w="5" w:type="pct"/>
            <w:shd w:val="clear" w:color="auto" w:fill="auto"/>
          </w:tcPr>
          <w:p w14:paraId="1E8043D2" w14:textId="77777777" w:rsidR="00F20ABF" w:rsidRDefault="00F20ABF">
            <w:pPr>
              <w:rPr>
                <w:rFonts w:ascii="宋体"/>
              </w:rPr>
            </w:pPr>
          </w:p>
        </w:tc>
        <w:tc>
          <w:tcPr>
            <w:tcW w:w="5" w:type="pct"/>
            <w:shd w:val="clear" w:color="auto" w:fill="auto"/>
          </w:tcPr>
          <w:p w14:paraId="1E8043D3" w14:textId="77777777" w:rsidR="00F20ABF" w:rsidRDefault="00F20ABF">
            <w:pPr>
              <w:rPr>
                <w:rFonts w:ascii="宋体"/>
              </w:rPr>
            </w:pPr>
          </w:p>
        </w:tc>
        <w:tc>
          <w:tcPr>
            <w:tcW w:w="26" w:type="pct"/>
            <w:shd w:val="clear" w:color="auto" w:fill="auto"/>
          </w:tcPr>
          <w:p w14:paraId="1E8043D4" w14:textId="77777777" w:rsidR="00F20ABF" w:rsidRDefault="00F20ABF">
            <w:pPr>
              <w:rPr>
                <w:rFonts w:ascii="宋体"/>
              </w:rPr>
            </w:pPr>
          </w:p>
        </w:tc>
        <w:tc>
          <w:tcPr>
            <w:tcW w:w="5" w:type="pct"/>
            <w:shd w:val="clear" w:color="auto" w:fill="auto"/>
          </w:tcPr>
          <w:p w14:paraId="1E8043D5" w14:textId="77777777" w:rsidR="00F20ABF" w:rsidRDefault="00F20ABF">
            <w:pPr>
              <w:rPr>
                <w:rFonts w:ascii="宋体"/>
              </w:rPr>
            </w:pPr>
          </w:p>
        </w:tc>
        <w:tc>
          <w:tcPr>
            <w:tcW w:w="50" w:type="pct"/>
            <w:shd w:val="clear" w:color="auto" w:fill="auto"/>
          </w:tcPr>
          <w:p w14:paraId="1E8043D6" w14:textId="77777777" w:rsidR="00F20ABF" w:rsidRDefault="00F20ABF">
            <w:pPr>
              <w:rPr>
                <w:rFonts w:ascii="宋体"/>
              </w:rPr>
            </w:pPr>
          </w:p>
        </w:tc>
        <w:tc>
          <w:tcPr>
            <w:tcW w:w="771" w:type="pct"/>
            <w:shd w:val="clear" w:color="auto" w:fill="auto"/>
          </w:tcPr>
          <w:p w14:paraId="1E8043D7" w14:textId="77777777" w:rsidR="00F20ABF" w:rsidRDefault="00F20ABF">
            <w:pPr>
              <w:rPr>
                <w:rFonts w:ascii="宋体"/>
              </w:rPr>
            </w:pPr>
          </w:p>
        </w:tc>
        <w:tc>
          <w:tcPr>
            <w:tcW w:w="5" w:type="pct"/>
            <w:shd w:val="clear" w:color="auto" w:fill="auto"/>
          </w:tcPr>
          <w:p w14:paraId="1E8043D8" w14:textId="77777777" w:rsidR="00F20ABF" w:rsidRDefault="00F20ABF">
            <w:pPr>
              <w:rPr>
                <w:rFonts w:ascii="宋体"/>
              </w:rPr>
            </w:pPr>
          </w:p>
        </w:tc>
      </w:tr>
      <w:tr w:rsidR="00F20ABF" w14:paraId="1E8043DE" w14:textId="77777777">
        <w:tc>
          <w:tcPr>
            <w:tcW w:w="0" w:type="auto"/>
            <w:gridSpan w:val="3"/>
            <w:shd w:val="clear" w:color="auto" w:fill="auto"/>
            <w:tcMar>
              <w:top w:w="40" w:type="dxa"/>
              <w:left w:w="20" w:type="dxa"/>
              <w:bottom w:w="40" w:type="dxa"/>
              <w:right w:w="20" w:type="dxa"/>
            </w:tcMar>
            <w:vAlign w:val="bottom"/>
          </w:tcPr>
          <w:p w14:paraId="1E8043DA" w14:textId="77777777" w:rsidR="00F20ABF" w:rsidRDefault="00CA4D2F">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E8043DB" w14:textId="77777777" w:rsidR="00F20ABF" w:rsidRDefault="00CA4D2F">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1E8043DC"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43DD" w14:textId="77777777" w:rsidR="00F20ABF" w:rsidRDefault="00CA4D2F">
            <w:pPr>
              <w:jc w:val="center"/>
              <w:textAlignment w:val="bottom"/>
            </w:pPr>
            <w:r>
              <w:rPr>
                <w:rFonts w:ascii="sans-serif" w:eastAsia="sans-serif" w:hAnsi="sans-serif" w:cs="sans-serif"/>
                <w:b/>
                <w:bCs/>
                <w:color w:val="000000"/>
                <w:sz w:val="20"/>
                <w:szCs w:val="20"/>
              </w:rPr>
              <w:t>Nine Months Ended</w:t>
            </w:r>
          </w:p>
        </w:tc>
      </w:tr>
      <w:tr w:rsidR="00F20ABF" w14:paraId="1E8043E7" w14:textId="77777777">
        <w:tc>
          <w:tcPr>
            <w:tcW w:w="0" w:type="auto"/>
            <w:gridSpan w:val="3"/>
            <w:shd w:val="clear" w:color="auto" w:fill="auto"/>
            <w:tcMar>
              <w:top w:w="40" w:type="dxa"/>
              <w:left w:w="20" w:type="dxa"/>
              <w:bottom w:w="40" w:type="dxa"/>
              <w:right w:w="20" w:type="dxa"/>
            </w:tcMar>
            <w:vAlign w:val="bottom"/>
          </w:tcPr>
          <w:p w14:paraId="1E8043DF"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3E0" w14:textId="77777777" w:rsidR="00F20ABF" w:rsidRDefault="00CA4D2F">
            <w:pPr>
              <w:jc w:val="center"/>
              <w:textAlignment w:val="bottom"/>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1E8043E1"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3E2" w14:textId="77777777" w:rsidR="00F20ABF" w:rsidRDefault="00CA4D2F">
            <w:pPr>
              <w:jc w:val="center"/>
              <w:textAlignment w:val="bottom"/>
            </w:pPr>
            <w:r>
              <w:rPr>
                <w:rFonts w:ascii="sans-serif" w:eastAsia="sans-serif" w:hAnsi="sans-serif" w:cs="sans-serif"/>
                <w:b/>
                <w:bCs/>
                <w:color w:val="000000"/>
                <w:sz w:val="20"/>
                <w:szCs w:val="20"/>
              </w:rPr>
              <w:t>October 27,</w:t>
            </w:r>
            <w:r>
              <w:rPr>
                <w:rFonts w:ascii="sans-serif" w:eastAsia="sans-serif" w:hAnsi="sans-serif" w:cs="sans-serif"/>
                <w:b/>
                <w:bCs/>
                <w:color w:val="000000"/>
                <w:sz w:val="20"/>
                <w:szCs w:val="20"/>
              </w:rPr>
              <w:br/>
              <w:t>2019</w:t>
            </w:r>
          </w:p>
        </w:tc>
        <w:tc>
          <w:tcPr>
            <w:tcW w:w="0" w:type="auto"/>
            <w:gridSpan w:val="3"/>
            <w:shd w:val="clear" w:color="auto" w:fill="auto"/>
            <w:tcMar>
              <w:top w:w="0" w:type="dxa"/>
              <w:left w:w="20" w:type="dxa"/>
              <w:bottom w:w="0" w:type="dxa"/>
              <w:right w:w="20" w:type="dxa"/>
            </w:tcMar>
          </w:tcPr>
          <w:p w14:paraId="1E8043E3"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3E4" w14:textId="77777777" w:rsidR="00F20ABF" w:rsidRDefault="00CA4D2F">
            <w:pPr>
              <w:jc w:val="center"/>
              <w:textAlignment w:val="bottom"/>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1E8043E5"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3E6" w14:textId="77777777" w:rsidR="00F20ABF" w:rsidRDefault="00CA4D2F">
            <w:pPr>
              <w:jc w:val="center"/>
              <w:textAlignment w:val="bottom"/>
            </w:pPr>
            <w:r>
              <w:rPr>
                <w:rFonts w:ascii="sans-serif" w:eastAsia="sans-serif" w:hAnsi="sans-serif" w:cs="sans-serif"/>
                <w:b/>
                <w:bCs/>
                <w:color w:val="000000"/>
                <w:sz w:val="20"/>
                <w:szCs w:val="20"/>
              </w:rPr>
              <w:t>October 27,</w:t>
            </w:r>
            <w:r>
              <w:rPr>
                <w:rFonts w:ascii="sans-serif" w:eastAsia="sans-serif" w:hAnsi="sans-serif" w:cs="sans-serif"/>
                <w:b/>
                <w:bCs/>
                <w:color w:val="000000"/>
                <w:sz w:val="20"/>
                <w:szCs w:val="20"/>
              </w:rPr>
              <w:br/>
              <w:t>2019</w:t>
            </w:r>
          </w:p>
        </w:tc>
      </w:tr>
      <w:tr w:rsidR="00F20ABF" w14:paraId="1E8043F0" w14:textId="77777777">
        <w:trPr>
          <w:trHeight w:val="60"/>
        </w:trPr>
        <w:tc>
          <w:tcPr>
            <w:tcW w:w="0" w:type="auto"/>
            <w:gridSpan w:val="3"/>
            <w:shd w:val="clear" w:color="auto" w:fill="auto"/>
            <w:tcMar>
              <w:top w:w="0" w:type="dxa"/>
              <w:left w:w="20" w:type="dxa"/>
              <w:bottom w:w="0" w:type="dxa"/>
              <w:right w:w="20" w:type="dxa"/>
            </w:tcMar>
          </w:tcPr>
          <w:p w14:paraId="1E8043E8"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3E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3EA"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3EB"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3EC"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3ED"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3EE"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3EF" w14:textId="77777777" w:rsidR="00F20ABF" w:rsidRDefault="00F20ABF">
            <w:pPr>
              <w:rPr>
                <w:rFonts w:ascii="宋体"/>
              </w:rPr>
            </w:pPr>
          </w:p>
        </w:tc>
      </w:tr>
      <w:tr w:rsidR="00F20ABF" w14:paraId="1E8043F3" w14:textId="77777777">
        <w:tc>
          <w:tcPr>
            <w:tcW w:w="0" w:type="auto"/>
            <w:gridSpan w:val="3"/>
            <w:shd w:val="clear" w:color="auto" w:fill="auto"/>
            <w:tcMar>
              <w:top w:w="0" w:type="dxa"/>
              <w:left w:w="20" w:type="dxa"/>
              <w:bottom w:w="0" w:type="dxa"/>
              <w:right w:w="20" w:type="dxa"/>
            </w:tcMar>
          </w:tcPr>
          <w:p w14:paraId="1E8043F1" w14:textId="77777777" w:rsidR="00F20ABF" w:rsidRDefault="00F20ABF">
            <w:pPr>
              <w:rPr>
                <w:rFonts w:ascii="宋体"/>
              </w:rPr>
            </w:pPr>
          </w:p>
        </w:tc>
        <w:tc>
          <w:tcPr>
            <w:tcW w:w="0" w:type="auto"/>
            <w:gridSpan w:val="21"/>
            <w:shd w:val="clear" w:color="auto" w:fill="FFFFFF"/>
            <w:tcMar>
              <w:top w:w="40" w:type="dxa"/>
              <w:left w:w="20" w:type="dxa"/>
              <w:bottom w:w="40" w:type="dxa"/>
              <w:right w:w="20" w:type="dxa"/>
            </w:tcMar>
            <w:vAlign w:val="bottom"/>
          </w:tcPr>
          <w:p w14:paraId="1E8043F2"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404" w14:textId="77777777">
        <w:tc>
          <w:tcPr>
            <w:tcW w:w="0" w:type="auto"/>
            <w:gridSpan w:val="3"/>
            <w:shd w:val="clear" w:color="auto" w:fill="E2EFD9"/>
            <w:tcMar>
              <w:top w:w="40" w:type="dxa"/>
              <w:left w:w="20" w:type="dxa"/>
              <w:bottom w:w="40" w:type="dxa"/>
              <w:right w:w="20" w:type="dxa"/>
            </w:tcMar>
            <w:vAlign w:val="bottom"/>
          </w:tcPr>
          <w:p w14:paraId="1E8043F4" w14:textId="77777777" w:rsidR="00F20ABF" w:rsidRDefault="00CA4D2F">
            <w:pPr>
              <w:textAlignment w:val="bottom"/>
            </w:pPr>
            <w:r>
              <w:rPr>
                <w:rFonts w:ascii="sans-serif" w:eastAsia="sans-serif" w:hAnsi="sans-serif" w:cs="sans-serif"/>
                <w:color w:val="000000"/>
                <w:sz w:val="20"/>
                <w:szCs w:val="20"/>
              </w:rPr>
              <w:t>Cost of revenue</w:t>
            </w:r>
          </w:p>
        </w:tc>
        <w:tc>
          <w:tcPr>
            <w:tcW w:w="0" w:type="auto"/>
            <w:shd w:val="clear" w:color="auto" w:fill="E2EFD9"/>
            <w:tcMar>
              <w:top w:w="40" w:type="dxa"/>
              <w:left w:w="20" w:type="dxa"/>
              <w:bottom w:w="40" w:type="dxa"/>
              <w:right w:w="0" w:type="dxa"/>
            </w:tcMar>
            <w:vAlign w:val="bottom"/>
          </w:tcPr>
          <w:p w14:paraId="1E8043F5"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3F6" w14:textId="77777777" w:rsidR="00F20ABF" w:rsidRDefault="00CA4D2F">
            <w:pPr>
              <w:jc w:val="right"/>
              <w:textAlignment w:val="bottom"/>
            </w:pPr>
            <w:r>
              <w:rPr>
                <w:rFonts w:ascii="sans-serif" w:eastAsia="sans-serif" w:hAnsi="sans-serif" w:cs="sans-serif"/>
                <w:color w:val="000000"/>
                <w:sz w:val="20"/>
                <w:szCs w:val="20"/>
              </w:rPr>
              <w:t>28 </w:t>
            </w:r>
          </w:p>
        </w:tc>
        <w:tc>
          <w:tcPr>
            <w:tcW w:w="0" w:type="auto"/>
            <w:shd w:val="clear" w:color="auto" w:fill="E2EFD9"/>
            <w:tcMar>
              <w:top w:w="40" w:type="dxa"/>
              <w:left w:w="0" w:type="dxa"/>
              <w:bottom w:w="40" w:type="dxa"/>
              <w:right w:w="20" w:type="dxa"/>
            </w:tcMar>
            <w:vAlign w:val="bottom"/>
          </w:tcPr>
          <w:p w14:paraId="1E8043F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3F8"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3F9"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3FA" w14:textId="77777777" w:rsidR="00F20ABF" w:rsidRDefault="00CA4D2F">
            <w:pPr>
              <w:jc w:val="right"/>
              <w:textAlignment w:val="bottom"/>
            </w:pPr>
            <w:r>
              <w:rPr>
                <w:rFonts w:ascii="sans-serif" w:eastAsia="sans-serif" w:hAnsi="sans-serif" w:cs="sans-serif"/>
                <w:color w:val="000000"/>
                <w:sz w:val="20"/>
                <w:szCs w:val="20"/>
              </w:rPr>
              <w:t>15 </w:t>
            </w:r>
          </w:p>
        </w:tc>
        <w:tc>
          <w:tcPr>
            <w:tcW w:w="0" w:type="auto"/>
            <w:shd w:val="clear" w:color="auto" w:fill="E2EFD9"/>
            <w:tcMar>
              <w:top w:w="40" w:type="dxa"/>
              <w:left w:w="0" w:type="dxa"/>
              <w:bottom w:w="40" w:type="dxa"/>
              <w:right w:w="20" w:type="dxa"/>
            </w:tcMar>
            <w:vAlign w:val="bottom"/>
          </w:tcPr>
          <w:p w14:paraId="1E8043F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3FC"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3FD"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3FE" w14:textId="77777777" w:rsidR="00F20ABF" w:rsidRDefault="00CA4D2F">
            <w:pPr>
              <w:jc w:val="right"/>
              <w:textAlignment w:val="bottom"/>
            </w:pPr>
            <w:r>
              <w:rPr>
                <w:rFonts w:ascii="sans-serif" w:eastAsia="sans-serif" w:hAnsi="sans-serif" w:cs="sans-serif"/>
                <w:color w:val="000000"/>
                <w:sz w:val="20"/>
                <w:szCs w:val="20"/>
              </w:rPr>
              <w:t>62 </w:t>
            </w:r>
          </w:p>
        </w:tc>
        <w:tc>
          <w:tcPr>
            <w:tcW w:w="0" w:type="auto"/>
            <w:shd w:val="clear" w:color="auto" w:fill="E2EFD9"/>
            <w:tcMar>
              <w:top w:w="40" w:type="dxa"/>
              <w:left w:w="0" w:type="dxa"/>
              <w:bottom w:w="40" w:type="dxa"/>
              <w:right w:w="20" w:type="dxa"/>
            </w:tcMar>
            <w:vAlign w:val="bottom"/>
          </w:tcPr>
          <w:p w14:paraId="1E8043F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400"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401"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402" w14:textId="77777777" w:rsidR="00F20ABF" w:rsidRDefault="00CA4D2F">
            <w:pPr>
              <w:jc w:val="right"/>
              <w:textAlignment w:val="bottom"/>
            </w:pPr>
            <w:r>
              <w:rPr>
                <w:rFonts w:ascii="sans-serif" w:eastAsia="sans-serif" w:hAnsi="sans-serif" w:cs="sans-serif"/>
                <w:color w:val="000000"/>
                <w:sz w:val="20"/>
                <w:szCs w:val="20"/>
              </w:rPr>
              <w:t>27 </w:t>
            </w:r>
          </w:p>
        </w:tc>
        <w:tc>
          <w:tcPr>
            <w:tcW w:w="0" w:type="auto"/>
            <w:shd w:val="clear" w:color="auto" w:fill="E2EFD9"/>
            <w:tcMar>
              <w:top w:w="40" w:type="dxa"/>
              <w:left w:w="0" w:type="dxa"/>
              <w:bottom w:w="40" w:type="dxa"/>
              <w:right w:w="20" w:type="dxa"/>
            </w:tcMar>
            <w:vAlign w:val="bottom"/>
          </w:tcPr>
          <w:p w14:paraId="1E804403" w14:textId="77777777" w:rsidR="00F20ABF" w:rsidRDefault="00F20ABF">
            <w:pPr>
              <w:jc w:val="right"/>
              <w:rPr>
                <w:rFonts w:ascii="宋体"/>
              </w:rPr>
            </w:pPr>
          </w:p>
        </w:tc>
      </w:tr>
      <w:tr w:rsidR="00F20ABF" w14:paraId="1E804411" w14:textId="77777777">
        <w:tc>
          <w:tcPr>
            <w:tcW w:w="0" w:type="auto"/>
            <w:gridSpan w:val="3"/>
            <w:shd w:val="clear" w:color="auto" w:fill="FFFFFF"/>
            <w:tcMar>
              <w:top w:w="40" w:type="dxa"/>
              <w:left w:w="20" w:type="dxa"/>
              <w:bottom w:w="40" w:type="dxa"/>
              <w:right w:w="20" w:type="dxa"/>
            </w:tcMar>
            <w:vAlign w:val="bottom"/>
          </w:tcPr>
          <w:p w14:paraId="1E804405" w14:textId="77777777" w:rsidR="00F20ABF" w:rsidRDefault="00CA4D2F">
            <w:pPr>
              <w:textAlignment w:val="bottom"/>
            </w:pPr>
            <w:r>
              <w:rPr>
                <w:rFonts w:ascii="sans-serif" w:eastAsia="sans-serif" w:hAnsi="sans-serif" w:cs="sans-serif"/>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1E804406" w14:textId="77777777" w:rsidR="00F20ABF" w:rsidRDefault="00CA4D2F">
            <w:pPr>
              <w:jc w:val="right"/>
              <w:textAlignment w:val="bottom"/>
            </w:pPr>
            <w:r>
              <w:rPr>
                <w:rFonts w:ascii="sans-serif" w:eastAsia="sans-serif" w:hAnsi="sans-serif" w:cs="sans-serif"/>
                <w:color w:val="000000"/>
                <w:sz w:val="20"/>
                <w:szCs w:val="20"/>
              </w:rPr>
              <w:t>232 </w:t>
            </w:r>
          </w:p>
        </w:tc>
        <w:tc>
          <w:tcPr>
            <w:tcW w:w="0" w:type="auto"/>
            <w:shd w:val="clear" w:color="auto" w:fill="FFFFFF"/>
            <w:tcMar>
              <w:top w:w="40" w:type="dxa"/>
              <w:left w:w="0" w:type="dxa"/>
              <w:bottom w:w="40" w:type="dxa"/>
              <w:right w:w="20" w:type="dxa"/>
            </w:tcMar>
            <w:vAlign w:val="bottom"/>
          </w:tcPr>
          <w:p w14:paraId="1E804407"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408"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409" w14:textId="77777777" w:rsidR="00F20ABF" w:rsidRDefault="00CA4D2F">
            <w:pPr>
              <w:jc w:val="right"/>
              <w:textAlignment w:val="bottom"/>
            </w:pPr>
            <w:r>
              <w:rPr>
                <w:rFonts w:ascii="sans-serif" w:eastAsia="sans-serif" w:hAnsi="sans-serif" w:cs="sans-serif"/>
                <w:color w:val="000000"/>
                <w:sz w:val="20"/>
                <w:szCs w:val="20"/>
              </w:rPr>
              <w:t>141 </w:t>
            </w:r>
          </w:p>
        </w:tc>
        <w:tc>
          <w:tcPr>
            <w:tcW w:w="0" w:type="auto"/>
            <w:shd w:val="clear" w:color="auto" w:fill="FFFFFF"/>
            <w:tcMar>
              <w:top w:w="40" w:type="dxa"/>
              <w:left w:w="0" w:type="dxa"/>
              <w:bottom w:w="40" w:type="dxa"/>
              <w:right w:w="20" w:type="dxa"/>
            </w:tcMar>
            <w:vAlign w:val="bottom"/>
          </w:tcPr>
          <w:p w14:paraId="1E80440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40B"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40C" w14:textId="77777777" w:rsidR="00F20ABF" w:rsidRDefault="00CA4D2F">
            <w:pPr>
              <w:jc w:val="right"/>
              <w:textAlignment w:val="bottom"/>
            </w:pPr>
            <w:r>
              <w:rPr>
                <w:rFonts w:ascii="sans-serif" w:eastAsia="sans-serif" w:hAnsi="sans-serif" w:cs="sans-serif"/>
                <w:color w:val="000000"/>
                <w:sz w:val="20"/>
                <w:szCs w:val="20"/>
              </w:rPr>
              <w:t>594 </w:t>
            </w:r>
          </w:p>
        </w:tc>
        <w:tc>
          <w:tcPr>
            <w:tcW w:w="0" w:type="auto"/>
            <w:shd w:val="clear" w:color="auto" w:fill="FFFFFF"/>
            <w:tcMar>
              <w:top w:w="40" w:type="dxa"/>
              <w:left w:w="0" w:type="dxa"/>
              <w:bottom w:w="40" w:type="dxa"/>
              <w:right w:w="20" w:type="dxa"/>
            </w:tcMar>
            <w:vAlign w:val="bottom"/>
          </w:tcPr>
          <w:p w14:paraId="1E80440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40E"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40F" w14:textId="77777777" w:rsidR="00F20ABF" w:rsidRDefault="00CA4D2F">
            <w:pPr>
              <w:jc w:val="right"/>
              <w:textAlignment w:val="bottom"/>
            </w:pPr>
            <w:r>
              <w:rPr>
                <w:rFonts w:ascii="sans-serif" w:eastAsia="sans-serif" w:hAnsi="sans-serif" w:cs="sans-serif"/>
                <w:color w:val="000000"/>
                <w:sz w:val="20"/>
                <w:szCs w:val="20"/>
              </w:rPr>
              <w:t>400 </w:t>
            </w:r>
          </w:p>
        </w:tc>
        <w:tc>
          <w:tcPr>
            <w:tcW w:w="0" w:type="auto"/>
            <w:shd w:val="clear" w:color="auto" w:fill="FFFFFF"/>
            <w:tcMar>
              <w:top w:w="40" w:type="dxa"/>
              <w:left w:w="0" w:type="dxa"/>
              <w:bottom w:w="40" w:type="dxa"/>
              <w:right w:w="20" w:type="dxa"/>
            </w:tcMar>
            <w:vAlign w:val="bottom"/>
          </w:tcPr>
          <w:p w14:paraId="1E804410" w14:textId="77777777" w:rsidR="00F20ABF" w:rsidRDefault="00F20ABF">
            <w:pPr>
              <w:jc w:val="right"/>
              <w:rPr>
                <w:rFonts w:ascii="宋体"/>
              </w:rPr>
            </w:pPr>
          </w:p>
        </w:tc>
      </w:tr>
      <w:tr w:rsidR="00F20ABF" w14:paraId="1E80441E" w14:textId="77777777">
        <w:tc>
          <w:tcPr>
            <w:tcW w:w="0" w:type="auto"/>
            <w:gridSpan w:val="3"/>
            <w:shd w:val="clear" w:color="auto" w:fill="E2EFD9"/>
            <w:tcMar>
              <w:top w:w="40" w:type="dxa"/>
              <w:left w:w="20" w:type="dxa"/>
              <w:bottom w:w="40" w:type="dxa"/>
              <w:right w:w="20" w:type="dxa"/>
            </w:tcMar>
            <w:vAlign w:val="bottom"/>
          </w:tcPr>
          <w:p w14:paraId="1E804412" w14:textId="77777777" w:rsidR="00F20ABF" w:rsidRDefault="00CA4D2F">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E2EFD9"/>
            <w:tcMar>
              <w:top w:w="40" w:type="dxa"/>
              <w:left w:w="20" w:type="dxa"/>
              <w:bottom w:w="40" w:type="dxa"/>
              <w:right w:w="0" w:type="dxa"/>
            </w:tcMar>
            <w:vAlign w:val="bottom"/>
          </w:tcPr>
          <w:p w14:paraId="1E804413" w14:textId="77777777" w:rsidR="00F20ABF" w:rsidRDefault="00CA4D2F">
            <w:pPr>
              <w:jc w:val="right"/>
              <w:textAlignment w:val="bottom"/>
            </w:pPr>
            <w:r>
              <w:rPr>
                <w:rFonts w:ascii="sans-serif" w:eastAsia="sans-serif" w:hAnsi="sans-serif" w:cs="sans-serif"/>
                <w:color w:val="000000"/>
                <w:sz w:val="20"/>
                <w:szCs w:val="20"/>
              </w:rPr>
              <w:t>123 </w:t>
            </w:r>
          </w:p>
        </w:tc>
        <w:tc>
          <w:tcPr>
            <w:tcW w:w="0" w:type="auto"/>
            <w:shd w:val="clear" w:color="auto" w:fill="E2EFD9"/>
            <w:tcMar>
              <w:top w:w="40" w:type="dxa"/>
              <w:left w:w="0" w:type="dxa"/>
              <w:bottom w:w="40" w:type="dxa"/>
              <w:right w:w="20" w:type="dxa"/>
            </w:tcMar>
            <w:vAlign w:val="bottom"/>
          </w:tcPr>
          <w:p w14:paraId="1E80441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415"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416" w14:textId="77777777" w:rsidR="00F20ABF" w:rsidRDefault="00CA4D2F">
            <w:pPr>
              <w:jc w:val="right"/>
              <w:textAlignment w:val="bottom"/>
            </w:pPr>
            <w:r>
              <w:rPr>
                <w:rFonts w:ascii="sans-serif" w:eastAsia="sans-serif" w:hAnsi="sans-serif" w:cs="sans-serif"/>
                <w:color w:val="000000"/>
                <w:sz w:val="20"/>
                <w:szCs w:val="20"/>
              </w:rPr>
              <w:t>67 </w:t>
            </w:r>
          </w:p>
        </w:tc>
        <w:tc>
          <w:tcPr>
            <w:tcW w:w="0" w:type="auto"/>
            <w:shd w:val="clear" w:color="auto" w:fill="E2EFD9"/>
            <w:tcMar>
              <w:top w:w="40" w:type="dxa"/>
              <w:left w:w="0" w:type="dxa"/>
              <w:bottom w:w="40" w:type="dxa"/>
              <w:right w:w="20" w:type="dxa"/>
            </w:tcMar>
            <w:vAlign w:val="bottom"/>
          </w:tcPr>
          <w:p w14:paraId="1E80441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418"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419" w14:textId="77777777" w:rsidR="00F20ABF" w:rsidRDefault="00CA4D2F">
            <w:pPr>
              <w:jc w:val="right"/>
              <w:textAlignment w:val="bottom"/>
            </w:pPr>
            <w:r>
              <w:rPr>
                <w:rFonts w:ascii="sans-serif" w:eastAsia="sans-serif" w:hAnsi="sans-serif" w:cs="sans-serif"/>
                <w:color w:val="000000"/>
                <w:sz w:val="20"/>
                <w:szCs w:val="20"/>
              </w:rPr>
              <w:t>325 </w:t>
            </w:r>
          </w:p>
        </w:tc>
        <w:tc>
          <w:tcPr>
            <w:tcW w:w="0" w:type="auto"/>
            <w:shd w:val="clear" w:color="auto" w:fill="E2EFD9"/>
            <w:tcMar>
              <w:top w:w="40" w:type="dxa"/>
              <w:left w:w="0" w:type="dxa"/>
              <w:bottom w:w="40" w:type="dxa"/>
              <w:right w:w="20" w:type="dxa"/>
            </w:tcMar>
            <w:vAlign w:val="bottom"/>
          </w:tcPr>
          <w:p w14:paraId="1E80441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41B"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41C" w14:textId="77777777" w:rsidR="00F20ABF" w:rsidRDefault="00CA4D2F">
            <w:pPr>
              <w:jc w:val="right"/>
              <w:textAlignment w:val="bottom"/>
            </w:pPr>
            <w:r>
              <w:rPr>
                <w:rFonts w:ascii="sans-serif" w:eastAsia="sans-serif" w:hAnsi="sans-serif" w:cs="sans-serif"/>
                <w:color w:val="000000"/>
                <w:sz w:val="20"/>
                <w:szCs w:val="20"/>
              </w:rPr>
              <w:t>197 </w:t>
            </w:r>
          </w:p>
        </w:tc>
        <w:tc>
          <w:tcPr>
            <w:tcW w:w="0" w:type="auto"/>
            <w:shd w:val="clear" w:color="auto" w:fill="E2EFD9"/>
            <w:tcMar>
              <w:top w:w="40" w:type="dxa"/>
              <w:left w:w="0" w:type="dxa"/>
              <w:bottom w:w="40" w:type="dxa"/>
              <w:right w:w="20" w:type="dxa"/>
            </w:tcMar>
            <w:vAlign w:val="bottom"/>
          </w:tcPr>
          <w:p w14:paraId="1E80441D" w14:textId="77777777" w:rsidR="00F20ABF" w:rsidRDefault="00F20ABF">
            <w:pPr>
              <w:jc w:val="right"/>
              <w:rPr>
                <w:rFonts w:ascii="宋体"/>
              </w:rPr>
            </w:pPr>
          </w:p>
        </w:tc>
      </w:tr>
      <w:tr w:rsidR="00F20ABF" w14:paraId="1E80442F" w14:textId="77777777">
        <w:tc>
          <w:tcPr>
            <w:tcW w:w="0" w:type="auto"/>
            <w:gridSpan w:val="3"/>
            <w:shd w:val="clear" w:color="auto" w:fill="FFFFFF"/>
            <w:tcMar>
              <w:top w:w="40" w:type="dxa"/>
              <w:left w:w="20" w:type="dxa"/>
              <w:bottom w:w="40" w:type="dxa"/>
              <w:right w:w="20" w:type="dxa"/>
            </w:tcMar>
            <w:vAlign w:val="bottom"/>
          </w:tcPr>
          <w:p w14:paraId="1E80441F" w14:textId="77777777" w:rsidR="00F20ABF" w:rsidRDefault="00CA4D2F">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420"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421" w14:textId="77777777" w:rsidR="00F20ABF" w:rsidRDefault="00CA4D2F">
            <w:pPr>
              <w:jc w:val="right"/>
              <w:textAlignment w:val="bottom"/>
            </w:pPr>
            <w:r>
              <w:rPr>
                <w:rFonts w:ascii="sans-serif" w:eastAsia="sans-serif" w:hAnsi="sans-serif" w:cs="sans-serif"/>
                <w:color w:val="000000"/>
                <w:sz w:val="20"/>
                <w:szCs w:val="20"/>
              </w:rPr>
              <w:t>383 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42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423"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424"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425" w14:textId="77777777" w:rsidR="00F20ABF" w:rsidRDefault="00CA4D2F">
            <w:pPr>
              <w:jc w:val="right"/>
              <w:textAlignment w:val="bottom"/>
            </w:pPr>
            <w:r>
              <w:rPr>
                <w:rFonts w:ascii="sans-serif" w:eastAsia="sans-serif" w:hAnsi="sans-serif" w:cs="sans-serif"/>
                <w:color w:val="000000"/>
                <w:sz w:val="20"/>
                <w:szCs w:val="20"/>
              </w:rPr>
              <w:t>223 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42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427"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428"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429" w14:textId="77777777" w:rsidR="00F20ABF" w:rsidRDefault="00CA4D2F">
            <w:pPr>
              <w:jc w:val="right"/>
              <w:textAlignment w:val="bottom"/>
            </w:pPr>
            <w:r>
              <w:rPr>
                <w:rFonts w:ascii="sans-serif" w:eastAsia="sans-serif" w:hAnsi="sans-serif" w:cs="sans-serif"/>
                <w:color w:val="000000"/>
                <w:sz w:val="20"/>
                <w:szCs w:val="20"/>
              </w:rPr>
              <w:t>981 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42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42B"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42C"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42D" w14:textId="77777777" w:rsidR="00F20ABF" w:rsidRDefault="00CA4D2F">
            <w:pPr>
              <w:jc w:val="right"/>
              <w:textAlignment w:val="bottom"/>
            </w:pPr>
            <w:r>
              <w:rPr>
                <w:rFonts w:ascii="sans-serif" w:eastAsia="sans-serif" w:hAnsi="sans-serif" w:cs="sans-serif"/>
                <w:color w:val="000000"/>
                <w:sz w:val="20"/>
                <w:szCs w:val="20"/>
              </w:rPr>
              <w:t>624 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42E" w14:textId="77777777" w:rsidR="00F20ABF" w:rsidRDefault="00F20ABF">
            <w:pPr>
              <w:jc w:val="right"/>
              <w:rPr>
                <w:rFonts w:ascii="宋体"/>
              </w:rPr>
            </w:pPr>
          </w:p>
        </w:tc>
      </w:tr>
    </w:tbl>
    <w:p w14:paraId="1E804430" w14:textId="77777777" w:rsidR="00F20ABF" w:rsidRDefault="00CA4D2F">
      <w:pPr>
        <w:spacing w:before="240" w:after="60"/>
        <w:jc w:val="both"/>
      </w:pPr>
      <w:r>
        <w:rPr>
          <w:rFonts w:ascii="sans-serif" w:eastAsia="sans-serif" w:hAnsi="sans-serif" w:cs="sans-serif"/>
          <w:b/>
          <w:bCs/>
          <w:color w:val="76B900"/>
          <w:sz w:val="20"/>
          <w:szCs w:val="20"/>
        </w:rPr>
        <w:t>Equity Award Activity</w:t>
      </w:r>
    </w:p>
    <w:p w14:paraId="1E804431" w14:textId="77777777" w:rsidR="00F20ABF" w:rsidRDefault="00CA4D2F">
      <w:pPr>
        <w:spacing w:after="360"/>
        <w:jc w:val="both"/>
      </w:pPr>
      <w:r>
        <w:rPr>
          <w:rFonts w:ascii="sans-serif" w:eastAsia="sans-serif" w:hAnsi="sans-serif" w:cs="sans-serif"/>
          <w:color w:val="000000"/>
          <w:sz w:val="20"/>
          <w:szCs w:val="20"/>
        </w:rPr>
        <w:t xml:space="preserve">The following is a summary of equity award transactions under our equity </w:t>
      </w:r>
      <w:r>
        <w:rPr>
          <w:rFonts w:ascii="sans-serif" w:eastAsia="sans-serif" w:hAnsi="sans-serif" w:cs="sans-serif"/>
          <w:color w:val="000000"/>
          <w:sz w:val="20"/>
          <w:szCs w:val="20"/>
        </w:rPr>
        <w:t>incentive plans:</w:t>
      </w:r>
    </w:p>
    <w:tbl>
      <w:tblPr>
        <w:tblW w:w="5000" w:type="pct"/>
        <w:tblCellMar>
          <w:top w:w="15" w:type="dxa"/>
          <w:left w:w="15" w:type="dxa"/>
          <w:bottom w:w="15" w:type="dxa"/>
          <w:right w:w="15" w:type="dxa"/>
        </w:tblCellMar>
        <w:tblLook w:val="04A0" w:firstRow="1" w:lastRow="0" w:firstColumn="1" w:lastColumn="0" w:noHBand="0" w:noVBand="1"/>
      </w:tblPr>
      <w:tblGrid>
        <w:gridCol w:w="46"/>
        <w:gridCol w:w="4192"/>
        <w:gridCol w:w="38"/>
        <w:gridCol w:w="47"/>
        <w:gridCol w:w="1638"/>
        <w:gridCol w:w="38"/>
        <w:gridCol w:w="37"/>
        <w:gridCol w:w="37"/>
        <w:gridCol w:w="36"/>
        <w:gridCol w:w="123"/>
        <w:gridCol w:w="1635"/>
        <w:gridCol w:w="37"/>
        <w:gridCol w:w="36"/>
        <w:gridCol w:w="36"/>
        <w:gridCol w:w="36"/>
        <w:gridCol w:w="36"/>
        <w:gridCol w:w="36"/>
        <w:gridCol w:w="36"/>
        <w:gridCol w:w="36"/>
        <w:gridCol w:w="36"/>
        <w:gridCol w:w="36"/>
        <w:gridCol w:w="36"/>
        <w:gridCol w:w="36"/>
        <w:gridCol w:w="36"/>
      </w:tblGrid>
      <w:tr w:rsidR="00F20ABF" w14:paraId="1E804442" w14:textId="77777777">
        <w:tc>
          <w:tcPr>
            <w:tcW w:w="50" w:type="pct"/>
            <w:shd w:val="clear" w:color="auto" w:fill="auto"/>
          </w:tcPr>
          <w:p w14:paraId="1E804432" w14:textId="77777777" w:rsidR="00F20ABF" w:rsidRDefault="00F20ABF">
            <w:pPr>
              <w:rPr>
                <w:rFonts w:ascii="宋体"/>
              </w:rPr>
            </w:pPr>
          </w:p>
        </w:tc>
        <w:tc>
          <w:tcPr>
            <w:tcW w:w="2671" w:type="pct"/>
            <w:shd w:val="clear" w:color="auto" w:fill="auto"/>
          </w:tcPr>
          <w:p w14:paraId="1E804433" w14:textId="77777777" w:rsidR="00F20ABF" w:rsidRDefault="00F20ABF">
            <w:pPr>
              <w:rPr>
                <w:rFonts w:ascii="宋体"/>
              </w:rPr>
            </w:pPr>
          </w:p>
        </w:tc>
        <w:tc>
          <w:tcPr>
            <w:tcW w:w="5" w:type="pct"/>
            <w:shd w:val="clear" w:color="auto" w:fill="auto"/>
          </w:tcPr>
          <w:p w14:paraId="1E804434" w14:textId="77777777" w:rsidR="00F20ABF" w:rsidRDefault="00F20ABF">
            <w:pPr>
              <w:rPr>
                <w:rFonts w:ascii="宋体"/>
              </w:rPr>
            </w:pPr>
          </w:p>
        </w:tc>
        <w:tc>
          <w:tcPr>
            <w:tcW w:w="50" w:type="pct"/>
            <w:shd w:val="clear" w:color="auto" w:fill="auto"/>
          </w:tcPr>
          <w:p w14:paraId="1E804435" w14:textId="77777777" w:rsidR="00F20ABF" w:rsidRDefault="00F20ABF">
            <w:pPr>
              <w:rPr>
                <w:rFonts w:ascii="宋体"/>
              </w:rPr>
            </w:pPr>
          </w:p>
        </w:tc>
        <w:tc>
          <w:tcPr>
            <w:tcW w:w="1056" w:type="pct"/>
            <w:shd w:val="clear" w:color="auto" w:fill="auto"/>
          </w:tcPr>
          <w:p w14:paraId="1E804436" w14:textId="77777777" w:rsidR="00F20ABF" w:rsidRDefault="00F20ABF">
            <w:pPr>
              <w:rPr>
                <w:rFonts w:ascii="宋体"/>
              </w:rPr>
            </w:pPr>
          </w:p>
        </w:tc>
        <w:tc>
          <w:tcPr>
            <w:tcW w:w="5" w:type="pct"/>
            <w:shd w:val="clear" w:color="auto" w:fill="auto"/>
          </w:tcPr>
          <w:p w14:paraId="1E804437" w14:textId="77777777" w:rsidR="00F20ABF" w:rsidRDefault="00F20ABF">
            <w:pPr>
              <w:rPr>
                <w:rFonts w:ascii="宋体"/>
              </w:rPr>
            </w:pPr>
          </w:p>
        </w:tc>
        <w:tc>
          <w:tcPr>
            <w:tcW w:w="5" w:type="pct"/>
            <w:shd w:val="clear" w:color="auto" w:fill="auto"/>
          </w:tcPr>
          <w:p w14:paraId="1E804438" w14:textId="77777777" w:rsidR="00F20ABF" w:rsidRDefault="00F20ABF">
            <w:pPr>
              <w:rPr>
                <w:rFonts w:ascii="宋体"/>
              </w:rPr>
            </w:pPr>
          </w:p>
        </w:tc>
        <w:tc>
          <w:tcPr>
            <w:tcW w:w="41" w:type="pct"/>
            <w:shd w:val="clear" w:color="auto" w:fill="auto"/>
          </w:tcPr>
          <w:p w14:paraId="1E804439" w14:textId="77777777" w:rsidR="00F20ABF" w:rsidRDefault="00F20ABF">
            <w:pPr>
              <w:rPr>
                <w:rFonts w:ascii="宋体"/>
              </w:rPr>
            </w:pPr>
          </w:p>
        </w:tc>
        <w:tc>
          <w:tcPr>
            <w:tcW w:w="5" w:type="pct"/>
            <w:shd w:val="clear" w:color="auto" w:fill="auto"/>
          </w:tcPr>
          <w:p w14:paraId="1E80443A" w14:textId="77777777" w:rsidR="00F20ABF" w:rsidRDefault="00F20ABF">
            <w:pPr>
              <w:rPr>
                <w:rFonts w:ascii="宋体"/>
              </w:rPr>
            </w:pPr>
          </w:p>
        </w:tc>
        <w:tc>
          <w:tcPr>
            <w:tcW w:w="50" w:type="pct"/>
            <w:shd w:val="clear" w:color="auto" w:fill="auto"/>
          </w:tcPr>
          <w:p w14:paraId="1E80443B" w14:textId="77777777" w:rsidR="00F20ABF" w:rsidRDefault="00F20ABF">
            <w:pPr>
              <w:rPr>
                <w:rFonts w:ascii="宋体"/>
              </w:rPr>
            </w:pPr>
          </w:p>
        </w:tc>
        <w:tc>
          <w:tcPr>
            <w:tcW w:w="1056" w:type="pct"/>
            <w:shd w:val="clear" w:color="auto" w:fill="auto"/>
          </w:tcPr>
          <w:p w14:paraId="1E80443C" w14:textId="77777777" w:rsidR="00F20ABF" w:rsidRDefault="00F20ABF">
            <w:pPr>
              <w:rPr>
                <w:rFonts w:ascii="宋体"/>
              </w:rPr>
            </w:pPr>
          </w:p>
        </w:tc>
        <w:tc>
          <w:tcPr>
            <w:tcW w:w="5" w:type="pct"/>
            <w:shd w:val="clear" w:color="auto" w:fill="auto"/>
          </w:tcPr>
          <w:p w14:paraId="1E80443D" w14:textId="77777777" w:rsidR="00F20ABF" w:rsidRDefault="00F20ABF">
            <w:pPr>
              <w:rPr>
                <w:rFonts w:ascii="宋体"/>
              </w:rPr>
            </w:pPr>
          </w:p>
        </w:tc>
        <w:tc>
          <w:tcPr>
            <w:tcW w:w="0" w:type="auto"/>
            <w:gridSpan w:val="3"/>
            <w:shd w:val="clear" w:color="auto" w:fill="auto"/>
          </w:tcPr>
          <w:p w14:paraId="1E80443E" w14:textId="77777777" w:rsidR="00F20ABF" w:rsidRDefault="00F20ABF">
            <w:pPr>
              <w:rPr>
                <w:rFonts w:ascii="宋体"/>
                <w:vanish/>
              </w:rPr>
            </w:pPr>
          </w:p>
        </w:tc>
        <w:tc>
          <w:tcPr>
            <w:tcW w:w="0" w:type="auto"/>
            <w:gridSpan w:val="3"/>
            <w:shd w:val="clear" w:color="auto" w:fill="auto"/>
          </w:tcPr>
          <w:p w14:paraId="1E80443F" w14:textId="77777777" w:rsidR="00F20ABF" w:rsidRDefault="00F20ABF">
            <w:pPr>
              <w:rPr>
                <w:rFonts w:ascii="宋体"/>
                <w:vanish/>
              </w:rPr>
            </w:pPr>
          </w:p>
        </w:tc>
        <w:tc>
          <w:tcPr>
            <w:tcW w:w="0" w:type="auto"/>
            <w:gridSpan w:val="3"/>
            <w:shd w:val="clear" w:color="auto" w:fill="auto"/>
          </w:tcPr>
          <w:p w14:paraId="1E804440" w14:textId="77777777" w:rsidR="00F20ABF" w:rsidRDefault="00F20ABF">
            <w:pPr>
              <w:rPr>
                <w:rFonts w:ascii="宋体"/>
                <w:vanish/>
              </w:rPr>
            </w:pPr>
          </w:p>
        </w:tc>
        <w:tc>
          <w:tcPr>
            <w:tcW w:w="0" w:type="auto"/>
            <w:gridSpan w:val="3"/>
            <w:shd w:val="clear" w:color="auto" w:fill="auto"/>
          </w:tcPr>
          <w:p w14:paraId="1E804441" w14:textId="77777777" w:rsidR="00F20ABF" w:rsidRDefault="00F20ABF">
            <w:pPr>
              <w:rPr>
                <w:rFonts w:ascii="宋体"/>
                <w:vanish/>
              </w:rPr>
            </w:pPr>
          </w:p>
        </w:tc>
      </w:tr>
      <w:tr w:rsidR="00F20ABF" w14:paraId="1E80444D" w14:textId="77777777">
        <w:tc>
          <w:tcPr>
            <w:tcW w:w="0" w:type="auto"/>
            <w:gridSpan w:val="3"/>
            <w:shd w:val="clear" w:color="auto" w:fill="auto"/>
            <w:tcMar>
              <w:top w:w="0" w:type="dxa"/>
              <w:left w:w="20" w:type="dxa"/>
              <w:bottom w:w="0" w:type="dxa"/>
              <w:right w:w="20" w:type="dxa"/>
            </w:tcMar>
          </w:tcPr>
          <w:p w14:paraId="1E804443"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4444" w14:textId="77777777" w:rsidR="00F20ABF" w:rsidRDefault="00CA4D2F">
            <w:pPr>
              <w:jc w:val="center"/>
              <w:textAlignment w:val="bottom"/>
            </w:pPr>
            <w:r>
              <w:rPr>
                <w:rFonts w:ascii="sans-serif" w:eastAsia="sans-serif" w:hAnsi="sans-serif" w:cs="sans-serif"/>
                <w:b/>
                <w:bCs/>
                <w:color w:val="000000"/>
                <w:sz w:val="20"/>
                <w:szCs w:val="20"/>
              </w:rPr>
              <w:t>RSUs, PSUs, and Market-based PSUs Outstanding</w:t>
            </w:r>
          </w:p>
        </w:tc>
        <w:tc>
          <w:tcPr>
            <w:tcW w:w="0" w:type="auto"/>
            <w:gridSpan w:val="3"/>
            <w:shd w:val="clear" w:color="auto" w:fill="auto"/>
          </w:tcPr>
          <w:p w14:paraId="1E804445" w14:textId="77777777" w:rsidR="00F20ABF" w:rsidRDefault="00F20ABF">
            <w:pPr>
              <w:rPr>
                <w:rFonts w:ascii="宋体"/>
                <w:vanish/>
              </w:rPr>
            </w:pPr>
          </w:p>
        </w:tc>
        <w:tc>
          <w:tcPr>
            <w:tcW w:w="0" w:type="auto"/>
            <w:gridSpan w:val="3"/>
            <w:shd w:val="clear" w:color="auto" w:fill="auto"/>
          </w:tcPr>
          <w:p w14:paraId="1E804446" w14:textId="77777777" w:rsidR="00F20ABF" w:rsidRDefault="00F20ABF">
            <w:pPr>
              <w:rPr>
                <w:rFonts w:ascii="宋体"/>
                <w:vanish/>
              </w:rPr>
            </w:pPr>
          </w:p>
        </w:tc>
        <w:tc>
          <w:tcPr>
            <w:tcW w:w="0" w:type="auto"/>
            <w:shd w:val="clear" w:color="auto" w:fill="auto"/>
          </w:tcPr>
          <w:p w14:paraId="1E804447" w14:textId="77777777" w:rsidR="00F20ABF" w:rsidRDefault="00F20ABF">
            <w:pPr>
              <w:rPr>
                <w:rFonts w:ascii="宋体"/>
              </w:rPr>
            </w:pPr>
          </w:p>
        </w:tc>
        <w:tc>
          <w:tcPr>
            <w:tcW w:w="0" w:type="auto"/>
            <w:shd w:val="clear" w:color="auto" w:fill="auto"/>
          </w:tcPr>
          <w:p w14:paraId="1E804448" w14:textId="77777777" w:rsidR="00F20ABF" w:rsidRDefault="00F20ABF">
            <w:pPr>
              <w:rPr>
                <w:rFonts w:ascii="宋体"/>
              </w:rPr>
            </w:pPr>
          </w:p>
        </w:tc>
        <w:tc>
          <w:tcPr>
            <w:tcW w:w="0" w:type="auto"/>
            <w:shd w:val="clear" w:color="auto" w:fill="auto"/>
          </w:tcPr>
          <w:p w14:paraId="1E804449" w14:textId="77777777" w:rsidR="00F20ABF" w:rsidRDefault="00F20ABF">
            <w:pPr>
              <w:rPr>
                <w:rFonts w:ascii="宋体"/>
              </w:rPr>
            </w:pPr>
          </w:p>
        </w:tc>
        <w:tc>
          <w:tcPr>
            <w:tcW w:w="0" w:type="auto"/>
            <w:shd w:val="clear" w:color="auto" w:fill="auto"/>
          </w:tcPr>
          <w:p w14:paraId="1E80444A" w14:textId="77777777" w:rsidR="00F20ABF" w:rsidRDefault="00F20ABF">
            <w:pPr>
              <w:rPr>
                <w:rFonts w:ascii="宋体"/>
              </w:rPr>
            </w:pPr>
          </w:p>
        </w:tc>
        <w:tc>
          <w:tcPr>
            <w:tcW w:w="0" w:type="auto"/>
            <w:shd w:val="clear" w:color="auto" w:fill="auto"/>
          </w:tcPr>
          <w:p w14:paraId="1E80444B" w14:textId="77777777" w:rsidR="00F20ABF" w:rsidRDefault="00F20ABF">
            <w:pPr>
              <w:rPr>
                <w:rFonts w:ascii="宋体"/>
              </w:rPr>
            </w:pPr>
          </w:p>
        </w:tc>
        <w:tc>
          <w:tcPr>
            <w:tcW w:w="0" w:type="auto"/>
            <w:shd w:val="clear" w:color="auto" w:fill="auto"/>
          </w:tcPr>
          <w:p w14:paraId="1E80444C" w14:textId="77777777" w:rsidR="00F20ABF" w:rsidRDefault="00F20ABF">
            <w:pPr>
              <w:rPr>
                <w:rFonts w:ascii="宋体"/>
              </w:rPr>
            </w:pPr>
          </w:p>
        </w:tc>
      </w:tr>
      <w:tr w:rsidR="00F20ABF" w14:paraId="1E804456" w14:textId="77777777">
        <w:tc>
          <w:tcPr>
            <w:tcW w:w="0" w:type="auto"/>
            <w:gridSpan w:val="3"/>
            <w:shd w:val="clear" w:color="auto" w:fill="auto"/>
            <w:tcMar>
              <w:top w:w="40" w:type="dxa"/>
              <w:left w:w="20" w:type="dxa"/>
              <w:bottom w:w="40" w:type="dxa"/>
              <w:right w:w="20" w:type="dxa"/>
            </w:tcMar>
            <w:vAlign w:val="bottom"/>
          </w:tcPr>
          <w:p w14:paraId="1E80444E"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44F" w14:textId="77777777" w:rsidR="00F20ABF" w:rsidRDefault="00CA4D2F">
            <w:pPr>
              <w:jc w:val="center"/>
              <w:textAlignment w:val="bottom"/>
            </w:pPr>
            <w:r>
              <w:rPr>
                <w:rFonts w:ascii="sans-serif" w:eastAsia="sans-serif" w:hAnsi="sans-serif" w:cs="sans-serif"/>
                <w:b/>
                <w:bCs/>
                <w:color w:val="000000"/>
                <w:sz w:val="20"/>
                <w:szCs w:val="20"/>
              </w:rPr>
              <w:t>Number of Shares</w:t>
            </w:r>
          </w:p>
        </w:tc>
        <w:tc>
          <w:tcPr>
            <w:tcW w:w="0" w:type="auto"/>
            <w:gridSpan w:val="3"/>
            <w:tcBorders>
              <w:top w:val="single" w:sz="8" w:space="0" w:color="000000"/>
            </w:tcBorders>
            <w:shd w:val="clear" w:color="auto" w:fill="auto"/>
            <w:tcMar>
              <w:top w:w="0" w:type="dxa"/>
              <w:left w:w="20" w:type="dxa"/>
              <w:bottom w:w="0" w:type="dxa"/>
              <w:right w:w="20" w:type="dxa"/>
            </w:tcMar>
          </w:tcPr>
          <w:p w14:paraId="1E804450"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451" w14:textId="77777777" w:rsidR="00F20ABF" w:rsidRDefault="00CA4D2F">
            <w:pPr>
              <w:jc w:val="center"/>
              <w:textAlignment w:val="bottom"/>
            </w:pPr>
            <w:r>
              <w:rPr>
                <w:rFonts w:ascii="sans-serif" w:eastAsia="sans-serif" w:hAnsi="sans-serif" w:cs="sans-serif"/>
                <w:b/>
                <w:bCs/>
                <w:color w:val="000000"/>
                <w:sz w:val="20"/>
                <w:szCs w:val="20"/>
              </w:rPr>
              <w:t>Weighted Average Grant-Date Fair Value Per Share</w:t>
            </w:r>
          </w:p>
        </w:tc>
        <w:tc>
          <w:tcPr>
            <w:tcW w:w="0" w:type="auto"/>
            <w:gridSpan w:val="3"/>
            <w:shd w:val="clear" w:color="auto" w:fill="auto"/>
          </w:tcPr>
          <w:p w14:paraId="1E804452" w14:textId="77777777" w:rsidR="00F20ABF" w:rsidRDefault="00F20ABF">
            <w:pPr>
              <w:rPr>
                <w:rFonts w:ascii="宋体"/>
                <w:vanish/>
              </w:rPr>
            </w:pPr>
          </w:p>
        </w:tc>
        <w:tc>
          <w:tcPr>
            <w:tcW w:w="0" w:type="auto"/>
            <w:gridSpan w:val="3"/>
            <w:shd w:val="clear" w:color="auto" w:fill="auto"/>
          </w:tcPr>
          <w:p w14:paraId="1E804453" w14:textId="77777777" w:rsidR="00F20ABF" w:rsidRDefault="00F20ABF">
            <w:pPr>
              <w:rPr>
                <w:rFonts w:ascii="宋体"/>
                <w:vanish/>
              </w:rPr>
            </w:pPr>
          </w:p>
        </w:tc>
        <w:tc>
          <w:tcPr>
            <w:tcW w:w="0" w:type="auto"/>
            <w:gridSpan w:val="3"/>
            <w:shd w:val="clear" w:color="auto" w:fill="auto"/>
          </w:tcPr>
          <w:p w14:paraId="1E804454" w14:textId="77777777" w:rsidR="00F20ABF" w:rsidRDefault="00F20ABF">
            <w:pPr>
              <w:rPr>
                <w:rFonts w:ascii="宋体"/>
                <w:vanish/>
              </w:rPr>
            </w:pPr>
          </w:p>
        </w:tc>
        <w:tc>
          <w:tcPr>
            <w:tcW w:w="0" w:type="auto"/>
            <w:gridSpan w:val="3"/>
            <w:shd w:val="clear" w:color="auto" w:fill="auto"/>
          </w:tcPr>
          <w:p w14:paraId="1E804455" w14:textId="77777777" w:rsidR="00F20ABF" w:rsidRDefault="00F20ABF">
            <w:pPr>
              <w:rPr>
                <w:rFonts w:ascii="宋体"/>
                <w:vanish/>
              </w:rPr>
            </w:pPr>
          </w:p>
        </w:tc>
      </w:tr>
      <w:tr w:rsidR="00F20ABF" w14:paraId="1E80445F" w14:textId="77777777">
        <w:trPr>
          <w:trHeight w:val="60"/>
        </w:trPr>
        <w:tc>
          <w:tcPr>
            <w:tcW w:w="0" w:type="auto"/>
            <w:gridSpan w:val="3"/>
            <w:shd w:val="clear" w:color="auto" w:fill="auto"/>
            <w:tcMar>
              <w:top w:w="0" w:type="dxa"/>
              <w:left w:w="20" w:type="dxa"/>
              <w:bottom w:w="0" w:type="dxa"/>
              <w:right w:w="20" w:type="dxa"/>
            </w:tcMar>
          </w:tcPr>
          <w:p w14:paraId="1E804457"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458"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459"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45A" w14:textId="77777777" w:rsidR="00F20ABF" w:rsidRDefault="00F20ABF">
            <w:pPr>
              <w:rPr>
                <w:rFonts w:ascii="宋体"/>
              </w:rPr>
            </w:pPr>
          </w:p>
        </w:tc>
        <w:tc>
          <w:tcPr>
            <w:tcW w:w="0" w:type="auto"/>
            <w:gridSpan w:val="3"/>
            <w:shd w:val="clear" w:color="auto" w:fill="auto"/>
          </w:tcPr>
          <w:p w14:paraId="1E80445B" w14:textId="77777777" w:rsidR="00F20ABF" w:rsidRDefault="00F20ABF">
            <w:pPr>
              <w:rPr>
                <w:rFonts w:ascii="宋体"/>
                <w:vanish/>
              </w:rPr>
            </w:pPr>
          </w:p>
        </w:tc>
        <w:tc>
          <w:tcPr>
            <w:tcW w:w="0" w:type="auto"/>
            <w:gridSpan w:val="3"/>
            <w:shd w:val="clear" w:color="auto" w:fill="auto"/>
          </w:tcPr>
          <w:p w14:paraId="1E80445C" w14:textId="77777777" w:rsidR="00F20ABF" w:rsidRDefault="00F20ABF">
            <w:pPr>
              <w:rPr>
                <w:rFonts w:ascii="宋体"/>
                <w:vanish/>
              </w:rPr>
            </w:pPr>
          </w:p>
        </w:tc>
        <w:tc>
          <w:tcPr>
            <w:tcW w:w="0" w:type="auto"/>
            <w:gridSpan w:val="3"/>
            <w:shd w:val="clear" w:color="auto" w:fill="auto"/>
          </w:tcPr>
          <w:p w14:paraId="1E80445D" w14:textId="77777777" w:rsidR="00F20ABF" w:rsidRDefault="00F20ABF">
            <w:pPr>
              <w:rPr>
                <w:rFonts w:ascii="宋体"/>
                <w:vanish/>
              </w:rPr>
            </w:pPr>
          </w:p>
        </w:tc>
        <w:tc>
          <w:tcPr>
            <w:tcW w:w="0" w:type="auto"/>
            <w:gridSpan w:val="3"/>
            <w:shd w:val="clear" w:color="auto" w:fill="auto"/>
          </w:tcPr>
          <w:p w14:paraId="1E80445E" w14:textId="77777777" w:rsidR="00F20ABF" w:rsidRDefault="00F20ABF">
            <w:pPr>
              <w:rPr>
                <w:rFonts w:ascii="宋体"/>
                <w:vanish/>
              </w:rPr>
            </w:pPr>
          </w:p>
        </w:tc>
      </w:tr>
      <w:tr w:rsidR="00F20ABF" w14:paraId="1E80446E" w14:textId="77777777">
        <w:tc>
          <w:tcPr>
            <w:tcW w:w="0" w:type="auto"/>
            <w:gridSpan w:val="3"/>
            <w:shd w:val="clear" w:color="auto" w:fill="auto"/>
            <w:tcMar>
              <w:top w:w="0" w:type="dxa"/>
              <w:left w:w="20" w:type="dxa"/>
              <w:bottom w:w="0" w:type="dxa"/>
              <w:right w:w="20" w:type="dxa"/>
            </w:tcMar>
          </w:tcPr>
          <w:p w14:paraId="1E804460"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4461" w14:textId="77777777" w:rsidR="00F20ABF" w:rsidRDefault="00CA4D2F">
            <w:pPr>
              <w:jc w:val="center"/>
              <w:textAlignment w:val="bottom"/>
            </w:pPr>
            <w:r>
              <w:rPr>
                <w:rFonts w:ascii="sans-serif" w:eastAsia="sans-serif" w:hAnsi="sans-serif" w:cs="sans-serif"/>
                <w:i/>
                <w:iCs/>
                <w:color w:val="000000"/>
                <w:sz w:val="20"/>
                <w:szCs w:val="20"/>
              </w:rPr>
              <w:t>(In millions, except per share data)</w:t>
            </w:r>
          </w:p>
        </w:tc>
        <w:tc>
          <w:tcPr>
            <w:tcW w:w="0" w:type="auto"/>
            <w:shd w:val="clear" w:color="auto" w:fill="auto"/>
          </w:tcPr>
          <w:p w14:paraId="1E804462" w14:textId="77777777" w:rsidR="00F20ABF" w:rsidRDefault="00F20ABF">
            <w:pPr>
              <w:rPr>
                <w:rFonts w:ascii="宋体"/>
              </w:rPr>
            </w:pPr>
          </w:p>
        </w:tc>
        <w:tc>
          <w:tcPr>
            <w:tcW w:w="0" w:type="auto"/>
            <w:shd w:val="clear" w:color="auto" w:fill="auto"/>
          </w:tcPr>
          <w:p w14:paraId="1E804463" w14:textId="77777777" w:rsidR="00F20ABF" w:rsidRDefault="00F20ABF">
            <w:pPr>
              <w:rPr>
                <w:rFonts w:ascii="宋体"/>
              </w:rPr>
            </w:pPr>
          </w:p>
        </w:tc>
        <w:tc>
          <w:tcPr>
            <w:tcW w:w="0" w:type="auto"/>
            <w:shd w:val="clear" w:color="auto" w:fill="auto"/>
          </w:tcPr>
          <w:p w14:paraId="1E804464" w14:textId="77777777" w:rsidR="00F20ABF" w:rsidRDefault="00F20ABF">
            <w:pPr>
              <w:rPr>
                <w:rFonts w:ascii="宋体"/>
              </w:rPr>
            </w:pPr>
          </w:p>
        </w:tc>
        <w:tc>
          <w:tcPr>
            <w:tcW w:w="0" w:type="auto"/>
            <w:shd w:val="clear" w:color="auto" w:fill="auto"/>
          </w:tcPr>
          <w:p w14:paraId="1E804465" w14:textId="77777777" w:rsidR="00F20ABF" w:rsidRDefault="00F20ABF">
            <w:pPr>
              <w:rPr>
                <w:rFonts w:ascii="宋体"/>
              </w:rPr>
            </w:pPr>
          </w:p>
        </w:tc>
        <w:tc>
          <w:tcPr>
            <w:tcW w:w="0" w:type="auto"/>
            <w:shd w:val="clear" w:color="auto" w:fill="auto"/>
          </w:tcPr>
          <w:p w14:paraId="1E804466" w14:textId="77777777" w:rsidR="00F20ABF" w:rsidRDefault="00F20ABF">
            <w:pPr>
              <w:rPr>
                <w:rFonts w:ascii="宋体"/>
              </w:rPr>
            </w:pPr>
          </w:p>
        </w:tc>
        <w:tc>
          <w:tcPr>
            <w:tcW w:w="0" w:type="auto"/>
            <w:shd w:val="clear" w:color="auto" w:fill="auto"/>
          </w:tcPr>
          <w:p w14:paraId="1E804467" w14:textId="77777777" w:rsidR="00F20ABF" w:rsidRDefault="00F20ABF">
            <w:pPr>
              <w:rPr>
                <w:rFonts w:ascii="宋体"/>
              </w:rPr>
            </w:pPr>
          </w:p>
        </w:tc>
        <w:tc>
          <w:tcPr>
            <w:tcW w:w="0" w:type="auto"/>
            <w:shd w:val="clear" w:color="auto" w:fill="auto"/>
          </w:tcPr>
          <w:p w14:paraId="1E804468" w14:textId="77777777" w:rsidR="00F20ABF" w:rsidRDefault="00F20ABF">
            <w:pPr>
              <w:rPr>
                <w:rFonts w:ascii="宋体"/>
              </w:rPr>
            </w:pPr>
          </w:p>
        </w:tc>
        <w:tc>
          <w:tcPr>
            <w:tcW w:w="0" w:type="auto"/>
            <w:shd w:val="clear" w:color="auto" w:fill="auto"/>
          </w:tcPr>
          <w:p w14:paraId="1E804469" w14:textId="77777777" w:rsidR="00F20ABF" w:rsidRDefault="00F20ABF">
            <w:pPr>
              <w:rPr>
                <w:rFonts w:ascii="宋体"/>
              </w:rPr>
            </w:pPr>
          </w:p>
        </w:tc>
        <w:tc>
          <w:tcPr>
            <w:tcW w:w="0" w:type="auto"/>
            <w:shd w:val="clear" w:color="auto" w:fill="auto"/>
          </w:tcPr>
          <w:p w14:paraId="1E80446A" w14:textId="77777777" w:rsidR="00F20ABF" w:rsidRDefault="00F20ABF">
            <w:pPr>
              <w:rPr>
                <w:rFonts w:ascii="宋体"/>
              </w:rPr>
            </w:pPr>
          </w:p>
        </w:tc>
        <w:tc>
          <w:tcPr>
            <w:tcW w:w="0" w:type="auto"/>
            <w:shd w:val="clear" w:color="auto" w:fill="auto"/>
          </w:tcPr>
          <w:p w14:paraId="1E80446B" w14:textId="77777777" w:rsidR="00F20ABF" w:rsidRDefault="00F20ABF">
            <w:pPr>
              <w:rPr>
                <w:rFonts w:ascii="宋体"/>
              </w:rPr>
            </w:pPr>
          </w:p>
        </w:tc>
        <w:tc>
          <w:tcPr>
            <w:tcW w:w="0" w:type="auto"/>
            <w:shd w:val="clear" w:color="auto" w:fill="auto"/>
          </w:tcPr>
          <w:p w14:paraId="1E80446C" w14:textId="77777777" w:rsidR="00F20ABF" w:rsidRDefault="00F20ABF">
            <w:pPr>
              <w:rPr>
                <w:rFonts w:ascii="宋体"/>
              </w:rPr>
            </w:pPr>
          </w:p>
        </w:tc>
        <w:tc>
          <w:tcPr>
            <w:tcW w:w="0" w:type="auto"/>
            <w:shd w:val="clear" w:color="auto" w:fill="auto"/>
          </w:tcPr>
          <w:p w14:paraId="1E80446D" w14:textId="77777777" w:rsidR="00F20ABF" w:rsidRDefault="00F20ABF">
            <w:pPr>
              <w:rPr>
                <w:rFonts w:ascii="宋体"/>
              </w:rPr>
            </w:pPr>
          </w:p>
        </w:tc>
      </w:tr>
      <w:tr w:rsidR="00F20ABF" w14:paraId="1E80447A" w14:textId="77777777">
        <w:tc>
          <w:tcPr>
            <w:tcW w:w="0" w:type="auto"/>
            <w:gridSpan w:val="3"/>
            <w:shd w:val="clear" w:color="auto" w:fill="E2EFD9"/>
            <w:tcMar>
              <w:top w:w="40" w:type="dxa"/>
              <w:left w:w="20" w:type="dxa"/>
              <w:bottom w:w="40" w:type="dxa"/>
              <w:right w:w="20" w:type="dxa"/>
            </w:tcMar>
            <w:vAlign w:val="bottom"/>
          </w:tcPr>
          <w:p w14:paraId="1E80446F" w14:textId="77777777" w:rsidR="00F20ABF" w:rsidRDefault="00CA4D2F">
            <w:pPr>
              <w:textAlignment w:val="bottom"/>
            </w:pPr>
            <w:r>
              <w:rPr>
                <w:rFonts w:ascii="sans-serif" w:eastAsia="sans-serif" w:hAnsi="sans-serif" w:cs="sans-serif"/>
                <w:color w:val="000000"/>
                <w:sz w:val="20"/>
                <w:szCs w:val="20"/>
              </w:rPr>
              <w:t>Balances, January 26, 2020</w:t>
            </w:r>
          </w:p>
        </w:tc>
        <w:tc>
          <w:tcPr>
            <w:tcW w:w="0" w:type="auto"/>
            <w:gridSpan w:val="2"/>
            <w:shd w:val="clear" w:color="auto" w:fill="E2EFD9"/>
            <w:tcMar>
              <w:top w:w="40" w:type="dxa"/>
              <w:left w:w="20" w:type="dxa"/>
              <w:bottom w:w="40" w:type="dxa"/>
              <w:right w:w="0" w:type="dxa"/>
            </w:tcMar>
            <w:vAlign w:val="bottom"/>
          </w:tcPr>
          <w:p w14:paraId="1E804470" w14:textId="77777777" w:rsidR="00F20ABF" w:rsidRDefault="00CA4D2F">
            <w:pPr>
              <w:jc w:val="right"/>
              <w:textAlignment w:val="bottom"/>
            </w:pPr>
            <w:r>
              <w:rPr>
                <w:rFonts w:ascii="sans-serif" w:eastAsia="sans-serif" w:hAnsi="sans-serif" w:cs="sans-serif"/>
                <w:color w:val="000000"/>
                <w:sz w:val="20"/>
                <w:szCs w:val="20"/>
              </w:rPr>
              <w:t>14 </w:t>
            </w:r>
          </w:p>
        </w:tc>
        <w:tc>
          <w:tcPr>
            <w:tcW w:w="0" w:type="auto"/>
            <w:shd w:val="clear" w:color="auto" w:fill="E2EFD9"/>
            <w:tcMar>
              <w:top w:w="40" w:type="dxa"/>
              <w:left w:w="0" w:type="dxa"/>
              <w:bottom w:w="40" w:type="dxa"/>
              <w:right w:w="20" w:type="dxa"/>
            </w:tcMar>
            <w:vAlign w:val="bottom"/>
          </w:tcPr>
          <w:p w14:paraId="1E80447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472"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473"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474" w14:textId="77777777" w:rsidR="00F20ABF" w:rsidRDefault="00CA4D2F">
            <w:pPr>
              <w:jc w:val="right"/>
              <w:textAlignment w:val="bottom"/>
            </w:pPr>
            <w:r>
              <w:rPr>
                <w:rFonts w:ascii="sans-serif" w:eastAsia="sans-serif" w:hAnsi="sans-serif" w:cs="sans-serif"/>
                <w:color w:val="000000"/>
                <w:sz w:val="20"/>
                <w:szCs w:val="20"/>
              </w:rPr>
              <w:t>176.72 </w:t>
            </w:r>
          </w:p>
        </w:tc>
        <w:tc>
          <w:tcPr>
            <w:tcW w:w="0" w:type="auto"/>
            <w:shd w:val="clear" w:color="auto" w:fill="E2EFD9"/>
            <w:tcMar>
              <w:top w:w="40" w:type="dxa"/>
              <w:left w:w="0" w:type="dxa"/>
              <w:bottom w:w="40" w:type="dxa"/>
              <w:right w:w="20" w:type="dxa"/>
            </w:tcMar>
            <w:vAlign w:val="bottom"/>
          </w:tcPr>
          <w:p w14:paraId="1E804475" w14:textId="77777777" w:rsidR="00F20ABF" w:rsidRDefault="00F20ABF">
            <w:pPr>
              <w:jc w:val="right"/>
              <w:rPr>
                <w:rFonts w:ascii="宋体"/>
              </w:rPr>
            </w:pPr>
          </w:p>
        </w:tc>
        <w:tc>
          <w:tcPr>
            <w:tcW w:w="0" w:type="auto"/>
            <w:gridSpan w:val="3"/>
            <w:shd w:val="clear" w:color="auto" w:fill="auto"/>
          </w:tcPr>
          <w:p w14:paraId="1E804476" w14:textId="77777777" w:rsidR="00F20ABF" w:rsidRDefault="00F20ABF">
            <w:pPr>
              <w:rPr>
                <w:rFonts w:ascii="宋体"/>
                <w:vanish/>
              </w:rPr>
            </w:pPr>
          </w:p>
        </w:tc>
        <w:tc>
          <w:tcPr>
            <w:tcW w:w="0" w:type="auto"/>
            <w:gridSpan w:val="3"/>
            <w:shd w:val="clear" w:color="auto" w:fill="auto"/>
          </w:tcPr>
          <w:p w14:paraId="1E804477" w14:textId="77777777" w:rsidR="00F20ABF" w:rsidRDefault="00F20ABF">
            <w:pPr>
              <w:rPr>
                <w:rFonts w:ascii="宋体"/>
                <w:vanish/>
              </w:rPr>
            </w:pPr>
          </w:p>
        </w:tc>
        <w:tc>
          <w:tcPr>
            <w:tcW w:w="0" w:type="auto"/>
            <w:gridSpan w:val="3"/>
            <w:shd w:val="clear" w:color="auto" w:fill="auto"/>
          </w:tcPr>
          <w:p w14:paraId="1E804478" w14:textId="77777777" w:rsidR="00F20ABF" w:rsidRDefault="00F20ABF">
            <w:pPr>
              <w:rPr>
                <w:rFonts w:ascii="宋体"/>
                <w:vanish/>
              </w:rPr>
            </w:pPr>
          </w:p>
        </w:tc>
        <w:tc>
          <w:tcPr>
            <w:tcW w:w="0" w:type="auto"/>
            <w:gridSpan w:val="3"/>
            <w:shd w:val="clear" w:color="auto" w:fill="auto"/>
          </w:tcPr>
          <w:p w14:paraId="1E804479" w14:textId="77777777" w:rsidR="00F20ABF" w:rsidRDefault="00F20ABF">
            <w:pPr>
              <w:rPr>
                <w:rFonts w:ascii="宋体"/>
                <w:vanish/>
              </w:rPr>
            </w:pPr>
          </w:p>
        </w:tc>
      </w:tr>
      <w:tr w:rsidR="00F20ABF" w14:paraId="1E804486" w14:textId="77777777">
        <w:tc>
          <w:tcPr>
            <w:tcW w:w="0" w:type="auto"/>
            <w:gridSpan w:val="3"/>
            <w:shd w:val="clear" w:color="auto" w:fill="FFFFFF"/>
            <w:tcMar>
              <w:top w:w="40" w:type="dxa"/>
              <w:left w:w="380" w:type="dxa"/>
              <w:bottom w:w="40" w:type="dxa"/>
              <w:right w:w="20" w:type="dxa"/>
            </w:tcMar>
            <w:vAlign w:val="bottom"/>
          </w:tcPr>
          <w:p w14:paraId="1E80447B" w14:textId="77777777" w:rsidR="00F20ABF" w:rsidRDefault="00CA4D2F">
            <w:pPr>
              <w:textAlignment w:val="bottom"/>
            </w:pPr>
            <w:r>
              <w:rPr>
                <w:rFonts w:ascii="sans-serif" w:eastAsia="sans-serif" w:hAnsi="sans-serif" w:cs="sans-serif"/>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1E80447C" w14:textId="77777777" w:rsidR="00F20ABF" w:rsidRDefault="00CA4D2F">
            <w:pPr>
              <w:jc w:val="right"/>
              <w:textAlignment w:val="bottom"/>
            </w:pPr>
            <w:r>
              <w:rPr>
                <w:rFonts w:ascii="sans-serif" w:eastAsia="sans-serif" w:hAnsi="sans-serif" w:cs="sans-serif"/>
                <w:color w:val="000000"/>
                <w:sz w:val="20"/>
                <w:szCs w:val="20"/>
              </w:rPr>
              <w:t>8 </w:t>
            </w:r>
          </w:p>
        </w:tc>
        <w:tc>
          <w:tcPr>
            <w:tcW w:w="0" w:type="auto"/>
            <w:shd w:val="clear" w:color="auto" w:fill="FFFFFF"/>
            <w:tcMar>
              <w:top w:w="40" w:type="dxa"/>
              <w:left w:w="0" w:type="dxa"/>
              <w:bottom w:w="40" w:type="dxa"/>
              <w:right w:w="20" w:type="dxa"/>
            </w:tcMar>
            <w:vAlign w:val="bottom"/>
          </w:tcPr>
          <w:p w14:paraId="1E80447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47E"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47F"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480" w14:textId="77777777" w:rsidR="00F20ABF" w:rsidRDefault="00CA4D2F">
            <w:pPr>
              <w:jc w:val="right"/>
              <w:textAlignment w:val="bottom"/>
            </w:pPr>
            <w:r>
              <w:rPr>
                <w:rFonts w:ascii="sans-serif" w:eastAsia="sans-serif" w:hAnsi="sans-serif" w:cs="sans-serif"/>
                <w:color w:val="000000"/>
                <w:sz w:val="20"/>
                <w:szCs w:val="20"/>
              </w:rPr>
              <w:t>300.75 </w:t>
            </w:r>
          </w:p>
        </w:tc>
        <w:tc>
          <w:tcPr>
            <w:tcW w:w="0" w:type="auto"/>
            <w:shd w:val="clear" w:color="auto" w:fill="FFFFFF"/>
            <w:tcMar>
              <w:top w:w="40" w:type="dxa"/>
              <w:left w:w="0" w:type="dxa"/>
              <w:bottom w:w="40" w:type="dxa"/>
              <w:right w:w="20" w:type="dxa"/>
            </w:tcMar>
            <w:vAlign w:val="bottom"/>
          </w:tcPr>
          <w:p w14:paraId="1E804481" w14:textId="77777777" w:rsidR="00F20ABF" w:rsidRDefault="00F20ABF">
            <w:pPr>
              <w:jc w:val="right"/>
              <w:rPr>
                <w:rFonts w:ascii="宋体"/>
              </w:rPr>
            </w:pPr>
          </w:p>
        </w:tc>
        <w:tc>
          <w:tcPr>
            <w:tcW w:w="0" w:type="auto"/>
            <w:gridSpan w:val="3"/>
            <w:shd w:val="clear" w:color="auto" w:fill="auto"/>
          </w:tcPr>
          <w:p w14:paraId="1E804482" w14:textId="77777777" w:rsidR="00F20ABF" w:rsidRDefault="00F20ABF">
            <w:pPr>
              <w:rPr>
                <w:rFonts w:ascii="宋体"/>
                <w:vanish/>
              </w:rPr>
            </w:pPr>
          </w:p>
        </w:tc>
        <w:tc>
          <w:tcPr>
            <w:tcW w:w="0" w:type="auto"/>
            <w:gridSpan w:val="3"/>
            <w:shd w:val="clear" w:color="auto" w:fill="auto"/>
          </w:tcPr>
          <w:p w14:paraId="1E804483" w14:textId="77777777" w:rsidR="00F20ABF" w:rsidRDefault="00F20ABF">
            <w:pPr>
              <w:rPr>
                <w:rFonts w:ascii="宋体"/>
                <w:vanish/>
              </w:rPr>
            </w:pPr>
          </w:p>
        </w:tc>
        <w:tc>
          <w:tcPr>
            <w:tcW w:w="0" w:type="auto"/>
            <w:gridSpan w:val="3"/>
            <w:shd w:val="clear" w:color="auto" w:fill="auto"/>
          </w:tcPr>
          <w:p w14:paraId="1E804484" w14:textId="77777777" w:rsidR="00F20ABF" w:rsidRDefault="00F20ABF">
            <w:pPr>
              <w:rPr>
                <w:rFonts w:ascii="宋体"/>
                <w:vanish/>
              </w:rPr>
            </w:pPr>
          </w:p>
        </w:tc>
        <w:tc>
          <w:tcPr>
            <w:tcW w:w="0" w:type="auto"/>
            <w:gridSpan w:val="3"/>
            <w:shd w:val="clear" w:color="auto" w:fill="auto"/>
          </w:tcPr>
          <w:p w14:paraId="1E804485" w14:textId="77777777" w:rsidR="00F20ABF" w:rsidRDefault="00F20ABF">
            <w:pPr>
              <w:rPr>
                <w:rFonts w:ascii="宋体"/>
                <w:vanish/>
              </w:rPr>
            </w:pPr>
          </w:p>
        </w:tc>
      </w:tr>
      <w:tr w:rsidR="00F20ABF" w14:paraId="1E80448F" w14:textId="77777777">
        <w:trPr>
          <w:hidden/>
        </w:trPr>
        <w:tc>
          <w:tcPr>
            <w:tcW w:w="0" w:type="auto"/>
            <w:gridSpan w:val="3"/>
            <w:shd w:val="clear" w:color="auto" w:fill="auto"/>
          </w:tcPr>
          <w:p w14:paraId="1E804487" w14:textId="77777777" w:rsidR="00F20ABF" w:rsidRDefault="00F20ABF">
            <w:pPr>
              <w:rPr>
                <w:rFonts w:ascii="宋体"/>
                <w:vanish/>
              </w:rPr>
            </w:pPr>
          </w:p>
        </w:tc>
        <w:tc>
          <w:tcPr>
            <w:tcW w:w="0" w:type="auto"/>
            <w:gridSpan w:val="3"/>
            <w:shd w:val="clear" w:color="auto" w:fill="auto"/>
          </w:tcPr>
          <w:p w14:paraId="1E804488" w14:textId="77777777" w:rsidR="00F20ABF" w:rsidRDefault="00F20ABF">
            <w:pPr>
              <w:rPr>
                <w:rFonts w:ascii="宋体"/>
                <w:vanish/>
              </w:rPr>
            </w:pPr>
          </w:p>
        </w:tc>
        <w:tc>
          <w:tcPr>
            <w:tcW w:w="0" w:type="auto"/>
            <w:gridSpan w:val="3"/>
            <w:shd w:val="clear" w:color="auto" w:fill="auto"/>
          </w:tcPr>
          <w:p w14:paraId="1E804489" w14:textId="77777777" w:rsidR="00F20ABF" w:rsidRDefault="00F20ABF">
            <w:pPr>
              <w:rPr>
                <w:rFonts w:ascii="宋体"/>
                <w:vanish/>
              </w:rPr>
            </w:pPr>
          </w:p>
        </w:tc>
        <w:tc>
          <w:tcPr>
            <w:tcW w:w="0" w:type="auto"/>
            <w:gridSpan w:val="3"/>
            <w:shd w:val="clear" w:color="auto" w:fill="auto"/>
          </w:tcPr>
          <w:p w14:paraId="1E80448A" w14:textId="77777777" w:rsidR="00F20ABF" w:rsidRDefault="00F20ABF">
            <w:pPr>
              <w:rPr>
                <w:rFonts w:ascii="宋体"/>
                <w:vanish/>
              </w:rPr>
            </w:pPr>
          </w:p>
        </w:tc>
        <w:tc>
          <w:tcPr>
            <w:tcW w:w="0" w:type="auto"/>
            <w:gridSpan w:val="3"/>
            <w:shd w:val="clear" w:color="auto" w:fill="auto"/>
          </w:tcPr>
          <w:p w14:paraId="1E80448B" w14:textId="77777777" w:rsidR="00F20ABF" w:rsidRDefault="00F20ABF">
            <w:pPr>
              <w:rPr>
                <w:rFonts w:ascii="宋体"/>
                <w:vanish/>
              </w:rPr>
            </w:pPr>
          </w:p>
        </w:tc>
        <w:tc>
          <w:tcPr>
            <w:tcW w:w="0" w:type="auto"/>
            <w:gridSpan w:val="3"/>
            <w:shd w:val="clear" w:color="auto" w:fill="auto"/>
          </w:tcPr>
          <w:p w14:paraId="1E80448C" w14:textId="77777777" w:rsidR="00F20ABF" w:rsidRDefault="00F20ABF">
            <w:pPr>
              <w:rPr>
                <w:rFonts w:ascii="宋体"/>
                <w:vanish/>
              </w:rPr>
            </w:pPr>
          </w:p>
        </w:tc>
        <w:tc>
          <w:tcPr>
            <w:tcW w:w="0" w:type="auto"/>
            <w:gridSpan w:val="3"/>
            <w:shd w:val="clear" w:color="auto" w:fill="auto"/>
          </w:tcPr>
          <w:p w14:paraId="1E80448D" w14:textId="77777777" w:rsidR="00F20ABF" w:rsidRDefault="00F20ABF">
            <w:pPr>
              <w:rPr>
                <w:rFonts w:ascii="宋体"/>
                <w:vanish/>
              </w:rPr>
            </w:pPr>
          </w:p>
        </w:tc>
        <w:tc>
          <w:tcPr>
            <w:tcW w:w="0" w:type="auto"/>
            <w:gridSpan w:val="3"/>
            <w:shd w:val="clear" w:color="auto" w:fill="auto"/>
          </w:tcPr>
          <w:p w14:paraId="1E80448E" w14:textId="77777777" w:rsidR="00F20ABF" w:rsidRDefault="00F20ABF">
            <w:pPr>
              <w:rPr>
                <w:rFonts w:ascii="宋体"/>
                <w:vanish/>
              </w:rPr>
            </w:pPr>
          </w:p>
        </w:tc>
      </w:tr>
      <w:tr w:rsidR="00F20ABF" w14:paraId="1E80449B" w14:textId="77777777">
        <w:tc>
          <w:tcPr>
            <w:tcW w:w="0" w:type="auto"/>
            <w:gridSpan w:val="3"/>
            <w:shd w:val="clear" w:color="auto" w:fill="E2EFD9"/>
            <w:tcMar>
              <w:top w:w="40" w:type="dxa"/>
              <w:left w:w="380" w:type="dxa"/>
              <w:bottom w:w="40" w:type="dxa"/>
              <w:right w:w="20" w:type="dxa"/>
            </w:tcMar>
            <w:vAlign w:val="bottom"/>
          </w:tcPr>
          <w:p w14:paraId="1E804490" w14:textId="77777777" w:rsidR="00F20ABF" w:rsidRDefault="00CA4D2F">
            <w:pPr>
              <w:textAlignment w:val="bottom"/>
            </w:pPr>
            <w:r>
              <w:rPr>
                <w:rFonts w:ascii="sans-serif" w:eastAsia="sans-serif" w:hAnsi="sans-serif" w:cs="sans-serif"/>
                <w:color w:val="000000"/>
                <w:sz w:val="20"/>
                <w:szCs w:val="20"/>
              </w:rPr>
              <w:t>Vested restricted stock</w:t>
            </w:r>
          </w:p>
        </w:tc>
        <w:tc>
          <w:tcPr>
            <w:tcW w:w="0" w:type="auto"/>
            <w:gridSpan w:val="2"/>
            <w:shd w:val="clear" w:color="auto" w:fill="E2EFD9"/>
            <w:tcMar>
              <w:top w:w="40" w:type="dxa"/>
              <w:left w:w="20" w:type="dxa"/>
              <w:bottom w:w="40" w:type="dxa"/>
              <w:right w:w="0" w:type="dxa"/>
            </w:tcMar>
            <w:vAlign w:val="bottom"/>
          </w:tcPr>
          <w:p w14:paraId="1E804491" w14:textId="77777777" w:rsidR="00F20ABF" w:rsidRDefault="00CA4D2F">
            <w:pPr>
              <w:jc w:val="right"/>
              <w:textAlignment w:val="bottom"/>
            </w:pPr>
            <w:r>
              <w:rPr>
                <w:rFonts w:ascii="sans-serif" w:eastAsia="sans-serif" w:hAnsi="sans-serif" w:cs="sans-serif"/>
                <w:color w:val="000000"/>
                <w:sz w:val="20"/>
                <w:szCs w:val="20"/>
              </w:rPr>
              <w:t>(6)</w:t>
            </w:r>
          </w:p>
        </w:tc>
        <w:tc>
          <w:tcPr>
            <w:tcW w:w="0" w:type="auto"/>
            <w:shd w:val="clear" w:color="auto" w:fill="E2EFD9"/>
            <w:tcMar>
              <w:top w:w="40" w:type="dxa"/>
              <w:left w:w="0" w:type="dxa"/>
              <w:bottom w:w="40" w:type="dxa"/>
              <w:right w:w="20" w:type="dxa"/>
            </w:tcMar>
            <w:vAlign w:val="bottom"/>
          </w:tcPr>
          <w:p w14:paraId="1E80449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493"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494"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495" w14:textId="77777777" w:rsidR="00F20ABF" w:rsidRDefault="00CA4D2F">
            <w:pPr>
              <w:jc w:val="right"/>
              <w:textAlignment w:val="bottom"/>
            </w:pPr>
            <w:r>
              <w:rPr>
                <w:rFonts w:ascii="sans-serif" w:eastAsia="sans-serif" w:hAnsi="sans-serif" w:cs="sans-serif"/>
                <w:color w:val="000000"/>
                <w:sz w:val="20"/>
                <w:szCs w:val="20"/>
              </w:rPr>
              <w:t>152.46 </w:t>
            </w:r>
          </w:p>
        </w:tc>
        <w:tc>
          <w:tcPr>
            <w:tcW w:w="0" w:type="auto"/>
            <w:shd w:val="clear" w:color="auto" w:fill="E2EFD9"/>
            <w:tcMar>
              <w:top w:w="40" w:type="dxa"/>
              <w:left w:w="0" w:type="dxa"/>
              <w:bottom w:w="40" w:type="dxa"/>
              <w:right w:w="20" w:type="dxa"/>
            </w:tcMar>
            <w:vAlign w:val="bottom"/>
          </w:tcPr>
          <w:p w14:paraId="1E804496" w14:textId="77777777" w:rsidR="00F20ABF" w:rsidRDefault="00F20ABF">
            <w:pPr>
              <w:jc w:val="right"/>
              <w:rPr>
                <w:rFonts w:ascii="宋体"/>
              </w:rPr>
            </w:pPr>
          </w:p>
        </w:tc>
        <w:tc>
          <w:tcPr>
            <w:tcW w:w="0" w:type="auto"/>
            <w:gridSpan w:val="3"/>
            <w:shd w:val="clear" w:color="auto" w:fill="auto"/>
          </w:tcPr>
          <w:p w14:paraId="1E804497" w14:textId="77777777" w:rsidR="00F20ABF" w:rsidRDefault="00F20ABF">
            <w:pPr>
              <w:rPr>
                <w:rFonts w:ascii="宋体"/>
                <w:vanish/>
              </w:rPr>
            </w:pPr>
          </w:p>
        </w:tc>
        <w:tc>
          <w:tcPr>
            <w:tcW w:w="0" w:type="auto"/>
            <w:gridSpan w:val="3"/>
            <w:shd w:val="clear" w:color="auto" w:fill="auto"/>
          </w:tcPr>
          <w:p w14:paraId="1E804498" w14:textId="77777777" w:rsidR="00F20ABF" w:rsidRDefault="00F20ABF">
            <w:pPr>
              <w:rPr>
                <w:rFonts w:ascii="宋体"/>
                <w:vanish/>
              </w:rPr>
            </w:pPr>
          </w:p>
        </w:tc>
        <w:tc>
          <w:tcPr>
            <w:tcW w:w="0" w:type="auto"/>
            <w:gridSpan w:val="3"/>
            <w:shd w:val="clear" w:color="auto" w:fill="auto"/>
          </w:tcPr>
          <w:p w14:paraId="1E804499" w14:textId="77777777" w:rsidR="00F20ABF" w:rsidRDefault="00F20ABF">
            <w:pPr>
              <w:rPr>
                <w:rFonts w:ascii="宋体"/>
                <w:vanish/>
              </w:rPr>
            </w:pPr>
          </w:p>
        </w:tc>
        <w:tc>
          <w:tcPr>
            <w:tcW w:w="0" w:type="auto"/>
            <w:gridSpan w:val="3"/>
            <w:shd w:val="clear" w:color="auto" w:fill="auto"/>
          </w:tcPr>
          <w:p w14:paraId="1E80449A" w14:textId="77777777" w:rsidR="00F20ABF" w:rsidRDefault="00F20ABF">
            <w:pPr>
              <w:rPr>
                <w:rFonts w:ascii="宋体"/>
                <w:vanish/>
              </w:rPr>
            </w:pPr>
          </w:p>
        </w:tc>
      </w:tr>
      <w:tr w:rsidR="00F20ABF" w14:paraId="1E8044A4" w14:textId="77777777">
        <w:trPr>
          <w:hidden/>
        </w:trPr>
        <w:tc>
          <w:tcPr>
            <w:tcW w:w="0" w:type="auto"/>
            <w:gridSpan w:val="3"/>
            <w:shd w:val="clear" w:color="auto" w:fill="auto"/>
          </w:tcPr>
          <w:p w14:paraId="1E80449C" w14:textId="77777777" w:rsidR="00F20ABF" w:rsidRDefault="00F20ABF">
            <w:pPr>
              <w:rPr>
                <w:rFonts w:ascii="宋体"/>
                <w:vanish/>
              </w:rPr>
            </w:pPr>
          </w:p>
        </w:tc>
        <w:tc>
          <w:tcPr>
            <w:tcW w:w="0" w:type="auto"/>
            <w:gridSpan w:val="3"/>
            <w:shd w:val="clear" w:color="auto" w:fill="auto"/>
          </w:tcPr>
          <w:p w14:paraId="1E80449D" w14:textId="77777777" w:rsidR="00F20ABF" w:rsidRDefault="00F20ABF">
            <w:pPr>
              <w:rPr>
                <w:rFonts w:ascii="宋体"/>
                <w:vanish/>
              </w:rPr>
            </w:pPr>
          </w:p>
        </w:tc>
        <w:tc>
          <w:tcPr>
            <w:tcW w:w="0" w:type="auto"/>
            <w:gridSpan w:val="3"/>
            <w:shd w:val="clear" w:color="auto" w:fill="auto"/>
          </w:tcPr>
          <w:p w14:paraId="1E80449E" w14:textId="77777777" w:rsidR="00F20ABF" w:rsidRDefault="00F20ABF">
            <w:pPr>
              <w:rPr>
                <w:rFonts w:ascii="宋体"/>
                <w:vanish/>
              </w:rPr>
            </w:pPr>
          </w:p>
        </w:tc>
        <w:tc>
          <w:tcPr>
            <w:tcW w:w="0" w:type="auto"/>
            <w:gridSpan w:val="3"/>
            <w:shd w:val="clear" w:color="auto" w:fill="auto"/>
          </w:tcPr>
          <w:p w14:paraId="1E80449F" w14:textId="77777777" w:rsidR="00F20ABF" w:rsidRDefault="00F20ABF">
            <w:pPr>
              <w:rPr>
                <w:rFonts w:ascii="宋体"/>
                <w:vanish/>
              </w:rPr>
            </w:pPr>
          </w:p>
        </w:tc>
        <w:tc>
          <w:tcPr>
            <w:tcW w:w="0" w:type="auto"/>
            <w:gridSpan w:val="3"/>
            <w:shd w:val="clear" w:color="auto" w:fill="auto"/>
          </w:tcPr>
          <w:p w14:paraId="1E8044A0" w14:textId="77777777" w:rsidR="00F20ABF" w:rsidRDefault="00F20ABF">
            <w:pPr>
              <w:rPr>
                <w:rFonts w:ascii="宋体"/>
                <w:vanish/>
              </w:rPr>
            </w:pPr>
          </w:p>
        </w:tc>
        <w:tc>
          <w:tcPr>
            <w:tcW w:w="0" w:type="auto"/>
            <w:gridSpan w:val="3"/>
            <w:shd w:val="clear" w:color="auto" w:fill="auto"/>
          </w:tcPr>
          <w:p w14:paraId="1E8044A1" w14:textId="77777777" w:rsidR="00F20ABF" w:rsidRDefault="00F20ABF">
            <w:pPr>
              <w:rPr>
                <w:rFonts w:ascii="宋体"/>
                <w:vanish/>
              </w:rPr>
            </w:pPr>
          </w:p>
        </w:tc>
        <w:tc>
          <w:tcPr>
            <w:tcW w:w="0" w:type="auto"/>
            <w:gridSpan w:val="3"/>
            <w:shd w:val="clear" w:color="auto" w:fill="auto"/>
          </w:tcPr>
          <w:p w14:paraId="1E8044A2" w14:textId="77777777" w:rsidR="00F20ABF" w:rsidRDefault="00F20ABF">
            <w:pPr>
              <w:rPr>
                <w:rFonts w:ascii="宋体"/>
                <w:vanish/>
              </w:rPr>
            </w:pPr>
          </w:p>
        </w:tc>
        <w:tc>
          <w:tcPr>
            <w:tcW w:w="0" w:type="auto"/>
            <w:gridSpan w:val="3"/>
            <w:shd w:val="clear" w:color="auto" w:fill="auto"/>
          </w:tcPr>
          <w:p w14:paraId="1E8044A3" w14:textId="77777777" w:rsidR="00F20ABF" w:rsidRDefault="00F20ABF">
            <w:pPr>
              <w:rPr>
                <w:rFonts w:ascii="宋体"/>
                <w:vanish/>
              </w:rPr>
            </w:pPr>
          </w:p>
        </w:tc>
      </w:tr>
      <w:tr w:rsidR="00F20ABF" w14:paraId="1E8044B0" w14:textId="77777777">
        <w:tc>
          <w:tcPr>
            <w:tcW w:w="0" w:type="auto"/>
            <w:gridSpan w:val="3"/>
            <w:shd w:val="clear" w:color="auto" w:fill="FFFFFF"/>
            <w:tcMar>
              <w:top w:w="40" w:type="dxa"/>
              <w:left w:w="20" w:type="dxa"/>
              <w:bottom w:w="40" w:type="dxa"/>
              <w:right w:w="20" w:type="dxa"/>
            </w:tcMar>
            <w:vAlign w:val="bottom"/>
          </w:tcPr>
          <w:p w14:paraId="1E8044A5" w14:textId="77777777" w:rsidR="00F20ABF" w:rsidRDefault="00CA4D2F">
            <w:pPr>
              <w:textAlignment w:val="bottom"/>
            </w:pPr>
            <w:r>
              <w:rPr>
                <w:rFonts w:ascii="sans-serif" w:eastAsia="sans-serif" w:hAnsi="sans-serif" w:cs="sans-serif"/>
                <w:color w:val="000000"/>
                <w:sz w:val="20"/>
                <w:szCs w:val="20"/>
              </w:rPr>
              <w:t>Balances, October 25, 2020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4A6" w14:textId="77777777" w:rsidR="00F20ABF" w:rsidRDefault="00CA4D2F">
            <w:pPr>
              <w:jc w:val="right"/>
              <w:textAlignment w:val="bottom"/>
            </w:pPr>
            <w:r>
              <w:rPr>
                <w:rFonts w:ascii="sans-serif" w:eastAsia="sans-serif" w:hAnsi="sans-serif" w:cs="sans-serif"/>
                <w:color w:val="000000"/>
                <w:sz w:val="20"/>
                <w:szCs w:val="20"/>
              </w:rPr>
              <w:t>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4A7"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4A8"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4A9"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4AA" w14:textId="77777777" w:rsidR="00F20ABF" w:rsidRDefault="00CA4D2F">
            <w:pPr>
              <w:jc w:val="right"/>
              <w:textAlignment w:val="bottom"/>
            </w:pPr>
            <w:r>
              <w:rPr>
                <w:rFonts w:ascii="sans-serif" w:eastAsia="sans-serif" w:hAnsi="sans-serif" w:cs="sans-serif"/>
                <w:color w:val="000000"/>
                <w:sz w:val="20"/>
                <w:szCs w:val="20"/>
              </w:rPr>
              <w:t>253.81 </w:t>
            </w:r>
          </w:p>
        </w:tc>
        <w:tc>
          <w:tcPr>
            <w:tcW w:w="0" w:type="auto"/>
            <w:shd w:val="clear" w:color="auto" w:fill="FFFFFF"/>
            <w:tcMar>
              <w:top w:w="40" w:type="dxa"/>
              <w:left w:w="0" w:type="dxa"/>
              <w:bottom w:w="40" w:type="dxa"/>
              <w:right w:w="20" w:type="dxa"/>
            </w:tcMar>
            <w:vAlign w:val="bottom"/>
          </w:tcPr>
          <w:p w14:paraId="1E8044AB" w14:textId="77777777" w:rsidR="00F20ABF" w:rsidRDefault="00F20ABF">
            <w:pPr>
              <w:jc w:val="right"/>
              <w:rPr>
                <w:rFonts w:ascii="宋体"/>
              </w:rPr>
            </w:pPr>
          </w:p>
        </w:tc>
        <w:tc>
          <w:tcPr>
            <w:tcW w:w="0" w:type="auto"/>
            <w:gridSpan w:val="3"/>
            <w:shd w:val="clear" w:color="auto" w:fill="auto"/>
          </w:tcPr>
          <w:p w14:paraId="1E8044AC" w14:textId="77777777" w:rsidR="00F20ABF" w:rsidRDefault="00F20ABF">
            <w:pPr>
              <w:rPr>
                <w:rFonts w:ascii="宋体"/>
                <w:vanish/>
              </w:rPr>
            </w:pPr>
          </w:p>
        </w:tc>
        <w:tc>
          <w:tcPr>
            <w:tcW w:w="0" w:type="auto"/>
            <w:gridSpan w:val="3"/>
            <w:shd w:val="clear" w:color="auto" w:fill="auto"/>
          </w:tcPr>
          <w:p w14:paraId="1E8044AD" w14:textId="77777777" w:rsidR="00F20ABF" w:rsidRDefault="00F20ABF">
            <w:pPr>
              <w:rPr>
                <w:rFonts w:ascii="宋体"/>
                <w:vanish/>
              </w:rPr>
            </w:pPr>
          </w:p>
        </w:tc>
        <w:tc>
          <w:tcPr>
            <w:tcW w:w="0" w:type="auto"/>
            <w:gridSpan w:val="3"/>
            <w:shd w:val="clear" w:color="auto" w:fill="auto"/>
          </w:tcPr>
          <w:p w14:paraId="1E8044AE" w14:textId="77777777" w:rsidR="00F20ABF" w:rsidRDefault="00F20ABF">
            <w:pPr>
              <w:rPr>
                <w:rFonts w:ascii="宋体"/>
                <w:vanish/>
              </w:rPr>
            </w:pPr>
          </w:p>
        </w:tc>
        <w:tc>
          <w:tcPr>
            <w:tcW w:w="0" w:type="auto"/>
            <w:gridSpan w:val="3"/>
            <w:shd w:val="clear" w:color="auto" w:fill="auto"/>
          </w:tcPr>
          <w:p w14:paraId="1E8044AF" w14:textId="77777777" w:rsidR="00F20ABF" w:rsidRDefault="00F20ABF">
            <w:pPr>
              <w:rPr>
                <w:rFonts w:ascii="宋体"/>
                <w:vanish/>
              </w:rPr>
            </w:pPr>
          </w:p>
        </w:tc>
      </w:tr>
    </w:tbl>
    <w:p w14:paraId="1E8044B1" w14:textId="77777777" w:rsidR="00F20ABF" w:rsidRDefault="00F20ABF">
      <w:pPr>
        <w:ind w:hanging="360"/>
        <w:jc w:val="both"/>
      </w:pPr>
    </w:p>
    <w:p w14:paraId="1E8044B2" w14:textId="77777777" w:rsidR="00F20ABF" w:rsidRDefault="00CA4D2F">
      <w:pPr>
        <w:spacing w:after="180"/>
        <w:jc w:val="both"/>
      </w:pPr>
      <w:r>
        <w:rPr>
          <w:rFonts w:ascii="sans-serif" w:eastAsia="sans-serif" w:hAnsi="sans-serif" w:cs="sans-serif"/>
          <w:color w:val="000000"/>
          <w:sz w:val="20"/>
          <w:szCs w:val="20"/>
        </w:rPr>
        <w:t xml:space="preserve">As of October 25, 2020, there was $3.42 billion of aggregate unearned </w:t>
      </w:r>
      <w:r>
        <w:rPr>
          <w:rFonts w:ascii="sans-serif" w:eastAsia="sans-serif" w:hAnsi="sans-serif" w:cs="sans-serif"/>
          <w:color w:val="000000"/>
          <w:sz w:val="20"/>
          <w:szCs w:val="20"/>
        </w:rPr>
        <w:t>stock-based compensation expense, net of forfeitures. This amount is expected to be recognized over a weighted average period of 2.7 years for RSUs, PSUs, and market-based PSUs, and 0.9 years for ESPP.</w:t>
      </w:r>
    </w:p>
    <w:p w14:paraId="1E8044B3" w14:textId="77777777" w:rsidR="00F20ABF" w:rsidRDefault="00F20ABF">
      <w:pPr>
        <w:spacing w:before="240" w:after="120"/>
        <w:jc w:val="both"/>
      </w:pPr>
    </w:p>
    <w:p w14:paraId="1E8044B4" w14:textId="77777777" w:rsidR="00F20ABF" w:rsidRDefault="00CA4D2F">
      <w:pPr>
        <w:spacing w:after="180"/>
        <w:jc w:val="center"/>
      </w:pPr>
      <w:r>
        <w:rPr>
          <w:rFonts w:ascii="sans-serif" w:eastAsia="sans-serif" w:hAnsi="sans-serif" w:cs="sans-serif"/>
          <w:color w:val="000000"/>
          <w:sz w:val="20"/>
          <w:szCs w:val="20"/>
        </w:rPr>
        <w:t>14</w:t>
      </w:r>
    </w:p>
    <w:p w14:paraId="1E8044B5" w14:textId="77777777" w:rsidR="00F20ABF" w:rsidRDefault="00CA4D2F">
      <w:r>
        <w:pict w14:anchorId="1E805589">
          <v:rect id="_x0000_i1038" style="width:415.3pt;height:1.5pt" o:hralign="center" o:hrstd="t" o:hr="t" fillcolor="#a0a0a0" stroked="f"/>
        </w:pict>
      </w:r>
    </w:p>
    <w:p w14:paraId="1E8044B6" w14:textId="77777777" w:rsidR="00F20ABF" w:rsidRDefault="00CA4D2F">
      <w:pPr>
        <w:jc w:val="center"/>
      </w:pPr>
      <w:r>
        <w:rPr>
          <w:rFonts w:ascii="sans-serif" w:eastAsia="sans-serif" w:hAnsi="sans-serif" w:cs="sans-serif"/>
          <w:b/>
          <w:bCs/>
          <w:color w:val="000000"/>
          <w:sz w:val="20"/>
          <w:szCs w:val="20"/>
        </w:rPr>
        <w:t>NVIDIA CORPORATION AND SUBSIDIARIES</w:t>
      </w:r>
    </w:p>
    <w:p w14:paraId="1E8044B7" w14:textId="77777777" w:rsidR="00F20ABF" w:rsidRDefault="00CA4D2F">
      <w:pPr>
        <w:jc w:val="center"/>
      </w:pPr>
      <w:r>
        <w:rPr>
          <w:rFonts w:ascii="sans-serif" w:eastAsia="sans-serif" w:hAnsi="sans-serif" w:cs="sans-serif"/>
          <w:b/>
          <w:bCs/>
          <w:color w:val="000000"/>
          <w:sz w:val="20"/>
          <w:szCs w:val="20"/>
        </w:rPr>
        <w:t>NOTES TO CON</w:t>
      </w:r>
      <w:r>
        <w:rPr>
          <w:rFonts w:ascii="sans-serif" w:eastAsia="sans-serif" w:hAnsi="sans-serif" w:cs="sans-serif"/>
          <w:b/>
          <w:bCs/>
          <w:color w:val="000000"/>
          <w:sz w:val="20"/>
          <w:szCs w:val="20"/>
        </w:rPr>
        <w:t>DENSED CONSOLIDATED FINANCIAL STATEMENTS (Continued)</w:t>
      </w:r>
    </w:p>
    <w:p w14:paraId="1E8044B8" w14:textId="77777777" w:rsidR="00F20ABF" w:rsidRDefault="00CA4D2F">
      <w:pPr>
        <w:jc w:val="center"/>
      </w:pPr>
      <w:r>
        <w:rPr>
          <w:rFonts w:ascii="sans-serif" w:eastAsia="sans-serif" w:hAnsi="sans-serif" w:cs="sans-serif"/>
          <w:b/>
          <w:bCs/>
          <w:color w:val="000000"/>
          <w:sz w:val="20"/>
          <w:szCs w:val="20"/>
        </w:rPr>
        <w:t>(Unaudited)</w:t>
      </w:r>
    </w:p>
    <w:p w14:paraId="1E8044B9" w14:textId="77777777" w:rsidR="00F20ABF" w:rsidRDefault="00F20ABF">
      <w:pPr>
        <w:spacing w:after="180"/>
        <w:jc w:val="both"/>
      </w:pPr>
    </w:p>
    <w:p w14:paraId="1E8044BA" w14:textId="77777777" w:rsidR="00F20ABF" w:rsidRDefault="00F20ABF">
      <w:pPr>
        <w:spacing w:after="180"/>
        <w:jc w:val="both"/>
      </w:pPr>
    </w:p>
    <w:p w14:paraId="1E8044BB" w14:textId="77777777" w:rsidR="00F20ABF" w:rsidRDefault="00CA4D2F">
      <w:pPr>
        <w:spacing w:before="240" w:after="120"/>
        <w:jc w:val="both"/>
      </w:pPr>
      <w:r>
        <w:rPr>
          <w:rFonts w:ascii="sans-serif" w:eastAsia="sans-serif" w:hAnsi="sans-serif" w:cs="sans-serif"/>
          <w:b/>
          <w:bCs/>
          <w:color w:val="76B900"/>
          <w:sz w:val="22"/>
          <w:szCs w:val="22"/>
        </w:rPr>
        <w:t>Note 5 – Net Income Per Share</w:t>
      </w:r>
    </w:p>
    <w:p w14:paraId="1E8044BC" w14:textId="77777777" w:rsidR="00F20ABF" w:rsidRDefault="00CA4D2F">
      <w:pPr>
        <w:spacing w:after="180"/>
        <w:jc w:val="both"/>
      </w:pPr>
      <w:r>
        <w:rPr>
          <w:rFonts w:ascii="sans-serif" w:eastAsia="sans-serif" w:hAnsi="sans-serif" w:cs="sans-serif"/>
          <w:color w:val="000000"/>
          <w:sz w:val="20"/>
          <w:szCs w:val="20"/>
        </w:rPr>
        <w:t>The following is a reconciliation of the denominator of the basic and diluted net income per share computations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177"/>
        <w:gridCol w:w="36"/>
        <w:gridCol w:w="123"/>
        <w:gridCol w:w="1160"/>
        <w:gridCol w:w="37"/>
        <w:gridCol w:w="36"/>
        <w:gridCol w:w="36"/>
        <w:gridCol w:w="36"/>
        <w:gridCol w:w="123"/>
        <w:gridCol w:w="1117"/>
        <w:gridCol w:w="37"/>
        <w:gridCol w:w="36"/>
        <w:gridCol w:w="36"/>
        <w:gridCol w:w="36"/>
        <w:gridCol w:w="123"/>
        <w:gridCol w:w="922"/>
        <w:gridCol w:w="37"/>
        <w:gridCol w:w="36"/>
        <w:gridCol w:w="36"/>
        <w:gridCol w:w="36"/>
        <w:gridCol w:w="123"/>
        <w:gridCol w:w="922"/>
        <w:gridCol w:w="37"/>
      </w:tblGrid>
      <w:tr w:rsidR="00F20ABF" w14:paraId="1E8044D5" w14:textId="77777777">
        <w:tc>
          <w:tcPr>
            <w:tcW w:w="50" w:type="pct"/>
            <w:shd w:val="clear" w:color="auto" w:fill="auto"/>
          </w:tcPr>
          <w:p w14:paraId="1E8044BD" w14:textId="77777777" w:rsidR="00F20ABF" w:rsidRDefault="00F20ABF">
            <w:pPr>
              <w:rPr>
                <w:rFonts w:ascii="宋体"/>
              </w:rPr>
            </w:pPr>
          </w:p>
        </w:tc>
        <w:tc>
          <w:tcPr>
            <w:tcW w:w="1940" w:type="pct"/>
            <w:shd w:val="clear" w:color="auto" w:fill="auto"/>
          </w:tcPr>
          <w:p w14:paraId="1E8044BE" w14:textId="77777777" w:rsidR="00F20ABF" w:rsidRDefault="00F20ABF">
            <w:pPr>
              <w:rPr>
                <w:rFonts w:ascii="宋体"/>
              </w:rPr>
            </w:pPr>
          </w:p>
        </w:tc>
        <w:tc>
          <w:tcPr>
            <w:tcW w:w="5" w:type="pct"/>
            <w:shd w:val="clear" w:color="auto" w:fill="auto"/>
          </w:tcPr>
          <w:p w14:paraId="1E8044BF" w14:textId="77777777" w:rsidR="00F20ABF" w:rsidRDefault="00F20ABF">
            <w:pPr>
              <w:rPr>
                <w:rFonts w:ascii="宋体"/>
              </w:rPr>
            </w:pPr>
          </w:p>
        </w:tc>
        <w:tc>
          <w:tcPr>
            <w:tcW w:w="50" w:type="pct"/>
            <w:shd w:val="clear" w:color="auto" w:fill="auto"/>
          </w:tcPr>
          <w:p w14:paraId="1E8044C0" w14:textId="77777777" w:rsidR="00F20ABF" w:rsidRDefault="00F20ABF">
            <w:pPr>
              <w:rPr>
                <w:rFonts w:ascii="宋体"/>
              </w:rPr>
            </w:pPr>
          </w:p>
        </w:tc>
        <w:tc>
          <w:tcPr>
            <w:tcW w:w="727" w:type="pct"/>
            <w:shd w:val="clear" w:color="auto" w:fill="auto"/>
          </w:tcPr>
          <w:p w14:paraId="1E8044C1" w14:textId="77777777" w:rsidR="00F20ABF" w:rsidRDefault="00F20ABF">
            <w:pPr>
              <w:rPr>
                <w:rFonts w:ascii="宋体"/>
              </w:rPr>
            </w:pPr>
          </w:p>
        </w:tc>
        <w:tc>
          <w:tcPr>
            <w:tcW w:w="5" w:type="pct"/>
            <w:shd w:val="clear" w:color="auto" w:fill="auto"/>
          </w:tcPr>
          <w:p w14:paraId="1E8044C2" w14:textId="77777777" w:rsidR="00F20ABF" w:rsidRDefault="00F20ABF">
            <w:pPr>
              <w:rPr>
                <w:rFonts w:ascii="宋体"/>
              </w:rPr>
            </w:pPr>
          </w:p>
        </w:tc>
        <w:tc>
          <w:tcPr>
            <w:tcW w:w="5" w:type="pct"/>
            <w:shd w:val="clear" w:color="auto" w:fill="auto"/>
          </w:tcPr>
          <w:p w14:paraId="1E8044C3" w14:textId="77777777" w:rsidR="00F20ABF" w:rsidRDefault="00F20ABF">
            <w:pPr>
              <w:rPr>
                <w:rFonts w:ascii="宋体"/>
              </w:rPr>
            </w:pPr>
          </w:p>
        </w:tc>
        <w:tc>
          <w:tcPr>
            <w:tcW w:w="26" w:type="pct"/>
            <w:shd w:val="clear" w:color="auto" w:fill="auto"/>
          </w:tcPr>
          <w:p w14:paraId="1E8044C4" w14:textId="77777777" w:rsidR="00F20ABF" w:rsidRDefault="00F20ABF">
            <w:pPr>
              <w:rPr>
                <w:rFonts w:ascii="宋体"/>
              </w:rPr>
            </w:pPr>
          </w:p>
        </w:tc>
        <w:tc>
          <w:tcPr>
            <w:tcW w:w="5" w:type="pct"/>
            <w:shd w:val="clear" w:color="auto" w:fill="auto"/>
          </w:tcPr>
          <w:p w14:paraId="1E8044C5" w14:textId="77777777" w:rsidR="00F20ABF" w:rsidRDefault="00F20ABF">
            <w:pPr>
              <w:rPr>
                <w:rFonts w:ascii="宋体"/>
              </w:rPr>
            </w:pPr>
          </w:p>
        </w:tc>
        <w:tc>
          <w:tcPr>
            <w:tcW w:w="50" w:type="pct"/>
            <w:shd w:val="clear" w:color="auto" w:fill="auto"/>
          </w:tcPr>
          <w:p w14:paraId="1E8044C6" w14:textId="77777777" w:rsidR="00F20ABF" w:rsidRDefault="00F20ABF">
            <w:pPr>
              <w:rPr>
                <w:rFonts w:ascii="宋体"/>
              </w:rPr>
            </w:pPr>
          </w:p>
        </w:tc>
        <w:tc>
          <w:tcPr>
            <w:tcW w:w="727" w:type="pct"/>
            <w:shd w:val="clear" w:color="auto" w:fill="auto"/>
          </w:tcPr>
          <w:p w14:paraId="1E8044C7" w14:textId="77777777" w:rsidR="00F20ABF" w:rsidRDefault="00F20ABF">
            <w:pPr>
              <w:rPr>
                <w:rFonts w:ascii="宋体"/>
              </w:rPr>
            </w:pPr>
          </w:p>
        </w:tc>
        <w:tc>
          <w:tcPr>
            <w:tcW w:w="5" w:type="pct"/>
            <w:shd w:val="clear" w:color="auto" w:fill="auto"/>
          </w:tcPr>
          <w:p w14:paraId="1E8044C8" w14:textId="77777777" w:rsidR="00F20ABF" w:rsidRDefault="00F20ABF">
            <w:pPr>
              <w:rPr>
                <w:rFonts w:ascii="宋体"/>
              </w:rPr>
            </w:pPr>
          </w:p>
        </w:tc>
        <w:tc>
          <w:tcPr>
            <w:tcW w:w="5" w:type="pct"/>
            <w:shd w:val="clear" w:color="auto" w:fill="auto"/>
          </w:tcPr>
          <w:p w14:paraId="1E8044C9" w14:textId="77777777" w:rsidR="00F20ABF" w:rsidRDefault="00F20ABF">
            <w:pPr>
              <w:rPr>
                <w:rFonts w:ascii="宋体"/>
              </w:rPr>
            </w:pPr>
          </w:p>
        </w:tc>
        <w:tc>
          <w:tcPr>
            <w:tcW w:w="26" w:type="pct"/>
            <w:shd w:val="clear" w:color="auto" w:fill="auto"/>
          </w:tcPr>
          <w:p w14:paraId="1E8044CA" w14:textId="77777777" w:rsidR="00F20ABF" w:rsidRDefault="00F20ABF">
            <w:pPr>
              <w:rPr>
                <w:rFonts w:ascii="宋体"/>
              </w:rPr>
            </w:pPr>
          </w:p>
        </w:tc>
        <w:tc>
          <w:tcPr>
            <w:tcW w:w="5" w:type="pct"/>
            <w:shd w:val="clear" w:color="auto" w:fill="auto"/>
          </w:tcPr>
          <w:p w14:paraId="1E8044CB" w14:textId="77777777" w:rsidR="00F20ABF" w:rsidRDefault="00F20ABF">
            <w:pPr>
              <w:rPr>
                <w:rFonts w:ascii="宋体"/>
              </w:rPr>
            </w:pPr>
          </w:p>
        </w:tc>
        <w:tc>
          <w:tcPr>
            <w:tcW w:w="50" w:type="pct"/>
            <w:shd w:val="clear" w:color="auto" w:fill="auto"/>
          </w:tcPr>
          <w:p w14:paraId="1E8044CC" w14:textId="77777777" w:rsidR="00F20ABF" w:rsidRDefault="00F20ABF">
            <w:pPr>
              <w:rPr>
                <w:rFonts w:ascii="宋体"/>
              </w:rPr>
            </w:pPr>
          </w:p>
        </w:tc>
        <w:tc>
          <w:tcPr>
            <w:tcW w:w="610" w:type="pct"/>
            <w:shd w:val="clear" w:color="auto" w:fill="auto"/>
          </w:tcPr>
          <w:p w14:paraId="1E8044CD" w14:textId="77777777" w:rsidR="00F20ABF" w:rsidRDefault="00F20ABF">
            <w:pPr>
              <w:rPr>
                <w:rFonts w:ascii="宋体"/>
              </w:rPr>
            </w:pPr>
          </w:p>
        </w:tc>
        <w:tc>
          <w:tcPr>
            <w:tcW w:w="5" w:type="pct"/>
            <w:shd w:val="clear" w:color="auto" w:fill="auto"/>
          </w:tcPr>
          <w:p w14:paraId="1E8044CE" w14:textId="77777777" w:rsidR="00F20ABF" w:rsidRDefault="00F20ABF">
            <w:pPr>
              <w:rPr>
                <w:rFonts w:ascii="宋体"/>
              </w:rPr>
            </w:pPr>
          </w:p>
        </w:tc>
        <w:tc>
          <w:tcPr>
            <w:tcW w:w="5" w:type="pct"/>
            <w:shd w:val="clear" w:color="auto" w:fill="auto"/>
          </w:tcPr>
          <w:p w14:paraId="1E8044CF" w14:textId="77777777" w:rsidR="00F20ABF" w:rsidRDefault="00F20ABF">
            <w:pPr>
              <w:rPr>
                <w:rFonts w:ascii="宋体"/>
              </w:rPr>
            </w:pPr>
          </w:p>
        </w:tc>
        <w:tc>
          <w:tcPr>
            <w:tcW w:w="26" w:type="pct"/>
            <w:shd w:val="clear" w:color="auto" w:fill="auto"/>
          </w:tcPr>
          <w:p w14:paraId="1E8044D0" w14:textId="77777777" w:rsidR="00F20ABF" w:rsidRDefault="00F20ABF">
            <w:pPr>
              <w:rPr>
                <w:rFonts w:ascii="宋体"/>
              </w:rPr>
            </w:pPr>
          </w:p>
        </w:tc>
        <w:tc>
          <w:tcPr>
            <w:tcW w:w="5" w:type="pct"/>
            <w:shd w:val="clear" w:color="auto" w:fill="auto"/>
          </w:tcPr>
          <w:p w14:paraId="1E8044D1" w14:textId="77777777" w:rsidR="00F20ABF" w:rsidRDefault="00F20ABF">
            <w:pPr>
              <w:rPr>
                <w:rFonts w:ascii="宋体"/>
              </w:rPr>
            </w:pPr>
          </w:p>
        </w:tc>
        <w:tc>
          <w:tcPr>
            <w:tcW w:w="50" w:type="pct"/>
            <w:shd w:val="clear" w:color="auto" w:fill="auto"/>
          </w:tcPr>
          <w:p w14:paraId="1E8044D2" w14:textId="77777777" w:rsidR="00F20ABF" w:rsidRDefault="00F20ABF">
            <w:pPr>
              <w:rPr>
                <w:rFonts w:ascii="宋体"/>
              </w:rPr>
            </w:pPr>
          </w:p>
        </w:tc>
        <w:tc>
          <w:tcPr>
            <w:tcW w:w="610" w:type="pct"/>
            <w:shd w:val="clear" w:color="auto" w:fill="auto"/>
          </w:tcPr>
          <w:p w14:paraId="1E8044D3" w14:textId="77777777" w:rsidR="00F20ABF" w:rsidRDefault="00F20ABF">
            <w:pPr>
              <w:rPr>
                <w:rFonts w:ascii="宋体"/>
              </w:rPr>
            </w:pPr>
          </w:p>
        </w:tc>
        <w:tc>
          <w:tcPr>
            <w:tcW w:w="5" w:type="pct"/>
            <w:shd w:val="clear" w:color="auto" w:fill="auto"/>
          </w:tcPr>
          <w:p w14:paraId="1E8044D4" w14:textId="77777777" w:rsidR="00F20ABF" w:rsidRDefault="00F20ABF">
            <w:pPr>
              <w:rPr>
                <w:rFonts w:ascii="宋体"/>
              </w:rPr>
            </w:pPr>
          </w:p>
        </w:tc>
      </w:tr>
      <w:tr w:rsidR="00F20ABF" w14:paraId="1E8044DA" w14:textId="77777777">
        <w:tc>
          <w:tcPr>
            <w:tcW w:w="0" w:type="auto"/>
            <w:gridSpan w:val="3"/>
            <w:shd w:val="clear" w:color="auto" w:fill="auto"/>
            <w:tcMar>
              <w:top w:w="40" w:type="dxa"/>
              <w:left w:w="20" w:type="dxa"/>
              <w:bottom w:w="40" w:type="dxa"/>
              <w:right w:w="20" w:type="dxa"/>
            </w:tcMar>
            <w:vAlign w:val="bottom"/>
          </w:tcPr>
          <w:p w14:paraId="1E8044D6" w14:textId="77777777" w:rsidR="00F20ABF" w:rsidRDefault="00CA4D2F">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E8044D7" w14:textId="77777777" w:rsidR="00F20ABF" w:rsidRDefault="00CA4D2F">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1E8044D8"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44D9" w14:textId="77777777" w:rsidR="00F20ABF" w:rsidRDefault="00CA4D2F">
            <w:pPr>
              <w:jc w:val="center"/>
              <w:textAlignment w:val="bottom"/>
            </w:pPr>
            <w:r>
              <w:rPr>
                <w:rFonts w:ascii="sans-serif" w:eastAsia="sans-serif" w:hAnsi="sans-serif" w:cs="sans-serif"/>
                <w:b/>
                <w:bCs/>
                <w:color w:val="000000"/>
                <w:sz w:val="20"/>
                <w:szCs w:val="20"/>
              </w:rPr>
              <w:t>Nine Months Ended</w:t>
            </w:r>
          </w:p>
        </w:tc>
      </w:tr>
      <w:tr w:rsidR="00F20ABF" w14:paraId="1E8044E3" w14:textId="77777777">
        <w:tc>
          <w:tcPr>
            <w:tcW w:w="0" w:type="auto"/>
            <w:gridSpan w:val="3"/>
            <w:shd w:val="clear" w:color="auto" w:fill="auto"/>
            <w:tcMar>
              <w:top w:w="0" w:type="dxa"/>
              <w:left w:w="20" w:type="dxa"/>
              <w:bottom w:w="0" w:type="dxa"/>
              <w:right w:w="20" w:type="dxa"/>
            </w:tcMar>
          </w:tcPr>
          <w:p w14:paraId="1E8044DB"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4DC" w14:textId="77777777" w:rsidR="00F20ABF" w:rsidRDefault="00CA4D2F">
            <w:pPr>
              <w:jc w:val="center"/>
              <w:textAlignment w:val="bottom"/>
            </w:pPr>
            <w:r>
              <w:rPr>
                <w:rFonts w:ascii="sans-serif" w:eastAsia="sans-serif" w:hAnsi="sans-serif" w:cs="sans-serif"/>
                <w:b/>
                <w:bCs/>
                <w:color w:val="000000"/>
                <w:sz w:val="20"/>
                <w:szCs w:val="20"/>
              </w:rPr>
              <w:t>October 25,</w:t>
            </w:r>
          </w:p>
        </w:tc>
        <w:tc>
          <w:tcPr>
            <w:tcW w:w="0" w:type="auto"/>
            <w:gridSpan w:val="3"/>
            <w:tcBorders>
              <w:top w:val="single" w:sz="8" w:space="0" w:color="000000"/>
            </w:tcBorders>
            <w:shd w:val="clear" w:color="auto" w:fill="auto"/>
            <w:tcMar>
              <w:top w:w="0" w:type="dxa"/>
              <w:left w:w="20" w:type="dxa"/>
              <w:bottom w:w="0" w:type="dxa"/>
              <w:right w:w="20" w:type="dxa"/>
            </w:tcMar>
          </w:tcPr>
          <w:p w14:paraId="1E8044DD"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4DE" w14:textId="77777777" w:rsidR="00F20ABF" w:rsidRDefault="00CA4D2F">
            <w:pPr>
              <w:jc w:val="center"/>
              <w:textAlignment w:val="bottom"/>
            </w:pPr>
            <w:r>
              <w:rPr>
                <w:rFonts w:ascii="sans-serif" w:eastAsia="sans-serif" w:hAnsi="sans-serif" w:cs="sans-serif"/>
                <w:b/>
                <w:bCs/>
                <w:color w:val="000000"/>
                <w:sz w:val="20"/>
                <w:szCs w:val="20"/>
              </w:rPr>
              <w:t>October 27,</w:t>
            </w:r>
          </w:p>
        </w:tc>
        <w:tc>
          <w:tcPr>
            <w:tcW w:w="0" w:type="auto"/>
            <w:gridSpan w:val="3"/>
            <w:shd w:val="clear" w:color="auto" w:fill="auto"/>
            <w:tcMar>
              <w:top w:w="0" w:type="dxa"/>
              <w:left w:w="20" w:type="dxa"/>
              <w:bottom w:w="0" w:type="dxa"/>
              <w:right w:w="20" w:type="dxa"/>
            </w:tcMar>
          </w:tcPr>
          <w:p w14:paraId="1E8044DF"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4E0" w14:textId="77777777" w:rsidR="00F20ABF" w:rsidRDefault="00CA4D2F">
            <w:pPr>
              <w:jc w:val="center"/>
              <w:textAlignment w:val="bottom"/>
            </w:pPr>
            <w:r>
              <w:rPr>
                <w:rFonts w:ascii="sans-serif" w:eastAsia="sans-serif" w:hAnsi="sans-serif" w:cs="sans-serif"/>
                <w:b/>
                <w:bCs/>
                <w:color w:val="000000"/>
                <w:sz w:val="20"/>
                <w:szCs w:val="20"/>
              </w:rPr>
              <w:t>October 25,</w:t>
            </w:r>
          </w:p>
        </w:tc>
        <w:tc>
          <w:tcPr>
            <w:tcW w:w="0" w:type="auto"/>
            <w:gridSpan w:val="3"/>
            <w:tcBorders>
              <w:top w:val="single" w:sz="8" w:space="0" w:color="000000"/>
            </w:tcBorders>
            <w:shd w:val="clear" w:color="auto" w:fill="auto"/>
            <w:tcMar>
              <w:top w:w="0" w:type="dxa"/>
              <w:left w:w="20" w:type="dxa"/>
              <w:bottom w:w="0" w:type="dxa"/>
              <w:right w:w="20" w:type="dxa"/>
            </w:tcMar>
          </w:tcPr>
          <w:p w14:paraId="1E8044E1"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4E2" w14:textId="77777777" w:rsidR="00F20ABF" w:rsidRDefault="00CA4D2F">
            <w:pPr>
              <w:jc w:val="center"/>
              <w:textAlignment w:val="bottom"/>
            </w:pPr>
            <w:r>
              <w:rPr>
                <w:rFonts w:ascii="sans-serif" w:eastAsia="sans-serif" w:hAnsi="sans-serif" w:cs="sans-serif"/>
                <w:b/>
                <w:bCs/>
                <w:color w:val="000000"/>
                <w:sz w:val="20"/>
                <w:szCs w:val="20"/>
              </w:rPr>
              <w:t>October 27,</w:t>
            </w:r>
          </w:p>
        </w:tc>
      </w:tr>
      <w:tr w:rsidR="00F20ABF" w14:paraId="1E8044EC" w14:textId="77777777">
        <w:tc>
          <w:tcPr>
            <w:tcW w:w="0" w:type="auto"/>
            <w:gridSpan w:val="3"/>
            <w:shd w:val="clear" w:color="auto" w:fill="auto"/>
            <w:tcMar>
              <w:top w:w="0" w:type="dxa"/>
              <w:left w:w="20" w:type="dxa"/>
              <w:bottom w:w="0" w:type="dxa"/>
              <w:right w:w="20" w:type="dxa"/>
            </w:tcMar>
          </w:tcPr>
          <w:p w14:paraId="1E8044E4"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4E5" w14:textId="77777777" w:rsidR="00F20ABF" w:rsidRDefault="00CA4D2F">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tcPr>
          <w:p w14:paraId="1E8044E6"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4E7" w14:textId="77777777" w:rsidR="00F20ABF" w:rsidRDefault="00CA4D2F">
            <w:pPr>
              <w:jc w:val="center"/>
              <w:textAlignment w:val="bottom"/>
            </w:pPr>
            <w:r>
              <w:rPr>
                <w:rFonts w:ascii="sans-serif" w:eastAsia="sans-serif" w:hAnsi="sans-serif" w:cs="sans-serif"/>
                <w:b/>
                <w:bCs/>
                <w:color w:val="000000"/>
                <w:sz w:val="20"/>
                <w:szCs w:val="20"/>
              </w:rPr>
              <w:t>2019</w:t>
            </w:r>
          </w:p>
        </w:tc>
        <w:tc>
          <w:tcPr>
            <w:tcW w:w="0" w:type="auto"/>
            <w:gridSpan w:val="3"/>
            <w:shd w:val="clear" w:color="auto" w:fill="auto"/>
            <w:tcMar>
              <w:top w:w="0" w:type="dxa"/>
              <w:left w:w="20" w:type="dxa"/>
              <w:bottom w:w="0" w:type="dxa"/>
              <w:right w:w="20" w:type="dxa"/>
            </w:tcMar>
          </w:tcPr>
          <w:p w14:paraId="1E8044E8"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4E9" w14:textId="77777777" w:rsidR="00F20ABF" w:rsidRDefault="00CA4D2F">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tcPr>
          <w:p w14:paraId="1E8044EA"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4EB" w14:textId="77777777" w:rsidR="00F20ABF" w:rsidRDefault="00CA4D2F">
            <w:pPr>
              <w:jc w:val="center"/>
              <w:textAlignment w:val="bottom"/>
            </w:pPr>
            <w:r>
              <w:rPr>
                <w:rFonts w:ascii="sans-serif" w:eastAsia="sans-serif" w:hAnsi="sans-serif" w:cs="sans-serif"/>
                <w:b/>
                <w:bCs/>
                <w:color w:val="000000"/>
                <w:sz w:val="20"/>
                <w:szCs w:val="20"/>
              </w:rPr>
              <w:t>2019</w:t>
            </w:r>
          </w:p>
        </w:tc>
      </w:tr>
      <w:tr w:rsidR="00F20ABF" w14:paraId="1E8044F5" w14:textId="77777777">
        <w:trPr>
          <w:trHeight w:val="60"/>
        </w:trPr>
        <w:tc>
          <w:tcPr>
            <w:tcW w:w="0" w:type="auto"/>
            <w:gridSpan w:val="3"/>
            <w:shd w:val="clear" w:color="auto" w:fill="auto"/>
            <w:tcMar>
              <w:top w:w="0" w:type="dxa"/>
              <w:left w:w="20" w:type="dxa"/>
              <w:bottom w:w="0" w:type="dxa"/>
              <w:right w:w="20" w:type="dxa"/>
            </w:tcMar>
          </w:tcPr>
          <w:p w14:paraId="1E8044ED"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4EE"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4EF"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4F0"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4F1"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4F2"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4F3"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4F4" w14:textId="77777777" w:rsidR="00F20ABF" w:rsidRDefault="00F20ABF">
            <w:pPr>
              <w:rPr>
                <w:rFonts w:ascii="宋体"/>
              </w:rPr>
            </w:pPr>
          </w:p>
        </w:tc>
      </w:tr>
      <w:tr w:rsidR="00F20ABF" w14:paraId="1E8044F8" w14:textId="77777777">
        <w:tc>
          <w:tcPr>
            <w:tcW w:w="0" w:type="auto"/>
            <w:gridSpan w:val="3"/>
            <w:shd w:val="clear" w:color="auto" w:fill="auto"/>
            <w:tcMar>
              <w:top w:w="40" w:type="dxa"/>
              <w:left w:w="20" w:type="dxa"/>
              <w:bottom w:w="40" w:type="dxa"/>
              <w:right w:w="20" w:type="dxa"/>
            </w:tcMar>
            <w:vAlign w:val="bottom"/>
          </w:tcPr>
          <w:p w14:paraId="1E8044F6" w14:textId="77777777" w:rsidR="00F20ABF" w:rsidRDefault="00CA4D2F">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1E8044F7" w14:textId="77777777" w:rsidR="00F20ABF" w:rsidRDefault="00CA4D2F">
            <w:pPr>
              <w:jc w:val="center"/>
              <w:textAlignment w:val="bottom"/>
            </w:pPr>
            <w:r>
              <w:rPr>
                <w:rFonts w:ascii="sans-serif" w:eastAsia="sans-serif" w:hAnsi="sans-serif" w:cs="sans-serif"/>
                <w:i/>
                <w:iCs/>
                <w:color w:val="000000"/>
                <w:sz w:val="20"/>
                <w:szCs w:val="20"/>
              </w:rPr>
              <w:t>(In millions, except per share data)</w:t>
            </w:r>
          </w:p>
        </w:tc>
      </w:tr>
      <w:tr w:rsidR="00F20ABF" w14:paraId="1E804501" w14:textId="77777777">
        <w:tc>
          <w:tcPr>
            <w:tcW w:w="0" w:type="auto"/>
            <w:gridSpan w:val="3"/>
            <w:shd w:val="clear" w:color="auto" w:fill="E2EFD9"/>
            <w:tcMar>
              <w:top w:w="40" w:type="dxa"/>
              <w:left w:w="20" w:type="dxa"/>
              <w:bottom w:w="40" w:type="dxa"/>
              <w:right w:w="20" w:type="dxa"/>
            </w:tcMar>
            <w:vAlign w:val="bottom"/>
          </w:tcPr>
          <w:p w14:paraId="1E8044F9" w14:textId="77777777" w:rsidR="00F20ABF" w:rsidRDefault="00CA4D2F">
            <w:pPr>
              <w:textAlignment w:val="bottom"/>
            </w:pPr>
            <w:r>
              <w:rPr>
                <w:rFonts w:ascii="sans-serif" w:eastAsia="sans-serif" w:hAnsi="sans-serif" w:cs="sans-serif"/>
                <w:color w:val="000000"/>
                <w:sz w:val="20"/>
                <w:szCs w:val="20"/>
              </w:rPr>
              <w:t>Numerator:</w:t>
            </w:r>
          </w:p>
        </w:tc>
        <w:tc>
          <w:tcPr>
            <w:tcW w:w="0" w:type="auto"/>
            <w:gridSpan w:val="3"/>
            <w:shd w:val="clear" w:color="auto" w:fill="E2EFD9"/>
            <w:tcMar>
              <w:top w:w="40" w:type="dxa"/>
              <w:left w:w="20" w:type="dxa"/>
              <w:bottom w:w="40" w:type="dxa"/>
              <w:right w:w="20" w:type="dxa"/>
            </w:tcMar>
            <w:vAlign w:val="bottom"/>
          </w:tcPr>
          <w:p w14:paraId="1E8044FA"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1E8044FB" w14:textId="77777777" w:rsidR="00F20ABF" w:rsidRDefault="00F20ABF">
            <w:pPr>
              <w:rPr>
                <w:rFonts w:ascii="宋体"/>
              </w:rPr>
            </w:pPr>
          </w:p>
        </w:tc>
        <w:tc>
          <w:tcPr>
            <w:tcW w:w="0" w:type="auto"/>
            <w:gridSpan w:val="3"/>
            <w:shd w:val="clear" w:color="auto" w:fill="E2EFD9"/>
            <w:tcMar>
              <w:top w:w="40" w:type="dxa"/>
              <w:left w:w="20" w:type="dxa"/>
              <w:bottom w:w="40" w:type="dxa"/>
              <w:right w:w="20" w:type="dxa"/>
            </w:tcMar>
            <w:vAlign w:val="bottom"/>
          </w:tcPr>
          <w:p w14:paraId="1E8044FC"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1E8044FD"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4FE"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4FF"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500" w14:textId="77777777" w:rsidR="00F20ABF" w:rsidRDefault="00F20ABF">
            <w:pPr>
              <w:rPr>
                <w:rFonts w:ascii="宋体"/>
              </w:rPr>
            </w:pPr>
          </w:p>
        </w:tc>
      </w:tr>
      <w:tr w:rsidR="00F20ABF" w14:paraId="1E804512" w14:textId="77777777">
        <w:tc>
          <w:tcPr>
            <w:tcW w:w="0" w:type="auto"/>
            <w:gridSpan w:val="3"/>
            <w:shd w:val="clear" w:color="auto" w:fill="FFFFFF"/>
            <w:tcMar>
              <w:top w:w="40" w:type="dxa"/>
              <w:left w:w="20" w:type="dxa"/>
              <w:bottom w:w="40" w:type="dxa"/>
              <w:right w:w="20" w:type="dxa"/>
            </w:tcMar>
            <w:vAlign w:val="bottom"/>
          </w:tcPr>
          <w:p w14:paraId="1E804502" w14:textId="77777777" w:rsidR="00F20ABF" w:rsidRDefault="00CA4D2F">
            <w:pPr>
              <w:ind w:firstLine="180"/>
              <w:textAlignment w:val="bottom"/>
            </w:pPr>
            <w:r>
              <w:rPr>
                <w:rFonts w:ascii="sans-serif" w:eastAsia="sans-serif" w:hAnsi="sans-serif" w:cs="sans-serif"/>
                <w:color w:val="000000"/>
                <w:sz w:val="20"/>
                <w:szCs w:val="20"/>
              </w:rPr>
              <w:t>Net income</w:t>
            </w:r>
          </w:p>
        </w:tc>
        <w:tc>
          <w:tcPr>
            <w:tcW w:w="0" w:type="auto"/>
            <w:shd w:val="clear" w:color="auto" w:fill="FFFFFF"/>
            <w:tcMar>
              <w:top w:w="40" w:type="dxa"/>
              <w:left w:w="20" w:type="dxa"/>
              <w:bottom w:w="40" w:type="dxa"/>
              <w:right w:w="0" w:type="dxa"/>
            </w:tcMar>
            <w:vAlign w:val="bottom"/>
          </w:tcPr>
          <w:p w14:paraId="1E804503"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504" w14:textId="77777777" w:rsidR="00F20ABF" w:rsidRDefault="00CA4D2F">
            <w:pPr>
              <w:jc w:val="right"/>
              <w:textAlignment w:val="bottom"/>
            </w:pPr>
            <w:r>
              <w:rPr>
                <w:rFonts w:ascii="sans-serif" w:eastAsia="sans-serif" w:hAnsi="sans-serif" w:cs="sans-serif"/>
                <w:color w:val="000000"/>
                <w:sz w:val="20"/>
                <w:szCs w:val="20"/>
              </w:rPr>
              <w:t>1,336 </w:t>
            </w:r>
          </w:p>
        </w:tc>
        <w:tc>
          <w:tcPr>
            <w:tcW w:w="0" w:type="auto"/>
            <w:shd w:val="clear" w:color="auto" w:fill="FFFFFF"/>
            <w:tcMar>
              <w:top w:w="40" w:type="dxa"/>
              <w:left w:w="0" w:type="dxa"/>
              <w:bottom w:w="40" w:type="dxa"/>
              <w:right w:w="20" w:type="dxa"/>
            </w:tcMar>
            <w:vAlign w:val="bottom"/>
          </w:tcPr>
          <w:p w14:paraId="1E80450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506"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507"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508" w14:textId="77777777" w:rsidR="00F20ABF" w:rsidRDefault="00CA4D2F">
            <w:pPr>
              <w:jc w:val="right"/>
              <w:textAlignment w:val="bottom"/>
            </w:pPr>
            <w:r>
              <w:rPr>
                <w:rFonts w:ascii="sans-serif" w:eastAsia="sans-serif" w:hAnsi="sans-serif" w:cs="sans-serif"/>
                <w:color w:val="000000"/>
                <w:sz w:val="20"/>
                <w:szCs w:val="20"/>
              </w:rPr>
              <w:t>899 </w:t>
            </w:r>
          </w:p>
        </w:tc>
        <w:tc>
          <w:tcPr>
            <w:tcW w:w="0" w:type="auto"/>
            <w:shd w:val="clear" w:color="auto" w:fill="FFFFFF"/>
            <w:tcMar>
              <w:top w:w="40" w:type="dxa"/>
              <w:left w:w="0" w:type="dxa"/>
              <w:bottom w:w="40" w:type="dxa"/>
              <w:right w:w="20" w:type="dxa"/>
            </w:tcMar>
            <w:vAlign w:val="bottom"/>
          </w:tcPr>
          <w:p w14:paraId="1E80450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50A"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50B"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50C" w14:textId="77777777" w:rsidR="00F20ABF" w:rsidRDefault="00CA4D2F">
            <w:pPr>
              <w:jc w:val="right"/>
              <w:textAlignment w:val="bottom"/>
            </w:pPr>
            <w:r>
              <w:rPr>
                <w:rFonts w:ascii="sans-serif" w:eastAsia="sans-serif" w:hAnsi="sans-serif" w:cs="sans-serif"/>
                <w:color w:val="000000"/>
                <w:sz w:val="20"/>
                <w:szCs w:val="20"/>
              </w:rPr>
              <w:t>2,875 </w:t>
            </w:r>
          </w:p>
        </w:tc>
        <w:tc>
          <w:tcPr>
            <w:tcW w:w="0" w:type="auto"/>
            <w:shd w:val="clear" w:color="auto" w:fill="FFFFFF"/>
            <w:tcMar>
              <w:top w:w="40" w:type="dxa"/>
              <w:left w:w="0" w:type="dxa"/>
              <w:bottom w:w="40" w:type="dxa"/>
              <w:right w:w="20" w:type="dxa"/>
            </w:tcMar>
            <w:vAlign w:val="bottom"/>
          </w:tcPr>
          <w:p w14:paraId="1E80450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50E"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50F"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510" w14:textId="77777777" w:rsidR="00F20ABF" w:rsidRDefault="00CA4D2F">
            <w:pPr>
              <w:jc w:val="right"/>
              <w:textAlignment w:val="bottom"/>
            </w:pPr>
            <w:r>
              <w:rPr>
                <w:rFonts w:ascii="sans-serif" w:eastAsia="sans-serif" w:hAnsi="sans-serif" w:cs="sans-serif"/>
                <w:color w:val="000000"/>
                <w:sz w:val="20"/>
                <w:szCs w:val="20"/>
              </w:rPr>
              <w:t>1,845 </w:t>
            </w:r>
          </w:p>
        </w:tc>
        <w:tc>
          <w:tcPr>
            <w:tcW w:w="0" w:type="auto"/>
            <w:shd w:val="clear" w:color="auto" w:fill="FFFFFF"/>
            <w:tcMar>
              <w:top w:w="40" w:type="dxa"/>
              <w:left w:w="0" w:type="dxa"/>
              <w:bottom w:w="40" w:type="dxa"/>
              <w:right w:w="20" w:type="dxa"/>
            </w:tcMar>
            <w:vAlign w:val="bottom"/>
          </w:tcPr>
          <w:p w14:paraId="1E804511" w14:textId="77777777" w:rsidR="00F20ABF" w:rsidRDefault="00F20ABF">
            <w:pPr>
              <w:jc w:val="right"/>
              <w:rPr>
                <w:rFonts w:ascii="宋体"/>
              </w:rPr>
            </w:pPr>
          </w:p>
        </w:tc>
      </w:tr>
      <w:tr w:rsidR="00F20ABF" w14:paraId="1E80451B" w14:textId="77777777">
        <w:tc>
          <w:tcPr>
            <w:tcW w:w="0" w:type="auto"/>
            <w:gridSpan w:val="3"/>
            <w:shd w:val="clear" w:color="auto" w:fill="E2EFD9"/>
            <w:tcMar>
              <w:top w:w="40" w:type="dxa"/>
              <w:left w:w="20" w:type="dxa"/>
              <w:bottom w:w="40" w:type="dxa"/>
              <w:right w:w="20" w:type="dxa"/>
            </w:tcMar>
            <w:vAlign w:val="bottom"/>
          </w:tcPr>
          <w:p w14:paraId="1E804513" w14:textId="77777777" w:rsidR="00F20ABF" w:rsidRDefault="00CA4D2F">
            <w:pPr>
              <w:textAlignment w:val="bottom"/>
            </w:pPr>
            <w:r>
              <w:rPr>
                <w:rFonts w:ascii="sans-serif" w:eastAsia="sans-serif" w:hAnsi="sans-serif" w:cs="sans-serif"/>
                <w:color w:val="000000"/>
                <w:sz w:val="20"/>
                <w:szCs w:val="20"/>
              </w:rPr>
              <w:t>Denominator:</w:t>
            </w:r>
          </w:p>
        </w:tc>
        <w:tc>
          <w:tcPr>
            <w:tcW w:w="0" w:type="auto"/>
            <w:gridSpan w:val="3"/>
            <w:tcBorders>
              <w:top w:val="double" w:sz="6" w:space="0" w:color="000000"/>
            </w:tcBorders>
            <w:shd w:val="clear" w:color="auto" w:fill="E2EFD9"/>
            <w:tcMar>
              <w:top w:w="0" w:type="dxa"/>
              <w:left w:w="20" w:type="dxa"/>
              <w:bottom w:w="0" w:type="dxa"/>
              <w:right w:w="20" w:type="dxa"/>
            </w:tcMar>
          </w:tcPr>
          <w:p w14:paraId="1E804514"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515" w14:textId="77777777" w:rsidR="00F20ABF" w:rsidRDefault="00F20ABF">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tcPr>
          <w:p w14:paraId="1E804516"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517" w14:textId="77777777" w:rsidR="00F20ABF" w:rsidRDefault="00F20ABF">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tcPr>
          <w:p w14:paraId="1E804518"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519" w14:textId="77777777" w:rsidR="00F20ABF" w:rsidRDefault="00F20ABF">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tcPr>
          <w:p w14:paraId="1E80451A" w14:textId="77777777" w:rsidR="00F20ABF" w:rsidRDefault="00F20ABF">
            <w:pPr>
              <w:rPr>
                <w:rFonts w:ascii="宋体"/>
              </w:rPr>
            </w:pPr>
          </w:p>
        </w:tc>
      </w:tr>
      <w:tr w:rsidR="00F20ABF" w14:paraId="1E804528" w14:textId="77777777">
        <w:tc>
          <w:tcPr>
            <w:tcW w:w="0" w:type="auto"/>
            <w:gridSpan w:val="3"/>
            <w:shd w:val="clear" w:color="auto" w:fill="FFFFFF"/>
            <w:tcMar>
              <w:top w:w="40" w:type="dxa"/>
              <w:left w:w="20" w:type="dxa"/>
              <w:bottom w:w="40" w:type="dxa"/>
              <w:right w:w="20" w:type="dxa"/>
            </w:tcMar>
            <w:vAlign w:val="bottom"/>
          </w:tcPr>
          <w:p w14:paraId="1E80451C" w14:textId="77777777" w:rsidR="00F20ABF" w:rsidRDefault="00CA4D2F">
            <w:pPr>
              <w:ind w:firstLine="180"/>
              <w:textAlignment w:val="bottom"/>
            </w:pPr>
            <w:r>
              <w:rPr>
                <w:rFonts w:ascii="sans-serif" w:eastAsia="sans-serif" w:hAnsi="sans-serif" w:cs="sans-serif"/>
                <w:color w:val="000000"/>
                <w:sz w:val="20"/>
                <w:szCs w:val="20"/>
              </w:rPr>
              <w:t>Basic weighted average shares</w:t>
            </w:r>
          </w:p>
        </w:tc>
        <w:tc>
          <w:tcPr>
            <w:tcW w:w="0" w:type="auto"/>
            <w:gridSpan w:val="2"/>
            <w:shd w:val="clear" w:color="auto" w:fill="FFFFFF"/>
            <w:tcMar>
              <w:top w:w="40" w:type="dxa"/>
              <w:left w:w="20" w:type="dxa"/>
              <w:bottom w:w="40" w:type="dxa"/>
              <w:right w:w="0" w:type="dxa"/>
            </w:tcMar>
            <w:vAlign w:val="bottom"/>
          </w:tcPr>
          <w:p w14:paraId="1E80451D" w14:textId="77777777" w:rsidR="00F20ABF" w:rsidRDefault="00CA4D2F">
            <w:pPr>
              <w:jc w:val="right"/>
              <w:textAlignment w:val="bottom"/>
            </w:pPr>
            <w:r>
              <w:rPr>
                <w:rFonts w:ascii="sans-serif" w:eastAsia="sans-serif" w:hAnsi="sans-serif" w:cs="sans-serif"/>
                <w:color w:val="000000"/>
                <w:sz w:val="20"/>
                <w:szCs w:val="20"/>
              </w:rPr>
              <w:t>618 </w:t>
            </w:r>
          </w:p>
        </w:tc>
        <w:tc>
          <w:tcPr>
            <w:tcW w:w="0" w:type="auto"/>
            <w:shd w:val="clear" w:color="auto" w:fill="FFFFFF"/>
            <w:tcMar>
              <w:top w:w="40" w:type="dxa"/>
              <w:left w:w="0" w:type="dxa"/>
              <w:bottom w:w="40" w:type="dxa"/>
              <w:right w:w="20" w:type="dxa"/>
            </w:tcMar>
            <w:vAlign w:val="bottom"/>
          </w:tcPr>
          <w:p w14:paraId="1E80451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51F"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520" w14:textId="77777777" w:rsidR="00F20ABF" w:rsidRDefault="00CA4D2F">
            <w:pPr>
              <w:jc w:val="right"/>
              <w:textAlignment w:val="bottom"/>
            </w:pPr>
            <w:r>
              <w:rPr>
                <w:rFonts w:ascii="sans-serif" w:eastAsia="sans-serif" w:hAnsi="sans-serif" w:cs="sans-serif"/>
                <w:color w:val="000000"/>
                <w:sz w:val="20"/>
                <w:szCs w:val="20"/>
              </w:rPr>
              <w:t>610 </w:t>
            </w:r>
          </w:p>
        </w:tc>
        <w:tc>
          <w:tcPr>
            <w:tcW w:w="0" w:type="auto"/>
            <w:shd w:val="clear" w:color="auto" w:fill="FFFFFF"/>
            <w:tcMar>
              <w:top w:w="40" w:type="dxa"/>
              <w:left w:w="0" w:type="dxa"/>
              <w:bottom w:w="40" w:type="dxa"/>
              <w:right w:w="20" w:type="dxa"/>
            </w:tcMar>
            <w:vAlign w:val="bottom"/>
          </w:tcPr>
          <w:p w14:paraId="1E80452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522"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523" w14:textId="77777777" w:rsidR="00F20ABF" w:rsidRDefault="00CA4D2F">
            <w:pPr>
              <w:jc w:val="right"/>
              <w:textAlignment w:val="bottom"/>
            </w:pPr>
            <w:r>
              <w:rPr>
                <w:rFonts w:ascii="sans-serif" w:eastAsia="sans-serif" w:hAnsi="sans-serif" w:cs="sans-serif"/>
                <w:color w:val="000000"/>
                <w:sz w:val="20"/>
                <w:szCs w:val="20"/>
              </w:rPr>
              <w:t>616 </w:t>
            </w:r>
          </w:p>
        </w:tc>
        <w:tc>
          <w:tcPr>
            <w:tcW w:w="0" w:type="auto"/>
            <w:shd w:val="clear" w:color="auto" w:fill="FFFFFF"/>
            <w:tcMar>
              <w:top w:w="40" w:type="dxa"/>
              <w:left w:w="0" w:type="dxa"/>
              <w:bottom w:w="40" w:type="dxa"/>
              <w:right w:w="20" w:type="dxa"/>
            </w:tcMar>
            <w:vAlign w:val="bottom"/>
          </w:tcPr>
          <w:p w14:paraId="1E804524"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525"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526" w14:textId="77777777" w:rsidR="00F20ABF" w:rsidRDefault="00CA4D2F">
            <w:pPr>
              <w:jc w:val="right"/>
              <w:textAlignment w:val="bottom"/>
            </w:pPr>
            <w:r>
              <w:rPr>
                <w:rFonts w:ascii="sans-serif" w:eastAsia="sans-serif" w:hAnsi="sans-serif" w:cs="sans-serif"/>
                <w:color w:val="000000"/>
                <w:sz w:val="20"/>
                <w:szCs w:val="20"/>
              </w:rPr>
              <w:t>609 </w:t>
            </w:r>
          </w:p>
        </w:tc>
        <w:tc>
          <w:tcPr>
            <w:tcW w:w="0" w:type="auto"/>
            <w:shd w:val="clear" w:color="auto" w:fill="FFFFFF"/>
            <w:tcMar>
              <w:top w:w="40" w:type="dxa"/>
              <w:left w:w="0" w:type="dxa"/>
              <w:bottom w:w="40" w:type="dxa"/>
              <w:right w:w="20" w:type="dxa"/>
            </w:tcMar>
            <w:vAlign w:val="bottom"/>
          </w:tcPr>
          <w:p w14:paraId="1E804527" w14:textId="77777777" w:rsidR="00F20ABF" w:rsidRDefault="00F20ABF">
            <w:pPr>
              <w:jc w:val="right"/>
              <w:rPr>
                <w:rFonts w:ascii="宋体"/>
              </w:rPr>
            </w:pPr>
          </w:p>
        </w:tc>
      </w:tr>
      <w:tr w:rsidR="00F20ABF" w14:paraId="1E804535" w14:textId="77777777">
        <w:tc>
          <w:tcPr>
            <w:tcW w:w="0" w:type="auto"/>
            <w:gridSpan w:val="3"/>
            <w:shd w:val="clear" w:color="auto" w:fill="E2EFD9"/>
            <w:tcMar>
              <w:top w:w="40" w:type="dxa"/>
              <w:left w:w="20" w:type="dxa"/>
              <w:bottom w:w="40" w:type="dxa"/>
              <w:right w:w="20" w:type="dxa"/>
            </w:tcMar>
            <w:vAlign w:val="bottom"/>
          </w:tcPr>
          <w:p w14:paraId="1E804529" w14:textId="77777777" w:rsidR="00F20ABF" w:rsidRDefault="00CA4D2F">
            <w:pPr>
              <w:ind w:firstLine="180"/>
              <w:textAlignment w:val="bottom"/>
            </w:pPr>
            <w:r>
              <w:rPr>
                <w:rFonts w:ascii="sans-serif" w:eastAsia="sans-serif" w:hAnsi="sans-serif" w:cs="sans-serif"/>
                <w:color w:val="000000"/>
                <w:sz w:val="20"/>
                <w:szCs w:val="20"/>
              </w:rPr>
              <w:t>Dilutive impact of outstanding equity awards</w:t>
            </w:r>
          </w:p>
        </w:tc>
        <w:tc>
          <w:tcPr>
            <w:tcW w:w="0" w:type="auto"/>
            <w:gridSpan w:val="2"/>
            <w:shd w:val="clear" w:color="auto" w:fill="E2EFD9"/>
            <w:tcMar>
              <w:top w:w="40" w:type="dxa"/>
              <w:left w:w="20" w:type="dxa"/>
              <w:bottom w:w="40" w:type="dxa"/>
              <w:right w:w="0" w:type="dxa"/>
            </w:tcMar>
            <w:vAlign w:val="bottom"/>
          </w:tcPr>
          <w:p w14:paraId="1E80452A" w14:textId="77777777" w:rsidR="00F20ABF" w:rsidRDefault="00CA4D2F">
            <w:pPr>
              <w:jc w:val="right"/>
              <w:textAlignment w:val="bottom"/>
            </w:pPr>
            <w:r>
              <w:rPr>
                <w:rFonts w:ascii="sans-serif" w:eastAsia="sans-serif" w:hAnsi="sans-serif" w:cs="sans-serif"/>
                <w:color w:val="000000"/>
                <w:sz w:val="20"/>
                <w:szCs w:val="20"/>
              </w:rPr>
              <w:t>12 </w:t>
            </w:r>
          </w:p>
        </w:tc>
        <w:tc>
          <w:tcPr>
            <w:tcW w:w="0" w:type="auto"/>
            <w:shd w:val="clear" w:color="auto" w:fill="E2EFD9"/>
            <w:tcMar>
              <w:top w:w="40" w:type="dxa"/>
              <w:left w:w="0" w:type="dxa"/>
              <w:bottom w:w="40" w:type="dxa"/>
              <w:right w:w="20" w:type="dxa"/>
            </w:tcMar>
            <w:vAlign w:val="bottom"/>
          </w:tcPr>
          <w:p w14:paraId="1E80452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52C"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52D" w14:textId="77777777" w:rsidR="00F20ABF" w:rsidRDefault="00CA4D2F">
            <w:pPr>
              <w:jc w:val="right"/>
              <w:textAlignment w:val="bottom"/>
            </w:pPr>
            <w:r>
              <w:rPr>
                <w:rFonts w:ascii="sans-serif" w:eastAsia="sans-serif" w:hAnsi="sans-serif" w:cs="sans-serif"/>
                <w:color w:val="000000"/>
                <w:sz w:val="20"/>
                <w:szCs w:val="20"/>
              </w:rPr>
              <w:t>8 </w:t>
            </w:r>
          </w:p>
        </w:tc>
        <w:tc>
          <w:tcPr>
            <w:tcW w:w="0" w:type="auto"/>
            <w:shd w:val="clear" w:color="auto" w:fill="E2EFD9"/>
            <w:tcMar>
              <w:top w:w="40" w:type="dxa"/>
              <w:left w:w="0" w:type="dxa"/>
              <w:bottom w:w="40" w:type="dxa"/>
              <w:right w:w="20" w:type="dxa"/>
            </w:tcMar>
            <w:vAlign w:val="bottom"/>
          </w:tcPr>
          <w:p w14:paraId="1E80452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52F"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530" w14:textId="77777777" w:rsidR="00F20ABF" w:rsidRDefault="00CA4D2F">
            <w:pPr>
              <w:jc w:val="right"/>
              <w:textAlignment w:val="bottom"/>
            </w:pPr>
            <w:r>
              <w:rPr>
                <w:rFonts w:ascii="sans-serif" w:eastAsia="sans-serif" w:hAnsi="sans-serif" w:cs="sans-serif"/>
                <w:color w:val="000000"/>
                <w:sz w:val="20"/>
                <w:szCs w:val="20"/>
              </w:rPr>
              <w:t>10 </w:t>
            </w:r>
          </w:p>
        </w:tc>
        <w:tc>
          <w:tcPr>
            <w:tcW w:w="0" w:type="auto"/>
            <w:shd w:val="clear" w:color="auto" w:fill="E2EFD9"/>
            <w:tcMar>
              <w:top w:w="40" w:type="dxa"/>
              <w:left w:w="0" w:type="dxa"/>
              <w:bottom w:w="40" w:type="dxa"/>
              <w:right w:w="20" w:type="dxa"/>
            </w:tcMar>
            <w:vAlign w:val="bottom"/>
          </w:tcPr>
          <w:p w14:paraId="1E80453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532"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533" w14:textId="77777777" w:rsidR="00F20ABF" w:rsidRDefault="00CA4D2F">
            <w:pPr>
              <w:jc w:val="right"/>
              <w:textAlignment w:val="bottom"/>
            </w:pPr>
            <w:r>
              <w:rPr>
                <w:rFonts w:ascii="sans-serif" w:eastAsia="sans-serif" w:hAnsi="sans-serif" w:cs="sans-serif"/>
                <w:color w:val="000000"/>
                <w:sz w:val="20"/>
                <w:szCs w:val="20"/>
              </w:rPr>
              <w:t>8 </w:t>
            </w:r>
          </w:p>
        </w:tc>
        <w:tc>
          <w:tcPr>
            <w:tcW w:w="0" w:type="auto"/>
            <w:shd w:val="clear" w:color="auto" w:fill="E2EFD9"/>
            <w:tcMar>
              <w:top w:w="40" w:type="dxa"/>
              <w:left w:w="0" w:type="dxa"/>
              <w:bottom w:w="40" w:type="dxa"/>
              <w:right w:w="20" w:type="dxa"/>
            </w:tcMar>
            <w:vAlign w:val="bottom"/>
          </w:tcPr>
          <w:p w14:paraId="1E804534" w14:textId="77777777" w:rsidR="00F20ABF" w:rsidRDefault="00F20ABF">
            <w:pPr>
              <w:jc w:val="right"/>
              <w:rPr>
                <w:rFonts w:ascii="宋体"/>
              </w:rPr>
            </w:pPr>
          </w:p>
        </w:tc>
      </w:tr>
      <w:tr w:rsidR="00F20ABF" w14:paraId="1E80453E" w14:textId="77777777">
        <w:trPr>
          <w:hidden/>
        </w:trPr>
        <w:tc>
          <w:tcPr>
            <w:tcW w:w="0" w:type="auto"/>
            <w:gridSpan w:val="3"/>
            <w:shd w:val="clear" w:color="auto" w:fill="auto"/>
          </w:tcPr>
          <w:p w14:paraId="1E804536" w14:textId="77777777" w:rsidR="00F20ABF" w:rsidRDefault="00F20ABF">
            <w:pPr>
              <w:rPr>
                <w:rFonts w:ascii="宋体"/>
                <w:vanish/>
              </w:rPr>
            </w:pPr>
          </w:p>
        </w:tc>
        <w:tc>
          <w:tcPr>
            <w:tcW w:w="0" w:type="auto"/>
            <w:gridSpan w:val="3"/>
            <w:shd w:val="clear" w:color="auto" w:fill="auto"/>
          </w:tcPr>
          <w:p w14:paraId="1E804537" w14:textId="77777777" w:rsidR="00F20ABF" w:rsidRDefault="00F20ABF">
            <w:pPr>
              <w:rPr>
                <w:rFonts w:ascii="宋体"/>
                <w:vanish/>
              </w:rPr>
            </w:pPr>
          </w:p>
        </w:tc>
        <w:tc>
          <w:tcPr>
            <w:tcW w:w="0" w:type="auto"/>
            <w:gridSpan w:val="3"/>
            <w:shd w:val="clear" w:color="auto" w:fill="auto"/>
          </w:tcPr>
          <w:p w14:paraId="1E804538" w14:textId="77777777" w:rsidR="00F20ABF" w:rsidRDefault="00F20ABF">
            <w:pPr>
              <w:rPr>
                <w:rFonts w:ascii="宋体"/>
                <w:vanish/>
              </w:rPr>
            </w:pPr>
          </w:p>
        </w:tc>
        <w:tc>
          <w:tcPr>
            <w:tcW w:w="0" w:type="auto"/>
            <w:gridSpan w:val="3"/>
            <w:shd w:val="clear" w:color="auto" w:fill="auto"/>
          </w:tcPr>
          <w:p w14:paraId="1E804539" w14:textId="77777777" w:rsidR="00F20ABF" w:rsidRDefault="00F20ABF">
            <w:pPr>
              <w:rPr>
                <w:rFonts w:ascii="宋体"/>
                <w:vanish/>
              </w:rPr>
            </w:pPr>
          </w:p>
        </w:tc>
        <w:tc>
          <w:tcPr>
            <w:tcW w:w="0" w:type="auto"/>
            <w:gridSpan w:val="3"/>
            <w:shd w:val="clear" w:color="auto" w:fill="auto"/>
          </w:tcPr>
          <w:p w14:paraId="1E80453A" w14:textId="77777777" w:rsidR="00F20ABF" w:rsidRDefault="00F20ABF">
            <w:pPr>
              <w:rPr>
                <w:rFonts w:ascii="宋体"/>
                <w:vanish/>
              </w:rPr>
            </w:pPr>
          </w:p>
        </w:tc>
        <w:tc>
          <w:tcPr>
            <w:tcW w:w="0" w:type="auto"/>
            <w:gridSpan w:val="3"/>
            <w:shd w:val="clear" w:color="auto" w:fill="auto"/>
          </w:tcPr>
          <w:p w14:paraId="1E80453B" w14:textId="77777777" w:rsidR="00F20ABF" w:rsidRDefault="00F20ABF">
            <w:pPr>
              <w:rPr>
                <w:rFonts w:ascii="宋体"/>
                <w:vanish/>
              </w:rPr>
            </w:pPr>
          </w:p>
        </w:tc>
        <w:tc>
          <w:tcPr>
            <w:tcW w:w="0" w:type="auto"/>
            <w:gridSpan w:val="3"/>
            <w:shd w:val="clear" w:color="auto" w:fill="auto"/>
          </w:tcPr>
          <w:p w14:paraId="1E80453C" w14:textId="77777777" w:rsidR="00F20ABF" w:rsidRDefault="00F20ABF">
            <w:pPr>
              <w:rPr>
                <w:rFonts w:ascii="宋体"/>
                <w:vanish/>
              </w:rPr>
            </w:pPr>
          </w:p>
        </w:tc>
        <w:tc>
          <w:tcPr>
            <w:tcW w:w="0" w:type="auto"/>
            <w:gridSpan w:val="3"/>
            <w:shd w:val="clear" w:color="auto" w:fill="auto"/>
          </w:tcPr>
          <w:p w14:paraId="1E80453D" w14:textId="77777777" w:rsidR="00F20ABF" w:rsidRDefault="00F20ABF">
            <w:pPr>
              <w:rPr>
                <w:rFonts w:ascii="宋体"/>
                <w:vanish/>
              </w:rPr>
            </w:pPr>
          </w:p>
        </w:tc>
      </w:tr>
      <w:tr w:rsidR="00F20ABF" w14:paraId="1E804547" w14:textId="77777777">
        <w:trPr>
          <w:hidden/>
        </w:trPr>
        <w:tc>
          <w:tcPr>
            <w:tcW w:w="0" w:type="auto"/>
            <w:gridSpan w:val="3"/>
            <w:shd w:val="clear" w:color="auto" w:fill="auto"/>
          </w:tcPr>
          <w:p w14:paraId="1E80453F" w14:textId="77777777" w:rsidR="00F20ABF" w:rsidRDefault="00F20ABF">
            <w:pPr>
              <w:rPr>
                <w:rFonts w:ascii="宋体"/>
                <w:vanish/>
              </w:rPr>
            </w:pPr>
          </w:p>
        </w:tc>
        <w:tc>
          <w:tcPr>
            <w:tcW w:w="0" w:type="auto"/>
            <w:gridSpan w:val="3"/>
            <w:shd w:val="clear" w:color="auto" w:fill="auto"/>
          </w:tcPr>
          <w:p w14:paraId="1E804540" w14:textId="77777777" w:rsidR="00F20ABF" w:rsidRDefault="00F20ABF">
            <w:pPr>
              <w:rPr>
                <w:rFonts w:ascii="宋体"/>
                <w:vanish/>
              </w:rPr>
            </w:pPr>
          </w:p>
        </w:tc>
        <w:tc>
          <w:tcPr>
            <w:tcW w:w="0" w:type="auto"/>
            <w:gridSpan w:val="3"/>
            <w:shd w:val="clear" w:color="auto" w:fill="auto"/>
          </w:tcPr>
          <w:p w14:paraId="1E804541" w14:textId="77777777" w:rsidR="00F20ABF" w:rsidRDefault="00F20ABF">
            <w:pPr>
              <w:rPr>
                <w:rFonts w:ascii="宋体"/>
                <w:vanish/>
              </w:rPr>
            </w:pPr>
          </w:p>
        </w:tc>
        <w:tc>
          <w:tcPr>
            <w:tcW w:w="0" w:type="auto"/>
            <w:gridSpan w:val="3"/>
            <w:shd w:val="clear" w:color="auto" w:fill="auto"/>
          </w:tcPr>
          <w:p w14:paraId="1E804542" w14:textId="77777777" w:rsidR="00F20ABF" w:rsidRDefault="00F20ABF">
            <w:pPr>
              <w:rPr>
                <w:rFonts w:ascii="宋体"/>
                <w:vanish/>
              </w:rPr>
            </w:pPr>
          </w:p>
        </w:tc>
        <w:tc>
          <w:tcPr>
            <w:tcW w:w="0" w:type="auto"/>
            <w:gridSpan w:val="3"/>
            <w:shd w:val="clear" w:color="auto" w:fill="auto"/>
          </w:tcPr>
          <w:p w14:paraId="1E804543" w14:textId="77777777" w:rsidR="00F20ABF" w:rsidRDefault="00F20ABF">
            <w:pPr>
              <w:rPr>
                <w:rFonts w:ascii="宋体"/>
                <w:vanish/>
              </w:rPr>
            </w:pPr>
          </w:p>
        </w:tc>
        <w:tc>
          <w:tcPr>
            <w:tcW w:w="0" w:type="auto"/>
            <w:gridSpan w:val="3"/>
            <w:shd w:val="clear" w:color="auto" w:fill="auto"/>
          </w:tcPr>
          <w:p w14:paraId="1E804544" w14:textId="77777777" w:rsidR="00F20ABF" w:rsidRDefault="00F20ABF">
            <w:pPr>
              <w:rPr>
                <w:rFonts w:ascii="宋体"/>
                <w:vanish/>
              </w:rPr>
            </w:pPr>
          </w:p>
        </w:tc>
        <w:tc>
          <w:tcPr>
            <w:tcW w:w="0" w:type="auto"/>
            <w:gridSpan w:val="3"/>
            <w:shd w:val="clear" w:color="auto" w:fill="auto"/>
          </w:tcPr>
          <w:p w14:paraId="1E804545" w14:textId="77777777" w:rsidR="00F20ABF" w:rsidRDefault="00F20ABF">
            <w:pPr>
              <w:rPr>
                <w:rFonts w:ascii="宋体"/>
                <w:vanish/>
              </w:rPr>
            </w:pPr>
          </w:p>
        </w:tc>
        <w:tc>
          <w:tcPr>
            <w:tcW w:w="0" w:type="auto"/>
            <w:gridSpan w:val="3"/>
            <w:shd w:val="clear" w:color="auto" w:fill="auto"/>
          </w:tcPr>
          <w:p w14:paraId="1E804546" w14:textId="77777777" w:rsidR="00F20ABF" w:rsidRDefault="00F20ABF">
            <w:pPr>
              <w:rPr>
                <w:rFonts w:ascii="宋体"/>
                <w:vanish/>
              </w:rPr>
            </w:pPr>
          </w:p>
        </w:tc>
      </w:tr>
      <w:tr w:rsidR="00F20ABF" w14:paraId="1E804554" w14:textId="77777777">
        <w:tc>
          <w:tcPr>
            <w:tcW w:w="0" w:type="auto"/>
            <w:gridSpan w:val="3"/>
            <w:shd w:val="clear" w:color="auto" w:fill="FFFFFF"/>
            <w:tcMar>
              <w:top w:w="40" w:type="dxa"/>
              <w:left w:w="20" w:type="dxa"/>
              <w:bottom w:w="40" w:type="dxa"/>
              <w:right w:w="20" w:type="dxa"/>
            </w:tcMar>
            <w:vAlign w:val="bottom"/>
          </w:tcPr>
          <w:p w14:paraId="1E804548" w14:textId="77777777" w:rsidR="00F20ABF" w:rsidRDefault="00CA4D2F">
            <w:pPr>
              <w:ind w:firstLine="180"/>
              <w:textAlignment w:val="bottom"/>
            </w:pPr>
            <w:r>
              <w:rPr>
                <w:rFonts w:ascii="sans-serif" w:eastAsia="sans-serif" w:hAnsi="sans-serif" w:cs="sans-serif"/>
                <w:color w:val="000000"/>
                <w:sz w:val="20"/>
                <w:szCs w:val="20"/>
              </w:rPr>
              <w:t>Diluted weighted average shares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4549" w14:textId="77777777" w:rsidR="00F20ABF" w:rsidRDefault="00CA4D2F">
            <w:pPr>
              <w:jc w:val="right"/>
              <w:textAlignment w:val="bottom"/>
            </w:pPr>
            <w:r>
              <w:rPr>
                <w:rFonts w:ascii="sans-serif" w:eastAsia="sans-serif" w:hAnsi="sans-serif" w:cs="sans-serif"/>
                <w:color w:val="000000"/>
                <w:sz w:val="20"/>
                <w:szCs w:val="20"/>
              </w:rPr>
              <w:t>630 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454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54B"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454C" w14:textId="77777777" w:rsidR="00F20ABF" w:rsidRDefault="00CA4D2F">
            <w:pPr>
              <w:jc w:val="right"/>
              <w:textAlignment w:val="bottom"/>
            </w:pPr>
            <w:r>
              <w:rPr>
                <w:rFonts w:ascii="sans-serif" w:eastAsia="sans-serif" w:hAnsi="sans-serif" w:cs="sans-serif"/>
                <w:color w:val="000000"/>
                <w:sz w:val="20"/>
                <w:szCs w:val="20"/>
              </w:rPr>
              <w:t>618 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454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54E"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454F" w14:textId="77777777" w:rsidR="00F20ABF" w:rsidRDefault="00CA4D2F">
            <w:pPr>
              <w:jc w:val="right"/>
              <w:textAlignment w:val="bottom"/>
            </w:pPr>
            <w:r>
              <w:rPr>
                <w:rFonts w:ascii="sans-serif" w:eastAsia="sans-serif" w:hAnsi="sans-serif" w:cs="sans-serif"/>
                <w:color w:val="000000"/>
                <w:sz w:val="20"/>
                <w:szCs w:val="20"/>
              </w:rPr>
              <w:t>626 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4550"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551"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4552" w14:textId="77777777" w:rsidR="00F20ABF" w:rsidRDefault="00CA4D2F">
            <w:pPr>
              <w:jc w:val="right"/>
              <w:textAlignment w:val="bottom"/>
            </w:pPr>
            <w:r>
              <w:rPr>
                <w:rFonts w:ascii="sans-serif" w:eastAsia="sans-serif" w:hAnsi="sans-serif" w:cs="sans-serif"/>
                <w:color w:val="000000"/>
                <w:sz w:val="20"/>
                <w:szCs w:val="20"/>
              </w:rPr>
              <w:t>617 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4553" w14:textId="77777777" w:rsidR="00F20ABF" w:rsidRDefault="00F20ABF">
            <w:pPr>
              <w:jc w:val="right"/>
              <w:rPr>
                <w:rFonts w:ascii="宋体"/>
              </w:rPr>
            </w:pPr>
          </w:p>
        </w:tc>
      </w:tr>
      <w:tr w:rsidR="00F20ABF" w14:paraId="1E80455D" w14:textId="77777777">
        <w:tc>
          <w:tcPr>
            <w:tcW w:w="0" w:type="auto"/>
            <w:gridSpan w:val="3"/>
            <w:shd w:val="clear" w:color="auto" w:fill="E2EFD9"/>
            <w:tcMar>
              <w:top w:w="40" w:type="dxa"/>
              <w:left w:w="20" w:type="dxa"/>
              <w:bottom w:w="40" w:type="dxa"/>
              <w:right w:w="20" w:type="dxa"/>
            </w:tcMar>
            <w:vAlign w:val="bottom"/>
          </w:tcPr>
          <w:p w14:paraId="1E804555" w14:textId="77777777" w:rsidR="00F20ABF" w:rsidRDefault="00CA4D2F">
            <w:pPr>
              <w:textAlignment w:val="bottom"/>
            </w:pPr>
            <w:r>
              <w:rPr>
                <w:rFonts w:ascii="sans-serif" w:eastAsia="sans-serif" w:hAnsi="sans-serif" w:cs="sans-serif"/>
                <w:color w:val="000000"/>
                <w:sz w:val="20"/>
                <w:szCs w:val="20"/>
              </w:rPr>
              <w:t>Net income per share:</w:t>
            </w:r>
          </w:p>
        </w:tc>
        <w:tc>
          <w:tcPr>
            <w:tcW w:w="0" w:type="auto"/>
            <w:gridSpan w:val="3"/>
            <w:tcBorders>
              <w:top w:val="double" w:sz="6" w:space="0" w:color="000000"/>
            </w:tcBorders>
            <w:shd w:val="clear" w:color="auto" w:fill="E2EFD9"/>
            <w:tcMar>
              <w:top w:w="0" w:type="dxa"/>
              <w:left w:w="20" w:type="dxa"/>
              <w:bottom w:w="0" w:type="dxa"/>
              <w:right w:w="20" w:type="dxa"/>
            </w:tcMar>
          </w:tcPr>
          <w:p w14:paraId="1E804556"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557" w14:textId="77777777" w:rsidR="00F20ABF" w:rsidRDefault="00F20ABF">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tcPr>
          <w:p w14:paraId="1E804558"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559" w14:textId="77777777" w:rsidR="00F20ABF" w:rsidRDefault="00F20ABF">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tcPr>
          <w:p w14:paraId="1E80455A"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55B" w14:textId="77777777" w:rsidR="00F20ABF" w:rsidRDefault="00F20ABF">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tcPr>
          <w:p w14:paraId="1E80455C" w14:textId="77777777" w:rsidR="00F20ABF" w:rsidRDefault="00F20ABF">
            <w:pPr>
              <w:rPr>
                <w:rFonts w:ascii="宋体"/>
              </w:rPr>
            </w:pPr>
          </w:p>
        </w:tc>
      </w:tr>
      <w:tr w:rsidR="00F20ABF" w14:paraId="1E80456E" w14:textId="77777777">
        <w:tc>
          <w:tcPr>
            <w:tcW w:w="0" w:type="auto"/>
            <w:gridSpan w:val="3"/>
            <w:shd w:val="clear" w:color="auto" w:fill="FFFFFF"/>
            <w:tcMar>
              <w:top w:w="40" w:type="dxa"/>
              <w:left w:w="20" w:type="dxa"/>
              <w:bottom w:w="40" w:type="dxa"/>
              <w:right w:w="20" w:type="dxa"/>
            </w:tcMar>
            <w:vAlign w:val="bottom"/>
          </w:tcPr>
          <w:p w14:paraId="1E80455E" w14:textId="77777777" w:rsidR="00F20ABF" w:rsidRDefault="00CA4D2F">
            <w:pPr>
              <w:ind w:firstLine="180"/>
              <w:textAlignment w:val="bottom"/>
            </w:pPr>
            <w:r>
              <w:rPr>
                <w:rFonts w:ascii="sans-serif" w:eastAsia="sans-serif" w:hAnsi="sans-serif" w:cs="sans-serif"/>
                <w:color w:val="000000"/>
                <w:sz w:val="20"/>
                <w:szCs w:val="20"/>
              </w:rPr>
              <w:t>Basic (1)</w:t>
            </w:r>
          </w:p>
        </w:tc>
        <w:tc>
          <w:tcPr>
            <w:tcW w:w="0" w:type="auto"/>
            <w:shd w:val="clear" w:color="auto" w:fill="FFFFFF"/>
            <w:tcMar>
              <w:top w:w="40" w:type="dxa"/>
              <w:left w:w="20" w:type="dxa"/>
              <w:bottom w:w="40" w:type="dxa"/>
              <w:right w:w="0" w:type="dxa"/>
            </w:tcMar>
            <w:vAlign w:val="bottom"/>
          </w:tcPr>
          <w:p w14:paraId="1E80455F"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560" w14:textId="77777777" w:rsidR="00F20ABF" w:rsidRDefault="00CA4D2F">
            <w:pPr>
              <w:jc w:val="right"/>
              <w:textAlignment w:val="bottom"/>
            </w:pPr>
            <w:r>
              <w:rPr>
                <w:rFonts w:ascii="sans-serif" w:eastAsia="sans-serif" w:hAnsi="sans-serif" w:cs="sans-serif"/>
                <w:color w:val="000000"/>
                <w:sz w:val="20"/>
                <w:szCs w:val="20"/>
              </w:rPr>
              <w:t>2.16 </w:t>
            </w:r>
          </w:p>
        </w:tc>
        <w:tc>
          <w:tcPr>
            <w:tcW w:w="0" w:type="auto"/>
            <w:shd w:val="clear" w:color="auto" w:fill="FFFFFF"/>
            <w:tcMar>
              <w:top w:w="40" w:type="dxa"/>
              <w:left w:w="0" w:type="dxa"/>
              <w:bottom w:w="40" w:type="dxa"/>
              <w:right w:w="20" w:type="dxa"/>
            </w:tcMar>
            <w:vAlign w:val="bottom"/>
          </w:tcPr>
          <w:p w14:paraId="1E80456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562"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563"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564" w14:textId="77777777" w:rsidR="00F20ABF" w:rsidRDefault="00CA4D2F">
            <w:pPr>
              <w:jc w:val="right"/>
              <w:textAlignment w:val="bottom"/>
            </w:pPr>
            <w:r>
              <w:rPr>
                <w:rFonts w:ascii="sans-serif" w:eastAsia="sans-serif" w:hAnsi="sans-serif" w:cs="sans-serif"/>
                <w:color w:val="000000"/>
                <w:sz w:val="20"/>
                <w:szCs w:val="20"/>
              </w:rPr>
              <w:t>1.47 </w:t>
            </w:r>
          </w:p>
        </w:tc>
        <w:tc>
          <w:tcPr>
            <w:tcW w:w="0" w:type="auto"/>
            <w:shd w:val="clear" w:color="auto" w:fill="FFFFFF"/>
            <w:tcMar>
              <w:top w:w="40" w:type="dxa"/>
              <w:left w:w="0" w:type="dxa"/>
              <w:bottom w:w="40" w:type="dxa"/>
              <w:right w:w="20" w:type="dxa"/>
            </w:tcMar>
            <w:vAlign w:val="bottom"/>
          </w:tcPr>
          <w:p w14:paraId="1E80456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566"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567"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568" w14:textId="77777777" w:rsidR="00F20ABF" w:rsidRDefault="00CA4D2F">
            <w:pPr>
              <w:jc w:val="right"/>
              <w:textAlignment w:val="bottom"/>
            </w:pPr>
            <w:r>
              <w:rPr>
                <w:rFonts w:ascii="sans-serif" w:eastAsia="sans-serif" w:hAnsi="sans-serif" w:cs="sans-serif"/>
                <w:color w:val="000000"/>
                <w:sz w:val="20"/>
                <w:szCs w:val="20"/>
              </w:rPr>
              <w:t>4.67 </w:t>
            </w:r>
          </w:p>
        </w:tc>
        <w:tc>
          <w:tcPr>
            <w:tcW w:w="0" w:type="auto"/>
            <w:shd w:val="clear" w:color="auto" w:fill="FFFFFF"/>
            <w:tcMar>
              <w:top w:w="40" w:type="dxa"/>
              <w:left w:w="0" w:type="dxa"/>
              <w:bottom w:w="40" w:type="dxa"/>
              <w:right w:w="20" w:type="dxa"/>
            </w:tcMar>
            <w:vAlign w:val="bottom"/>
          </w:tcPr>
          <w:p w14:paraId="1E80456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56A"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56B"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56C" w14:textId="77777777" w:rsidR="00F20ABF" w:rsidRDefault="00CA4D2F">
            <w:pPr>
              <w:jc w:val="right"/>
              <w:textAlignment w:val="bottom"/>
            </w:pPr>
            <w:r>
              <w:rPr>
                <w:rFonts w:ascii="sans-serif" w:eastAsia="sans-serif" w:hAnsi="sans-serif" w:cs="sans-serif"/>
                <w:color w:val="000000"/>
                <w:sz w:val="20"/>
                <w:szCs w:val="20"/>
              </w:rPr>
              <w:t>3.03 </w:t>
            </w:r>
          </w:p>
        </w:tc>
        <w:tc>
          <w:tcPr>
            <w:tcW w:w="0" w:type="auto"/>
            <w:shd w:val="clear" w:color="auto" w:fill="FFFFFF"/>
            <w:tcMar>
              <w:top w:w="40" w:type="dxa"/>
              <w:left w:w="0" w:type="dxa"/>
              <w:bottom w:w="40" w:type="dxa"/>
              <w:right w:w="20" w:type="dxa"/>
            </w:tcMar>
            <w:vAlign w:val="bottom"/>
          </w:tcPr>
          <w:p w14:paraId="1E80456D" w14:textId="77777777" w:rsidR="00F20ABF" w:rsidRDefault="00F20ABF">
            <w:pPr>
              <w:jc w:val="right"/>
              <w:rPr>
                <w:rFonts w:ascii="宋体"/>
              </w:rPr>
            </w:pPr>
          </w:p>
        </w:tc>
      </w:tr>
      <w:tr w:rsidR="00F20ABF" w14:paraId="1E80457F" w14:textId="77777777">
        <w:tc>
          <w:tcPr>
            <w:tcW w:w="0" w:type="auto"/>
            <w:gridSpan w:val="3"/>
            <w:shd w:val="clear" w:color="auto" w:fill="E2EFD9"/>
            <w:tcMar>
              <w:top w:w="40" w:type="dxa"/>
              <w:left w:w="20" w:type="dxa"/>
              <w:bottom w:w="40" w:type="dxa"/>
              <w:right w:w="20" w:type="dxa"/>
            </w:tcMar>
            <w:vAlign w:val="bottom"/>
          </w:tcPr>
          <w:p w14:paraId="1E80456F" w14:textId="77777777" w:rsidR="00F20ABF" w:rsidRDefault="00CA4D2F">
            <w:pPr>
              <w:ind w:firstLine="180"/>
              <w:textAlignment w:val="bottom"/>
            </w:pPr>
            <w:r>
              <w:rPr>
                <w:rFonts w:ascii="sans-serif" w:eastAsia="sans-serif" w:hAnsi="sans-serif" w:cs="sans-serif"/>
                <w:color w:val="000000"/>
                <w:sz w:val="20"/>
                <w:szCs w:val="20"/>
              </w:rPr>
              <w:t>Diluted (2)</w:t>
            </w:r>
          </w:p>
        </w:tc>
        <w:tc>
          <w:tcPr>
            <w:tcW w:w="0" w:type="auto"/>
            <w:tcBorders>
              <w:top w:val="double" w:sz="6" w:space="0" w:color="000000"/>
            </w:tcBorders>
            <w:shd w:val="clear" w:color="auto" w:fill="E2EFD9"/>
            <w:tcMar>
              <w:top w:w="40" w:type="dxa"/>
              <w:left w:w="20" w:type="dxa"/>
              <w:bottom w:w="40" w:type="dxa"/>
              <w:right w:w="0" w:type="dxa"/>
            </w:tcMar>
            <w:vAlign w:val="bottom"/>
          </w:tcPr>
          <w:p w14:paraId="1E804570"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E804571" w14:textId="77777777" w:rsidR="00F20ABF" w:rsidRDefault="00CA4D2F">
            <w:pPr>
              <w:jc w:val="right"/>
              <w:textAlignment w:val="bottom"/>
            </w:pPr>
            <w:r>
              <w:rPr>
                <w:rFonts w:ascii="sans-serif" w:eastAsia="sans-serif" w:hAnsi="sans-serif" w:cs="sans-serif"/>
                <w:color w:val="000000"/>
                <w:sz w:val="20"/>
                <w:szCs w:val="20"/>
              </w:rPr>
              <w:t>2.12 </w:t>
            </w:r>
          </w:p>
        </w:tc>
        <w:tc>
          <w:tcPr>
            <w:tcW w:w="0" w:type="auto"/>
            <w:tcBorders>
              <w:top w:val="double" w:sz="6" w:space="0" w:color="000000"/>
            </w:tcBorders>
            <w:shd w:val="clear" w:color="auto" w:fill="E2EFD9"/>
            <w:tcMar>
              <w:top w:w="40" w:type="dxa"/>
              <w:left w:w="0" w:type="dxa"/>
              <w:bottom w:w="40" w:type="dxa"/>
              <w:right w:w="20" w:type="dxa"/>
            </w:tcMar>
            <w:vAlign w:val="bottom"/>
          </w:tcPr>
          <w:p w14:paraId="1E80457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573" w14:textId="77777777" w:rsidR="00F20ABF" w:rsidRDefault="00F20ABF">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1E804574"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E804575" w14:textId="77777777" w:rsidR="00F20ABF" w:rsidRDefault="00CA4D2F">
            <w:pPr>
              <w:jc w:val="right"/>
              <w:textAlignment w:val="bottom"/>
            </w:pPr>
            <w:r>
              <w:rPr>
                <w:rFonts w:ascii="sans-serif" w:eastAsia="sans-serif" w:hAnsi="sans-serif" w:cs="sans-serif"/>
                <w:color w:val="000000"/>
                <w:sz w:val="20"/>
                <w:szCs w:val="20"/>
              </w:rPr>
              <w:t>1.45 </w:t>
            </w:r>
          </w:p>
        </w:tc>
        <w:tc>
          <w:tcPr>
            <w:tcW w:w="0" w:type="auto"/>
            <w:tcBorders>
              <w:top w:val="double" w:sz="6" w:space="0" w:color="000000"/>
            </w:tcBorders>
            <w:shd w:val="clear" w:color="auto" w:fill="E2EFD9"/>
            <w:tcMar>
              <w:top w:w="40" w:type="dxa"/>
              <w:left w:w="0" w:type="dxa"/>
              <w:bottom w:w="40" w:type="dxa"/>
              <w:right w:w="20" w:type="dxa"/>
            </w:tcMar>
            <w:vAlign w:val="bottom"/>
          </w:tcPr>
          <w:p w14:paraId="1E80457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577" w14:textId="77777777" w:rsidR="00F20ABF" w:rsidRDefault="00F20ABF">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1E804578"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E804579" w14:textId="77777777" w:rsidR="00F20ABF" w:rsidRDefault="00CA4D2F">
            <w:pPr>
              <w:jc w:val="right"/>
              <w:textAlignment w:val="bottom"/>
            </w:pPr>
            <w:r>
              <w:rPr>
                <w:rFonts w:ascii="sans-serif" w:eastAsia="sans-serif" w:hAnsi="sans-serif" w:cs="sans-serif"/>
                <w:color w:val="000000"/>
                <w:sz w:val="20"/>
                <w:szCs w:val="20"/>
              </w:rPr>
              <w:t>4.59 </w:t>
            </w:r>
          </w:p>
        </w:tc>
        <w:tc>
          <w:tcPr>
            <w:tcW w:w="0" w:type="auto"/>
            <w:tcBorders>
              <w:top w:val="double" w:sz="6" w:space="0" w:color="000000"/>
            </w:tcBorders>
            <w:shd w:val="clear" w:color="auto" w:fill="E2EFD9"/>
            <w:tcMar>
              <w:top w:w="40" w:type="dxa"/>
              <w:left w:w="0" w:type="dxa"/>
              <w:bottom w:w="40" w:type="dxa"/>
              <w:right w:w="20" w:type="dxa"/>
            </w:tcMar>
            <w:vAlign w:val="bottom"/>
          </w:tcPr>
          <w:p w14:paraId="1E80457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57B" w14:textId="77777777" w:rsidR="00F20ABF" w:rsidRDefault="00F20ABF">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1E80457C"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E80457D" w14:textId="77777777" w:rsidR="00F20ABF" w:rsidRDefault="00CA4D2F">
            <w:pPr>
              <w:jc w:val="right"/>
              <w:textAlignment w:val="bottom"/>
            </w:pPr>
            <w:r>
              <w:rPr>
                <w:rFonts w:ascii="sans-serif" w:eastAsia="sans-serif" w:hAnsi="sans-serif" w:cs="sans-serif"/>
                <w:color w:val="000000"/>
                <w:sz w:val="20"/>
                <w:szCs w:val="20"/>
              </w:rPr>
              <w:t>2.99 </w:t>
            </w:r>
          </w:p>
        </w:tc>
        <w:tc>
          <w:tcPr>
            <w:tcW w:w="0" w:type="auto"/>
            <w:tcBorders>
              <w:top w:val="double" w:sz="6" w:space="0" w:color="000000"/>
            </w:tcBorders>
            <w:shd w:val="clear" w:color="auto" w:fill="E2EFD9"/>
            <w:tcMar>
              <w:top w:w="40" w:type="dxa"/>
              <w:left w:w="0" w:type="dxa"/>
              <w:bottom w:w="40" w:type="dxa"/>
              <w:right w:w="20" w:type="dxa"/>
            </w:tcMar>
            <w:vAlign w:val="bottom"/>
          </w:tcPr>
          <w:p w14:paraId="1E80457E" w14:textId="77777777" w:rsidR="00F20ABF" w:rsidRDefault="00F20ABF">
            <w:pPr>
              <w:jc w:val="right"/>
              <w:rPr>
                <w:rFonts w:ascii="宋体"/>
              </w:rPr>
            </w:pPr>
          </w:p>
        </w:tc>
      </w:tr>
      <w:tr w:rsidR="00F20ABF" w14:paraId="1E80458C" w14:textId="77777777">
        <w:tc>
          <w:tcPr>
            <w:tcW w:w="0" w:type="auto"/>
            <w:gridSpan w:val="3"/>
            <w:shd w:val="clear" w:color="auto" w:fill="FFFFFF"/>
            <w:tcMar>
              <w:top w:w="40" w:type="dxa"/>
              <w:left w:w="20" w:type="dxa"/>
              <w:bottom w:w="40" w:type="dxa"/>
              <w:right w:w="20" w:type="dxa"/>
            </w:tcMar>
            <w:vAlign w:val="bottom"/>
          </w:tcPr>
          <w:p w14:paraId="1E804580" w14:textId="77777777" w:rsidR="00F20ABF" w:rsidRDefault="00CA4D2F">
            <w:pPr>
              <w:textAlignment w:val="bottom"/>
            </w:pPr>
            <w:r>
              <w:rPr>
                <w:rFonts w:ascii="sans-serif" w:eastAsia="sans-serif" w:hAnsi="sans-serif" w:cs="sans-serif"/>
                <w:color w:val="000000"/>
                <w:sz w:val="20"/>
                <w:szCs w:val="20"/>
              </w:rPr>
              <w:t>Equity awards excluded from diluted net income per share because their effect would have been anti-dilutive</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E804581" w14:textId="77777777" w:rsidR="00F20ABF" w:rsidRDefault="00CA4D2F">
            <w:pPr>
              <w:jc w:val="right"/>
              <w:textAlignment w:val="bottom"/>
            </w:pPr>
            <w:r>
              <w:rPr>
                <w:rFonts w:ascii="sans-serif" w:eastAsia="sans-serif" w:hAnsi="sans-serif" w:cs="sans-serif"/>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1E80458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583" w14:textId="77777777" w:rsidR="00F20ABF" w:rsidRDefault="00F20ABF">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E804584" w14:textId="77777777" w:rsidR="00F20ABF" w:rsidRDefault="00CA4D2F">
            <w:pPr>
              <w:jc w:val="right"/>
              <w:textAlignment w:val="bottom"/>
            </w:pPr>
            <w:r>
              <w:rPr>
                <w:rFonts w:ascii="sans-serif" w:eastAsia="sans-serif" w:hAnsi="sans-serif" w:cs="sans-serif"/>
                <w:color w:val="000000"/>
                <w:sz w:val="20"/>
                <w:szCs w:val="20"/>
              </w:rPr>
              <w:t>5 </w:t>
            </w:r>
          </w:p>
        </w:tc>
        <w:tc>
          <w:tcPr>
            <w:tcW w:w="0" w:type="auto"/>
            <w:tcBorders>
              <w:top w:val="double" w:sz="6" w:space="0" w:color="000000"/>
            </w:tcBorders>
            <w:shd w:val="clear" w:color="auto" w:fill="FFFFFF"/>
            <w:tcMar>
              <w:top w:w="40" w:type="dxa"/>
              <w:left w:w="0" w:type="dxa"/>
              <w:bottom w:w="40" w:type="dxa"/>
              <w:right w:w="20" w:type="dxa"/>
            </w:tcMar>
            <w:vAlign w:val="bottom"/>
          </w:tcPr>
          <w:p w14:paraId="1E80458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586" w14:textId="77777777" w:rsidR="00F20ABF" w:rsidRDefault="00F20ABF">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E804587" w14:textId="77777777" w:rsidR="00F20ABF" w:rsidRDefault="00CA4D2F">
            <w:pPr>
              <w:jc w:val="right"/>
              <w:textAlignment w:val="bottom"/>
            </w:pPr>
            <w:r>
              <w:rPr>
                <w:rFonts w:ascii="sans-serif" w:eastAsia="sans-serif" w:hAnsi="sans-serif" w:cs="sans-serif"/>
                <w:color w:val="000000"/>
                <w:sz w:val="20"/>
                <w:szCs w:val="20"/>
              </w:rPr>
              <w:t>8 </w:t>
            </w:r>
          </w:p>
        </w:tc>
        <w:tc>
          <w:tcPr>
            <w:tcW w:w="0" w:type="auto"/>
            <w:tcBorders>
              <w:top w:val="double" w:sz="6" w:space="0" w:color="000000"/>
            </w:tcBorders>
            <w:shd w:val="clear" w:color="auto" w:fill="FFFFFF"/>
            <w:tcMar>
              <w:top w:w="40" w:type="dxa"/>
              <w:left w:w="0" w:type="dxa"/>
              <w:bottom w:w="40" w:type="dxa"/>
              <w:right w:w="20" w:type="dxa"/>
            </w:tcMar>
            <w:vAlign w:val="bottom"/>
          </w:tcPr>
          <w:p w14:paraId="1E80458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589" w14:textId="77777777" w:rsidR="00F20ABF" w:rsidRDefault="00F20ABF">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E80458A" w14:textId="77777777" w:rsidR="00F20ABF" w:rsidRDefault="00CA4D2F">
            <w:pPr>
              <w:jc w:val="right"/>
              <w:textAlignment w:val="bottom"/>
            </w:pPr>
            <w:r>
              <w:rPr>
                <w:rFonts w:ascii="sans-serif" w:eastAsia="sans-serif" w:hAnsi="sans-serif" w:cs="sans-serif"/>
                <w:color w:val="000000"/>
                <w:sz w:val="20"/>
                <w:szCs w:val="20"/>
              </w:rPr>
              <w:t>11 </w:t>
            </w:r>
          </w:p>
        </w:tc>
        <w:tc>
          <w:tcPr>
            <w:tcW w:w="0" w:type="auto"/>
            <w:tcBorders>
              <w:top w:val="double" w:sz="6" w:space="0" w:color="000000"/>
            </w:tcBorders>
            <w:shd w:val="clear" w:color="auto" w:fill="FFFFFF"/>
            <w:tcMar>
              <w:top w:w="40" w:type="dxa"/>
              <w:left w:w="0" w:type="dxa"/>
              <w:bottom w:w="40" w:type="dxa"/>
              <w:right w:w="20" w:type="dxa"/>
            </w:tcMar>
            <w:vAlign w:val="bottom"/>
          </w:tcPr>
          <w:p w14:paraId="1E80458B" w14:textId="77777777" w:rsidR="00F20ABF" w:rsidRDefault="00F20ABF">
            <w:pPr>
              <w:jc w:val="right"/>
              <w:rPr>
                <w:rFonts w:ascii="宋体"/>
              </w:rPr>
            </w:pPr>
          </w:p>
        </w:tc>
      </w:tr>
    </w:tbl>
    <w:p w14:paraId="1E80458D" w14:textId="77777777" w:rsidR="00F20ABF" w:rsidRDefault="00CA4D2F">
      <w:pPr>
        <w:spacing w:after="60"/>
        <w:ind w:hanging="360"/>
        <w:jc w:val="both"/>
      </w:pPr>
      <w:r>
        <w:rPr>
          <w:rFonts w:ascii="sans-serif" w:eastAsia="sans-serif" w:hAnsi="sans-serif" w:cs="sans-serif"/>
          <w:color w:val="000000"/>
          <w:sz w:val="16"/>
          <w:szCs w:val="16"/>
        </w:rPr>
        <w:t>(1)    Calculated as net income divided by basic weighted average shares.</w:t>
      </w:r>
    </w:p>
    <w:p w14:paraId="1E80458E" w14:textId="77777777" w:rsidR="00F20ABF" w:rsidRDefault="00CA4D2F">
      <w:pPr>
        <w:spacing w:after="180"/>
        <w:ind w:hanging="360"/>
        <w:jc w:val="both"/>
      </w:pPr>
      <w:r>
        <w:rPr>
          <w:rFonts w:ascii="sans-serif" w:eastAsia="sans-serif" w:hAnsi="sans-serif" w:cs="sans-serif"/>
          <w:color w:val="000000"/>
          <w:sz w:val="16"/>
          <w:szCs w:val="16"/>
        </w:rPr>
        <w:t>(2)    Calculated as net income divided by diluted weighted average shares.</w:t>
      </w:r>
    </w:p>
    <w:p w14:paraId="1E80458F" w14:textId="77777777" w:rsidR="00F20ABF" w:rsidRDefault="00CA4D2F">
      <w:pPr>
        <w:spacing w:before="240" w:after="120"/>
        <w:jc w:val="both"/>
      </w:pPr>
      <w:r>
        <w:rPr>
          <w:rFonts w:ascii="sans-serif" w:eastAsia="sans-serif" w:hAnsi="sans-serif" w:cs="sans-serif"/>
          <w:b/>
          <w:bCs/>
          <w:color w:val="76B900"/>
          <w:sz w:val="22"/>
          <w:szCs w:val="22"/>
        </w:rPr>
        <w:t>Note 6 – Income Taxes</w:t>
      </w:r>
    </w:p>
    <w:p w14:paraId="1E804590" w14:textId="77777777" w:rsidR="00F20ABF" w:rsidRDefault="00CA4D2F">
      <w:pPr>
        <w:spacing w:after="180"/>
        <w:jc w:val="both"/>
      </w:pPr>
      <w:r>
        <w:rPr>
          <w:rFonts w:ascii="sans-serif" w:eastAsia="sans-serif" w:hAnsi="sans-serif" w:cs="sans-serif"/>
          <w:color w:val="000000"/>
          <w:sz w:val="20"/>
          <w:szCs w:val="20"/>
        </w:rPr>
        <w:t xml:space="preserve">We recognized an </w:t>
      </w:r>
      <w:r>
        <w:rPr>
          <w:rFonts w:ascii="sans-serif" w:eastAsia="sans-serif" w:hAnsi="sans-serif" w:cs="sans-serif"/>
          <w:color w:val="000000"/>
          <w:sz w:val="20"/>
          <w:szCs w:val="20"/>
        </w:rPr>
        <w:t xml:space="preserve">income tax expense of $12 million and $64 million for the third quarter and first nine months of fiscal year 2021, respectively, and $60 million and $109 million for the third quarter and first nine months of fiscal year 2020, respectively. The income tax </w:t>
      </w:r>
      <w:r>
        <w:rPr>
          <w:rFonts w:ascii="sans-serif" w:eastAsia="sans-serif" w:hAnsi="sans-serif" w:cs="sans-serif"/>
          <w:color w:val="000000"/>
          <w:sz w:val="20"/>
          <w:szCs w:val="20"/>
        </w:rPr>
        <w:t>expense as a percentage of income before income tax was 0.9% and 2.2% for the third quarter and first nine months of fiscal year 2021, respectively, and 6.3% and 5.6% for the third quarter and first nine months of fiscal year 2020, respectively.</w:t>
      </w:r>
    </w:p>
    <w:p w14:paraId="1E804591" w14:textId="77777777" w:rsidR="00F20ABF" w:rsidRDefault="00CA4D2F">
      <w:pPr>
        <w:spacing w:after="180"/>
        <w:jc w:val="both"/>
      </w:pPr>
      <w:r>
        <w:rPr>
          <w:rFonts w:ascii="sans-serif" w:eastAsia="sans-serif" w:hAnsi="sans-serif" w:cs="sans-serif"/>
          <w:color w:val="000000"/>
          <w:sz w:val="20"/>
          <w:szCs w:val="20"/>
        </w:rPr>
        <w:t>The decrea</w:t>
      </w:r>
      <w:r>
        <w:rPr>
          <w:rFonts w:ascii="sans-serif" w:eastAsia="sans-serif" w:hAnsi="sans-serif" w:cs="sans-serif"/>
          <w:color w:val="000000"/>
          <w:sz w:val="20"/>
          <w:szCs w:val="20"/>
        </w:rPr>
        <w:t>se in our effective tax rate for the third quarter and first nine months of fiscal year 2021 as compared to the same periods of fiscal year 2020 was primarily due to a decrease in the proportional amount of earnings subject to United States tax and an incr</w:t>
      </w:r>
      <w:r>
        <w:rPr>
          <w:rFonts w:ascii="sans-serif" w:eastAsia="sans-serif" w:hAnsi="sans-serif" w:cs="sans-serif"/>
          <w:color w:val="000000"/>
          <w:sz w:val="20"/>
          <w:szCs w:val="20"/>
        </w:rPr>
        <w:t xml:space="preserve">ease of tax benefits from stock-based compensation. </w:t>
      </w:r>
    </w:p>
    <w:p w14:paraId="1E804592" w14:textId="77777777" w:rsidR="00F20ABF" w:rsidRDefault="00CA4D2F">
      <w:pPr>
        <w:spacing w:after="180"/>
        <w:jc w:val="both"/>
      </w:pPr>
      <w:r>
        <w:rPr>
          <w:rFonts w:ascii="sans-serif" w:eastAsia="sans-serif" w:hAnsi="sans-serif" w:cs="sans-serif"/>
          <w:color w:val="000000"/>
          <w:sz w:val="20"/>
          <w:szCs w:val="20"/>
        </w:rPr>
        <w:t>Our effective tax rates for the first nine months of fiscal years 2021 and 2020 were lower than the U.S. federal statutory rate of 21% due to income earned in jurisdictions that are subject to taxes lowe</w:t>
      </w:r>
      <w:r>
        <w:rPr>
          <w:rFonts w:ascii="sans-serif" w:eastAsia="sans-serif" w:hAnsi="sans-serif" w:cs="sans-serif"/>
          <w:color w:val="000000"/>
          <w:sz w:val="20"/>
          <w:szCs w:val="20"/>
        </w:rPr>
        <w:t>r than the U.S. federal statutory tax rate, the benefit of the U.S. federal research tax credit, and tax benefits related to stock-based compensation.</w:t>
      </w:r>
    </w:p>
    <w:p w14:paraId="1E804593" w14:textId="77777777" w:rsidR="00F20ABF" w:rsidRDefault="00CA4D2F">
      <w:pPr>
        <w:spacing w:after="180"/>
        <w:jc w:val="both"/>
      </w:pPr>
      <w:r>
        <w:rPr>
          <w:rFonts w:ascii="sans-serif" w:eastAsia="sans-serif" w:hAnsi="sans-serif" w:cs="sans-serif"/>
          <w:color w:val="000000"/>
          <w:sz w:val="20"/>
          <w:szCs w:val="20"/>
        </w:rPr>
        <w:t>During the second quarter of fiscal year 2021, we completed the acquisition of Mellanox. As a result of t</w:t>
      </w:r>
      <w:r>
        <w:rPr>
          <w:rFonts w:ascii="sans-serif" w:eastAsia="sans-serif" w:hAnsi="sans-serif" w:cs="sans-serif"/>
          <w:color w:val="000000"/>
          <w:sz w:val="20"/>
          <w:szCs w:val="20"/>
        </w:rPr>
        <w:t>he acquisition, we recorded $256 million of net deferred tax liabilities primarily on the excess of book basis over the tax basis of the acquired intangible assets and undistributed earnings in certain foreign subsidiaries. We also recorded $153 million of</w:t>
      </w:r>
      <w:r>
        <w:rPr>
          <w:rFonts w:ascii="sans-serif" w:eastAsia="sans-serif" w:hAnsi="sans-serif" w:cs="sans-serif"/>
          <w:color w:val="000000"/>
          <w:sz w:val="20"/>
          <w:szCs w:val="20"/>
        </w:rPr>
        <w:t xml:space="preserve"> long-term tax liabilities related to tax basis differences in Mellanox. The net deferred tax liabilities and long-term tax liabilities are based upon certain assumptions underlying our purchase price allocation. Upon finalization of the purchase price all</w:t>
      </w:r>
      <w:r>
        <w:rPr>
          <w:rFonts w:ascii="sans-serif" w:eastAsia="sans-serif" w:hAnsi="sans-serif" w:cs="sans-serif"/>
          <w:color w:val="000000"/>
          <w:sz w:val="20"/>
          <w:szCs w:val="20"/>
        </w:rPr>
        <w:t>ocation, additional adjustments to the amount of our net deferred taxes and long-term tax liabilities may be required. As a result of the acquisition, we intend to indefinitely reinvest approximately $675 million of cumulative undistributed earnings held b</w:t>
      </w:r>
      <w:r>
        <w:rPr>
          <w:rFonts w:ascii="sans-serif" w:eastAsia="sans-serif" w:hAnsi="sans-serif" w:cs="sans-serif"/>
          <w:color w:val="000000"/>
          <w:sz w:val="20"/>
          <w:szCs w:val="20"/>
        </w:rPr>
        <w:t>y Mellanox non-U.S. subsidiaries. We have not provided the amount of unrecognized deferred tax liabilities for temporary differences related to investments in Mellanox non-U.S. subsidiaries as the determination of such amount is not practicable.</w:t>
      </w:r>
    </w:p>
    <w:p w14:paraId="1E804594" w14:textId="77777777" w:rsidR="00F20ABF" w:rsidRDefault="00CA4D2F">
      <w:pPr>
        <w:spacing w:after="180"/>
        <w:jc w:val="both"/>
      </w:pPr>
      <w:r>
        <w:rPr>
          <w:rFonts w:ascii="sans-serif" w:eastAsia="sans-serif" w:hAnsi="sans-serif" w:cs="sans-serif"/>
          <w:color w:val="000000"/>
          <w:sz w:val="20"/>
          <w:szCs w:val="20"/>
        </w:rPr>
        <w:t>For the fi</w:t>
      </w:r>
      <w:r>
        <w:rPr>
          <w:rFonts w:ascii="sans-serif" w:eastAsia="sans-serif" w:hAnsi="sans-serif" w:cs="sans-serif"/>
          <w:color w:val="000000"/>
          <w:sz w:val="20"/>
          <w:szCs w:val="20"/>
        </w:rPr>
        <w:t xml:space="preserve">rst nine months of fiscal year 2021, there have been no material changes to our tax years that remain subject to examination by major tax jurisdictions. We are currently under examination by the Internal Revenue Service for our fiscal years 2018 and 2019. </w:t>
      </w:r>
      <w:r>
        <w:rPr>
          <w:rFonts w:ascii="sans-serif" w:eastAsia="sans-serif" w:hAnsi="sans-serif" w:cs="sans-serif"/>
          <w:color w:val="000000"/>
          <w:sz w:val="20"/>
          <w:szCs w:val="20"/>
        </w:rPr>
        <w:t xml:space="preserve">In the second quarter of fiscal year 2021, we assumed $59 million of unrecognized tax </w:t>
      </w:r>
    </w:p>
    <w:p w14:paraId="1E804595" w14:textId="77777777" w:rsidR="00F20ABF" w:rsidRDefault="00CA4D2F">
      <w:pPr>
        <w:spacing w:after="180"/>
        <w:jc w:val="center"/>
      </w:pPr>
      <w:r>
        <w:rPr>
          <w:rFonts w:ascii="sans-serif" w:eastAsia="sans-serif" w:hAnsi="sans-serif" w:cs="sans-serif"/>
          <w:color w:val="000000"/>
          <w:sz w:val="20"/>
          <w:szCs w:val="20"/>
        </w:rPr>
        <w:t>15</w:t>
      </w:r>
    </w:p>
    <w:p w14:paraId="1E804596" w14:textId="77777777" w:rsidR="00F20ABF" w:rsidRDefault="00CA4D2F">
      <w:r>
        <w:pict w14:anchorId="1E80558A">
          <v:rect id="_x0000_i1039" style="width:415.3pt;height:1.5pt" o:hralign="center" o:hrstd="t" o:hr="t" fillcolor="#a0a0a0" stroked="f"/>
        </w:pict>
      </w:r>
    </w:p>
    <w:p w14:paraId="1E804597" w14:textId="77777777" w:rsidR="00F20ABF" w:rsidRDefault="00CA4D2F">
      <w:pPr>
        <w:jc w:val="center"/>
      </w:pPr>
      <w:r>
        <w:rPr>
          <w:rFonts w:ascii="sans-serif" w:eastAsia="sans-serif" w:hAnsi="sans-serif" w:cs="sans-serif"/>
          <w:b/>
          <w:bCs/>
          <w:color w:val="000000"/>
          <w:sz w:val="20"/>
          <w:szCs w:val="20"/>
        </w:rPr>
        <w:t>NVIDIA CORPORATION AND SUBSIDIARIES</w:t>
      </w:r>
    </w:p>
    <w:p w14:paraId="1E804598" w14:textId="77777777" w:rsidR="00F20ABF" w:rsidRDefault="00CA4D2F">
      <w:pPr>
        <w:jc w:val="center"/>
      </w:pPr>
      <w:r>
        <w:rPr>
          <w:rFonts w:ascii="sans-serif" w:eastAsia="sans-serif" w:hAnsi="sans-serif" w:cs="sans-serif"/>
          <w:b/>
          <w:bCs/>
          <w:color w:val="000000"/>
          <w:sz w:val="20"/>
          <w:szCs w:val="20"/>
        </w:rPr>
        <w:t>NOTES TO CONDENSED CONSOLIDATED FINANCIAL STATEMENTS (Continued)</w:t>
      </w:r>
    </w:p>
    <w:p w14:paraId="1E804599" w14:textId="77777777" w:rsidR="00F20ABF" w:rsidRDefault="00CA4D2F">
      <w:pPr>
        <w:jc w:val="center"/>
      </w:pPr>
      <w:r>
        <w:rPr>
          <w:rFonts w:ascii="sans-serif" w:eastAsia="sans-serif" w:hAnsi="sans-serif" w:cs="sans-serif"/>
          <w:b/>
          <w:bCs/>
          <w:color w:val="000000"/>
          <w:sz w:val="20"/>
          <w:szCs w:val="20"/>
        </w:rPr>
        <w:t>(Unaudited)</w:t>
      </w:r>
    </w:p>
    <w:p w14:paraId="1E80459A" w14:textId="77777777" w:rsidR="00F20ABF" w:rsidRDefault="00F20ABF">
      <w:pPr>
        <w:spacing w:after="180"/>
        <w:jc w:val="both"/>
      </w:pPr>
    </w:p>
    <w:p w14:paraId="1E80459B" w14:textId="77777777" w:rsidR="00F20ABF" w:rsidRDefault="00F20ABF">
      <w:pPr>
        <w:spacing w:after="180"/>
        <w:jc w:val="both"/>
      </w:pPr>
    </w:p>
    <w:p w14:paraId="1E80459C" w14:textId="77777777" w:rsidR="00F20ABF" w:rsidRDefault="00CA4D2F">
      <w:pPr>
        <w:spacing w:after="180"/>
        <w:jc w:val="both"/>
      </w:pPr>
      <w:r>
        <w:rPr>
          <w:rFonts w:ascii="sans-serif" w:eastAsia="sans-serif" w:hAnsi="sans-serif" w:cs="sans-serif"/>
          <w:color w:val="000000"/>
          <w:sz w:val="20"/>
          <w:szCs w:val="20"/>
        </w:rPr>
        <w:t>benefits and $4 million of related interest throu</w:t>
      </w:r>
      <w:r>
        <w:rPr>
          <w:rFonts w:ascii="sans-serif" w:eastAsia="sans-serif" w:hAnsi="sans-serif" w:cs="sans-serif"/>
          <w:color w:val="000000"/>
          <w:sz w:val="20"/>
          <w:szCs w:val="20"/>
        </w:rPr>
        <w:t>gh the Mellanox acquisition. Other than these amounts, there have been no material changes to our unrecognized tax benefits and any related interest or penalties since the fiscal year ended January 26, 2020.</w:t>
      </w:r>
    </w:p>
    <w:p w14:paraId="1E80459D" w14:textId="77777777" w:rsidR="00F20ABF" w:rsidRDefault="00CA4D2F">
      <w:pPr>
        <w:spacing w:after="180"/>
        <w:jc w:val="both"/>
      </w:pPr>
      <w:r>
        <w:rPr>
          <w:rFonts w:ascii="sans-serif" w:eastAsia="sans-serif" w:hAnsi="sans-serif" w:cs="sans-serif"/>
          <w:color w:val="000000"/>
          <w:sz w:val="20"/>
          <w:szCs w:val="20"/>
        </w:rPr>
        <w:t>While we believe that we have adequately provide</w:t>
      </w:r>
      <w:r>
        <w:rPr>
          <w:rFonts w:ascii="sans-serif" w:eastAsia="sans-serif" w:hAnsi="sans-serif" w:cs="sans-serif"/>
          <w:color w:val="000000"/>
          <w:sz w:val="20"/>
          <w:szCs w:val="20"/>
        </w:rPr>
        <w:t>d for all uncertain tax positions, or tax positions where we believe it is not more-likely-than-not that the position will be sustained upon review, amounts asserted by tax authorities could be greater or less than our accrued position. Accordingly, our pr</w:t>
      </w:r>
      <w:r>
        <w:rPr>
          <w:rFonts w:ascii="sans-serif" w:eastAsia="sans-serif" w:hAnsi="sans-serif" w:cs="sans-serif"/>
          <w:color w:val="000000"/>
          <w:sz w:val="20"/>
          <w:szCs w:val="20"/>
        </w:rPr>
        <w:t xml:space="preserve">ovisions on federal, state and foreign tax related matters to be recorded in the future may change as revised estimates are made or the underlying matters are settled or otherwise resolved with the respective tax authorities. As of October 25, 2020, we do </w:t>
      </w:r>
      <w:r>
        <w:rPr>
          <w:rFonts w:ascii="sans-serif" w:eastAsia="sans-serif" w:hAnsi="sans-serif" w:cs="sans-serif"/>
          <w:color w:val="000000"/>
          <w:sz w:val="20"/>
          <w:szCs w:val="20"/>
        </w:rPr>
        <w:t xml:space="preserve">not believe that our estimates, as otherwise provided for, on such tax positions will significantly increase or decrease within the next twelve months. </w:t>
      </w:r>
    </w:p>
    <w:p w14:paraId="1E80459E" w14:textId="77777777" w:rsidR="00F20ABF" w:rsidRDefault="00CA4D2F">
      <w:pPr>
        <w:spacing w:before="240" w:after="120"/>
        <w:jc w:val="both"/>
      </w:pPr>
      <w:r>
        <w:rPr>
          <w:rFonts w:ascii="sans-serif" w:eastAsia="sans-serif" w:hAnsi="sans-serif" w:cs="sans-serif"/>
          <w:b/>
          <w:bCs/>
          <w:color w:val="76B900"/>
          <w:sz w:val="22"/>
          <w:szCs w:val="22"/>
        </w:rPr>
        <w:t>Note 7 - Cash Equivalents and Marketable Securities</w:t>
      </w:r>
      <w:r>
        <w:rPr>
          <w:rFonts w:ascii="sans-serif" w:eastAsia="sans-serif" w:hAnsi="sans-serif" w:cs="sans-serif"/>
          <w:color w:val="000000"/>
          <w:sz w:val="20"/>
          <w:szCs w:val="20"/>
        </w:rPr>
        <w:t> </w:t>
      </w:r>
    </w:p>
    <w:p w14:paraId="1E80459F" w14:textId="77777777" w:rsidR="00F20ABF" w:rsidRDefault="00CA4D2F">
      <w:pPr>
        <w:spacing w:after="180"/>
        <w:jc w:val="both"/>
      </w:pPr>
      <w:r>
        <w:rPr>
          <w:rFonts w:ascii="sans-serif" w:eastAsia="sans-serif" w:hAnsi="sans-serif" w:cs="sans-serif"/>
          <w:color w:val="000000"/>
          <w:sz w:val="20"/>
          <w:szCs w:val="20"/>
        </w:rPr>
        <w:t>Our cash equivalents and marketable securities, ex</w:t>
      </w:r>
      <w:r>
        <w:rPr>
          <w:rFonts w:ascii="sans-serif" w:eastAsia="sans-serif" w:hAnsi="sans-serif" w:cs="sans-serif"/>
          <w:color w:val="000000"/>
          <w:sz w:val="20"/>
          <w:szCs w:val="20"/>
        </w:rPr>
        <w:t>cept for money market funds and certificates of deposits, are classified as “available-for-sale” debt securities.</w:t>
      </w:r>
    </w:p>
    <w:p w14:paraId="1E8045A0" w14:textId="77777777" w:rsidR="00F20ABF" w:rsidRDefault="00CA4D2F">
      <w:pPr>
        <w:spacing w:after="180"/>
        <w:jc w:val="both"/>
      </w:pPr>
      <w:r>
        <w:rPr>
          <w:rFonts w:ascii="sans-serif" w:eastAsia="sans-serif" w:hAnsi="sans-serif" w:cs="sans-serif"/>
          <w:color w:val="000000"/>
          <w:sz w:val="20"/>
          <w:szCs w:val="20"/>
        </w:rPr>
        <w:t>The following is a summary of cash equivalents and marketable securities as of October 25, 2020 and January 26, 2020:</w:t>
      </w:r>
    </w:p>
    <w:tbl>
      <w:tblPr>
        <w:tblW w:w="4971" w:type="pct"/>
        <w:tblCellMar>
          <w:top w:w="15" w:type="dxa"/>
          <w:left w:w="15" w:type="dxa"/>
          <w:bottom w:w="15" w:type="dxa"/>
          <w:right w:w="15" w:type="dxa"/>
        </w:tblCellMar>
        <w:tblLook w:val="04A0" w:firstRow="1" w:lastRow="0" w:firstColumn="1" w:lastColumn="0" w:noHBand="0" w:noVBand="1"/>
      </w:tblPr>
      <w:tblGrid>
        <w:gridCol w:w="39"/>
        <w:gridCol w:w="1625"/>
        <w:gridCol w:w="38"/>
        <w:gridCol w:w="123"/>
        <w:gridCol w:w="816"/>
        <w:gridCol w:w="36"/>
        <w:gridCol w:w="36"/>
        <w:gridCol w:w="36"/>
        <w:gridCol w:w="36"/>
        <w:gridCol w:w="123"/>
        <w:gridCol w:w="842"/>
        <w:gridCol w:w="36"/>
        <w:gridCol w:w="36"/>
        <w:gridCol w:w="36"/>
        <w:gridCol w:w="36"/>
        <w:gridCol w:w="123"/>
        <w:gridCol w:w="839"/>
        <w:gridCol w:w="36"/>
        <w:gridCol w:w="36"/>
        <w:gridCol w:w="36"/>
        <w:gridCol w:w="36"/>
        <w:gridCol w:w="123"/>
        <w:gridCol w:w="785"/>
        <w:gridCol w:w="36"/>
        <w:gridCol w:w="36"/>
        <w:gridCol w:w="36"/>
        <w:gridCol w:w="36"/>
        <w:gridCol w:w="123"/>
        <w:gridCol w:w="904"/>
        <w:gridCol w:w="36"/>
        <w:gridCol w:w="36"/>
        <w:gridCol w:w="36"/>
        <w:gridCol w:w="36"/>
        <w:gridCol w:w="123"/>
        <w:gridCol w:w="906"/>
        <w:gridCol w:w="36"/>
      </w:tblGrid>
      <w:tr w:rsidR="00F20ABF" w14:paraId="1E8045C5" w14:textId="77777777">
        <w:tc>
          <w:tcPr>
            <w:tcW w:w="50" w:type="pct"/>
            <w:shd w:val="clear" w:color="auto" w:fill="auto"/>
          </w:tcPr>
          <w:p w14:paraId="1E8045A1" w14:textId="77777777" w:rsidR="00F20ABF" w:rsidRDefault="00F20ABF">
            <w:pPr>
              <w:rPr>
                <w:rFonts w:ascii="宋体"/>
              </w:rPr>
            </w:pPr>
          </w:p>
        </w:tc>
        <w:tc>
          <w:tcPr>
            <w:tcW w:w="1481" w:type="pct"/>
            <w:shd w:val="clear" w:color="auto" w:fill="auto"/>
          </w:tcPr>
          <w:p w14:paraId="1E8045A2" w14:textId="77777777" w:rsidR="00F20ABF" w:rsidRDefault="00F20ABF">
            <w:pPr>
              <w:rPr>
                <w:rFonts w:ascii="宋体"/>
              </w:rPr>
            </w:pPr>
          </w:p>
        </w:tc>
        <w:tc>
          <w:tcPr>
            <w:tcW w:w="5" w:type="pct"/>
            <w:shd w:val="clear" w:color="auto" w:fill="auto"/>
          </w:tcPr>
          <w:p w14:paraId="1E8045A3" w14:textId="77777777" w:rsidR="00F20ABF" w:rsidRDefault="00F20ABF">
            <w:pPr>
              <w:rPr>
                <w:rFonts w:ascii="宋体"/>
              </w:rPr>
            </w:pPr>
          </w:p>
        </w:tc>
        <w:tc>
          <w:tcPr>
            <w:tcW w:w="50" w:type="pct"/>
            <w:shd w:val="clear" w:color="auto" w:fill="auto"/>
          </w:tcPr>
          <w:p w14:paraId="1E8045A4" w14:textId="77777777" w:rsidR="00F20ABF" w:rsidRDefault="00F20ABF">
            <w:pPr>
              <w:rPr>
                <w:rFonts w:ascii="宋体"/>
              </w:rPr>
            </w:pPr>
          </w:p>
        </w:tc>
        <w:tc>
          <w:tcPr>
            <w:tcW w:w="481" w:type="pct"/>
            <w:shd w:val="clear" w:color="auto" w:fill="auto"/>
          </w:tcPr>
          <w:p w14:paraId="1E8045A5" w14:textId="77777777" w:rsidR="00F20ABF" w:rsidRDefault="00F20ABF">
            <w:pPr>
              <w:rPr>
                <w:rFonts w:ascii="宋体"/>
              </w:rPr>
            </w:pPr>
          </w:p>
        </w:tc>
        <w:tc>
          <w:tcPr>
            <w:tcW w:w="5" w:type="pct"/>
            <w:shd w:val="clear" w:color="auto" w:fill="auto"/>
          </w:tcPr>
          <w:p w14:paraId="1E8045A6" w14:textId="77777777" w:rsidR="00F20ABF" w:rsidRDefault="00F20ABF">
            <w:pPr>
              <w:rPr>
                <w:rFonts w:ascii="宋体"/>
              </w:rPr>
            </w:pPr>
          </w:p>
        </w:tc>
        <w:tc>
          <w:tcPr>
            <w:tcW w:w="5" w:type="pct"/>
            <w:shd w:val="clear" w:color="auto" w:fill="auto"/>
          </w:tcPr>
          <w:p w14:paraId="1E8045A7" w14:textId="77777777" w:rsidR="00F20ABF" w:rsidRDefault="00F20ABF">
            <w:pPr>
              <w:rPr>
                <w:rFonts w:ascii="宋体"/>
              </w:rPr>
            </w:pPr>
          </w:p>
        </w:tc>
        <w:tc>
          <w:tcPr>
            <w:tcW w:w="26" w:type="pct"/>
            <w:shd w:val="clear" w:color="auto" w:fill="auto"/>
          </w:tcPr>
          <w:p w14:paraId="1E8045A8" w14:textId="77777777" w:rsidR="00F20ABF" w:rsidRDefault="00F20ABF">
            <w:pPr>
              <w:rPr>
                <w:rFonts w:ascii="宋体"/>
              </w:rPr>
            </w:pPr>
          </w:p>
        </w:tc>
        <w:tc>
          <w:tcPr>
            <w:tcW w:w="5" w:type="pct"/>
            <w:shd w:val="clear" w:color="auto" w:fill="auto"/>
          </w:tcPr>
          <w:p w14:paraId="1E8045A9" w14:textId="77777777" w:rsidR="00F20ABF" w:rsidRDefault="00F20ABF">
            <w:pPr>
              <w:rPr>
                <w:rFonts w:ascii="宋体"/>
              </w:rPr>
            </w:pPr>
          </w:p>
        </w:tc>
        <w:tc>
          <w:tcPr>
            <w:tcW w:w="50" w:type="pct"/>
            <w:shd w:val="clear" w:color="auto" w:fill="auto"/>
          </w:tcPr>
          <w:p w14:paraId="1E8045AA" w14:textId="77777777" w:rsidR="00F20ABF" w:rsidRDefault="00F20ABF">
            <w:pPr>
              <w:rPr>
                <w:rFonts w:ascii="宋体"/>
              </w:rPr>
            </w:pPr>
          </w:p>
        </w:tc>
        <w:tc>
          <w:tcPr>
            <w:tcW w:w="496" w:type="pct"/>
            <w:shd w:val="clear" w:color="auto" w:fill="auto"/>
          </w:tcPr>
          <w:p w14:paraId="1E8045AB" w14:textId="77777777" w:rsidR="00F20ABF" w:rsidRDefault="00F20ABF">
            <w:pPr>
              <w:rPr>
                <w:rFonts w:ascii="宋体"/>
              </w:rPr>
            </w:pPr>
          </w:p>
        </w:tc>
        <w:tc>
          <w:tcPr>
            <w:tcW w:w="5" w:type="pct"/>
            <w:shd w:val="clear" w:color="auto" w:fill="auto"/>
          </w:tcPr>
          <w:p w14:paraId="1E8045AC" w14:textId="77777777" w:rsidR="00F20ABF" w:rsidRDefault="00F20ABF">
            <w:pPr>
              <w:rPr>
                <w:rFonts w:ascii="宋体"/>
              </w:rPr>
            </w:pPr>
          </w:p>
        </w:tc>
        <w:tc>
          <w:tcPr>
            <w:tcW w:w="5" w:type="pct"/>
            <w:shd w:val="clear" w:color="auto" w:fill="auto"/>
          </w:tcPr>
          <w:p w14:paraId="1E8045AD" w14:textId="77777777" w:rsidR="00F20ABF" w:rsidRDefault="00F20ABF">
            <w:pPr>
              <w:rPr>
                <w:rFonts w:ascii="宋体"/>
              </w:rPr>
            </w:pPr>
          </w:p>
        </w:tc>
        <w:tc>
          <w:tcPr>
            <w:tcW w:w="26" w:type="pct"/>
            <w:shd w:val="clear" w:color="auto" w:fill="auto"/>
          </w:tcPr>
          <w:p w14:paraId="1E8045AE" w14:textId="77777777" w:rsidR="00F20ABF" w:rsidRDefault="00F20ABF">
            <w:pPr>
              <w:rPr>
                <w:rFonts w:ascii="宋体"/>
              </w:rPr>
            </w:pPr>
          </w:p>
        </w:tc>
        <w:tc>
          <w:tcPr>
            <w:tcW w:w="5" w:type="pct"/>
            <w:shd w:val="clear" w:color="auto" w:fill="auto"/>
          </w:tcPr>
          <w:p w14:paraId="1E8045AF" w14:textId="77777777" w:rsidR="00F20ABF" w:rsidRDefault="00F20ABF">
            <w:pPr>
              <w:rPr>
                <w:rFonts w:ascii="宋体"/>
              </w:rPr>
            </w:pPr>
          </w:p>
        </w:tc>
        <w:tc>
          <w:tcPr>
            <w:tcW w:w="50" w:type="pct"/>
            <w:shd w:val="clear" w:color="auto" w:fill="auto"/>
          </w:tcPr>
          <w:p w14:paraId="1E8045B0" w14:textId="77777777" w:rsidR="00F20ABF" w:rsidRDefault="00F20ABF">
            <w:pPr>
              <w:rPr>
                <w:rFonts w:ascii="宋体"/>
              </w:rPr>
            </w:pPr>
          </w:p>
        </w:tc>
        <w:tc>
          <w:tcPr>
            <w:tcW w:w="481" w:type="pct"/>
            <w:shd w:val="clear" w:color="auto" w:fill="auto"/>
          </w:tcPr>
          <w:p w14:paraId="1E8045B1" w14:textId="77777777" w:rsidR="00F20ABF" w:rsidRDefault="00F20ABF">
            <w:pPr>
              <w:rPr>
                <w:rFonts w:ascii="宋体"/>
              </w:rPr>
            </w:pPr>
          </w:p>
        </w:tc>
        <w:tc>
          <w:tcPr>
            <w:tcW w:w="5" w:type="pct"/>
            <w:shd w:val="clear" w:color="auto" w:fill="auto"/>
          </w:tcPr>
          <w:p w14:paraId="1E8045B2" w14:textId="77777777" w:rsidR="00F20ABF" w:rsidRDefault="00F20ABF">
            <w:pPr>
              <w:rPr>
                <w:rFonts w:ascii="宋体"/>
              </w:rPr>
            </w:pPr>
          </w:p>
        </w:tc>
        <w:tc>
          <w:tcPr>
            <w:tcW w:w="5" w:type="pct"/>
            <w:shd w:val="clear" w:color="auto" w:fill="auto"/>
          </w:tcPr>
          <w:p w14:paraId="1E8045B3" w14:textId="77777777" w:rsidR="00F20ABF" w:rsidRDefault="00F20ABF">
            <w:pPr>
              <w:rPr>
                <w:rFonts w:ascii="宋体"/>
              </w:rPr>
            </w:pPr>
          </w:p>
        </w:tc>
        <w:tc>
          <w:tcPr>
            <w:tcW w:w="26" w:type="pct"/>
            <w:shd w:val="clear" w:color="auto" w:fill="auto"/>
          </w:tcPr>
          <w:p w14:paraId="1E8045B4" w14:textId="77777777" w:rsidR="00F20ABF" w:rsidRDefault="00F20ABF">
            <w:pPr>
              <w:rPr>
                <w:rFonts w:ascii="宋体"/>
              </w:rPr>
            </w:pPr>
          </w:p>
        </w:tc>
        <w:tc>
          <w:tcPr>
            <w:tcW w:w="5" w:type="pct"/>
            <w:shd w:val="clear" w:color="auto" w:fill="auto"/>
          </w:tcPr>
          <w:p w14:paraId="1E8045B5" w14:textId="77777777" w:rsidR="00F20ABF" w:rsidRDefault="00F20ABF">
            <w:pPr>
              <w:rPr>
                <w:rFonts w:ascii="宋体"/>
              </w:rPr>
            </w:pPr>
          </w:p>
        </w:tc>
        <w:tc>
          <w:tcPr>
            <w:tcW w:w="50" w:type="pct"/>
            <w:shd w:val="clear" w:color="auto" w:fill="auto"/>
          </w:tcPr>
          <w:p w14:paraId="1E8045B6" w14:textId="77777777" w:rsidR="00F20ABF" w:rsidRDefault="00F20ABF">
            <w:pPr>
              <w:rPr>
                <w:rFonts w:ascii="宋体"/>
              </w:rPr>
            </w:pPr>
          </w:p>
        </w:tc>
        <w:tc>
          <w:tcPr>
            <w:tcW w:w="481" w:type="pct"/>
            <w:shd w:val="clear" w:color="auto" w:fill="auto"/>
          </w:tcPr>
          <w:p w14:paraId="1E8045B7" w14:textId="77777777" w:rsidR="00F20ABF" w:rsidRDefault="00F20ABF">
            <w:pPr>
              <w:rPr>
                <w:rFonts w:ascii="宋体"/>
              </w:rPr>
            </w:pPr>
          </w:p>
        </w:tc>
        <w:tc>
          <w:tcPr>
            <w:tcW w:w="5" w:type="pct"/>
            <w:shd w:val="clear" w:color="auto" w:fill="auto"/>
          </w:tcPr>
          <w:p w14:paraId="1E8045B8" w14:textId="77777777" w:rsidR="00F20ABF" w:rsidRDefault="00F20ABF">
            <w:pPr>
              <w:rPr>
                <w:rFonts w:ascii="宋体"/>
              </w:rPr>
            </w:pPr>
          </w:p>
        </w:tc>
        <w:tc>
          <w:tcPr>
            <w:tcW w:w="5" w:type="pct"/>
            <w:shd w:val="clear" w:color="auto" w:fill="auto"/>
          </w:tcPr>
          <w:p w14:paraId="1E8045B9" w14:textId="77777777" w:rsidR="00F20ABF" w:rsidRDefault="00F20ABF">
            <w:pPr>
              <w:rPr>
                <w:rFonts w:ascii="宋体"/>
              </w:rPr>
            </w:pPr>
          </w:p>
        </w:tc>
        <w:tc>
          <w:tcPr>
            <w:tcW w:w="26" w:type="pct"/>
            <w:shd w:val="clear" w:color="auto" w:fill="auto"/>
          </w:tcPr>
          <w:p w14:paraId="1E8045BA" w14:textId="77777777" w:rsidR="00F20ABF" w:rsidRDefault="00F20ABF">
            <w:pPr>
              <w:rPr>
                <w:rFonts w:ascii="宋体"/>
              </w:rPr>
            </w:pPr>
          </w:p>
        </w:tc>
        <w:tc>
          <w:tcPr>
            <w:tcW w:w="5" w:type="pct"/>
            <w:shd w:val="clear" w:color="auto" w:fill="auto"/>
          </w:tcPr>
          <w:p w14:paraId="1E8045BB" w14:textId="77777777" w:rsidR="00F20ABF" w:rsidRDefault="00F20ABF">
            <w:pPr>
              <w:rPr>
                <w:rFonts w:ascii="宋体"/>
              </w:rPr>
            </w:pPr>
          </w:p>
        </w:tc>
        <w:tc>
          <w:tcPr>
            <w:tcW w:w="50" w:type="pct"/>
            <w:shd w:val="clear" w:color="auto" w:fill="auto"/>
          </w:tcPr>
          <w:p w14:paraId="1E8045BC" w14:textId="77777777" w:rsidR="00F20ABF" w:rsidRDefault="00F20ABF">
            <w:pPr>
              <w:rPr>
                <w:rFonts w:ascii="宋体"/>
              </w:rPr>
            </w:pPr>
          </w:p>
        </w:tc>
        <w:tc>
          <w:tcPr>
            <w:tcW w:w="511" w:type="pct"/>
            <w:shd w:val="clear" w:color="auto" w:fill="auto"/>
          </w:tcPr>
          <w:p w14:paraId="1E8045BD" w14:textId="77777777" w:rsidR="00F20ABF" w:rsidRDefault="00F20ABF">
            <w:pPr>
              <w:rPr>
                <w:rFonts w:ascii="宋体"/>
              </w:rPr>
            </w:pPr>
          </w:p>
        </w:tc>
        <w:tc>
          <w:tcPr>
            <w:tcW w:w="5" w:type="pct"/>
            <w:shd w:val="clear" w:color="auto" w:fill="auto"/>
          </w:tcPr>
          <w:p w14:paraId="1E8045BE" w14:textId="77777777" w:rsidR="00F20ABF" w:rsidRDefault="00F20ABF">
            <w:pPr>
              <w:rPr>
                <w:rFonts w:ascii="宋体"/>
              </w:rPr>
            </w:pPr>
          </w:p>
        </w:tc>
        <w:tc>
          <w:tcPr>
            <w:tcW w:w="5" w:type="pct"/>
            <w:shd w:val="clear" w:color="auto" w:fill="auto"/>
          </w:tcPr>
          <w:p w14:paraId="1E8045BF" w14:textId="77777777" w:rsidR="00F20ABF" w:rsidRDefault="00F20ABF">
            <w:pPr>
              <w:rPr>
                <w:rFonts w:ascii="宋体"/>
              </w:rPr>
            </w:pPr>
          </w:p>
        </w:tc>
        <w:tc>
          <w:tcPr>
            <w:tcW w:w="26" w:type="pct"/>
            <w:shd w:val="clear" w:color="auto" w:fill="auto"/>
          </w:tcPr>
          <w:p w14:paraId="1E8045C0" w14:textId="77777777" w:rsidR="00F20ABF" w:rsidRDefault="00F20ABF">
            <w:pPr>
              <w:rPr>
                <w:rFonts w:ascii="宋体"/>
              </w:rPr>
            </w:pPr>
          </w:p>
        </w:tc>
        <w:tc>
          <w:tcPr>
            <w:tcW w:w="5" w:type="pct"/>
            <w:shd w:val="clear" w:color="auto" w:fill="auto"/>
          </w:tcPr>
          <w:p w14:paraId="1E8045C1" w14:textId="77777777" w:rsidR="00F20ABF" w:rsidRDefault="00F20ABF">
            <w:pPr>
              <w:rPr>
                <w:rFonts w:ascii="宋体"/>
              </w:rPr>
            </w:pPr>
          </w:p>
        </w:tc>
        <w:tc>
          <w:tcPr>
            <w:tcW w:w="50" w:type="pct"/>
            <w:shd w:val="clear" w:color="auto" w:fill="auto"/>
          </w:tcPr>
          <w:p w14:paraId="1E8045C2" w14:textId="77777777" w:rsidR="00F20ABF" w:rsidRDefault="00F20ABF">
            <w:pPr>
              <w:rPr>
                <w:rFonts w:ascii="宋体"/>
              </w:rPr>
            </w:pPr>
          </w:p>
        </w:tc>
        <w:tc>
          <w:tcPr>
            <w:tcW w:w="496" w:type="pct"/>
            <w:shd w:val="clear" w:color="auto" w:fill="auto"/>
          </w:tcPr>
          <w:p w14:paraId="1E8045C3" w14:textId="77777777" w:rsidR="00F20ABF" w:rsidRDefault="00F20ABF">
            <w:pPr>
              <w:rPr>
                <w:rFonts w:ascii="宋体"/>
              </w:rPr>
            </w:pPr>
          </w:p>
        </w:tc>
        <w:tc>
          <w:tcPr>
            <w:tcW w:w="5" w:type="pct"/>
            <w:shd w:val="clear" w:color="auto" w:fill="auto"/>
          </w:tcPr>
          <w:p w14:paraId="1E8045C4" w14:textId="77777777" w:rsidR="00F20ABF" w:rsidRDefault="00F20ABF">
            <w:pPr>
              <w:rPr>
                <w:rFonts w:ascii="宋体"/>
              </w:rPr>
            </w:pPr>
          </w:p>
        </w:tc>
      </w:tr>
      <w:tr w:rsidR="00F20ABF" w14:paraId="1E8045C8" w14:textId="77777777">
        <w:tc>
          <w:tcPr>
            <w:tcW w:w="0" w:type="auto"/>
            <w:gridSpan w:val="3"/>
            <w:shd w:val="clear" w:color="auto" w:fill="auto"/>
            <w:tcMar>
              <w:top w:w="40" w:type="dxa"/>
              <w:left w:w="20" w:type="dxa"/>
              <w:bottom w:w="40" w:type="dxa"/>
              <w:right w:w="20" w:type="dxa"/>
            </w:tcMar>
            <w:vAlign w:val="bottom"/>
          </w:tcPr>
          <w:p w14:paraId="1E8045C6" w14:textId="77777777" w:rsidR="00F20ABF" w:rsidRDefault="00CA4D2F">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1E8045C7" w14:textId="77777777" w:rsidR="00F20ABF" w:rsidRDefault="00CA4D2F">
            <w:pPr>
              <w:jc w:val="center"/>
              <w:textAlignment w:val="bottom"/>
            </w:pPr>
            <w:r>
              <w:rPr>
                <w:rFonts w:ascii="sans-serif" w:eastAsia="sans-serif" w:hAnsi="sans-serif" w:cs="sans-serif"/>
                <w:b/>
                <w:bCs/>
                <w:color w:val="000000"/>
                <w:sz w:val="20"/>
                <w:szCs w:val="20"/>
              </w:rPr>
              <w:t>October 25, 2020</w:t>
            </w:r>
          </w:p>
        </w:tc>
      </w:tr>
      <w:tr w:rsidR="00F20ABF" w14:paraId="1E8045D3" w14:textId="77777777">
        <w:trPr>
          <w:trHeight w:val="300"/>
        </w:trPr>
        <w:tc>
          <w:tcPr>
            <w:tcW w:w="0" w:type="auto"/>
            <w:gridSpan w:val="3"/>
            <w:shd w:val="clear" w:color="auto" w:fill="auto"/>
            <w:tcMar>
              <w:top w:w="0" w:type="dxa"/>
              <w:left w:w="20" w:type="dxa"/>
              <w:bottom w:w="0" w:type="dxa"/>
              <w:right w:w="20" w:type="dxa"/>
            </w:tcMar>
          </w:tcPr>
          <w:p w14:paraId="1E8045C9" w14:textId="77777777" w:rsidR="00F20ABF" w:rsidRDefault="00F20AB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E8045CA" w14:textId="77777777" w:rsidR="00F20ABF" w:rsidRDefault="00CA4D2F">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tcPr>
          <w:p w14:paraId="1E8045CB" w14:textId="77777777" w:rsidR="00F20ABF" w:rsidRDefault="00F20AB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E8045CC" w14:textId="77777777" w:rsidR="00F20ABF" w:rsidRDefault="00CA4D2F">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tcPr>
          <w:p w14:paraId="1E8045CD" w14:textId="77777777" w:rsidR="00F20ABF" w:rsidRDefault="00F20AB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E8045CE" w14:textId="77777777" w:rsidR="00F20ABF" w:rsidRDefault="00CA4D2F">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tcPr>
          <w:p w14:paraId="1E8045CF" w14:textId="77777777" w:rsidR="00F20ABF" w:rsidRDefault="00F20AB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E8045D0" w14:textId="77777777" w:rsidR="00F20ABF" w:rsidRDefault="00CA4D2F">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1E8045D1" w14:textId="77777777" w:rsidR="00F20ABF" w:rsidRDefault="00F20AB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E8045D2" w14:textId="77777777" w:rsidR="00F20ABF" w:rsidRDefault="00CA4D2F">
            <w:pPr>
              <w:jc w:val="center"/>
              <w:textAlignment w:val="bottom"/>
            </w:pPr>
            <w:r>
              <w:rPr>
                <w:rFonts w:ascii="sans-serif" w:eastAsia="sans-serif" w:hAnsi="sans-serif" w:cs="sans-serif"/>
                <w:b/>
                <w:bCs/>
                <w:color w:val="000000"/>
                <w:sz w:val="20"/>
                <w:szCs w:val="20"/>
              </w:rPr>
              <w:t>Reported as</w:t>
            </w:r>
          </w:p>
        </w:tc>
      </w:tr>
      <w:tr w:rsidR="00F20ABF" w14:paraId="1E8045E0" w14:textId="77777777">
        <w:trPr>
          <w:trHeight w:val="520"/>
        </w:trPr>
        <w:tc>
          <w:tcPr>
            <w:tcW w:w="0" w:type="auto"/>
            <w:gridSpan w:val="3"/>
            <w:shd w:val="clear" w:color="auto" w:fill="auto"/>
            <w:tcMar>
              <w:top w:w="40" w:type="dxa"/>
              <w:left w:w="20" w:type="dxa"/>
              <w:bottom w:w="40" w:type="dxa"/>
              <w:right w:w="20" w:type="dxa"/>
            </w:tcMar>
            <w:vAlign w:val="bottom"/>
          </w:tcPr>
          <w:p w14:paraId="1E8045D4"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E8045D5" w14:textId="77777777" w:rsidR="00F20ABF" w:rsidRDefault="00F20ABF">
            <w:pPr>
              <w:jc w:val="center"/>
              <w:rPr>
                <w:rFonts w:ascii="宋体"/>
              </w:rPr>
            </w:pPr>
          </w:p>
        </w:tc>
        <w:tc>
          <w:tcPr>
            <w:tcW w:w="0" w:type="auto"/>
            <w:gridSpan w:val="3"/>
            <w:shd w:val="clear" w:color="auto" w:fill="auto"/>
            <w:tcMar>
              <w:top w:w="0" w:type="dxa"/>
              <w:left w:w="20" w:type="dxa"/>
              <w:bottom w:w="0" w:type="dxa"/>
              <w:right w:w="20" w:type="dxa"/>
            </w:tcMar>
          </w:tcPr>
          <w:p w14:paraId="1E8045D6" w14:textId="77777777" w:rsidR="00F20ABF" w:rsidRDefault="00F20AB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E8045D7" w14:textId="77777777" w:rsidR="00F20ABF" w:rsidRDefault="00F20ABF">
            <w:pPr>
              <w:jc w:val="center"/>
              <w:rPr>
                <w:rFonts w:ascii="宋体"/>
              </w:rPr>
            </w:pPr>
          </w:p>
        </w:tc>
        <w:tc>
          <w:tcPr>
            <w:tcW w:w="0" w:type="auto"/>
            <w:gridSpan w:val="3"/>
            <w:shd w:val="clear" w:color="auto" w:fill="auto"/>
            <w:tcMar>
              <w:top w:w="0" w:type="dxa"/>
              <w:left w:w="20" w:type="dxa"/>
              <w:bottom w:w="0" w:type="dxa"/>
              <w:right w:w="20" w:type="dxa"/>
            </w:tcMar>
          </w:tcPr>
          <w:p w14:paraId="1E8045D8" w14:textId="77777777" w:rsidR="00F20ABF" w:rsidRDefault="00F20AB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E8045D9" w14:textId="77777777" w:rsidR="00F20ABF" w:rsidRDefault="00F20ABF">
            <w:pPr>
              <w:jc w:val="center"/>
              <w:rPr>
                <w:rFonts w:ascii="宋体"/>
              </w:rPr>
            </w:pPr>
          </w:p>
        </w:tc>
        <w:tc>
          <w:tcPr>
            <w:tcW w:w="0" w:type="auto"/>
            <w:gridSpan w:val="3"/>
            <w:shd w:val="clear" w:color="auto" w:fill="auto"/>
            <w:tcMar>
              <w:top w:w="0" w:type="dxa"/>
              <w:left w:w="20" w:type="dxa"/>
              <w:bottom w:w="0" w:type="dxa"/>
              <w:right w:w="20" w:type="dxa"/>
            </w:tcMar>
          </w:tcPr>
          <w:p w14:paraId="1E8045DA" w14:textId="77777777" w:rsidR="00F20ABF" w:rsidRDefault="00F20AB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E8045DB" w14:textId="77777777" w:rsidR="00F20ABF" w:rsidRDefault="00F20ABF">
            <w:pPr>
              <w:jc w:val="center"/>
              <w:rPr>
                <w:rFonts w:ascii="宋体"/>
              </w:rPr>
            </w:pPr>
          </w:p>
        </w:tc>
        <w:tc>
          <w:tcPr>
            <w:tcW w:w="0" w:type="auto"/>
            <w:gridSpan w:val="3"/>
            <w:shd w:val="clear" w:color="auto" w:fill="auto"/>
            <w:tcMar>
              <w:top w:w="0" w:type="dxa"/>
              <w:left w:w="20" w:type="dxa"/>
              <w:bottom w:w="0" w:type="dxa"/>
              <w:right w:w="20" w:type="dxa"/>
            </w:tcMar>
          </w:tcPr>
          <w:p w14:paraId="1E8045DC"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5DD" w14:textId="77777777" w:rsidR="00F20ABF" w:rsidRDefault="00CA4D2F">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tcPr>
          <w:p w14:paraId="1E8045DE"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5DF" w14:textId="77777777" w:rsidR="00F20ABF" w:rsidRDefault="00CA4D2F">
            <w:pPr>
              <w:jc w:val="center"/>
              <w:textAlignment w:val="bottom"/>
            </w:pPr>
            <w:r>
              <w:rPr>
                <w:rFonts w:ascii="sans-serif" w:eastAsia="sans-serif" w:hAnsi="sans-serif" w:cs="sans-serif"/>
                <w:b/>
                <w:bCs/>
                <w:color w:val="000000"/>
                <w:sz w:val="20"/>
                <w:szCs w:val="20"/>
              </w:rPr>
              <w:t>Marketable Securities</w:t>
            </w:r>
          </w:p>
        </w:tc>
      </w:tr>
      <w:tr w:rsidR="00F20ABF" w14:paraId="1E8045ED" w14:textId="77777777">
        <w:trPr>
          <w:trHeight w:val="60"/>
        </w:trPr>
        <w:tc>
          <w:tcPr>
            <w:tcW w:w="0" w:type="auto"/>
            <w:gridSpan w:val="3"/>
            <w:shd w:val="clear" w:color="auto" w:fill="auto"/>
            <w:tcMar>
              <w:top w:w="0" w:type="dxa"/>
              <w:left w:w="20" w:type="dxa"/>
              <w:bottom w:w="0" w:type="dxa"/>
              <w:right w:w="20" w:type="dxa"/>
            </w:tcMar>
          </w:tcPr>
          <w:p w14:paraId="1E8045E1"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5E2"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5E3"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5E4"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5E5"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5E6"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5E7"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5E8"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5E9"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5EA"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5EB"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5EC" w14:textId="77777777" w:rsidR="00F20ABF" w:rsidRDefault="00F20ABF">
            <w:pPr>
              <w:rPr>
                <w:rFonts w:ascii="宋体"/>
              </w:rPr>
            </w:pPr>
          </w:p>
        </w:tc>
      </w:tr>
      <w:tr w:rsidR="00F20ABF" w14:paraId="1E8045F0" w14:textId="77777777">
        <w:tc>
          <w:tcPr>
            <w:tcW w:w="0" w:type="auto"/>
            <w:gridSpan w:val="3"/>
            <w:shd w:val="clear" w:color="auto" w:fill="auto"/>
            <w:tcMar>
              <w:top w:w="40" w:type="dxa"/>
              <w:left w:w="20" w:type="dxa"/>
              <w:bottom w:w="40" w:type="dxa"/>
              <w:right w:w="20" w:type="dxa"/>
            </w:tcMar>
            <w:vAlign w:val="bottom"/>
          </w:tcPr>
          <w:p w14:paraId="1E8045EE" w14:textId="77777777" w:rsidR="00F20ABF" w:rsidRDefault="00CA4D2F">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1E8045EF"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609" w14:textId="77777777">
        <w:tc>
          <w:tcPr>
            <w:tcW w:w="0" w:type="auto"/>
            <w:gridSpan w:val="3"/>
            <w:shd w:val="clear" w:color="auto" w:fill="E2EFD9"/>
            <w:tcMar>
              <w:top w:w="40" w:type="dxa"/>
              <w:left w:w="20" w:type="dxa"/>
              <w:bottom w:w="40" w:type="dxa"/>
              <w:right w:w="20" w:type="dxa"/>
            </w:tcMar>
            <w:vAlign w:val="bottom"/>
          </w:tcPr>
          <w:p w14:paraId="1E8045F1" w14:textId="77777777" w:rsidR="00F20ABF" w:rsidRDefault="00CA4D2F">
            <w:pPr>
              <w:textAlignment w:val="bottom"/>
            </w:pPr>
            <w:r>
              <w:rPr>
                <w:rFonts w:ascii="sans-serif" w:eastAsia="sans-serif" w:hAnsi="sans-serif" w:cs="sans-serif"/>
                <w:color w:val="000000"/>
                <w:sz w:val="20"/>
                <w:szCs w:val="20"/>
              </w:rPr>
              <w:t>Debt securities issued by the United States Treasury</w:t>
            </w:r>
          </w:p>
        </w:tc>
        <w:tc>
          <w:tcPr>
            <w:tcW w:w="0" w:type="auto"/>
            <w:shd w:val="clear" w:color="auto" w:fill="E2EFD9"/>
            <w:tcMar>
              <w:top w:w="40" w:type="dxa"/>
              <w:left w:w="20" w:type="dxa"/>
              <w:bottom w:w="40" w:type="dxa"/>
              <w:right w:w="0" w:type="dxa"/>
            </w:tcMar>
            <w:vAlign w:val="bottom"/>
          </w:tcPr>
          <w:p w14:paraId="1E8045F2"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5F3" w14:textId="77777777" w:rsidR="00F20ABF" w:rsidRDefault="00CA4D2F">
            <w:pPr>
              <w:jc w:val="right"/>
              <w:textAlignment w:val="bottom"/>
            </w:pPr>
            <w:r>
              <w:rPr>
                <w:rFonts w:ascii="sans-serif" w:eastAsia="sans-serif" w:hAnsi="sans-serif" w:cs="sans-serif"/>
                <w:color w:val="000000"/>
                <w:sz w:val="20"/>
                <w:szCs w:val="20"/>
              </w:rPr>
              <w:t>3,881 </w:t>
            </w:r>
          </w:p>
        </w:tc>
        <w:tc>
          <w:tcPr>
            <w:tcW w:w="0" w:type="auto"/>
            <w:shd w:val="clear" w:color="auto" w:fill="E2EFD9"/>
            <w:tcMar>
              <w:top w:w="40" w:type="dxa"/>
              <w:left w:w="0" w:type="dxa"/>
              <w:bottom w:w="40" w:type="dxa"/>
              <w:right w:w="20" w:type="dxa"/>
            </w:tcMar>
            <w:vAlign w:val="bottom"/>
          </w:tcPr>
          <w:p w14:paraId="1E8045F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5F5"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5F6"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5F7"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5F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5F9"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5FA"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5FB"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5F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5FD"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5FE"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5FF" w14:textId="77777777" w:rsidR="00F20ABF" w:rsidRDefault="00CA4D2F">
            <w:pPr>
              <w:jc w:val="right"/>
              <w:textAlignment w:val="bottom"/>
            </w:pPr>
            <w:r>
              <w:rPr>
                <w:rFonts w:ascii="sans-serif" w:eastAsia="sans-serif" w:hAnsi="sans-serif" w:cs="sans-serif"/>
                <w:color w:val="000000"/>
                <w:sz w:val="20"/>
                <w:szCs w:val="20"/>
              </w:rPr>
              <w:t>3,881 </w:t>
            </w:r>
          </w:p>
        </w:tc>
        <w:tc>
          <w:tcPr>
            <w:tcW w:w="0" w:type="auto"/>
            <w:shd w:val="clear" w:color="auto" w:fill="E2EFD9"/>
            <w:tcMar>
              <w:top w:w="40" w:type="dxa"/>
              <w:left w:w="0" w:type="dxa"/>
              <w:bottom w:w="40" w:type="dxa"/>
              <w:right w:w="20" w:type="dxa"/>
            </w:tcMar>
            <w:vAlign w:val="bottom"/>
          </w:tcPr>
          <w:p w14:paraId="1E804600"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01"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602"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603" w14:textId="77777777" w:rsidR="00F20ABF" w:rsidRDefault="00CA4D2F">
            <w:pPr>
              <w:jc w:val="right"/>
              <w:textAlignment w:val="bottom"/>
            </w:pPr>
            <w:r>
              <w:rPr>
                <w:rFonts w:ascii="sans-serif" w:eastAsia="sans-serif" w:hAnsi="sans-serif" w:cs="sans-serif"/>
                <w:color w:val="000000"/>
                <w:sz w:val="20"/>
                <w:szCs w:val="20"/>
              </w:rPr>
              <w:t>1,116 </w:t>
            </w:r>
          </w:p>
        </w:tc>
        <w:tc>
          <w:tcPr>
            <w:tcW w:w="0" w:type="auto"/>
            <w:shd w:val="clear" w:color="auto" w:fill="E2EFD9"/>
            <w:tcMar>
              <w:top w:w="40" w:type="dxa"/>
              <w:left w:w="0" w:type="dxa"/>
              <w:bottom w:w="40" w:type="dxa"/>
              <w:right w:w="20" w:type="dxa"/>
            </w:tcMar>
            <w:vAlign w:val="bottom"/>
          </w:tcPr>
          <w:p w14:paraId="1E80460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05"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606"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607" w14:textId="77777777" w:rsidR="00F20ABF" w:rsidRDefault="00CA4D2F">
            <w:pPr>
              <w:jc w:val="right"/>
              <w:textAlignment w:val="bottom"/>
            </w:pPr>
            <w:r>
              <w:rPr>
                <w:rFonts w:ascii="sans-serif" w:eastAsia="sans-serif" w:hAnsi="sans-serif" w:cs="sans-serif"/>
                <w:color w:val="000000"/>
                <w:sz w:val="20"/>
                <w:szCs w:val="20"/>
              </w:rPr>
              <w:t>2,765 </w:t>
            </w:r>
          </w:p>
        </w:tc>
        <w:tc>
          <w:tcPr>
            <w:tcW w:w="0" w:type="auto"/>
            <w:shd w:val="clear" w:color="auto" w:fill="E2EFD9"/>
            <w:tcMar>
              <w:top w:w="40" w:type="dxa"/>
              <w:left w:w="0" w:type="dxa"/>
              <w:bottom w:w="40" w:type="dxa"/>
              <w:right w:w="20" w:type="dxa"/>
            </w:tcMar>
            <w:vAlign w:val="bottom"/>
          </w:tcPr>
          <w:p w14:paraId="1E804608" w14:textId="77777777" w:rsidR="00F20ABF" w:rsidRDefault="00F20ABF">
            <w:pPr>
              <w:jc w:val="right"/>
              <w:rPr>
                <w:rFonts w:ascii="宋体"/>
              </w:rPr>
            </w:pPr>
          </w:p>
        </w:tc>
      </w:tr>
      <w:tr w:rsidR="00F20ABF" w14:paraId="1E80461C" w14:textId="77777777">
        <w:tc>
          <w:tcPr>
            <w:tcW w:w="0" w:type="auto"/>
            <w:gridSpan w:val="3"/>
            <w:shd w:val="clear" w:color="auto" w:fill="FFFFFF"/>
            <w:tcMar>
              <w:top w:w="40" w:type="dxa"/>
              <w:left w:w="20" w:type="dxa"/>
              <w:bottom w:w="40" w:type="dxa"/>
              <w:right w:w="20" w:type="dxa"/>
            </w:tcMar>
            <w:vAlign w:val="bottom"/>
          </w:tcPr>
          <w:p w14:paraId="1E80460A" w14:textId="77777777" w:rsidR="00F20ABF" w:rsidRDefault="00CA4D2F">
            <w:pPr>
              <w:textAlignment w:val="bottom"/>
            </w:pPr>
            <w:r>
              <w:rPr>
                <w:rFonts w:ascii="sans-serif" w:eastAsia="sans-serif" w:hAnsi="sans-serif" w:cs="sans-serif"/>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1E80460B" w14:textId="77777777" w:rsidR="00F20ABF" w:rsidRDefault="00CA4D2F">
            <w:pPr>
              <w:jc w:val="right"/>
              <w:textAlignment w:val="bottom"/>
            </w:pPr>
            <w:r>
              <w:rPr>
                <w:rFonts w:ascii="sans-serif" w:eastAsia="sans-serif" w:hAnsi="sans-serif" w:cs="sans-serif"/>
                <w:color w:val="000000"/>
                <w:sz w:val="20"/>
                <w:szCs w:val="20"/>
              </w:rPr>
              <w:t>3,139 </w:t>
            </w:r>
          </w:p>
        </w:tc>
        <w:tc>
          <w:tcPr>
            <w:tcW w:w="0" w:type="auto"/>
            <w:shd w:val="clear" w:color="auto" w:fill="FFFFFF"/>
            <w:tcMar>
              <w:top w:w="40" w:type="dxa"/>
              <w:left w:w="0" w:type="dxa"/>
              <w:bottom w:w="40" w:type="dxa"/>
              <w:right w:w="20" w:type="dxa"/>
            </w:tcMar>
            <w:vAlign w:val="bottom"/>
          </w:tcPr>
          <w:p w14:paraId="1E80460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60D"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60E" w14:textId="77777777" w:rsidR="00F20ABF" w:rsidRDefault="00CA4D2F">
            <w:pPr>
              <w:jc w:val="right"/>
              <w:textAlignment w:val="bottom"/>
            </w:pPr>
            <w:r>
              <w:rPr>
                <w:rFonts w:ascii="sans-serif" w:eastAsia="sans-serif" w:hAnsi="sans-serif" w:cs="sans-serif"/>
                <w:color w:val="000000"/>
                <w:sz w:val="20"/>
                <w:szCs w:val="20"/>
              </w:rPr>
              <w:t>2 </w:t>
            </w:r>
          </w:p>
        </w:tc>
        <w:tc>
          <w:tcPr>
            <w:tcW w:w="0" w:type="auto"/>
            <w:shd w:val="clear" w:color="auto" w:fill="FFFFFF"/>
            <w:tcMar>
              <w:top w:w="40" w:type="dxa"/>
              <w:left w:w="0" w:type="dxa"/>
              <w:bottom w:w="40" w:type="dxa"/>
              <w:right w:w="20" w:type="dxa"/>
            </w:tcMar>
            <w:vAlign w:val="bottom"/>
          </w:tcPr>
          <w:p w14:paraId="1E80460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610"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611"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61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61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614" w14:textId="77777777" w:rsidR="00F20ABF" w:rsidRDefault="00CA4D2F">
            <w:pPr>
              <w:jc w:val="right"/>
              <w:textAlignment w:val="bottom"/>
            </w:pPr>
            <w:r>
              <w:rPr>
                <w:rFonts w:ascii="sans-serif" w:eastAsia="sans-serif" w:hAnsi="sans-serif" w:cs="sans-serif"/>
                <w:color w:val="000000"/>
                <w:sz w:val="20"/>
                <w:szCs w:val="20"/>
              </w:rPr>
              <w:t>3,141 </w:t>
            </w:r>
          </w:p>
        </w:tc>
        <w:tc>
          <w:tcPr>
            <w:tcW w:w="0" w:type="auto"/>
            <w:shd w:val="clear" w:color="auto" w:fill="FFFFFF"/>
            <w:tcMar>
              <w:top w:w="40" w:type="dxa"/>
              <w:left w:w="0" w:type="dxa"/>
              <w:bottom w:w="40" w:type="dxa"/>
              <w:right w:w="20" w:type="dxa"/>
            </w:tcMar>
            <w:vAlign w:val="bottom"/>
          </w:tcPr>
          <w:p w14:paraId="1E80461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61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617" w14:textId="77777777" w:rsidR="00F20ABF" w:rsidRDefault="00CA4D2F">
            <w:pPr>
              <w:jc w:val="right"/>
              <w:textAlignment w:val="bottom"/>
            </w:pPr>
            <w:r>
              <w:rPr>
                <w:rFonts w:ascii="sans-serif" w:eastAsia="sans-serif" w:hAnsi="sans-serif" w:cs="sans-serif"/>
                <w:color w:val="000000"/>
                <w:sz w:val="20"/>
                <w:szCs w:val="20"/>
              </w:rPr>
              <w:t>427 </w:t>
            </w:r>
          </w:p>
        </w:tc>
        <w:tc>
          <w:tcPr>
            <w:tcW w:w="0" w:type="auto"/>
            <w:shd w:val="clear" w:color="auto" w:fill="FFFFFF"/>
            <w:tcMar>
              <w:top w:w="40" w:type="dxa"/>
              <w:left w:w="0" w:type="dxa"/>
              <w:bottom w:w="40" w:type="dxa"/>
              <w:right w:w="20" w:type="dxa"/>
            </w:tcMar>
            <w:vAlign w:val="bottom"/>
          </w:tcPr>
          <w:p w14:paraId="1E80461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619"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61A" w14:textId="77777777" w:rsidR="00F20ABF" w:rsidRDefault="00CA4D2F">
            <w:pPr>
              <w:jc w:val="right"/>
              <w:textAlignment w:val="bottom"/>
            </w:pPr>
            <w:r>
              <w:rPr>
                <w:rFonts w:ascii="sans-serif" w:eastAsia="sans-serif" w:hAnsi="sans-serif" w:cs="sans-serif"/>
                <w:color w:val="000000"/>
                <w:sz w:val="20"/>
                <w:szCs w:val="20"/>
              </w:rPr>
              <w:t>2,714 </w:t>
            </w:r>
          </w:p>
        </w:tc>
        <w:tc>
          <w:tcPr>
            <w:tcW w:w="0" w:type="auto"/>
            <w:shd w:val="clear" w:color="auto" w:fill="FFFFFF"/>
            <w:tcMar>
              <w:top w:w="40" w:type="dxa"/>
              <w:left w:w="0" w:type="dxa"/>
              <w:bottom w:w="40" w:type="dxa"/>
              <w:right w:w="20" w:type="dxa"/>
            </w:tcMar>
            <w:vAlign w:val="bottom"/>
          </w:tcPr>
          <w:p w14:paraId="1E80461B" w14:textId="77777777" w:rsidR="00F20ABF" w:rsidRDefault="00F20ABF">
            <w:pPr>
              <w:jc w:val="right"/>
              <w:rPr>
                <w:rFonts w:ascii="宋体"/>
              </w:rPr>
            </w:pPr>
          </w:p>
        </w:tc>
      </w:tr>
      <w:tr w:rsidR="00F20ABF" w14:paraId="1E80462F" w14:textId="77777777">
        <w:tc>
          <w:tcPr>
            <w:tcW w:w="0" w:type="auto"/>
            <w:gridSpan w:val="3"/>
            <w:shd w:val="clear" w:color="auto" w:fill="E2EFD9"/>
            <w:tcMar>
              <w:top w:w="40" w:type="dxa"/>
              <w:left w:w="20" w:type="dxa"/>
              <w:bottom w:w="40" w:type="dxa"/>
              <w:right w:w="20" w:type="dxa"/>
            </w:tcMar>
            <w:vAlign w:val="bottom"/>
          </w:tcPr>
          <w:p w14:paraId="1E80461D" w14:textId="77777777" w:rsidR="00F20ABF" w:rsidRDefault="00CA4D2F">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2"/>
            <w:shd w:val="clear" w:color="auto" w:fill="E2EFD9"/>
            <w:tcMar>
              <w:top w:w="40" w:type="dxa"/>
              <w:left w:w="20" w:type="dxa"/>
              <w:bottom w:w="40" w:type="dxa"/>
              <w:right w:w="0" w:type="dxa"/>
            </w:tcMar>
            <w:vAlign w:val="bottom"/>
          </w:tcPr>
          <w:p w14:paraId="1E80461E" w14:textId="77777777" w:rsidR="00F20ABF" w:rsidRDefault="00CA4D2F">
            <w:pPr>
              <w:jc w:val="right"/>
              <w:textAlignment w:val="bottom"/>
            </w:pPr>
            <w:r>
              <w:rPr>
                <w:rFonts w:ascii="sans-serif" w:eastAsia="sans-serif" w:hAnsi="sans-serif" w:cs="sans-serif"/>
                <w:color w:val="000000"/>
                <w:sz w:val="20"/>
                <w:szCs w:val="20"/>
              </w:rPr>
              <w:t>1,571 </w:t>
            </w:r>
          </w:p>
        </w:tc>
        <w:tc>
          <w:tcPr>
            <w:tcW w:w="0" w:type="auto"/>
            <w:shd w:val="clear" w:color="auto" w:fill="E2EFD9"/>
            <w:tcMar>
              <w:top w:w="40" w:type="dxa"/>
              <w:left w:w="0" w:type="dxa"/>
              <w:bottom w:w="40" w:type="dxa"/>
              <w:right w:w="20" w:type="dxa"/>
            </w:tcMar>
            <w:vAlign w:val="bottom"/>
          </w:tcPr>
          <w:p w14:paraId="1E80461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20"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621" w14:textId="77777777" w:rsidR="00F20ABF" w:rsidRDefault="00CA4D2F">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left w:w="0" w:type="dxa"/>
              <w:bottom w:w="40" w:type="dxa"/>
              <w:right w:w="20" w:type="dxa"/>
            </w:tcMar>
            <w:vAlign w:val="bottom"/>
          </w:tcPr>
          <w:p w14:paraId="1E80462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23"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624"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62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26"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627" w14:textId="77777777" w:rsidR="00F20ABF" w:rsidRDefault="00CA4D2F">
            <w:pPr>
              <w:jc w:val="right"/>
              <w:textAlignment w:val="bottom"/>
            </w:pPr>
            <w:r>
              <w:rPr>
                <w:rFonts w:ascii="sans-serif" w:eastAsia="sans-serif" w:hAnsi="sans-serif" w:cs="sans-serif"/>
                <w:color w:val="000000"/>
                <w:sz w:val="20"/>
                <w:szCs w:val="20"/>
              </w:rPr>
              <w:t>1,572 </w:t>
            </w:r>
          </w:p>
        </w:tc>
        <w:tc>
          <w:tcPr>
            <w:tcW w:w="0" w:type="auto"/>
            <w:shd w:val="clear" w:color="auto" w:fill="E2EFD9"/>
            <w:tcMar>
              <w:top w:w="40" w:type="dxa"/>
              <w:left w:w="0" w:type="dxa"/>
              <w:bottom w:w="40" w:type="dxa"/>
              <w:right w:w="20" w:type="dxa"/>
            </w:tcMar>
            <w:vAlign w:val="bottom"/>
          </w:tcPr>
          <w:p w14:paraId="1E80462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2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62A"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62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2C"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62D" w14:textId="77777777" w:rsidR="00F20ABF" w:rsidRDefault="00CA4D2F">
            <w:pPr>
              <w:jc w:val="right"/>
              <w:textAlignment w:val="bottom"/>
            </w:pPr>
            <w:r>
              <w:rPr>
                <w:rFonts w:ascii="sans-serif" w:eastAsia="sans-serif" w:hAnsi="sans-serif" w:cs="sans-serif"/>
                <w:color w:val="000000"/>
                <w:sz w:val="20"/>
                <w:szCs w:val="20"/>
              </w:rPr>
              <w:t>1,572 </w:t>
            </w:r>
          </w:p>
        </w:tc>
        <w:tc>
          <w:tcPr>
            <w:tcW w:w="0" w:type="auto"/>
            <w:shd w:val="clear" w:color="auto" w:fill="E2EFD9"/>
            <w:tcMar>
              <w:top w:w="40" w:type="dxa"/>
              <w:left w:w="0" w:type="dxa"/>
              <w:bottom w:w="40" w:type="dxa"/>
              <w:right w:w="20" w:type="dxa"/>
            </w:tcMar>
            <w:vAlign w:val="bottom"/>
          </w:tcPr>
          <w:p w14:paraId="1E80462E" w14:textId="77777777" w:rsidR="00F20ABF" w:rsidRDefault="00F20ABF">
            <w:pPr>
              <w:jc w:val="right"/>
              <w:rPr>
                <w:rFonts w:ascii="宋体"/>
              </w:rPr>
            </w:pPr>
          </w:p>
        </w:tc>
      </w:tr>
      <w:tr w:rsidR="00F20ABF" w14:paraId="1E804642" w14:textId="77777777">
        <w:tc>
          <w:tcPr>
            <w:tcW w:w="0" w:type="auto"/>
            <w:gridSpan w:val="3"/>
            <w:shd w:val="clear" w:color="auto" w:fill="FFFFFF"/>
            <w:tcMar>
              <w:top w:w="40" w:type="dxa"/>
              <w:left w:w="20" w:type="dxa"/>
              <w:bottom w:w="40" w:type="dxa"/>
              <w:right w:w="20" w:type="dxa"/>
            </w:tcMar>
            <w:vAlign w:val="bottom"/>
          </w:tcPr>
          <w:p w14:paraId="1E804630" w14:textId="77777777" w:rsidR="00F20ABF" w:rsidRDefault="00CA4D2F">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1E804631" w14:textId="77777777" w:rsidR="00F20ABF" w:rsidRDefault="00CA4D2F">
            <w:pPr>
              <w:jc w:val="right"/>
              <w:textAlignment w:val="bottom"/>
            </w:pPr>
            <w:r>
              <w:rPr>
                <w:rFonts w:ascii="sans-serif" w:eastAsia="sans-serif" w:hAnsi="sans-serif" w:cs="sans-serif"/>
                <w:color w:val="000000"/>
                <w:sz w:val="20"/>
                <w:szCs w:val="20"/>
              </w:rPr>
              <w:t>797 </w:t>
            </w:r>
          </w:p>
        </w:tc>
        <w:tc>
          <w:tcPr>
            <w:tcW w:w="0" w:type="auto"/>
            <w:shd w:val="clear" w:color="auto" w:fill="FFFFFF"/>
            <w:tcMar>
              <w:top w:w="40" w:type="dxa"/>
              <w:left w:w="0" w:type="dxa"/>
              <w:bottom w:w="40" w:type="dxa"/>
              <w:right w:w="20" w:type="dxa"/>
            </w:tcMar>
            <w:vAlign w:val="bottom"/>
          </w:tcPr>
          <w:p w14:paraId="1E80463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63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634"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63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63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637"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63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639"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63A" w14:textId="77777777" w:rsidR="00F20ABF" w:rsidRDefault="00CA4D2F">
            <w:pPr>
              <w:jc w:val="right"/>
              <w:textAlignment w:val="bottom"/>
            </w:pPr>
            <w:r>
              <w:rPr>
                <w:rFonts w:ascii="sans-serif" w:eastAsia="sans-serif" w:hAnsi="sans-serif" w:cs="sans-serif"/>
                <w:color w:val="000000"/>
                <w:sz w:val="20"/>
                <w:szCs w:val="20"/>
              </w:rPr>
              <w:t>797 </w:t>
            </w:r>
          </w:p>
        </w:tc>
        <w:tc>
          <w:tcPr>
            <w:tcW w:w="0" w:type="auto"/>
            <w:shd w:val="clear" w:color="auto" w:fill="FFFFFF"/>
            <w:tcMar>
              <w:top w:w="40" w:type="dxa"/>
              <w:left w:w="0" w:type="dxa"/>
              <w:bottom w:w="40" w:type="dxa"/>
              <w:right w:w="20" w:type="dxa"/>
            </w:tcMar>
            <w:vAlign w:val="bottom"/>
          </w:tcPr>
          <w:p w14:paraId="1E80463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63C"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63D" w14:textId="77777777" w:rsidR="00F20ABF" w:rsidRDefault="00CA4D2F">
            <w:pPr>
              <w:jc w:val="right"/>
              <w:textAlignment w:val="bottom"/>
            </w:pPr>
            <w:r>
              <w:rPr>
                <w:rFonts w:ascii="sans-serif" w:eastAsia="sans-serif" w:hAnsi="sans-serif" w:cs="sans-serif"/>
                <w:color w:val="000000"/>
                <w:sz w:val="20"/>
                <w:szCs w:val="20"/>
              </w:rPr>
              <w:t>29 </w:t>
            </w:r>
          </w:p>
        </w:tc>
        <w:tc>
          <w:tcPr>
            <w:tcW w:w="0" w:type="auto"/>
            <w:shd w:val="clear" w:color="auto" w:fill="FFFFFF"/>
            <w:tcMar>
              <w:top w:w="40" w:type="dxa"/>
              <w:left w:w="0" w:type="dxa"/>
              <w:bottom w:w="40" w:type="dxa"/>
              <w:right w:w="20" w:type="dxa"/>
            </w:tcMar>
            <w:vAlign w:val="bottom"/>
          </w:tcPr>
          <w:p w14:paraId="1E80463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63F"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640" w14:textId="77777777" w:rsidR="00F20ABF" w:rsidRDefault="00CA4D2F">
            <w:pPr>
              <w:jc w:val="right"/>
              <w:textAlignment w:val="bottom"/>
            </w:pPr>
            <w:r>
              <w:rPr>
                <w:rFonts w:ascii="sans-serif" w:eastAsia="sans-serif" w:hAnsi="sans-serif" w:cs="sans-serif"/>
                <w:color w:val="000000"/>
                <w:sz w:val="20"/>
                <w:szCs w:val="20"/>
              </w:rPr>
              <w:t>768 </w:t>
            </w:r>
          </w:p>
        </w:tc>
        <w:tc>
          <w:tcPr>
            <w:tcW w:w="0" w:type="auto"/>
            <w:shd w:val="clear" w:color="auto" w:fill="FFFFFF"/>
            <w:tcMar>
              <w:top w:w="40" w:type="dxa"/>
              <w:left w:w="0" w:type="dxa"/>
              <w:bottom w:w="40" w:type="dxa"/>
              <w:right w:w="20" w:type="dxa"/>
            </w:tcMar>
            <w:vAlign w:val="bottom"/>
          </w:tcPr>
          <w:p w14:paraId="1E804641" w14:textId="77777777" w:rsidR="00F20ABF" w:rsidRDefault="00F20ABF">
            <w:pPr>
              <w:jc w:val="right"/>
              <w:rPr>
                <w:rFonts w:ascii="宋体"/>
              </w:rPr>
            </w:pPr>
          </w:p>
        </w:tc>
      </w:tr>
      <w:tr w:rsidR="00F20ABF" w14:paraId="1E804655" w14:textId="77777777">
        <w:tc>
          <w:tcPr>
            <w:tcW w:w="0" w:type="auto"/>
            <w:gridSpan w:val="3"/>
            <w:shd w:val="clear" w:color="auto" w:fill="E2EFD9"/>
            <w:tcMar>
              <w:top w:w="40" w:type="dxa"/>
              <w:left w:w="20" w:type="dxa"/>
              <w:bottom w:w="40" w:type="dxa"/>
              <w:right w:w="20" w:type="dxa"/>
            </w:tcMar>
            <w:vAlign w:val="bottom"/>
          </w:tcPr>
          <w:p w14:paraId="1E804643" w14:textId="77777777" w:rsidR="00F20ABF" w:rsidRDefault="00CA4D2F">
            <w:pPr>
              <w:textAlignment w:val="bottom"/>
            </w:pPr>
            <w:r>
              <w:rPr>
                <w:rFonts w:ascii="sans-serif" w:eastAsia="sans-serif" w:hAnsi="sans-serif" w:cs="sans-serif"/>
                <w:color w:val="000000"/>
                <w:sz w:val="20"/>
                <w:szCs w:val="20"/>
              </w:rPr>
              <w:t>Money market funds</w:t>
            </w:r>
          </w:p>
        </w:tc>
        <w:tc>
          <w:tcPr>
            <w:tcW w:w="0" w:type="auto"/>
            <w:gridSpan w:val="2"/>
            <w:shd w:val="clear" w:color="auto" w:fill="E2EFD9"/>
            <w:tcMar>
              <w:top w:w="40" w:type="dxa"/>
              <w:left w:w="20" w:type="dxa"/>
              <w:bottom w:w="40" w:type="dxa"/>
              <w:right w:w="0" w:type="dxa"/>
            </w:tcMar>
            <w:vAlign w:val="bottom"/>
          </w:tcPr>
          <w:p w14:paraId="1E804644" w14:textId="77777777" w:rsidR="00F20ABF" w:rsidRDefault="00CA4D2F">
            <w:pPr>
              <w:jc w:val="right"/>
              <w:textAlignment w:val="bottom"/>
            </w:pPr>
            <w:r>
              <w:rPr>
                <w:rFonts w:ascii="sans-serif" w:eastAsia="sans-serif" w:hAnsi="sans-serif" w:cs="sans-serif"/>
                <w:color w:val="000000"/>
                <w:sz w:val="20"/>
                <w:szCs w:val="20"/>
              </w:rPr>
              <w:t>388 </w:t>
            </w:r>
          </w:p>
        </w:tc>
        <w:tc>
          <w:tcPr>
            <w:tcW w:w="0" w:type="auto"/>
            <w:shd w:val="clear" w:color="auto" w:fill="E2EFD9"/>
            <w:tcMar>
              <w:top w:w="40" w:type="dxa"/>
              <w:left w:w="0" w:type="dxa"/>
              <w:bottom w:w="40" w:type="dxa"/>
              <w:right w:w="20" w:type="dxa"/>
            </w:tcMar>
            <w:vAlign w:val="bottom"/>
          </w:tcPr>
          <w:p w14:paraId="1E80464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46"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647"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64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4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64A"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64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4C"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64D" w14:textId="77777777" w:rsidR="00F20ABF" w:rsidRDefault="00CA4D2F">
            <w:pPr>
              <w:jc w:val="right"/>
              <w:textAlignment w:val="bottom"/>
            </w:pPr>
            <w:r>
              <w:rPr>
                <w:rFonts w:ascii="sans-serif" w:eastAsia="sans-serif" w:hAnsi="sans-serif" w:cs="sans-serif"/>
                <w:color w:val="000000"/>
                <w:sz w:val="20"/>
                <w:szCs w:val="20"/>
              </w:rPr>
              <w:t>388 </w:t>
            </w:r>
          </w:p>
        </w:tc>
        <w:tc>
          <w:tcPr>
            <w:tcW w:w="0" w:type="auto"/>
            <w:shd w:val="clear" w:color="auto" w:fill="E2EFD9"/>
            <w:tcMar>
              <w:top w:w="40" w:type="dxa"/>
              <w:left w:w="0" w:type="dxa"/>
              <w:bottom w:w="40" w:type="dxa"/>
              <w:right w:w="20" w:type="dxa"/>
            </w:tcMar>
            <w:vAlign w:val="bottom"/>
          </w:tcPr>
          <w:p w14:paraId="1E80464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4F"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650" w14:textId="77777777" w:rsidR="00F20ABF" w:rsidRDefault="00CA4D2F">
            <w:pPr>
              <w:jc w:val="right"/>
              <w:textAlignment w:val="bottom"/>
            </w:pPr>
            <w:r>
              <w:rPr>
                <w:rFonts w:ascii="sans-serif" w:eastAsia="sans-serif" w:hAnsi="sans-serif" w:cs="sans-serif"/>
                <w:color w:val="000000"/>
                <w:sz w:val="20"/>
                <w:szCs w:val="20"/>
              </w:rPr>
              <w:t>388 </w:t>
            </w:r>
          </w:p>
        </w:tc>
        <w:tc>
          <w:tcPr>
            <w:tcW w:w="0" w:type="auto"/>
            <w:shd w:val="clear" w:color="auto" w:fill="E2EFD9"/>
            <w:tcMar>
              <w:top w:w="40" w:type="dxa"/>
              <w:left w:w="0" w:type="dxa"/>
              <w:bottom w:w="40" w:type="dxa"/>
              <w:right w:w="20" w:type="dxa"/>
            </w:tcMar>
            <w:vAlign w:val="bottom"/>
          </w:tcPr>
          <w:p w14:paraId="1E80465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52"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653"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654" w14:textId="77777777" w:rsidR="00F20ABF" w:rsidRDefault="00F20ABF">
            <w:pPr>
              <w:jc w:val="right"/>
              <w:rPr>
                <w:rFonts w:ascii="宋体"/>
              </w:rPr>
            </w:pPr>
          </w:p>
        </w:tc>
      </w:tr>
      <w:tr w:rsidR="00F20ABF" w14:paraId="1E804668" w14:textId="77777777">
        <w:tc>
          <w:tcPr>
            <w:tcW w:w="0" w:type="auto"/>
            <w:gridSpan w:val="3"/>
            <w:shd w:val="clear" w:color="auto" w:fill="FFFFFF"/>
            <w:tcMar>
              <w:top w:w="40" w:type="dxa"/>
              <w:left w:w="20" w:type="dxa"/>
              <w:bottom w:w="40" w:type="dxa"/>
              <w:right w:w="20" w:type="dxa"/>
            </w:tcMar>
            <w:vAlign w:val="bottom"/>
          </w:tcPr>
          <w:p w14:paraId="1E804656" w14:textId="77777777" w:rsidR="00F20ABF" w:rsidRDefault="00CA4D2F">
            <w:pPr>
              <w:textAlignment w:val="bottom"/>
            </w:pPr>
            <w:r>
              <w:rPr>
                <w:rFonts w:ascii="sans-serif" w:eastAsia="sans-serif" w:hAnsi="sans-serif" w:cs="sans-serif"/>
                <w:color w:val="000000"/>
                <w:sz w:val="20"/>
                <w:szCs w:val="20"/>
              </w:rPr>
              <w:t>Foreign government bonds</w:t>
            </w:r>
          </w:p>
        </w:tc>
        <w:tc>
          <w:tcPr>
            <w:tcW w:w="0" w:type="auto"/>
            <w:gridSpan w:val="2"/>
            <w:shd w:val="clear" w:color="auto" w:fill="FFFFFF"/>
            <w:tcMar>
              <w:top w:w="40" w:type="dxa"/>
              <w:left w:w="20" w:type="dxa"/>
              <w:bottom w:w="40" w:type="dxa"/>
              <w:right w:w="0" w:type="dxa"/>
            </w:tcMar>
            <w:vAlign w:val="bottom"/>
          </w:tcPr>
          <w:p w14:paraId="1E804657" w14:textId="77777777" w:rsidR="00F20ABF" w:rsidRDefault="00CA4D2F">
            <w:pPr>
              <w:jc w:val="right"/>
              <w:textAlignment w:val="bottom"/>
            </w:pPr>
            <w:r>
              <w:rPr>
                <w:rFonts w:ascii="sans-serif" w:eastAsia="sans-serif" w:hAnsi="sans-serif" w:cs="sans-serif"/>
                <w:color w:val="000000"/>
                <w:sz w:val="20"/>
                <w:szCs w:val="20"/>
              </w:rPr>
              <w:t>117 </w:t>
            </w:r>
          </w:p>
        </w:tc>
        <w:tc>
          <w:tcPr>
            <w:tcW w:w="0" w:type="auto"/>
            <w:shd w:val="clear" w:color="auto" w:fill="FFFFFF"/>
            <w:tcMar>
              <w:top w:w="40" w:type="dxa"/>
              <w:left w:w="0" w:type="dxa"/>
              <w:bottom w:w="40" w:type="dxa"/>
              <w:right w:w="20" w:type="dxa"/>
            </w:tcMar>
            <w:vAlign w:val="bottom"/>
          </w:tcPr>
          <w:p w14:paraId="1E80465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659"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65A"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65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65C"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65D"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65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65F"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660" w14:textId="77777777" w:rsidR="00F20ABF" w:rsidRDefault="00CA4D2F">
            <w:pPr>
              <w:jc w:val="right"/>
              <w:textAlignment w:val="bottom"/>
            </w:pPr>
            <w:r>
              <w:rPr>
                <w:rFonts w:ascii="sans-serif" w:eastAsia="sans-serif" w:hAnsi="sans-serif" w:cs="sans-serif"/>
                <w:color w:val="000000"/>
                <w:sz w:val="20"/>
                <w:szCs w:val="20"/>
              </w:rPr>
              <w:t>117 </w:t>
            </w:r>
          </w:p>
        </w:tc>
        <w:tc>
          <w:tcPr>
            <w:tcW w:w="0" w:type="auto"/>
            <w:shd w:val="clear" w:color="auto" w:fill="FFFFFF"/>
            <w:tcMar>
              <w:top w:w="40" w:type="dxa"/>
              <w:left w:w="0" w:type="dxa"/>
              <w:bottom w:w="40" w:type="dxa"/>
              <w:right w:w="20" w:type="dxa"/>
            </w:tcMar>
            <w:vAlign w:val="bottom"/>
          </w:tcPr>
          <w:p w14:paraId="1E80466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662"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663" w14:textId="77777777" w:rsidR="00F20ABF" w:rsidRDefault="00CA4D2F">
            <w:pPr>
              <w:jc w:val="right"/>
              <w:textAlignment w:val="bottom"/>
            </w:pPr>
            <w:r>
              <w:rPr>
                <w:rFonts w:ascii="sans-serif" w:eastAsia="sans-serif" w:hAnsi="sans-serif" w:cs="sans-serif"/>
                <w:color w:val="000000"/>
                <w:sz w:val="20"/>
                <w:szCs w:val="20"/>
              </w:rPr>
              <w:t>48 </w:t>
            </w:r>
          </w:p>
        </w:tc>
        <w:tc>
          <w:tcPr>
            <w:tcW w:w="0" w:type="auto"/>
            <w:shd w:val="clear" w:color="auto" w:fill="FFFFFF"/>
            <w:tcMar>
              <w:top w:w="40" w:type="dxa"/>
              <w:left w:w="0" w:type="dxa"/>
              <w:bottom w:w="40" w:type="dxa"/>
              <w:right w:w="20" w:type="dxa"/>
            </w:tcMar>
            <w:vAlign w:val="bottom"/>
          </w:tcPr>
          <w:p w14:paraId="1E804664"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665"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666" w14:textId="77777777" w:rsidR="00F20ABF" w:rsidRDefault="00CA4D2F">
            <w:pPr>
              <w:jc w:val="right"/>
              <w:textAlignment w:val="bottom"/>
            </w:pPr>
            <w:r>
              <w:rPr>
                <w:rFonts w:ascii="sans-serif" w:eastAsia="sans-serif" w:hAnsi="sans-serif" w:cs="sans-serif"/>
                <w:color w:val="000000"/>
                <w:sz w:val="20"/>
                <w:szCs w:val="20"/>
              </w:rPr>
              <w:t>69 </w:t>
            </w:r>
          </w:p>
        </w:tc>
        <w:tc>
          <w:tcPr>
            <w:tcW w:w="0" w:type="auto"/>
            <w:shd w:val="clear" w:color="auto" w:fill="FFFFFF"/>
            <w:tcMar>
              <w:top w:w="40" w:type="dxa"/>
              <w:left w:w="0" w:type="dxa"/>
              <w:bottom w:w="40" w:type="dxa"/>
              <w:right w:w="20" w:type="dxa"/>
            </w:tcMar>
            <w:vAlign w:val="bottom"/>
          </w:tcPr>
          <w:p w14:paraId="1E804667" w14:textId="77777777" w:rsidR="00F20ABF" w:rsidRDefault="00F20ABF">
            <w:pPr>
              <w:jc w:val="right"/>
              <w:rPr>
                <w:rFonts w:ascii="宋体"/>
              </w:rPr>
            </w:pPr>
          </w:p>
        </w:tc>
      </w:tr>
      <w:tr w:rsidR="00F20ABF" w14:paraId="1E804675" w14:textId="77777777">
        <w:trPr>
          <w:hidden/>
        </w:trPr>
        <w:tc>
          <w:tcPr>
            <w:tcW w:w="0" w:type="auto"/>
            <w:gridSpan w:val="3"/>
            <w:shd w:val="clear" w:color="auto" w:fill="auto"/>
          </w:tcPr>
          <w:p w14:paraId="1E804669" w14:textId="77777777" w:rsidR="00F20ABF" w:rsidRDefault="00F20ABF">
            <w:pPr>
              <w:rPr>
                <w:rFonts w:ascii="宋体"/>
                <w:vanish/>
              </w:rPr>
            </w:pPr>
          </w:p>
        </w:tc>
        <w:tc>
          <w:tcPr>
            <w:tcW w:w="0" w:type="auto"/>
            <w:gridSpan w:val="3"/>
            <w:shd w:val="clear" w:color="auto" w:fill="auto"/>
          </w:tcPr>
          <w:p w14:paraId="1E80466A" w14:textId="77777777" w:rsidR="00F20ABF" w:rsidRDefault="00F20ABF">
            <w:pPr>
              <w:rPr>
                <w:rFonts w:ascii="宋体"/>
                <w:vanish/>
              </w:rPr>
            </w:pPr>
          </w:p>
        </w:tc>
        <w:tc>
          <w:tcPr>
            <w:tcW w:w="0" w:type="auto"/>
            <w:gridSpan w:val="3"/>
            <w:shd w:val="clear" w:color="auto" w:fill="auto"/>
          </w:tcPr>
          <w:p w14:paraId="1E80466B" w14:textId="77777777" w:rsidR="00F20ABF" w:rsidRDefault="00F20ABF">
            <w:pPr>
              <w:rPr>
                <w:rFonts w:ascii="宋体"/>
                <w:vanish/>
              </w:rPr>
            </w:pPr>
          </w:p>
        </w:tc>
        <w:tc>
          <w:tcPr>
            <w:tcW w:w="0" w:type="auto"/>
            <w:gridSpan w:val="3"/>
            <w:shd w:val="clear" w:color="auto" w:fill="auto"/>
          </w:tcPr>
          <w:p w14:paraId="1E80466C" w14:textId="77777777" w:rsidR="00F20ABF" w:rsidRDefault="00F20ABF">
            <w:pPr>
              <w:rPr>
                <w:rFonts w:ascii="宋体"/>
                <w:vanish/>
              </w:rPr>
            </w:pPr>
          </w:p>
        </w:tc>
        <w:tc>
          <w:tcPr>
            <w:tcW w:w="0" w:type="auto"/>
            <w:gridSpan w:val="3"/>
            <w:shd w:val="clear" w:color="auto" w:fill="auto"/>
          </w:tcPr>
          <w:p w14:paraId="1E80466D" w14:textId="77777777" w:rsidR="00F20ABF" w:rsidRDefault="00F20ABF">
            <w:pPr>
              <w:rPr>
                <w:rFonts w:ascii="宋体"/>
                <w:vanish/>
              </w:rPr>
            </w:pPr>
          </w:p>
        </w:tc>
        <w:tc>
          <w:tcPr>
            <w:tcW w:w="0" w:type="auto"/>
            <w:gridSpan w:val="3"/>
            <w:shd w:val="clear" w:color="auto" w:fill="auto"/>
          </w:tcPr>
          <w:p w14:paraId="1E80466E" w14:textId="77777777" w:rsidR="00F20ABF" w:rsidRDefault="00F20ABF">
            <w:pPr>
              <w:rPr>
                <w:rFonts w:ascii="宋体"/>
                <w:vanish/>
              </w:rPr>
            </w:pPr>
          </w:p>
        </w:tc>
        <w:tc>
          <w:tcPr>
            <w:tcW w:w="0" w:type="auto"/>
            <w:gridSpan w:val="3"/>
            <w:shd w:val="clear" w:color="auto" w:fill="auto"/>
          </w:tcPr>
          <w:p w14:paraId="1E80466F" w14:textId="77777777" w:rsidR="00F20ABF" w:rsidRDefault="00F20ABF">
            <w:pPr>
              <w:rPr>
                <w:rFonts w:ascii="宋体"/>
                <w:vanish/>
              </w:rPr>
            </w:pPr>
          </w:p>
        </w:tc>
        <w:tc>
          <w:tcPr>
            <w:tcW w:w="0" w:type="auto"/>
            <w:gridSpan w:val="3"/>
            <w:shd w:val="clear" w:color="auto" w:fill="auto"/>
          </w:tcPr>
          <w:p w14:paraId="1E804670" w14:textId="77777777" w:rsidR="00F20ABF" w:rsidRDefault="00F20ABF">
            <w:pPr>
              <w:rPr>
                <w:rFonts w:ascii="宋体"/>
                <w:vanish/>
              </w:rPr>
            </w:pPr>
          </w:p>
        </w:tc>
        <w:tc>
          <w:tcPr>
            <w:tcW w:w="0" w:type="auto"/>
            <w:gridSpan w:val="3"/>
            <w:shd w:val="clear" w:color="auto" w:fill="auto"/>
          </w:tcPr>
          <w:p w14:paraId="1E804671" w14:textId="77777777" w:rsidR="00F20ABF" w:rsidRDefault="00F20ABF">
            <w:pPr>
              <w:rPr>
                <w:rFonts w:ascii="宋体"/>
                <w:vanish/>
              </w:rPr>
            </w:pPr>
          </w:p>
        </w:tc>
        <w:tc>
          <w:tcPr>
            <w:tcW w:w="0" w:type="auto"/>
            <w:gridSpan w:val="3"/>
            <w:shd w:val="clear" w:color="auto" w:fill="auto"/>
          </w:tcPr>
          <w:p w14:paraId="1E804672" w14:textId="77777777" w:rsidR="00F20ABF" w:rsidRDefault="00F20ABF">
            <w:pPr>
              <w:rPr>
                <w:rFonts w:ascii="宋体"/>
                <w:vanish/>
              </w:rPr>
            </w:pPr>
          </w:p>
        </w:tc>
        <w:tc>
          <w:tcPr>
            <w:tcW w:w="0" w:type="auto"/>
            <w:gridSpan w:val="3"/>
            <w:shd w:val="clear" w:color="auto" w:fill="auto"/>
          </w:tcPr>
          <w:p w14:paraId="1E804673" w14:textId="77777777" w:rsidR="00F20ABF" w:rsidRDefault="00F20ABF">
            <w:pPr>
              <w:rPr>
                <w:rFonts w:ascii="宋体"/>
                <w:vanish/>
              </w:rPr>
            </w:pPr>
          </w:p>
        </w:tc>
        <w:tc>
          <w:tcPr>
            <w:tcW w:w="0" w:type="auto"/>
            <w:gridSpan w:val="3"/>
            <w:shd w:val="clear" w:color="auto" w:fill="auto"/>
          </w:tcPr>
          <w:p w14:paraId="1E804674" w14:textId="77777777" w:rsidR="00F20ABF" w:rsidRDefault="00F20ABF">
            <w:pPr>
              <w:rPr>
                <w:rFonts w:ascii="宋体"/>
                <w:vanish/>
              </w:rPr>
            </w:pPr>
          </w:p>
        </w:tc>
      </w:tr>
      <w:tr w:rsidR="00F20ABF" w14:paraId="1E804682" w14:textId="77777777">
        <w:trPr>
          <w:hidden/>
        </w:trPr>
        <w:tc>
          <w:tcPr>
            <w:tcW w:w="0" w:type="auto"/>
            <w:gridSpan w:val="3"/>
            <w:shd w:val="clear" w:color="auto" w:fill="auto"/>
          </w:tcPr>
          <w:p w14:paraId="1E804676" w14:textId="77777777" w:rsidR="00F20ABF" w:rsidRDefault="00F20ABF">
            <w:pPr>
              <w:rPr>
                <w:rFonts w:ascii="宋体"/>
                <w:vanish/>
              </w:rPr>
            </w:pPr>
          </w:p>
        </w:tc>
        <w:tc>
          <w:tcPr>
            <w:tcW w:w="0" w:type="auto"/>
            <w:gridSpan w:val="3"/>
            <w:shd w:val="clear" w:color="auto" w:fill="auto"/>
          </w:tcPr>
          <w:p w14:paraId="1E804677" w14:textId="77777777" w:rsidR="00F20ABF" w:rsidRDefault="00F20ABF">
            <w:pPr>
              <w:rPr>
                <w:rFonts w:ascii="宋体"/>
                <w:vanish/>
              </w:rPr>
            </w:pPr>
          </w:p>
        </w:tc>
        <w:tc>
          <w:tcPr>
            <w:tcW w:w="0" w:type="auto"/>
            <w:gridSpan w:val="3"/>
            <w:shd w:val="clear" w:color="auto" w:fill="auto"/>
          </w:tcPr>
          <w:p w14:paraId="1E804678" w14:textId="77777777" w:rsidR="00F20ABF" w:rsidRDefault="00F20ABF">
            <w:pPr>
              <w:rPr>
                <w:rFonts w:ascii="宋体"/>
                <w:vanish/>
              </w:rPr>
            </w:pPr>
          </w:p>
        </w:tc>
        <w:tc>
          <w:tcPr>
            <w:tcW w:w="0" w:type="auto"/>
            <w:gridSpan w:val="3"/>
            <w:shd w:val="clear" w:color="auto" w:fill="auto"/>
          </w:tcPr>
          <w:p w14:paraId="1E804679" w14:textId="77777777" w:rsidR="00F20ABF" w:rsidRDefault="00F20ABF">
            <w:pPr>
              <w:rPr>
                <w:rFonts w:ascii="宋体"/>
                <w:vanish/>
              </w:rPr>
            </w:pPr>
          </w:p>
        </w:tc>
        <w:tc>
          <w:tcPr>
            <w:tcW w:w="0" w:type="auto"/>
            <w:gridSpan w:val="3"/>
            <w:shd w:val="clear" w:color="auto" w:fill="auto"/>
          </w:tcPr>
          <w:p w14:paraId="1E80467A" w14:textId="77777777" w:rsidR="00F20ABF" w:rsidRDefault="00F20ABF">
            <w:pPr>
              <w:rPr>
                <w:rFonts w:ascii="宋体"/>
                <w:vanish/>
              </w:rPr>
            </w:pPr>
          </w:p>
        </w:tc>
        <w:tc>
          <w:tcPr>
            <w:tcW w:w="0" w:type="auto"/>
            <w:gridSpan w:val="3"/>
            <w:shd w:val="clear" w:color="auto" w:fill="auto"/>
          </w:tcPr>
          <w:p w14:paraId="1E80467B" w14:textId="77777777" w:rsidR="00F20ABF" w:rsidRDefault="00F20ABF">
            <w:pPr>
              <w:rPr>
                <w:rFonts w:ascii="宋体"/>
                <w:vanish/>
              </w:rPr>
            </w:pPr>
          </w:p>
        </w:tc>
        <w:tc>
          <w:tcPr>
            <w:tcW w:w="0" w:type="auto"/>
            <w:gridSpan w:val="3"/>
            <w:shd w:val="clear" w:color="auto" w:fill="auto"/>
          </w:tcPr>
          <w:p w14:paraId="1E80467C" w14:textId="77777777" w:rsidR="00F20ABF" w:rsidRDefault="00F20ABF">
            <w:pPr>
              <w:rPr>
                <w:rFonts w:ascii="宋体"/>
                <w:vanish/>
              </w:rPr>
            </w:pPr>
          </w:p>
        </w:tc>
        <w:tc>
          <w:tcPr>
            <w:tcW w:w="0" w:type="auto"/>
            <w:gridSpan w:val="3"/>
            <w:shd w:val="clear" w:color="auto" w:fill="auto"/>
          </w:tcPr>
          <w:p w14:paraId="1E80467D" w14:textId="77777777" w:rsidR="00F20ABF" w:rsidRDefault="00F20ABF">
            <w:pPr>
              <w:rPr>
                <w:rFonts w:ascii="宋体"/>
                <w:vanish/>
              </w:rPr>
            </w:pPr>
          </w:p>
        </w:tc>
        <w:tc>
          <w:tcPr>
            <w:tcW w:w="0" w:type="auto"/>
            <w:gridSpan w:val="3"/>
            <w:shd w:val="clear" w:color="auto" w:fill="auto"/>
          </w:tcPr>
          <w:p w14:paraId="1E80467E" w14:textId="77777777" w:rsidR="00F20ABF" w:rsidRDefault="00F20ABF">
            <w:pPr>
              <w:rPr>
                <w:rFonts w:ascii="宋体"/>
                <w:vanish/>
              </w:rPr>
            </w:pPr>
          </w:p>
        </w:tc>
        <w:tc>
          <w:tcPr>
            <w:tcW w:w="0" w:type="auto"/>
            <w:gridSpan w:val="3"/>
            <w:shd w:val="clear" w:color="auto" w:fill="auto"/>
          </w:tcPr>
          <w:p w14:paraId="1E80467F" w14:textId="77777777" w:rsidR="00F20ABF" w:rsidRDefault="00F20ABF">
            <w:pPr>
              <w:rPr>
                <w:rFonts w:ascii="宋体"/>
                <w:vanish/>
              </w:rPr>
            </w:pPr>
          </w:p>
        </w:tc>
        <w:tc>
          <w:tcPr>
            <w:tcW w:w="0" w:type="auto"/>
            <w:gridSpan w:val="3"/>
            <w:shd w:val="clear" w:color="auto" w:fill="auto"/>
          </w:tcPr>
          <w:p w14:paraId="1E804680" w14:textId="77777777" w:rsidR="00F20ABF" w:rsidRDefault="00F20ABF">
            <w:pPr>
              <w:rPr>
                <w:rFonts w:ascii="宋体"/>
                <w:vanish/>
              </w:rPr>
            </w:pPr>
          </w:p>
        </w:tc>
        <w:tc>
          <w:tcPr>
            <w:tcW w:w="0" w:type="auto"/>
            <w:gridSpan w:val="3"/>
            <w:shd w:val="clear" w:color="auto" w:fill="auto"/>
          </w:tcPr>
          <w:p w14:paraId="1E804681" w14:textId="77777777" w:rsidR="00F20ABF" w:rsidRDefault="00F20ABF">
            <w:pPr>
              <w:rPr>
                <w:rFonts w:ascii="宋体"/>
                <w:vanish/>
              </w:rPr>
            </w:pPr>
          </w:p>
        </w:tc>
      </w:tr>
      <w:tr w:rsidR="00F20ABF" w14:paraId="1E80469B" w14:textId="77777777">
        <w:tc>
          <w:tcPr>
            <w:tcW w:w="0" w:type="auto"/>
            <w:gridSpan w:val="3"/>
            <w:shd w:val="clear" w:color="auto" w:fill="E2EFD9"/>
            <w:tcMar>
              <w:top w:w="40" w:type="dxa"/>
              <w:left w:w="20" w:type="dxa"/>
              <w:bottom w:w="40" w:type="dxa"/>
              <w:right w:w="20" w:type="dxa"/>
            </w:tcMar>
            <w:vAlign w:val="bottom"/>
          </w:tcPr>
          <w:p w14:paraId="1E804683" w14:textId="77777777" w:rsidR="00F20ABF" w:rsidRDefault="00CA4D2F">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684"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685" w14:textId="77777777" w:rsidR="00F20ABF" w:rsidRDefault="00CA4D2F">
            <w:pPr>
              <w:jc w:val="right"/>
              <w:textAlignment w:val="bottom"/>
            </w:pPr>
            <w:r>
              <w:rPr>
                <w:rFonts w:ascii="sans-serif" w:eastAsia="sans-serif" w:hAnsi="sans-serif" w:cs="sans-serif"/>
                <w:color w:val="000000"/>
                <w:sz w:val="20"/>
                <w:szCs w:val="20"/>
              </w:rPr>
              <w:t>9,893 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68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87"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688"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689" w14:textId="77777777" w:rsidR="00F20ABF" w:rsidRDefault="00CA4D2F">
            <w:pPr>
              <w:jc w:val="right"/>
              <w:textAlignment w:val="bottom"/>
            </w:pPr>
            <w:r>
              <w:rPr>
                <w:rFonts w:ascii="sans-serif" w:eastAsia="sans-serif" w:hAnsi="sans-serif" w:cs="sans-serif"/>
                <w:color w:val="000000"/>
                <w:sz w:val="20"/>
                <w:szCs w:val="20"/>
              </w:rPr>
              <w:t>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68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8B"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68C"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68D" w14:textId="77777777" w:rsidR="00F20ABF" w:rsidRDefault="00CA4D2F">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68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8F"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690"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691" w14:textId="77777777" w:rsidR="00F20ABF" w:rsidRDefault="00CA4D2F">
            <w:pPr>
              <w:jc w:val="right"/>
              <w:textAlignment w:val="bottom"/>
            </w:pPr>
            <w:r>
              <w:rPr>
                <w:rFonts w:ascii="sans-serif" w:eastAsia="sans-serif" w:hAnsi="sans-serif" w:cs="sans-serif"/>
                <w:color w:val="000000"/>
                <w:sz w:val="20"/>
                <w:szCs w:val="20"/>
              </w:rPr>
              <w:t>9,896 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69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93"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694"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695" w14:textId="77777777" w:rsidR="00F20ABF" w:rsidRDefault="00CA4D2F">
            <w:pPr>
              <w:jc w:val="right"/>
              <w:textAlignment w:val="bottom"/>
            </w:pPr>
            <w:r>
              <w:rPr>
                <w:rFonts w:ascii="sans-serif" w:eastAsia="sans-serif" w:hAnsi="sans-serif" w:cs="sans-serif"/>
                <w:color w:val="000000"/>
                <w:sz w:val="20"/>
                <w:szCs w:val="20"/>
              </w:rPr>
              <w:t>2,008 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69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97"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698"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699" w14:textId="77777777" w:rsidR="00F20ABF" w:rsidRDefault="00CA4D2F">
            <w:pPr>
              <w:jc w:val="right"/>
              <w:textAlignment w:val="bottom"/>
            </w:pPr>
            <w:r>
              <w:rPr>
                <w:rFonts w:ascii="sans-serif" w:eastAsia="sans-serif" w:hAnsi="sans-serif" w:cs="sans-serif"/>
                <w:color w:val="000000"/>
                <w:sz w:val="20"/>
                <w:szCs w:val="20"/>
              </w:rPr>
              <w:t>7,888 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69A" w14:textId="77777777" w:rsidR="00F20ABF" w:rsidRDefault="00F20ABF">
            <w:pPr>
              <w:jc w:val="right"/>
              <w:rPr>
                <w:rFonts w:ascii="宋体"/>
              </w:rPr>
            </w:pPr>
          </w:p>
        </w:tc>
      </w:tr>
    </w:tbl>
    <w:p w14:paraId="1E80469C" w14:textId="77777777" w:rsidR="00F20ABF" w:rsidRDefault="00F20ABF">
      <w:pPr>
        <w:spacing w:after="300"/>
        <w:jc w:val="both"/>
      </w:pPr>
    </w:p>
    <w:p w14:paraId="1E80469D" w14:textId="77777777" w:rsidR="00F20ABF" w:rsidRDefault="00F20ABF">
      <w:pPr>
        <w:spacing w:after="300"/>
        <w:jc w:val="both"/>
      </w:pPr>
    </w:p>
    <w:tbl>
      <w:tblPr>
        <w:tblW w:w="4971" w:type="pct"/>
        <w:tblCellMar>
          <w:top w:w="15" w:type="dxa"/>
          <w:left w:w="15" w:type="dxa"/>
          <w:bottom w:w="15" w:type="dxa"/>
          <w:right w:w="15" w:type="dxa"/>
        </w:tblCellMar>
        <w:tblLook w:val="04A0" w:firstRow="1" w:lastRow="0" w:firstColumn="1" w:lastColumn="0" w:noHBand="0" w:noVBand="1"/>
      </w:tblPr>
      <w:tblGrid>
        <w:gridCol w:w="40"/>
        <w:gridCol w:w="1623"/>
        <w:gridCol w:w="39"/>
        <w:gridCol w:w="123"/>
        <w:gridCol w:w="816"/>
        <w:gridCol w:w="36"/>
        <w:gridCol w:w="36"/>
        <w:gridCol w:w="36"/>
        <w:gridCol w:w="36"/>
        <w:gridCol w:w="123"/>
        <w:gridCol w:w="842"/>
        <w:gridCol w:w="36"/>
        <w:gridCol w:w="36"/>
        <w:gridCol w:w="36"/>
        <w:gridCol w:w="36"/>
        <w:gridCol w:w="123"/>
        <w:gridCol w:w="839"/>
        <w:gridCol w:w="36"/>
        <w:gridCol w:w="36"/>
        <w:gridCol w:w="36"/>
        <w:gridCol w:w="36"/>
        <w:gridCol w:w="123"/>
        <w:gridCol w:w="785"/>
        <w:gridCol w:w="36"/>
        <w:gridCol w:w="36"/>
        <w:gridCol w:w="36"/>
        <w:gridCol w:w="36"/>
        <w:gridCol w:w="123"/>
        <w:gridCol w:w="904"/>
        <w:gridCol w:w="36"/>
        <w:gridCol w:w="36"/>
        <w:gridCol w:w="36"/>
        <w:gridCol w:w="36"/>
        <w:gridCol w:w="123"/>
        <w:gridCol w:w="906"/>
        <w:gridCol w:w="36"/>
      </w:tblGrid>
      <w:tr w:rsidR="00F20ABF" w14:paraId="1E8046C2" w14:textId="77777777">
        <w:tc>
          <w:tcPr>
            <w:tcW w:w="50" w:type="pct"/>
            <w:shd w:val="clear" w:color="auto" w:fill="auto"/>
          </w:tcPr>
          <w:p w14:paraId="1E80469E" w14:textId="77777777" w:rsidR="00F20ABF" w:rsidRDefault="00F20ABF">
            <w:pPr>
              <w:rPr>
                <w:rFonts w:ascii="宋体"/>
              </w:rPr>
            </w:pPr>
          </w:p>
        </w:tc>
        <w:tc>
          <w:tcPr>
            <w:tcW w:w="1481" w:type="pct"/>
            <w:shd w:val="clear" w:color="auto" w:fill="auto"/>
          </w:tcPr>
          <w:p w14:paraId="1E80469F" w14:textId="77777777" w:rsidR="00F20ABF" w:rsidRDefault="00F20ABF">
            <w:pPr>
              <w:rPr>
                <w:rFonts w:ascii="宋体"/>
              </w:rPr>
            </w:pPr>
          </w:p>
        </w:tc>
        <w:tc>
          <w:tcPr>
            <w:tcW w:w="5" w:type="pct"/>
            <w:shd w:val="clear" w:color="auto" w:fill="auto"/>
          </w:tcPr>
          <w:p w14:paraId="1E8046A0" w14:textId="77777777" w:rsidR="00F20ABF" w:rsidRDefault="00F20ABF">
            <w:pPr>
              <w:rPr>
                <w:rFonts w:ascii="宋体"/>
              </w:rPr>
            </w:pPr>
          </w:p>
        </w:tc>
        <w:tc>
          <w:tcPr>
            <w:tcW w:w="50" w:type="pct"/>
            <w:shd w:val="clear" w:color="auto" w:fill="auto"/>
          </w:tcPr>
          <w:p w14:paraId="1E8046A1" w14:textId="77777777" w:rsidR="00F20ABF" w:rsidRDefault="00F20ABF">
            <w:pPr>
              <w:rPr>
                <w:rFonts w:ascii="宋体"/>
              </w:rPr>
            </w:pPr>
          </w:p>
        </w:tc>
        <w:tc>
          <w:tcPr>
            <w:tcW w:w="481" w:type="pct"/>
            <w:shd w:val="clear" w:color="auto" w:fill="auto"/>
          </w:tcPr>
          <w:p w14:paraId="1E8046A2" w14:textId="77777777" w:rsidR="00F20ABF" w:rsidRDefault="00F20ABF">
            <w:pPr>
              <w:rPr>
                <w:rFonts w:ascii="宋体"/>
              </w:rPr>
            </w:pPr>
          </w:p>
        </w:tc>
        <w:tc>
          <w:tcPr>
            <w:tcW w:w="5" w:type="pct"/>
            <w:shd w:val="clear" w:color="auto" w:fill="auto"/>
          </w:tcPr>
          <w:p w14:paraId="1E8046A3" w14:textId="77777777" w:rsidR="00F20ABF" w:rsidRDefault="00F20ABF">
            <w:pPr>
              <w:rPr>
                <w:rFonts w:ascii="宋体"/>
              </w:rPr>
            </w:pPr>
          </w:p>
        </w:tc>
        <w:tc>
          <w:tcPr>
            <w:tcW w:w="5" w:type="pct"/>
            <w:shd w:val="clear" w:color="auto" w:fill="auto"/>
          </w:tcPr>
          <w:p w14:paraId="1E8046A4" w14:textId="77777777" w:rsidR="00F20ABF" w:rsidRDefault="00F20ABF">
            <w:pPr>
              <w:rPr>
                <w:rFonts w:ascii="宋体"/>
              </w:rPr>
            </w:pPr>
          </w:p>
        </w:tc>
        <w:tc>
          <w:tcPr>
            <w:tcW w:w="26" w:type="pct"/>
            <w:shd w:val="clear" w:color="auto" w:fill="auto"/>
          </w:tcPr>
          <w:p w14:paraId="1E8046A5" w14:textId="77777777" w:rsidR="00F20ABF" w:rsidRDefault="00F20ABF">
            <w:pPr>
              <w:rPr>
                <w:rFonts w:ascii="宋体"/>
              </w:rPr>
            </w:pPr>
          </w:p>
        </w:tc>
        <w:tc>
          <w:tcPr>
            <w:tcW w:w="5" w:type="pct"/>
            <w:shd w:val="clear" w:color="auto" w:fill="auto"/>
          </w:tcPr>
          <w:p w14:paraId="1E8046A6" w14:textId="77777777" w:rsidR="00F20ABF" w:rsidRDefault="00F20ABF">
            <w:pPr>
              <w:rPr>
                <w:rFonts w:ascii="宋体"/>
              </w:rPr>
            </w:pPr>
          </w:p>
        </w:tc>
        <w:tc>
          <w:tcPr>
            <w:tcW w:w="50" w:type="pct"/>
            <w:shd w:val="clear" w:color="auto" w:fill="auto"/>
          </w:tcPr>
          <w:p w14:paraId="1E8046A7" w14:textId="77777777" w:rsidR="00F20ABF" w:rsidRDefault="00F20ABF">
            <w:pPr>
              <w:rPr>
                <w:rFonts w:ascii="宋体"/>
              </w:rPr>
            </w:pPr>
          </w:p>
        </w:tc>
        <w:tc>
          <w:tcPr>
            <w:tcW w:w="496" w:type="pct"/>
            <w:shd w:val="clear" w:color="auto" w:fill="auto"/>
          </w:tcPr>
          <w:p w14:paraId="1E8046A8" w14:textId="77777777" w:rsidR="00F20ABF" w:rsidRDefault="00F20ABF">
            <w:pPr>
              <w:rPr>
                <w:rFonts w:ascii="宋体"/>
              </w:rPr>
            </w:pPr>
          </w:p>
        </w:tc>
        <w:tc>
          <w:tcPr>
            <w:tcW w:w="5" w:type="pct"/>
            <w:shd w:val="clear" w:color="auto" w:fill="auto"/>
          </w:tcPr>
          <w:p w14:paraId="1E8046A9" w14:textId="77777777" w:rsidR="00F20ABF" w:rsidRDefault="00F20ABF">
            <w:pPr>
              <w:rPr>
                <w:rFonts w:ascii="宋体"/>
              </w:rPr>
            </w:pPr>
          </w:p>
        </w:tc>
        <w:tc>
          <w:tcPr>
            <w:tcW w:w="5" w:type="pct"/>
            <w:shd w:val="clear" w:color="auto" w:fill="auto"/>
          </w:tcPr>
          <w:p w14:paraId="1E8046AA" w14:textId="77777777" w:rsidR="00F20ABF" w:rsidRDefault="00F20ABF">
            <w:pPr>
              <w:rPr>
                <w:rFonts w:ascii="宋体"/>
              </w:rPr>
            </w:pPr>
          </w:p>
        </w:tc>
        <w:tc>
          <w:tcPr>
            <w:tcW w:w="26" w:type="pct"/>
            <w:shd w:val="clear" w:color="auto" w:fill="auto"/>
          </w:tcPr>
          <w:p w14:paraId="1E8046AB" w14:textId="77777777" w:rsidR="00F20ABF" w:rsidRDefault="00F20ABF">
            <w:pPr>
              <w:rPr>
                <w:rFonts w:ascii="宋体"/>
              </w:rPr>
            </w:pPr>
          </w:p>
        </w:tc>
        <w:tc>
          <w:tcPr>
            <w:tcW w:w="5" w:type="pct"/>
            <w:shd w:val="clear" w:color="auto" w:fill="auto"/>
          </w:tcPr>
          <w:p w14:paraId="1E8046AC" w14:textId="77777777" w:rsidR="00F20ABF" w:rsidRDefault="00F20ABF">
            <w:pPr>
              <w:rPr>
                <w:rFonts w:ascii="宋体"/>
              </w:rPr>
            </w:pPr>
          </w:p>
        </w:tc>
        <w:tc>
          <w:tcPr>
            <w:tcW w:w="50" w:type="pct"/>
            <w:shd w:val="clear" w:color="auto" w:fill="auto"/>
          </w:tcPr>
          <w:p w14:paraId="1E8046AD" w14:textId="77777777" w:rsidR="00F20ABF" w:rsidRDefault="00F20ABF">
            <w:pPr>
              <w:rPr>
                <w:rFonts w:ascii="宋体"/>
              </w:rPr>
            </w:pPr>
          </w:p>
        </w:tc>
        <w:tc>
          <w:tcPr>
            <w:tcW w:w="481" w:type="pct"/>
            <w:shd w:val="clear" w:color="auto" w:fill="auto"/>
          </w:tcPr>
          <w:p w14:paraId="1E8046AE" w14:textId="77777777" w:rsidR="00F20ABF" w:rsidRDefault="00F20ABF">
            <w:pPr>
              <w:rPr>
                <w:rFonts w:ascii="宋体"/>
              </w:rPr>
            </w:pPr>
          </w:p>
        </w:tc>
        <w:tc>
          <w:tcPr>
            <w:tcW w:w="5" w:type="pct"/>
            <w:shd w:val="clear" w:color="auto" w:fill="auto"/>
          </w:tcPr>
          <w:p w14:paraId="1E8046AF" w14:textId="77777777" w:rsidR="00F20ABF" w:rsidRDefault="00F20ABF">
            <w:pPr>
              <w:rPr>
                <w:rFonts w:ascii="宋体"/>
              </w:rPr>
            </w:pPr>
          </w:p>
        </w:tc>
        <w:tc>
          <w:tcPr>
            <w:tcW w:w="5" w:type="pct"/>
            <w:shd w:val="clear" w:color="auto" w:fill="auto"/>
          </w:tcPr>
          <w:p w14:paraId="1E8046B0" w14:textId="77777777" w:rsidR="00F20ABF" w:rsidRDefault="00F20ABF">
            <w:pPr>
              <w:rPr>
                <w:rFonts w:ascii="宋体"/>
              </w:rPr>
            </w:pPr>
          </w:p>
        </w:tc>
        <w:tc>
          <w:tcPr>
            <w:tcW w:w="26" w:type="pct"/>
            <w:shd w:val="clear" w:color="auto" w:fill="auto"/>
          </w:tcPr>
          <w:p w14:paraId="1E8046B1" w14:textId="77777777" w:rsidR="00F20ABF" w:rsidRDefault="00F20ABF">
            <w:pPr>
              <w:rPr>
                <w:rFonts w:ascii="宋体"/>
              </w:rPr>
            </w:pPr>
          </w:p>
        </w:tc>
        <w:tc>
          <w:tcPr>
            <w:tcW w:w="5" w:type="pct"/>
            <w:shd w:val="clear" w:color="auto" w:fill="auto"/>
          </w:tcPr>
          <w:p w14:paraId="1E8046B2" w14:textId="77777777" w:rsidR="00F20ABF" w:rsidRDefault="00F20ABF">
            <w:pPr>
              <w:rPr>
                <w:rFonts w:ascii="宋体"/>
              </w:rPr>
            </w:pPr>
          </w:p>
        </w:tc>
        <w:tc>
          <w:tcPr>
            <w:tcW w:w="50" w:type="pct"/>
            <w:shd w:val="clear" w:color="auto" w:fill="auto"/>
          </w:tcPr>
          <w:p w14:paraId="1E8046B3" w14:textId="77777777" w:rsidR="00F20ABF" w:rsidRDefault="00F20ABF">
            <w:pPr>
              <w:rPr>
                <w:rFonts w:ascii="宋体"/>
              </w:rPr>
            </w:pPr>
          </w:p>
        </w:tc>
        <w:tc>
          <w:tcPr>
            <w:tcW w:w="481" w:type="pct"/>
            <w:shd w:val="clear" w:color="auto" w:fill="auto"/>
          </w:tcPr>
          <w:p w14:paraId="1E8046B4" w14:textId="77777777" w:rsidR="00F20ABF" w:rsidRDefault="00F20ABF">
            <w:pPr>
              <w:rPr>
                <w:rFonts w:ascii="宋体"/>
              </w:rPr>
            </w:pPr>
          </w:p>
        </w:tc>
        <w:tc>
          <w:tcPr>
            <w:tcW w:w="5" w:type="pct"/>
            <w:shd w:val="clear" w:color="auto" w:fill="auto"/>
          </w:tcPr>
          <w:p w14:paraId="1E8046B5" w14:textId="77777777" w:rsidR="00F20ABF" w:rsidRDefault="00F20ABF">
            <w:pPr>
              <w:rPr>
                <w:rFonts w:ascii="宋体"/>
              </w:rPr>
            </w:pPr>
          </w:p>
        </w:tc>
        <w:tc>
          <w:tcPr>
            <w:tcW w:w="5" w:type="pct"/>
            <w:shd w:val="clear" w:color="auto" w:fill="auto"/>
          </w:tcPr>
          <w:p w14:paraId="1E8046B6" w14:textId="77777777" w:rsidR="00F20ABF" w:rsidRDefault="00F20ABF">
            <w:pPr>
              <w:rPr>
                <w:rFonts w:ascii="宋体"/>
              </w:rPr>
            </w:pPr>
          </w:p>
        </w:tc>
        <w:tc>
          <w:tcPr>
            <w:tcW w:w="26" w:type="pct"/>
            <w:shd w:val="clear" w:color="auto" w:fill="auto"/>
          </w:tcPr>
          <w:p w14:paraId="1E8046B7" w14:textId="77777777" w:rsidR="00F20ABF" w:rsidRDefault="00F20ABF">
            <w:pPr>
              <w:rPr>
                <w:rFonts w:ascii="宋体"/>
              </w:rPr>
            </w:pPr>
          </w:p>
        </w:tc>
        <w:tc>
          <w:tcPr>
            <w:tcW w:w="5" w:type="pct"/>
            <w:shd w:val="clear" w:color="auto" w:fill="auto"/>
          </w:tcPr>
          <w:p w14:paraId="1E8046B8" w14:textId="77777777" w:rsidR="00F20ABF" w:rsidRDefault="00F20ABF">
            <w:pPr>
              <w:rPr>
                <w:rFonts w:ascii="宋体"/>
              </w:rPr>
            </w:pPr>
          </w:p>
        </w:tc>
        <w:tc>
          <w:tcPr>
            <w:tcW w:w="50" w:type="pct"/>
            <w:shd w:val="clear" w:color="auto" w:fill="auto"/>
          </w:tcPr>
          <w:p w14:paraId="1E8046B9" w14:textId="77777777" w:rsidR="00F20ABF" w:rsidRDefault="00F20ABF">
            <w:pPr>
              <w:rPr>
                <w:rFonts w:ascii="宋体"/>
              </w:rPr>
            </w:pPr>
          </w:p>
        </w:tc>
        <w:tc>
          <w:tcPr>
            <w:tcW w:w="511" w:type="pct"/>
            <w:shd w:val="clear" w:color="auto" w:fill="auto"/>
          </w:tcPr>
          <w:p w14:paraId="1E8046BA" w14:textId="77777777" w:rsidR="00F20ABF" w:rsidRDefault="00F20ABF">
            <w:pPr>
              <w:rPr>
                <w:rFonts w:ascii="宋体"/>
              </w:rPr>
            </w:pPr>
          </w:p>
        </w:tc>
        <w:tc>
          <w:tcPr>
            <w:tcW w:w="5" w:type="pct"/>
            <w:shd w:val="clear" w:color="auto" w:fill="auto"/>
          </w:tcPr>
          <w:p w14:paraId="1E8046BB" w14:textId="77777777" w:rsidR="00F20ABF" w:rsidRDefault="00F20ABF">
            <w:pPr>
              <w:rPr>
                <w:rFonts w:ascii="宋体"/>
              </w:rPr>
            </w:pPr>
          </w:p>
        </w:tc>
        <w:tc>
          <w:tcPr>
            <w:tcW w:w="5" w:type="pct"/>
            <w:shd w:val="clear" w:color="auto" w:fill="auto"/>
          </w:tcPr>
          <w:p w14:paraId="1E8046BC" w14:textId="77777777" w:rsidR="00F20ABF" w:rsidRDefault="00F20ABF">
            <w:pPr>
              <w:rPr>
                <w:rFonts w:ascii="宋体"/>
              </w:rPr>
            </w:pPr>
          </w:p>
        </w:tc>
        <w:tc>
          <w:tcPr>
            <w:tcW w:w="26" w:type="pct"/>
            <w:shd w:val="clear" w:color="auto" w:fill="auto"/>
          </w:tcPr>
          <w:p w14:paraId="1E8046BD" w14:textId="77777777" w:rsidR="00F20ABF" w:rsidRDefault="00F20ABF">
            <w:pPr>
              <w:rPr>
                <w:rFonts w:ascii="宋体"/>
              </w:rPr>
            </w:pPr>
          </w:p>
        </w:tc>
        <w:tc>
          <w:tcPr>
            <w:tcW w:w="5" w:type="pct"/>
            <w:shd w:val="clear" w:color="auto" w:fill="auto"/>
          </w:tcPr>
          <w:p w14:paraId="1E8046BE" w14:textId="77777777" w:rsidR="00F20ABF" w:rsidRDefault="00F20ABF">
            <w:pPr>
              <w:rPr>
                <w:rFonts w:ascii="宋体"/>
              </w:rPr>
            </w:pPr>
          </w:p>
        </w:tc>
        <w:tc>
          <w:tcPr>
            <w:tcW w:w="50" w:type="pct"/>
            <w:shd w:val="clear" w:color="auto" w:fill="auto"/>
          </w:tcPr>
          <w:p w14:paraId="1E8046BF" w14:textId="77777777" w:rsidR="00F20ABF" w:rsidRDefault="00F20ABF">
            <w:pPr>
              <w:rPr>
                <w:rFonts w:ascii="宋体"/>
              </w:rPr>
            </w:pPr>
          </w:p>
        </w:tc>
        <w:tc>
          <w:tcPr>
            <w:tcW w:w="496" w:type="pct"/>
            <w:shd w:val="clear" w:color="auto" w:fill="auto"/>
          </w:tcPr>
          <w:p w14:paraId="1E8046C0" w14:textId="77777777" w:rsidR="00F20ABF" w:rsidRDefault="00F20ABF">
            <w:pPr>
              <w:rPr>
                <w:rFonts w:ascii="宋体"/>
              </w:rPr>
            </w:pPr>
          </w:p>
        </w:tc>
        <w:tc>
          <w:tcPr>
            <w:tcW w:w="5" w:type="pct"/>
            <w:shd w:val="clear" w:color="auto" w:fill="auto"/>
          </w:tcPr>
          <w:p w14:paraId="1E8046C1" w14:textId="77777777" w:rsidR="00F20ABF" w:rsidRDefault="00F20ABF">
            <w:pPr>
              <w:rPr>
                <w:rFonts w:ascii="宋体"/>
              </w:rPr>
            </w:pPr>
          </w:p>
        </w:tc>
      </w:tr>
      <w:tr w:rsidR="00F20ABF" w14:paraId="1E8046C5" w14:textId="77777777">
        <w:tc>
          <w:tcPr>
            <w:tcW w:w="0" w:type="auto"/>
            <w:gridSpan w:val="3"/>
            <w:shd w:val="clear" w:color="auto" w:fill="auto"/>
            <w:tcMar>
              <w:top w:w="40" w:type="dxa"/>
              <w:left w:w="20" w:type="dxa"/>
              <w:bottom w:w="40" w:type="dxa"/>
              <w:right w:w="20" w:type="dxa"/>
            </w:tcMar>
            <w:vAlign w:val="bottom"/>
          </w:tcPr>
          <w:p w14:paraId="1E8046C3" w14:textId="77777777" w:rsidR="00F20ABF" w:rsidRDefault="00CA4D2F">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1E8046C4" w14:textId="77777777" w:rsidR="00F20ABF" w:rsidRDefault="00CA4D2F">
            <w:pPr>
              <w:jc w:val="center"/>
              <w:textAlignment w:val="bottom"/>
            </w:pPr>
            <w:r>
              <w:rPr>
                <w:rFonts w:ascii="sans-serif" w:eastAsia="sans-serif" w:hAnsi="sans-serif" w:cs="sans-serif"/>
                <w:b/>
                <w:bCs/>
                <w:color w:val="000000"/>
                <w:sz w:val="20"/>
                <w:szCs w:val="20"/>
              </w:rPr>
              <w:t>January 26, 2020</w:t>
            </w:r>
          </w:p>
        </w:tc>
      </w:tr>
      <w:tr w:rsidR="00F20ABF" w14:paraId="1E8046D0" w14:textId="77777777">
        <w:trPr>
          <w:trHeight w:val="300"/>
        </w:trPr>
        <w:tc>
          <w:tcPr>
            <w:tcW w:w="0" w:type="auto"/>
            <w:gridSpan w:val="3"/>
            <w:shd w:val="clear" w:color="auto" w:fill="auto"/>
            <w:tcMar>
              <w:top w:w="0" w:type="dxa"/>
              <w:left w:w="20" w:type="dxa"/>
              <w:bottom w:w="0" w:type="dxa"/>
              <w:right w:w="20" w:type="dxa"/>
            </w:tcMar>
          </w:tcPr>
          <w:p w14:paraId="1E8046C6" w14:textId="77777777" w:rsidR="00F20ABF" w:rsidRDefault="00F20AB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E8046C7" w14:textId="77777777" w:rsidR="00F20ABF" w:rsidRDefault="00CA4D2F">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tcPr>
          <w:p w14:paraId="1E8046C8" w14:textId="77777777" w:rsidR="00F20ABF" w:rsidRDefault="00F20AB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E8046C9" w14:textId="77777777" w:rsidR="00F20ABF" w:rsidRDefault="00CA4D2F">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tcPr>
          <w:p w14:paraId="1E8046CA" w14:textId="77777777" w:rsidR="00F20ABF" w:rsidRDefault="00F20AB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E8046CB" w14:textId="77777777" w:rsidR="00F20ABF" w:rsidRDefault="00CA4D2F">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tcPr>
          <w:p w14:paraId="1E8046CC" w14:textId="77777777" w:rsidR="00F20ABF" w:rsidRDefault="00F20AB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E8046CD" w14:textId="77777777" w:rsidR="00F20ABF" w:rsidRDefault="00CA4D2F">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1E8046CE" w14:textId="77777777" w:rsidR="00F20ABF" w:rsidRDefault="00F20AB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E8046CF" w14:textId="77777777" w:rsidR="00F20ABF" w:rsidRDefault="00CA4D2F">
            <w:pPr>
              <w:jc w:val="center"/>
              <w:textAlignment w:val="bottom"/>
            </w:pPr>
            <w:r>
              <w:rPr>
                <w:rFonts w:ascii="sans-serif" w:eastAsia="sans-serif" w:hAnsi="sans-serif" w:cs="sans-serif"/>
                <w:b/>
                <w:bCs/>
                <w:color w:val="000000"/>
                <w:sz w:val="20"/>
                <w:szCs w:val="20"/>
              </w:rPr>
              <w:t>Reported as</w:t>
            </w:r>
          </w:p>
        </w:tc>
      </w:tr>
      <w:tr w:rsidR="00F20ABF" w14:paraId="1E8046DD" w14:textId="77777777">
        <w:trPr>
          <w:trHeight w:val="520"/>
        </w:trPr>
        <w:tc>
          <w:tcPr>
            <w:tcW w:w="0" w:type="auto"/>
            <w:gridSpan w:val="3"/>
            <w:shd w:val="clear" w:color="auto" w:fill="auto"/>
            <w:tcMar>
              <w:top w:w="40" w:type="dxa"/>
              <w:left w:w="20" w:type="dxa"/>
              <w:bottom w:w="40" w:type="dxa"/>
              <w:right w:w="20" w:type="dxa"/>
            </w:tcMar>
            <w:vAlign w:val="bottom"/>
          </w:tcPr>
          <w:p w14:paraId="1E8046D1"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E8046D2" w14:textId="77777777" w:rsidR="00F20ABF" w:rsidRDefault="00F20ABF">
            <w:pPr>
              <w:jc w:val="center"/>
              <w:rPr>
                <w:rFonts w:ascii="宋体"/>
              </w:rPr>
            </w:pPr>
          </w:p>
        </w:tc>
        <w:tc>
          <w:tcPr>
            <w:tcW w:w="0" w:type="auto"/>
            <w:gridSpan w:val="3"/>
            <w:shd w:val="clear" w:color="auto" w:fill="auto"/>
            <w:tcMar>
              <w:top w:w="0" w:type="dxa"/>
              <w:left w:w="20" w:type="dxa"/>
              <w:bottom w:w="0" w:type="dxa"/>
              <w:right w:w="20" w:type="dxa"/>
            </w:tcMar>
          </w:tcPr>
          <w:p w14:paraId="1E8046D3" w14:textId="77777777" w:rsidR="00F20ABF" w:rsidRDefault="00F20AB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E8046D4" w14:textId="77777777" w:rsidR="00F20ABF" w:rsidRDefault="00F20ABF">
            <w:pPr>
              <w:jc w:val="center"/>
              <w:rPr>
                <w:rFonts w:ascii="宋体"/>
              </w:rPr>
            </w:pPr>
          </w:p>
        </w:tc>
        <w:tc>
          <w:tcPr>
            <w:tcW w:w="0" w:type="auto"/>
            <w:gridSpan w:val="3"/>
            <w:shd w:val="clear" w:color="auto" w:fill="auto"/>
            <w:tcMar>
              <w:top w:w="0" w:type="dxa"/>
              <w:left w:w="20" w:type="dxa"/>
              <w:bottom w:w="0" w:type="dxa"/>
              <w:right w:w="20" w:type="dxa"/>
            </w:tcMar>
          </w:tcPr>
          <w:p w14:paraId="1E8046D5" w14:textId="77777777" w:rsidR="00F20ABF" w:rsidRDefault="00F20AB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E8046D6" w14:textId="77777777" w:rsidR="00F20ABF" w:rsidRDefault="00F20ABF">
            <w:pPr>
              <w:jc w:val="center"/>
              <w:rPr>
                <w:rFonts w:ascii="宋体"/>
              </w:rPr>
            </w:pPr>
          </w:p>
        </w:tc>
        <w:tc>
          <w:tcPr>
            <w:tcW w:w="0" w:type="auto"/>
            <w:gridSpan w:val="3"/>
            <w:shd w:val="clear" w:color="auto" w:fill="auto"/>
            <w:tcMar>
              <w:top w:w="0" w:type="dxa"/>
              <w:left w:w="20" w:type="dxa"/>
              <w:bottom w:w="0" w:type="dxa"/>
              <w:right w:w="20" w:type="dxa"/>
            </w:tcMar>
          </w:tcPr>
          <w:p w14:paraId="1E8046D7" w14:textId="77777777" w:rsidR="00F20ABF" w:rsidRDefault="00F20AB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E8046D8" w14:textId="77777777" w:rsidR="00F20ABF" w:rsidRDefault="00F20ABF">
            <w:pPr>
              <w:jc w:val="center"/>
              <w:rPr>
                <w:rFonts w:ascii="宋体"/>
              </w:rPr>
            </w:pPr>
          </w:p>
        </w:tc>
        <w:tc>
          <w:tcPr>
            <w:tcW w:w="0" w:type="auto"/>
            <w:gridSpan w:val="3"/>
            <w:shd w:val="clear" w:color="auto" w:fill="auto"/>
            <w:tcMar>
              <w:top w:w="0" w:type="dxa"/>
              <w:left w:w="20" w:type="dxa"/>
              <w:bottom w:w="0" w:type="dxa"/>
              <w:right w:w="20" w:type="dxa"/>
            </w:tcMar>
          </w:tcPr>
          <w:p w14:paraId="1E8046D9"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6DA" w14:textId="77777777" w:rsidR="00F20ABF" w:rsidRDefault="00CA4D2F">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tcPr>
          <w:p w14:paraId="1E8046DB"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6DC" w14:textId="77777777" w:rsidR="00F20ABF" w:rsidRDefault="00CA4D2F">
            <w:pPr>
              <w:jc w:val="center"/>
              <w:textAlignment w:val="bottom"/>
            </w:pPr>
            <w:r>
              <w:rPr>
                <w:rFonts w:ascii="sans-serif" w:eastAsia="sans-serif" w:hAnsi="sans-serif" w:cs="sans-serif"/>
                <w:b/>
                <w:bCs/>
                <w:color w:val="000000"/>
                <w:sz w:val="20"/>
                <w:szCs w:val="20"/>
              </w:rPr>
              <w:t>Marketable Securities</w:t>
            </w:r>
          </w:p>
        </w:tc>
      </w:tr>
      <w:tr w:rsidR="00F20ABF" w14:paraId="1E8046EA" w14:textId="77777777">
        <w:trPr>
          <w:trHeight w:val="60"/>
        </w:trPr>
        <w:tc>
          <w:tcPr>
            <w:tcW w:w="0" w:type="auto"/>
            <w:gridSpan w:val="3"/>
            <w:shd w:val="clear" w:color="auto" w:fill="auto"/>
            <w:tcMar>
              <w:top w:w="0" w:type="dxa"/>
              <w:left w:w="20" w:type="dxa"/>
              <w:bottom w:w="0" w:type="dxa"/>
              <w:right w:w="20" w:type="dxa"/>
            </w:tcMar>
          </w:tcPr>
          <w:p w14:paraId="1E8046DE"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6DF"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6E0"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6E1"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6E2"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6E3"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6E4"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6E5"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6E6"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6E7"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6E8"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6E9" w14:textId="77777777" w:rsidR="00F20ABF" w:rsidRDefault="00F20ABF">
            <w:pPr>
              <w:rPr>
                <w:rFonts w:ascii="宋体"/>
              </w:rPr>
            </w:pPr>
          </w:p>
        </w:tc>
      </w:tr>
      <w:tr w:rsidR="00F20ABF" w14:paraId="1E8046ED" w14:textId="77777777">
        <w:tc>
          <w:tcPr>
            <w:tcW w:w="0" w:type="auto"/>
            <w:gridSpan w:val="3"/>
            <w:shd w:val="clear" w:color="auto" w:fill="auto"/>
            <w:tcMar>
              <w:top w:w="40" w:type="dxa"/>
              <w:left w:w="20" w:type="dxa"/>
              <w:bottom w:w="40" w:type="dxa"/>
              <w:right w:w="20" w:type="dxa"/>
            </w:tcMar>
            <w:vAlign w:val="bottom"/>
          </w:tcPr>
          <w:p w14:paraId="1E8046EB" w14:textId="77777777" w:rsidR="00F20ABF" w:rsidRDefault="00CA4D2F">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1E8046EC"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706" w14:textId="77777777">
        <w:tc>
          <w:tcPr>
            <w:tcW w:w="0" w:type="auto"/>
            <w:gridSpan w:val="3"/>
            <w:shd w:val="clear" w:color="auto" w:fill="E2EFD9"/>
            <w:tcMar>
              <w:top w:w="40" w:type="dxa"/>
              <w:left w:w="20" w:type="dxa"/>
              <w:bottom w:w="40" w:type="dxa"/>
              <w:right w:w="20" w:type="dxa"/>
            </w:tcMar>
            <w:vAlign w:val="bottom"/>
          </w:tcPr>
          <w:p w14:paraId="1E8046EE" w14:textId="77777777" w:rsidR="00F20ABF" w:rsidRDefault="00CA4D2F">
            <w:pPr>
              <w:textAlignment w:val="bottom"/>
            </w:pPr>
            <w:r>
              <w:rPr>
                <w:rFonts w:ascii="sans-serif" w:eastAsia="sans-serif" w:hAnsi="sans-serif" w:cs="sans-serif"/>
                <w:color w:val="000000"/>
                <w:sz w:val="20"/>
                <w:szCs w:val="20"/>
              </w:rPr>
              <w:t>Money market funds</w:t>
            </w:r>
          </w:p>
        </w:tc>
        <w:tc>
          <w:tcPr>
            <w:tcW w:w="0" w:type="auto"/>
            <w:shd w:val="clear" w:color="auto" w:fill="E2EFD9"/>
            <w:tcMar>
              <w:top w:w="40" w:type="dxa"/>
              <w:left w:w="20" w:type="dxa"/>
              <w:bottom w:w="40" w:type="dxa"/>
              <w:right w:w="0" w:type="dxa"/>
            </w:tcMar>
            <w:vAlign w:val="bottom"/>
          </w:tcPr>
          <w:p w14:paraId="1E8046EF"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6F0" w14:textId="77777777" w:rsidR="00F20ABF" w:rsidRDefault="00CA4D2F">
            <w:pPr>
              <w:jc w:val="right"/>
              <w:textAlignment w:val="bottom"/>
            </w:pPr>
            <w:r>
              <w:rPr>
                <w:rFonts w:ascii="sans-serif" w:eastAsia="sans-serif" w:hAnsi="sans-serif" w:cs="sans-serif"/>
                <w:color w:val="000000"/>
                <w:sz w:val="20"/>
                <w:szCs w:val="20"/>
              </w:rPr>
              <w:t>7,507 </w:t>
            </w:r>
          </w:p>
        </w:tc>
        <w:tc>
          <w:tcPr>
            <w:tcW w:w="0" w:type="auto"/>
            <w:shd w:val="clear" w:color="auto" w:fill="E2EFD9"/>
            <w:tcMar>
              <w:top w:w="40" w:type="dxa"/>
              <w:left w:w="0" w:type="dxa"/>
              <w:bottom w:w="40" w:type="dxa"/>
              <w:right w:w="20" w:type="dxa"/>
            </w:tcMar>
            <w:vAlign w:val="bottom"/>
          </w:tcPr>
          <w:p w14:paraId="1E8046F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F2"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6F3"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6F4"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6F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F6"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6F7"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6F8"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6F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FA"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6FB"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6FC" w14:textId="77777777" w:rsidR="00F20ABF" w:rsidRDefault="00CA4D2F">
            <w:pPr>
              <w:jc w:val="right"/>
              <w:textAlignment w:val="bottom"/>
            </w:pPr>
            <w:r>
              <w:rPr>
                <w:rFonts w:ascii="sans-serif" w:eastAsia="sans-serif" w:hAnsi="sans-serif" w:cs="sans-serif"/>
                <w:color w:val="000000"/>
                <w:sz w:val="20"/>
                <w:szCs w:val="20"/>
              </w:rPr>
              <w:t>7,507 </w:t>
            </w:r>
          </w:p>
        </w:tc>
        <w:tc>
          <w:tcPr>
            <w:tcW w:w="0" w:type="auto"/>
            <w:shd w:val="clear" w:color="auto" w:fill="E2EFD9"/>
            <w:tcMar>
              <w:top w:w="40" w:type="dxa"/>
              <w:left w:w="0" w:type="dxa"/>
              <w:bottom w:w="40" w:type="dxa"/>
              <w:right w:w="20" w:type="dxa"/>
            </w:tcMar>
            <w:vAlign w:val="bottom"/>
          </w:tcPr>
          <w:p w14:paraId="1E8046F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6FE"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6FF"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700" w14:textId="77777777" w:rsidR="00F20ABF" w:rsidRDefault="00CA4D2F">
            <w:pPr>
              <w:jc w:val="right"/>
              <w:textAlignment w:val="bottom"/>
            </w:pPr>
            <w:r>
              <w:rPr>
                <w:rFonts w:ascii="sans-serif" w:eastAsia="sans-serif" w:hAnsi="sans-serif" w:cs="sans-serif"/>
                <w:color w:val="000000"/>
                <w:sz w:val="20"/>
                <w:szCs w:val="20"/>
              </w:rPr>
              <w:t>7,507 </w:t>
            </w:r>
          </w:p>
        </w:tc>
        <w:tc>
          <w:tcPr>
            <w:tcW w:w="0" w:type="auto"/>
            <w:shd w:val="clear" w:color="auto" w:fill="E2EFD9"/>
            <w:tcMar>
              <w:top w:w="40" w:type="dxa"/>
              <w:left w:w="0" w:type="dxa"/>
              <w:bottom w:w="40" w:type="dxa"/>
              <w:right w:w="20" w:type="dxa"/>
            </w:tcMar>
            <w:vAlign w:val="bottom"/>
          </w:tcPr>
          <w:p w14:paraId="1E80470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02"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703"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704"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705" w14:textId="77777777" w:rsidR="00F20ABF" w:rsidRDefault="00F20ABF">
            <w:pPr>
              <w:jc w:val="right"/>
              <w:rPr>
                <w:rFonts w:ascii="宋体"/>
              </w:rPr>
            </w:pPr>
          </w:p>
        </w:tc>
      </w:tr>
      <w:tr w:rsidR="00F20ABF" w14:paraId="1E804719" w14:textId="77777777">
        <w:tc>
          <w:tcPr>
            <w:tcW w:w="0" w:type="auto"/>
            <w:gridSpan w:val="3"/>
            <w:shd w:val="clear" w:color="auto" w:fill="FFFFFF"/>
            <w:tcMar>
              <w:top w:w="40" w:type="dxa"/>
              <w:left w:w="20" w:type="dxa"/>
              <w:bottom w:w="40" w:type="dxa"/>
              <w:right w:w="20" w:type="dxa"/>
            </w:tcMar>
            <w:vAlign w:val="bottom"/>
          </w:tcPr>
          <w:p w14:paraId="1E804707" w14:textId="77777777" w:rsidR="00F20ABF" w:rsidRDefault="00CA4D2F">
            <w:pPr>
              <w:textAlignment w:val="bottom"/>
            </w:pPr>
            <w:r>
              <w:rPr>
                <w:rFonts w:ascii="sans-serif" w:eastAsia="sans-serif" w:hAnsi="sans-serif" w:cs="sans-serif"/>
                <w:color w:val="000000"/>
                <w:sz w:val="20"/>
                <w:szCs w:val="20"/>
              </w:rPr>
              <w:t>Debt securities issued by the United States Treasury</w:t>
            </w:r>
          </w:p>
        </w:tc>
        <w:tc>
          <w:tcPr>
            <w:tcW w:w="0" w:type="auto"/>
            <w:gridSpan w:val="2"/>
            <w:shd w:val="clear" w:color="auto" w:fill="FFFFFF"/>
            <w:tcMar>
              <w:top w:w="40" w:type="dxa"/>
              <w:left w:w="20" w:type="dxa"/>
              <w:bottom w:w="40" w:type="dxa"/>
              <w:right w:w="0" w:type="dxa"/>
            </w:tcMar>
            <w:vAlign w:val="bottom"/>
          </w:tcPr>
          <w:p w14:paraId="1E804708" w14:textId="77777777" w:rsidR="00F20ABF" w:rsidRDefault="00CA4D2F">
            <w:pPr>
              <w:jc w:val="right"/>
              <w:textAlignment w:val="bottom"/>
            </w:pPr>
            <w:r>
              <w:rPr>
                <w:rFonts w:ascii="sans-serif" w:eastAsia="sans-serif" w:hAnsi="sans-serif" w:cs="sans-serif"/>
                <w:color w:val="000000"/>
                <w:sz w:val="20"/>
                <w:szCs w:val="20"/>
              </w:rPr>
              <w:t>1,358 </w:t>
            </w:r>
          </w:p>
        </w:tc>
        <w:tc>
          <w:tcPr>
            <w:tcW w:w="0" w:type="auto"/>
            <w:shd w:val="clear" w:color="auto" w:fill="FFFFFF"/>
            <w:tcMar>
              <w:top w:w="40" w:type="dxa"/>
              <w:left w:w="0" w:type="dxa"/>
              <w:bottom w:w="40" w:type="dxa"/>
              <w:right w:w="20" w:type="dxa"/>
            </w:tcMar>
            <w:vAlign w:val="bottom"/>
          </w:tcPr>
          <w:p w14:paraId="1E80470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0A"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0B"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70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0D"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0E"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70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10"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11" w14:textId="77777777" w:rsidR="00F20ABF" w:rsidRDefault="00CA4D2F">
            <w:pPr>
              <w:jc w:val="right"/>
              <w:textAlignment w:val="bottom"/>
            </w:pPr>
            <w:r>
              <w:rPr>
                <w:rFonts w:ascii="sans-serif" w:eastAsia="sans-serif" w:hAnsi="sans-serif" w:cs="sans-serif"/>
                <w:color w:val="000000"/>
                <w:sz w:val="20"/>
                <w:szCs w:val="20"/>
              </w:rPr>
              <w:t>1,358 </w:t>
            </w:r>
          </w:p>
        </w:tc>
        <w:tc>
          <w:tcPr>
            <w:tcW w:w="0" w:type="auto"/>
            <w:shd w:val="clear" w:color="auto" w:fill="FFFFFF"/>
            <w:tcMar>
              <w:top w:w="40" w:type="dxa"/>
              <w:left w:w="0" w:type="dxa"/>
              <w:bottom w:w="40" w:type="dxa"/>
              <w:right w:w="20" w:type="dxa"/>
            </w:tcMar>
            <w:vAlign w:val="bottom"/>
          </w:tcPr>
          <w:p w14:paraId="1E80471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1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14" w14:textId="77777777" w:rsidR="00F20ABF" w:rsidRDefault="00CA4D2F">
            <w:pPr>
              <w:jc w:val="right"/>
              <w:textAlignment w:val="bottom"/>
            </w:pPr>
            <w:r>
              <w:rPr>
                <w:rFonts w:ascii="sans-serif" w:eastAsia="sans-serif" w:hAnsi="sans-serif" w:cs="sans-serif"/>
                <w:color w:val="000000"/>
                <w:sz w:val="20"/>
                <w:szCs w:val="20"/>
              </w:rPr>
              <w:t>1,358 </w:t>
            </w:r>
          </w:p>
        </w:tc>
        <w:tc>
          <w:tcPr>
            <w:tcW w:w="0" w:type="auto"/>
            <w:shd w:val="clear" w:color="auto" w:fill="FFFFFF"/>
            <w:tcMar>
              <w:top w:w="40" w:type="dxa"/>
              <w:left w:w="0" w:type="dxa"/>
              <w:bottom w:w="40" w:type="dxa"/>
              <w:right w:w="20" w:type="dxa"/>
            </w:tcMar>
            <w:vAlign w:val="bottom"/>
          </w:tcPr>
          <w:p w14:paraId="1E80471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1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17"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718" w14:textId="77777777" w:rsidR="00F20ABF" w:rsidRDefault="00F20ABF">
            <w:pPr>
              <w:jc w:val="right"/>
              <w:rPr>
                <w:rFonts w:ascii="宋体"/>
              </w:rPr>
            </w:pPr>
          </w:p>
        </w:tc>
      </w:tr>
      <w:tr w:rsidR="00F20ABF" w14:paraId="1E80472C" w14:textId="77777777">
        <w:tc>
          <w:tcPr>
            <w:tcW w:w="0" w:type="auto"/>
            <w:gridSpan w:val="3"/>
            <w:shd w:val="clear" w:color="auto" w:fill="E2EFD9"/>
            <w:tcMar>
              <w:top w:w="40" w:type="dxa"/>
              <w:left w:w="20" w:type="dxa"/>
              <w:bottom w:w="40" w:type="dxa"/>
              <w:right w:w="20" w:type="dxa"/>
            </w:tcMar>
            <w:vAlign w:val="bottom"/>
          </w:tcPr>
          <w:p w14:paraId="1E80471A" w14:textId="77777777" w:rsidR="00F20ABF" w:rsidRDefault="00CA4D2F">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2"/>
            <w:shd w:val="clear" w:color="auto" w:fill="E2EFD9"/>
            <w:tcMar>
              <w:top w:w="40" w:type="dxa"/>
              <w:left w:w="20" w:type="dxa"/>
              <w:bottom w:w="40" w:type="dxa"/>
              <w:right w:w="0" w:type="dxa"/>
            </w:tcMar>
            <w:vAlign w:val="bottom"/>
          </w:tcPr>
          <w:p w14:paraId="1E80471B" w14:textId="77777777" w:rsidR="00F20ABF" w:rsidRDefault="00CA4D2F">
            <w:pPr>
              <w:jc w:val="right"/>
              <w:textAlignment w:val="bottom"/>
            </w:pPr>
            <w:r>
              <w:rPr>
                <w:rFonts w:ascii="sans-serif" w:eastAsia="sans-serif" w:hAnsi="sans-serif" w:cs="sans-serif"/>
                <w:color w:val="000000"/>
                <w:sz w:val="20"/>
                <w:szCs w:val="20"/>
              </w:rPr>
              <w:t>1,096 </w:t>
            </w:r>
          </w:p>
        </w:tc>
        <w:tc>
          <w:tcPr>
            <w:tcW w:w="0" w:type="auto"/>
            <w:shd w:val="clear" w:color="auto" w:fill="E2EFD9"/>
            <w:tcMar>
              <w:top w:w="40" w:type="dxa"/>
              <w:left w:w="0" w:type="dxa"/>
              <w:bottom w:w="40" w:type="dxa"/>
              <w:right w:w="20" w:type="dxa"/>
            </w:tcMar>
            <w:vAlign w:val="bottom"/>
          </w:tcPr>
          <w:p w14:paraId="1E80471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1D"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71E"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71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20"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721"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72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23"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724" w14:textId="77777777" w:rsidR="00F20ABF" w:rsidRDefault="00CA4D2F">
            <w:pPr>
              <w:jc w:val="right"/>
              <w:textAlignment w:val="bottom"/>
            </w:pPr>
            <w:r>
              <w:rPr>
                <w:rFonts w:ascii="sans-serif" w:eastAsia="sans-serif" w:hAnsi="sans-serif" w:cs="sans-serif"/>
                <w:color w:val="000000"/>
                <w:sz w:val="20"/>
                <w:szCs w:val="20"/>
              </w:rPr>
              <w:t>1,096 </w:t>
            </w:r>
          </w:p>
        </w:tc>
        <w:tc>
          <w:tcPr>
            <w:tcW w:w="0" w:type="auto"/>
            <w:shd w:val="clear" w:color="auto" w:fill="E2EFD9"/>
            <w:tcMar>
              <w:top w:w="40" w:type="dxa"/>
              <w:left w:w="0" w:type="dxa"/>
              <w:bottom w:w="40" w:type="dxa"/>
              <w:right w:w="20" w:type="dxa"/>
            </w:tcMar>
            <w:vAlign w:val="bottom"/>
          </w:tcPr>
          <w:p w14:paraId="1E80472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26"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727" w14:textId="77777777" w:rsidR="00F20ABF" w:rsidRDefault="00CA4D2F">
            <w:pPr>
              <w:jc w:val="right"/>
              <w:textAlignment w:val="bottom"/>
            </w:pPr>
            <w:r>
              <w:rPr>
                <w:rFonts w:ascii="sans-serif" w:eastAsia="sans-serif" w:hAnsi="sans-serif" w:cs="sans-serif"/>
                <w:color w:val="000000"/>
                <w:sz w:val="20"/>
                <w:szCs w:val="20"/>
              </w:rPr>
              <w:t>1,096 </w:t>
            </w:r>
          </w:p>
        </w:tc>
        <w:tc>
          <w:tcPr>
            <w:tcW w:w="0" w:type="auto"/>
            <w:shd w:val="clear" w:color="auto" w:fill="E2EFD9"/>
            <w:tcMar>
              <w:top w:w="40" w:type="dxa"/>
              <w:left w:w="0" w:type="dxa"/>
              <w:bottom w:w="40" w:type="dxa"/>
              <w:right w:w="20" w:type="dxa"/>
            </w:tcMar>
            <w:vAlign w:val="bottom"/>
          </w:tcPr>
          <w:p w14:paraId="1E80472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2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72A"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72B" w14:textId="77777777" w:rsidR="00F20ABF" w:rsidRDefault="00F20ABF">
            <w:pPr>
              <w:jc w:val="right"/>
              <w:rPr>
                <w:rFonts w:ascii="宋体"/>
              </w:rPr>
            </w:pPr>
          </w:p>
        </w:tc>
      </w:tr>
      <w:tr w:rsidR="00F20ABF" w14:paraId="1E80473F" w14:textId="77777777">
        <w:tc>
          <w:tcPr>
            <w:tcW w:w="0" w:type="auto"/>
            <w:gridSpan w:val="3"/>
            <w:shd w:val="clear" w:color="auto" w:fill="FFFFFF"/>
            <w:tcMar>
              <w:top w:w="40" w:type="dxa"/>
              <w:left w:w="20" w:type="dxa"/>
              <w:bottom w:w="40" w:type="dxa"/>
              <w:right w:w="20" w:type="dxa"/>
            </w:tcMar>
            <w:vAlign w:val="bottom"/>
          </w:tcPr>
          <w:p w14:paraId="1E80472D" w14:textId="77777777" w:rsidR="00F20ABF" w:rsidRDefault="00CA4D2F">
            <w:pPr>
              <w:textAlignment w:val="bottom"/>
            </w:pPr>
            <w:r>
              <w:rPr>
                <w:rFonts w:ascii="sans-serif" w:eastAsia="sans-serif" w:hAnsi="sans-serif" w:cs="sans-serif"/>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1E80472E" w14:textId="77777777" w:rsidR="00F20ABF" w:rsidRDefault="00CA4D2F">
            <w:pPr>
              <w:jc w:val="right"/>
              <w:textAlignment w:val="bottom"/>
            </w:pPr>
            <w:r>
              <w:rPr>
                <w:rFonts w:ascii="sans-serif" w:eastAsia="sans-serif" w:hAnsi="sans-serif" w:cs="sans-serif"/>
                <w:color w:val="000000"/>
                <w:sz w:val="20"/>
                <w:szCs w:val="20"/>
              </w:rPr>
              <w:t>592 </w:t>
            </w:r>
          </w:p>
        </w:tc>
        <w:tc>
          <w:tcPr>
            <w:tcW w:w="0" w:type="auto"/>
            <w:shd w:val="clear" w:color="auto" w:fill="FFFFFF"/>
            <w:tcMar>
              <w:top w:w="40" w:type="dxa"/>
              <w:left w:w="0" w:type="dxa"/>
              <w:bottom w:w="40" w:type="dxa"/>
              <w:right w:w="20" w:type="dxa"/>
            </w:tcMar>
            <w:vAlign w:val="bottom"/>
          </w:tcPr>
          <w:p w14:paraId="1E80472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30"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31"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73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3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34"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73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3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37" w14:textId="77777777" w:rsidR="00F20ABF" w:rsidRDefault="00CA4D2F">
            <w:pPr>
              <w:jc w:val="right"/>
              <w:textAlignment w:val="bottom"/>
            </w:pPr>
            <w:r>
              <w:rPr>
                <w:rFonts w:ascii="sans-serif" w:eastAsia="sans-serif" w:hAnsi="sans-serif" w:cs="sans-serif"/>
                <w:color w:val="000000"/>
                <w:sz w:val="20"/>
                <w:szCs w:val="20"/>
              </w:rPr>
              <w:t>592 </w:t>
            </w:r>
          </w:p>
        </w:tc>
        <w:tc>
          <w:tcPr>
            <w:tcW w:w="0" w:type="auto"/>
            <w:shd w:val="clear" w:color="auto" w:fill="FFFFFF"/>
            <w:tcMar>
              <w:top w:w="40" w:type="dxa"/>
              <w:left w:w="0" w:type="dxa"/>
              <w:bottom w:w="40" w:type="dxa"/>
              <w:right w:w="20" w:type="dxa"/>
            </w:tcMar>
            <w:vAlign w:val="bottom"/>
          </w:tcPr>
          <w:p w14:paraId="1E80473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39"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3A" w14:textId="77777777" w:rsidR="00F20ABF" w:rsidRDefault="00CA4D2F">
            <w:pPr>
              <w:jc w:val="right"/>
              <w:textAlignment w:val="bottom"/>
            </w:pPr>
            <w:r>
              <w:rPr>
                <w:rFonts w:ascii="sans-serif" w:eastAsia="sans-serif" w:hAnsi="sans-serif" w:cs="sans-serif"/>
                <w:color w:val="000000"/>
                <w:sz w:val="20"/>
                <w:szCs w:val="20"/>
              </w:rPr>
              <w:t>592 </w:t>
            </w:r>
          </w:p>
        </w:tc>
        <w:tc>
          <w:tcPr>
            <w:tcW w:w="0" w:type="auto"/>
            <w:shd w:val="clear" w:color="auto" w:fill="FFFFFF"/>
            <w:tcMar>
              <w:top w:w="40" w:type="dxa"/>
              <w:left w:w="0" w:type="dxa"/>
              <w:bottom w:w="40" w:type="dxa"/>
              <w:right w:w="20" w:type="dxa"/>
            </w:tcMar>
            <w:vAlign w:val="bottom"/>
          </w:tcPr>
          <w:p w14:paraId="1E80473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3C"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3D"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73E" w14:textId="77777777" w:rsidR="00F20ABF" w:rsidRDefault="00F20ABF">
            <w:pPr>
              <w:jc w:val="right"/>
              <w:rPr>
                <w:rFonts w:ascii="宋体"/>
              </w:rPr>
            </w:pPr>
          </w:p>
        </w:tc>
      </w:tr>
      <w:tr w:rsidR="00F20ABF" w14:paraId="1E804752" w14:textId="77777777">
        <w:tc>
          <w:tcPr>
            <w:tcW w:w="0" w:type="auto"/>
            <w:gridSpan w:val="3"/>
            <w:shd w:val="clear" w:color="auto" w:fill="E2EFD9"/>
            <w:tcMar>
              <w:top w:w="40" w:type="dxa"/>
              <w:left w:w="20" w:type="dxa"/>
              <w:bottom w:w="40" w:type="dxa"/>
              <w:right w:w="20" w:type="dxa"/>
            </w:tcMar>
            <w:vAlign w:val="bottom"/>
          </w:tcPr>
          <w:p w14:paraId="1E804740" w14:textId="77777777" w:rsidR="00F20ABF" w:rsidRDefault="00CA4D2F">
            <w:pPr>
              <w:textAlignment w:val="bottom"/>
            </w:pPr>
            <w:r>
              <w:rPr>
                <w:rFonts w:ascii="sans-serif" w:eastAsia="sans-serif" w:hAnsi="sans-serif" w:cs="sans-serif"/>
                <w:color w:val="000000"/>
                <w:sz w:val="20"/>
                <w:szCs w:val="20"/>
              </w:rPr>
              <w:t>Foreign government bonds</w:t>
            </w:r>
          </w:p>
        </w:tc>
        <w:tc>
          <w:tcPr>
            <w:tcW w:w="0" w:type="auto"/>
            <w:gridSpan w:val="2"/>
            <w:shd w:val="clear" w:color="auto" w:fill="E2EFD9"/>
            <w:tcMar>
              <w:top w:w="40" w:type="dxa"/>
              <w:left w:w="20" w:type="dxa"/>
              <w:bottom w:w="40" w:type="dxa"/>
              <w:right w:w="0" w:type="dxa"/>
            </w:tcMar>
            <w:vAlign w:val="bottom"/>
          </w:tcPr>
          <w:p w14:paraId="1E804741" w14:textId="77777777" w:rsidR="00F20ABF" w:rsidRDefault="00CA4D2F">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left w:w="0" w:type="dxa"/>
              <w:bottom w:w="40" w:type="dxa"/>
              <w:right w:w="20" w:type="dxa"/>
            </w:tcMar>
            <w:vAlign w:val="bottom"/>
          </w:tcPr>
          <w:p w14:paraId="1E80474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43"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744"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74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46"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747"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74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4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74A" w14:textId="77777777" w:rsidR="00F20ABF" w:rsidRDefault="00CA4D2F">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left w:w="0" w:type="dxa"/>
              <w:bottom w:w="40" w:type="dxa"/>
              <w:right w:w="20" w:type="dxa"/>
            </w:tcMar>
            <w:vAlign w:val="bottom"/>
          </w:tcPr>
          <w:p w14:paraId="1E80474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4C"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74D" w14:textId="77777777" w:rsidR="00F20ABF" w:rsidRDefault="00CA4D2F">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left w:w="0" w:type="dxa"/>
              <w:bottom w:w="40" w:type="dxa"/>
              <w:right w:w="20" w:type="dxa"/>
            </w:tcMar>
            <w:vAlign w:val="bottom"/>
          </w:tcPr>
          <w:p w14:paraId="1E80474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4F"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750"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751" w14:textId="77777777" w:rsidR="00F20ABF" w:rsidRDefault="00F20ABF">
            <w:pPr>
              <w:jc w:val="right"/>
              <w:rPr>
                <w:rFonts w:ascii="宋体"/>
              </w:rPr>
            </w:pPr>
          </w:p>
        </w:tc>
      </w:tr>
      <w:tr w:rsidR="00F20ABF" w14:paraId="1E804765" w14:textId="77777777">
        <w:tc>
          <w:tcPr>
            <w:tcW w:w="0" w:type="auto"/>
            <w:gridSpan w:val="3"/>
            <w:shd w:val="clear" w:color="auto" w:fill="FFFFFF"/>
            <w:tcMar>
              <w:top w:w="40" w:type="dxa"/>
              <w:left w:w="20" w:type="dxa"/>
              <w:bottom w:w="40" w:type="dxa"/>
              <w:right w:w="20" w:type="dxa"/>
            </w:tcMar>
            <w:vAlign w:val="bottom"/>
          </w:tcPr>
          <w:p w14:paraId="1E804753" w14:textId="77777777" w:rsidR="00F20ABF" w:rsidRDefault="00CA4D2F">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1E804754" w14:textId="77777777" w:rsidR="00F20ABF" w:rsidRDefault="00CA4D2F">
            <w:pPr>
              <w:jc w:val="right"/>
              <w:textAlignment w:val="bottom"/>
            </w:pPr>
            <w:r>
              <w:rPr>
                <w:rFonts w:ascii="sans-serif" w:eastAsia="sans-serif" w:hAnsi="sans-serif" w:cs="sans-serif"/>
                <w:color w:val="000000"/>
                <w:sz w:val="20"/>
                <w:szCs w:val="20"/>
              </w:rPr>
              <w:t>27 </w:t>
            </w:r>
          </w:p>
        </w:tc>
        <w:tc>
          <w:tcPr>
            <w:tcW w:w="0" w:type="auto"/>
            <w:shd w:val="clear" w:color="auto" w:fill="FFFFFF"/>
            <w:tcMar>
              <w:top w:w="40" w:type="dxa"/>
              <w:left w:w="0" w:type="dxa"/>
              <w:bottom w:w="40" w:type="dxa"/>
              <w:right w:w="20" w:type="dxa"/>
            </w:tcMar>
            <w:vAlign w:val="bottom"/>
          </w:tcPr>
          <w:p w14:paraId="1E80475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5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57"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75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59"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5A"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75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5C"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5D" w14:textId="77777777" w:rsidR="00F20ABF" w:rsidRDefault="00CA4D2F">
            <w:pPr>
              <w:jc w:val="right"/>
              <w:textAlignment w:val="bottom"/>
            </w:pPr>
            <w:r>
              <w:rPr>
                <w:rFonts w:ascii="sans-serif" w:eastAsia="sans-serif" w:hAnsi="sans-serif" w:cs="sans-serif"/>
                <w:color w:val="000000"/>
                <w:sz w:val="20"/>
                <w:szCs w:val="20"/>
              </w:rPr>
              <w:t>27 </w:t>
            </w:r>
          </w:p>
        </w:tc>
        <w:tc>
          <w:tcPr>
            <w:tcW w:w="0" w:type="auto"/>
            <w:shd w:val="clear" w:color="auto" w:fill="FFFFFF"/>
            <w:tcMar>
              <w:top w:w="40" w:type="dxa"/>
              <w:left w:w="0" w:type="dxa"/>
              <w:bottom w:w="40" w:type="dxa"/>
              <w:right w:w="20" w:type="dxa"/>
            </w:tcMar>
            <w:vAlign w:val="bottom"/>
          </w:tcPr>
          <w:p w14:paraId="1E80475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5F"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60" w14:textId="77777777" w:rsidR="00F20ABF" w:rsidRDefault="00CA4D2F">
            <w:pPr>
              <w:jc w:val="right"/>
              <w:textAlignment w:val="bottom"/>
            </w:pPr>
            <w:r>
              <w:rPr>
                <w:rFonts w:ascii="sans-serif" w:eastAsia="sans-serif" w:hAnsi="sans-serif" w:cs="sans-serif"/>
                <w:color w:val="000000"/>
                <w:sz w:val="20"/>
                <w:szCs w:val="20"/>
              </w:rPr>
              <w:t>27 </w:t>
            </w:r>
          </w:p>
        </w:tc>
        <w:tc>
          <w:tcPr>
            <w:tcW w:w="0" w:type="auto"/>
            <w:shd w:val="clear" w:color="auto" w:fill="FFFFFF"/>
            <w:tcMar>
              <w:top w:w="40" w:type="dxa"/>
              <w:left w:w="0" w:type="dxa"/>
              <w:bottom w:w="40" w:type="dxa"/>
              <w:right w:w="20" w:type="dxa"/>
            </w:tcMar>
            <w:vAlign w:val="bottom"/>
          </w:tcPr>
          <w:p w14:paraId="1E80476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62"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63"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764" w14:textId="77777777" w:rsidR="00F20ABF" w:rsidRDefault="00F20ABF">
            <w:pPr>
              <w:jc w:val="right"/>
              <w:rPr>
                <w:rFonts w:ascii="宋体"/>
              </w:rPr>
            </w:pPr>
          </w:p>
        </w:tc>
      </w:tr>
      <w:tr w:rsidR="00F20ABF" w14:paraId="1E804778" w14:textId="77777777">
        <w:tc>
          <w:tcPr>
            <w:tcW w:w="0" w:type="auto"/>
            <w:gridSpan w:val="3"/>
            <w:shd w:val="clear" w:color="auto" w:fill="E2EFD9"/>
            <w:tcMar>
              <w:top w:w="40" w:type="dxa"/>
              <w:left w:w="20" w:type="dxa"/>
              <w:bottom w:w="40" w:type="dxa"/>
              <w:right w:w="20" w:type="dxa"/>
            </w:tcMar>
            <w:vAlign w:val="bottom"/>
          </w:tcPr>
          <w:p w14:paraId="1E804766" w14:textId="77777777" w:rsidR="00F20ABF" w:rsidRDefault="00CA4D2F">
            <w:pPr>
              <w:textAlignment w:val="bottom"/>
            </w:pPr>
            <w:r>
              <w:rPr>
                <w:rFonts w:ascii="sans-serif" w:eastAsia="sans-serif" w:hAnsi="sans-serif" w:cs="sans-serif"/>
                <w:color w:val="000000"/>
                <w:sz w:val="20"/>
                <w:szCs w:val="20"/>
              </w:rPr>
              <w:t>Asset-backed securities</w:t>
            </w:r>
          </w:p>
        </w:tc>
        <w:tc>
          <w:tcPr>
            <w:tcW w:w="0" w:type="auto"/>
            <w:gridSpan w:val="2"/>
            <w:shd w:val="clear" w:color="auto" w:fill="E2EFD9"/>
            <w:tcMar>
              <w:top w:w="40" w:type="dxa"/>
              <w:left w:w="20" w:type="dxa"/>
              <w:bottom w:w="40" w:type="dxa"/>
              <w:right w:w="0" w:type="dxa"/>
            </w:tcMar>
            <w:vAlign w:val="bottom"/>
          </w:tcPr>
          <w:p w14:paraId="1E804767" w14:textId="77777777" w:rsidR="00F20ABF" w:rsidRDefault="00CA4D2F">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left w:w="0" w:type="dxa"/>
              <w:bottom w:w="40" w:type="dxa"/>
              <w:right w:w="20" w:type="dxa"/>
            </w:tcMar>
            <w:vAlign w:val="bottom"/>
          </w:tcPr>
          <w:p w14:paraId="1E80476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6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76A"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76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6C"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76D"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76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6F"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770" w14:textId="77777777" w:rsidR="00F20ABF" w:rsidRDefault="00CA4D2F">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left w:w="0" w:type="dxa"/>
              <w:bottom w:w="40" w:type="dxa"/>
              <w:right w:w="20" w:type="dxa"/>
            </w:tcMar>
            <w:vAlign w:val="bottom"/>
          </w:tcPr>
          <w:p w14:paraId="1E80477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72"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773"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77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75"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776" w14:textId="77777777" w:rsidR="00F20ABF" w:rsidRDefault="00CA4D2F">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left w:w="0" w:type="dxa"/>
              <w:bottom w:w="40" w:type="dxa"/>
              <w:right w:w="20" w:type="dxa"/>
            </w:tcMar>
            <w:vAlign w:val="bottom"/>
          </w:tcPr>
          <w:p w14:paraId="1E804777" w14:textId="77777777" w:rsidR="00F20ABF" w:rsidRDefault="00F20ABF">
            <w:pPr>
              <w:jc w:val="right"/>
              <w:rPr>
                <w:rFonts w:ascii="宋体"/>
              </w:rPr>
            </w:pPr>
          </w:p>
        </w:tc>
      </w:tr>
      <w:tr w:rsidR="00F20ABF" w14:paraId="1E804785" w14:textId="77777777">
        <w:trPr>
          <w:hidden/>
        </w:trPr>
        <w:tc>
          <w:tcPr>
            <w:tcW w:w="0" w:type="auto"/>
            <w:gridSpan w:val="3"/>
            <w:shd w:val="clear" w:color="auto" w:fill="auto"/>
          </w:tcPr>
          <w:p w14:paraId="1E804779" w14:textId="77777777" w:rsidR="00F20ABF" w:rsidRDefault="00F20ABF">
            <w:pPr>
              <w:rPr>
                <w:rFonts w:ascii="宋体"/>
                <w:vanish/>
              </w:rPr>
            </w:pPr>
          </w:p>
        </w:tc>
        <w:tc>
          <w:tcPr>
            <w:tcW w:w="0" w:type="auto"/>
            <w:gridSpan w:val="3"/>
            <w:shd w:val="clear" w:color="auto" w:fill="auto"/>
          </w:tcPr>
          <w:p w14:paraId="1E80477A" w14:textId="77777777" w:rsidR="00F20ABF" w:rsidRDefault="00F20ABF">
            <w:pPr>
              <w:rPr>
                <w:rFonts w:ascii="宋体"/>
                <w:vanish/>
              </w:rPr>
            </w:pPr>
          </w:p>
        </w:tc>
        <w:tc>
          <w:tcPr>
            <w:tcW w:w="0" w:type="auto"/>
            <w:gridSpan w:val="3"/>
            <w:shd w:val="clear" w:color="auto" w:fill="auto"/>
          </w:tcPr>
          <w:p w14:paraId="1E80477B" w14:textId="77777777" w:rsidR="00F20ABF" w:rsidRDefault="00F20ABF">
            <w:pPr>
              <w:rPr>
                <w:rFonts w:ascii="宋体"/>
                <w:vanish/>
              </w:rPr>
            </w:pPr>
          </w:p>
        </w:tc>
        <w:tc>
          <w:tcPr>
            <w:tcW w:w="0" w:type="auto"/>
            <w:gridSpan w:val="3"/>
            <w:shd w:val="clear" w:color="auto" w:fill="auto"/>
          </w:tcPr>
          <w:p w14:paraId="1E80477C" w14:textId="77777777" w:rsidR="00F20ABF" w:rsidRDefault="00F20ABF">
            <w:pPr>
              <w:rPr>
                <w:rFonts w:ascii="宋体"/>
                <w:vanish/>
              </w:rPr>
            </w:pPr>
          </w:p>
        </w:tc>
        <w:tc>
          <w:tcPr>
            <w:tcW w:w="0" w:type="auto"/>
            <w:gridSpan w:val="3"/>
            <w:shd w:val="clear" w:color="auto" w:fill="auto"/>
          </w:tcPr>
          <w:p w14:paraId="1E80477D" w14:textId="77777777" w:rsidR="00F20ABF" w:rsidRDefault="00F20ABF">
            <w:pPr>
              <w:rPr>
                <w:rFonts w:ascii="宋体"/>
                <w:vanish/>
              </w:rPr>
            </w:pPr>
          </w:p>
        </w:tc>
        <w:tc>
          <w:tcPr>
            <w:tcW w:w="0" w:type="auto"/>
            <w:gridSpan w:val="3"/>
            <w:shd w:val="clear" w:color="auto" w:fill="auto"/>
          </w:tcPr>
          <w:p w14:paraId="1E80477E" w14:textId="77777777" w:rsidR="00F20ABF" w:rsidRDefault="00F20ABF">
            <w:pPr>
              <w:rPr>
                <w:rFonts w:ascii="宋体"/>
                <w:vanish/>
              </w:rPr>
            </w:pPr>
          </w:p>
        </w:tc>
        <w:tc>
          <w:tcPr>
            <w:tcW w:w="0" w:type="auto"/>
            <w:gridSpan w:val="3"/>
            <w:shd w:val="clear" w:color="auto" w:fill="auto"/>
          </w:tcPr>
          <w:p w14:paraId="1E80477F" w14:textId="77777777" w:rsidR="00F20ABF" w:rsidRDefault="00F20ABF">
            <w:pPr>
              <w:rPr>
                <w:rFonts w:ascii="宋体"/>
                <w:vanish/>
              </w:rPr>
            </w:pPr>
          </w:p>
        </w:tc>
        <w:tc>
          <w:tcPr>
            <w:tcW w:w="0" w:type="auto"/>
            <w:gridSpan w:val="3"/>
            <w:shd w:val="clear" w:color="auto" w:fill="auto"/>
          </w:tcPr>
          <w:p w14:paraId="1E804780" w14:textId="77777777" w:rsidR="00F20ABF" w:rsidRDefault="00F20ABF">
            <w:pPr>
              <w:rPr>
                <w:rFonts w:ascii="宋体"/>
                <w:vanish/>
              </w:rPr>
            </w:pPr>
          </w:p>
        </w:tc>
        <w:tc>
          <w:tcPr>
            <w:tcW w:w="0" w:type="auto"/>
            <w:gridSpan w:val="3"/>
            <w:shd w:val="clear" w:color="auto" w:fill="auto"/>
          </w:tcPr>
          <w:p w14:paraId="1E804781" w14:textId="77777777" w:rsidR="00F20ABF" w:rsidRDefault="00F20ABF">
            <w:pPr>
              <w:rPr>
                <w:rFonts w:ascii="宋体"/>
                <w:vanish/>
              </w:rPr>
            </w:pPr>
          </w:p>
        </w:tc>
        <w:tc>
          <w:tcPr>
            <w:tcW w:w="0" w:type="auto"/>
            <w:gridSpan w:val="3"/>
            <w:shd w:val="clear" w:color="auto" w:fill="auto"/>
          </w:tcPr>
          <w:p w14:paraId="1E804782" w14:textId="77777777" w:rsidR="00F20ABF" w:rsidRDefault="00F20ABF">
            <w:pPr>
              <w:rPr>
                <w:rFonts w:ascii="宋体"/>
                <w:vanish/>
              </w:rPr>
            </w:pPr>
          </w:p>
        </w:tc>
        <w:tc>
          <w:tcPr>
            <w:tcW w:w="0" w:type="auto"/>
            <w:gridSpan w:val="3"/>
            <w:shd w:val="clear" w:color="auto" w:fill="auto"/>
          </w:tcPr>
          <w:p w14:paraId="1E804783" w14:textId="77777777" w:rsidR="00F20ABF" w:rsidRDefault="00F20ABF">
            <w:pPr>
              <w:rPr>
                <w:rFonts w:ascii="宋体"/>
                <w:vanish/>
              </w:rPr>
            </w:pPr>
          </w:p>
        </w:tc>
        <w:tc>
          <w:tcPr>
            <w:tcW w:w="0" w:type="auto"/>
            <w:gridSpan w:val="3"/>
            <w:shd w:val="clear" w:color="auto" w:fill="auto"/>
          </w:tcPr>
          <w:p w14:paraId="1E804784" w14:textId="77777777" w:rsidR="00F20ABF" w:rsidRDefault="00F20ABF">
            <w:pPr>
              <w:rPr>
                <w:rFonts w:ascii="宋体"/>
                <w:vanish/>
              </w:rPr>
            </w:pPr>
          </w:p>
        </w:tc>
      </w:tr>
      <w:tr w:rsidR="00F20ABF" w14:paraId="1E80479E" w14:textId="77777777">
        <w:tc>
          <w:tcPr>
            <w:tcW w:w="0" w:type="auto"/>
            <w:gridSpan w:val="3"/>
            <w:shd w:val="clear" w:color="auto" w:fill="FFFFFF"/>
            <w:tcMar>
              <w:top w:w="40" w:type="dxa"/>
              <w:left w:w="20" w:type="dxa"/>
              <w:bottom w:w="40" w:type="dxa"/>
              <w:right w:w="20" w:type="dxa"/>
            </w:tcMar>
            <w:vAlign w:val="bottom"/>
          </w:tcPr>
          <w:p w14:paraId="1E804786" w14:textId="77777777" w:rsidR="00F20ABF" w:rsidRDefault="00CA4D2F">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787"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788" w14:textId="77777777" w:rsidR="00F20ABF" w:rsidRDefault="00CA4D2F">
            <w:pPr>
              <w:jc w:val="right"/>
              <w:textAlignment w:val="bottom"/>
            </w:pPr>
            <w:r>
              <w:rPr>
                <w:rFonts w:ascii="sans-serif" w:eastAsia="sans-serif" w:hAnsi="sans-serif" w:cs="sans-serif"/>
                <w:color w:val="000000"/>
                <w:sz w:val="20"/>
                <w:szCs w:val="20"/>
              </w:rPr>
              <w:t>10,781 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78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8A"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78B"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78C" w14:textId="77777777" w:rsidR="00F20ABF" w:rsidRDefault="00CA4D2F">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78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8E"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78F"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790" w14:textId="77777777" w:rsidR="00F20ABF" w:rsidRDefault="00CA4D2F">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79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92"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793"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794" w14:textId="77777777" w:rsidR="00F20ABF" w:rsidRDefault="00CA4D2F">
            <w:pPr>
              <w:jc w:val="right"/>
              <w:textAlignment w:val="bottom"/>
            </w:pPr>
            <w:r>
              <w:rPr>
                <w:rFonts w:ascii="sans-serif" w:eastAsia="sans-serif" w:hAnsi="sans-serif" w:cs="sans-serif"/>
                <w:color w:val="000000"/>
                <w:sz w:val="20"/>
                <w:szCs w:val="20"/>
              </w:rPr>
              <w:t>10,781 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79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96"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797"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798" w14:textId="77777777" w:rsidR="00F20ABF" w:rsidRDefault="00CA4D2F">
            <w:pPr>
              <w:jc w:val="right"/>
              <w:textAlignment w:val="bottom"/>
            </w:pPr>
            <w:r>
              <w:rPr>
                <w:rFonts w:ascii="sans-serif" w:eastAsia="sans-serif" w:hAnsi="sans-serif" w:cs="sans-serif"/>
                <w:color w:val="000000"/>
                <w:sz w:val="20"/>
                <w:szCs w:val="20"/>
              </w:rPr>
              <w:t>10,780 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79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9A"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79B"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79C" w14:textId="77777777" w:rsidR="00F20ABF" w:rsidRDefault="00CA4D2F">
            <w:pPr>
              <w:jc w:val="right"/>
              <w:textAlignment w:val="bottom"/>
            </w:pPr>
            <w:r>
              <w:rPr>
                <w:rFonts w:ascii="sans-serif" w:eastAsia="sans-serif" w:hAnsi="sans-serif" w:cs="sans-serif"/>
                <w:color w:val="000000"/>
                <w:sz w:val="20"/>
                <w:szCs w:val="20"/>
              </w:rPr>
              <w:t>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79D" w14:textId="77777777" w:rsidR="00F20ABF" w:rsidRDefault="00F20ABF">
            <w:pPr>
              <w:jc w:val="right"/>
              <w:rPr>
                <w:rFonts w:ascii="宋体"/>
              </w:rPr>
            </w:pPr>
          </w:p>
        </w:tc>
      </w:tr>
    </w:tbl>
    <w:p w14:paraId="1E80479F" w14:textId="77777777" w:rsidR="00F20ABF" w:rsidRDefault="00CA4D2F">
      <w:pPr>
        <w:spacing w:before="180" w:after="180"/>
        <w:jc w:val="both"/>
      </w:pPr>
      <w:r>
        <w:rPr>
          <w:rFonts w:ascii="sans-serif" w:eastAsia="sans-serif" w:hAnsi="sans-serif" w:cs="sans-serif"/>
          <w:color w:val="000000"/>
          <w:sz w:val="20"/>
          <w:szCs w:val="20"/>
        </w:rPr>
        <w:t xml:space="preserve">Net realized gains and unrealized gains and losses were not significant for all periods presented. </w:t>
      </w:r>
    </w:p>
    <w:p w14:paraId="1E8047A0" w14:textId="77777777" w:rsidR="00F20ABF" w:rsidRDefault="00CA4D2F">
      <w:pPr>
        <w:spacing w:before="180" w:after="180"/>
        <w:jc w:val="both"/>
      </w:pPr>
      <w:r>
        <w:rPr>
          <w:rFonts w:ascii="sans-serif" w:eastAsia="sans-serif" w:hAnsi="sans-serif" w:cs="sans-serif"/>
          <w:color w:val="000000"/>
          <w:sz w:val="20"/>
          <w:szCs w:val="20"/>
        </w:rPr>
        <w:t>The amortized cost and estimated fair value of cash equivalents and marketable securities as of October 25, 2020 and January 26, 2020 are shown below by con</w:t>
      </w:r>
      <w:r>
        <w:rPr>
          <w:rFonts w:ascii="sans-serif" w:eastAsia="sans-serif" w:hAnsi="sans-serif" w:cs="sans-serif"/>
          <w:color w:val="000000"/>
          <w:sz w:val="20"/>
          <w:szCs w:val="20"/>
        </w:rPr>
        <w:t>tractual maturity.</w:t>
      </w:r>
    </w:p>
    <w:tbl>
      <w:tblPr>
        <w:tblW w:w="5000" w:type="pct"/>
        <w:tblCellMar>
          <w:top w:w="15" w:type="dxa"/>
          <w:left w:w="15" w:type="dxa"/>
          <w:bottom w:w="15" w:type="dxa"/>
          <w:right w:w="15" w:type="dxa"/>
        </w:tblCellMar>
        <w:tblLook w:val="04A0" w:firstRow="1" w:lastRow="0" w:firstColumn="1" w:lastColumn="0" w:noHBand="0" w:noVBand="1"/>
      </w:tblPr>
      <w:tblGrid>
        <w:gridCol w:w="37"/>
        <w:gridCol w:w="3563"/>
        <w:gridCol w:w="36"/>
        <w:gridCol w:w="123"/>
        <w:gridCol w:w="950"/>
        <w:gridCol w:w="36"/>
        <w:gridCol w:w="36"/>
        <w:gridCol w:w="36"/>
        <w:gridCol w:w="36"/>
        <w:gridCol w:w="123"/>
        <w:gridCol w:w="890"/>
        <w:gridCol w:w="36"/>
        <w:gridCol w:w="36"/>
        <w:gridCol w:w="36"/>
        <w:gridCol w:w="36"/>
        <w:gridCol w:w="123"/>
        <w:gridCol w:w="950"/>
        <w:gridCol w:w="36"/>
        <w:gridCol w:w="36"/>
        <w:gridCol w:w="36"/>
        <w:gridCol w:w="36"/>
        <w:gridCol w:w="123"/>
        <w:gridCol w:w="950"/>
        <w:gridCol w:w="36"/>
      </w:tblGrid>
      <w:tr w:rsidR="00F20ABF" w14:paraId="1E8047B9" w14:textId="77777777">
        <w:tc>
          <w:tcPr>
            <w:tcW w:w="50" w:type="pct"/>
            <w:shd w:val="clear" w:color="auto" w:fill="auto"/>
          </w:tcPr>
          <w:p w14:paraId="1E8047A1" w14:textId="77777777" w:rsidR="00F20ABF" w:rsidRDefault="00F20ABF">
            <w:pPr>
              <w:rPr>
                <w:rFonts w:ascii="宋体"/>
              </w:rPr>
            </w:pPr>
          </w:p>
        </w:tc>
        <w:tc>
          <w:tcPr>
            <w:tcW w:w="2189" w:type="pct"/>
            <w:shd w:val="clear" w:color="auto" w:fill="auto"/>
          </w:tcPr>
          <w:p w14:paraId="1E8047A2" w14:textId="77777777" w:rsidR="00F20ABF" w:rsidRDefault="00F20ABF">
            <w:pPr>
              <w:rPr>
                <w:rFonts w:ascii="宋体"/>
              </w:rPr>
            </w:pPr>
          </w:p>
        </w:tc>
        <w:tc>
          <w:tcPr>
            <w:tcW w:w="5" w:type="pct"/>
            <w:shd w:val="clear" w:color="auto" w:fill="auto"/>
          </w:tcPr>
          <w:p w14:paraId="1E8047A3" w14:textId="77777777" w:rsidR="00F20ABF" w:rsidRDefault="00F20ABF">
            <w:pPr>
              <w:rPr>
                <w:rFonts w:ascii="宋体"/>
              </w:rPr>
            </w:pPr>
          </w:p>
        </w:tc>
        <w:tc>
          <w:tcPr>
            <w:tcW w:w="50" w:type="pct"/>
            <w:shd w:val="clear" w:color="auto" w:fill="auto"/>
          </w:tcPr>
          <w:p w14:paraId="1E8047A4" w14:textId="77777777" w:rsidR="00F20ABF" w:rsidRDefault="00F20ABF">
            <w:pPr>
              <w:rPr>
                <w:rFonts w:ascii="宋体"/>
              </w:rPr>
            </w:pPr>
          </w:p>
        </w:tc>
        <w:tc>
          <w:tcPr>
            <w:tcW w:w="610" w:type="pct"/>
            <w:shd w:val="clear" w:color="auto" w:fill="auto"/>
          </w:tcPr>
          <w:p w14:paraId="1E8047A5" w14:textId="77777777" w:rsidR="00F20ABF" w:rsidRDefault="00F20ABF">
            <w:pPr>
              <w:rPr>
                <w:rFonts w:ascii="宋体"/>
              </w:rPr>
            </w:pPr>
          </w:p>
        </w:tc>
        <w:tc>
          <w:tcPr>
            <w:tcW w:w="5" w:type="pct"/>
            <w:shd w:val="clear" w:color="auto" w:fill="auto"/>
          </w:tcPr>
          <w:p w14:paraId="1E8047A6" w14:textId="77777777" w:rsidR="00F20ABF" w:rsidRDefault="00F20ABF">
            <w:pPr>
              <w:rPr>
                <w:rFonts w:ascii="宋体"/>
              </w:rPr>
            </w:pPr>
          </w:p>
        </w:tc>
        <w:tc>
          <w:tcPr>
            <w:tcW w:w="5" w:type="pct"/>
            <w:shd w:val="clear" w:color="auto" w:fill="auto"/>
          </w:tcPr>
          <w:p w14:paraId="1E8047A7" w14:textId="77777777" w:rsidR="00F20ABF" w:rsidRDefault="00F20ABF">
            <w:pPr>
              <w:rPr>
                <w:rFonts w:ascii="宋体"/>
              </w:rPr>
            </w:pPr>
          </w:p>
        </w:tc>
        <w:tc>
          <w:tcPr>
            <w:tcW w:w="26" w:type="pct"/>
            <w:shd w:val="clear" w:color="auto" w:fill="auto"/>
          </w:tcPr>
          <w:p w14:paraId="1E8047A8" w14:textId="77777777" w:rsidR="00F20ABF" w:rsidRDefault="00F20ABF">
            <w:pPr>
              <w:rPr>
                <w:rFonts w:ascii="宋体"/>
              </w:rPr>
            </w:pPr>
          </w:p>
        </w:tc>
        <w:tc>
          <w:tcPr>
            <w:tcW w:w="5" w:type="pct"/>
            <w:shd w:val="clear" w:color="auto" w:fill="auto"/>
          </w:tcPr>
          <w:p w14:paraId="1E8047A9" w14:textId="77777777" w:rsidR="00F20ABF" w:rsidRDefault="00F20ABF">
            <w:pPr>
              <w:rPr>
                <w:rFonts w:ascii="宋体"/>
              </w:rPr>
            </w:pPr>
          </w:p>
        </w:tc>
        <w:tc>
          <w:tcPr>
            <w:tcW w:w="50" w:type="pct"/>
            <w:shd w:val="clear" w:color="auto" w:fill="auto"/>
          </w:tcPr>
          <w:p w14:paraId="1E8047AA" w14:textId="77777777" w:rsidR="00F20ABF" w:rsidRDefault="00F20ABF">
            <w:pPr>
              <w:rPr>
                <w:rFonts w:ascii="宋体"/>
              </w:rPr>
            </w:pPr>
          </w:p>
        </w:tc>
        <w:tc>
          <w:tcPr>
            <w:tcW w:w="610" w:type="pct"/>
            <w:shd w:val="clear" w:color="auto" w:fill="auto"/>
          </w:tcPr>
          <w:p w14:paraId="1E8047AB" w14:textId="77777777" w:rsidR="00F20ABF" w:rsidRDefault="00F20ABF">
            <w:pPr>
              <w:rPr>
                <w:rFonts w:ascii="宋体"/>
              </w:rPr>
            </w:pPr>
          </w:p>
        </w:tc>
        <w:tc>
          <w:tcPr>
            <w:tcW w:w="5" w:type="pct"/>
            <w:shd w:val="clear" w:color="auto" w:fill="auto"/>
          </w:tcPr>
          <w:p w14:paraId="1E8047AC" w14:textId="77777777" w:rsidR="00F20ABF" w:rsidRDefault="00F20ABF">
            <w:pPr>
              <w:rPr>
                <w:rFonts w:ascii="宋体"/>
              </w:rPr>
            </w:pPr>
          </w:p>
        </w:tc>
        <w:tc>
          <w:tcPr>
            <w:tcW w:w="5" w:type="pct"/>
            <w:shd w:val="clear" w:color="auto" w:fill="auto"/>
          </w:tcPr>
          <w:p w14:paraId="1E8047AD" w14:textId="77777777" w:rsidR="00F20ABF" w:rsidRDefault="00F20ABF">
            <w:pPr>
              <w:rPr>
                <w:rFonts w:ascii="宋体"/>
              </w:rPr>
            </w:pPr>
          </w:p>
        </w:tc>
        <w:tc>
          <w:tcPr>
            <w:tcW w:w="19" w:type="pct"/>
            <w:shd w:val="clear" w:color="auto" w:fill="auto"/>
          </w:tcPr>
          <w:p w14:paraId="1E8047AE" w14:textId="77777777" w:rsidR="00F20ABF" w:rsidRDefault="00F20ABF">
            <w:pPr>
              <w:rPr>
                <w:rFonts w:ascii="宋体"/>
              </w:rPr>
            </w:pPr>
          </w:p>
        </w:tc>
        <w:tc>
          <w:tcPr>
            <w:tcW w:w="5" w:type="pct"/>
            <w:shd w:val="clear" w:color="auto" w:fill="auto"/>
          </w:tcPr>
          <w:p w14:paraId="1E8047AF" w14:textId="77777777" w:rsidR="00F20ABF" w:rsidRDefault="00F20ABF">
            <w:pPr>
              <w:rPr>
                <w:rFonts w:ascii="宋体"/>
              </w:rPr>
            </w:pPr>
          </w:p>
        </w:tc>
        <w:tc>
          <w:tcPr>
            <w:tcW w:w="50" w:type="pct"/>
            <w:shd w:val="clear" w:color="auto" w:fill="auto"/>
          </w:tcPr>
          <w:p w14:paraId="1E8047B0" w14:textId="77777777" w:rsidR="00F20ABF" w:rsidRDefault="00F20ABF">
            <w:pPr>
              <w:rPr>
                <w:rFonts w:ascii="宋体"/>
              </w:rPr>
            </w:pPr>
          </w:p>
        </w:tc>
        <w:tc>
          <w:tcPr>
            <w:tcW w:w="610" w:type="pct"/>
            <w:shd w:val="clear" w:color="auto" w:fill="auto"/>
          </w:tcPr>
          <w:p w14:paraId="1E8047B1" w14:textId="77777777" w:rsidR="00F20ABF" w:rsidRDefault="00F20ABF">
            <w:pPr>
              <w:rPr>
                <w:rFonts w:ascii="宋体"/>
              </w:rPr>
            </w:pPr>
          </w:p>
        </w:tc>
        <w:tc>
          <w:tcPr>
            <w:tcW w:w="5" w:type="pct"/>
            <w:shd w:val="clear" w:color="auto" w:fill="auto"/>
          </w:tcPr>
          <w:p w14:paraId="1E8047B2" w14:textId="77777777" w:rsidR="00F20ABF" w:rsidRDefault="00F20ABF">
            <w:pPr>
              <w:rPr>
                <w:rFonts w:ascii="宋体"/>
              </w:rPr>
            </w:pPr>
          </w:p>
        </w:tc>
        <w:tc>
          <w:tcPr>
            <w:tcW w:w="5" w:type="pct"/>
            <w:shd w:val="clear" w:color="auto" w:fill="auto"/>
          </w:tcPr>
          <w:p w14:paraId="1E8047B3" w14:textId="77777777" w:rsidR="00F20ABF" w:rsidRDefault="00F20ABF">
            <w:pPr>
              <w:rPr>
                <w:rFonts w:ascii="宋体"/>
              </w:rPr>
            </w:pPr>
          </w:p>
        </w:tc>
        <w:tc>
          <w:tcPr>
            <w:tcW w:w="19" w:type="pct"/>
            <w:shd w:val="clear" w:color="auto" w:fill="auto"/>
          </w:tcPr>
          <w:p w14:paraId="1E8047B4" w14:textId="77777777" w:rsidR="00F20ABF" w:rsidRDefault="00F20ABF">
            <w:pPr>
              <w:rPr>
                <w:rFonts w:ascii="宋体"/>
              </w:rPr>
            </w:pPr>
          </w:p>
        </w:tc>
        <w:tc>
          <w:tcPr>
            <w:tcW w:w="5" w:type="pct"/>
            <w:shd w:val="clear" w:color="auto" w:fill="auto"/>
          </w:tcPr>
          <w:p w14:paraId="1E8047B5" w14:textId="77777777" w:rsidR="00F20ABF" w:rsidRDefault="00F20ABF">
            <w:pPr>
              <w:rPr>
                <w:rFonts w:ascii="宋体"/>
              </w:rPr>
            </w:pPr>
          </w:p>
        </w:tc>
        <w:tc>
          <w:tcPr>
            <w:tcW w:w="50" w:type="pct"/>
            <w:shd w:val="clear" w:color="auto" w:fill="auto"/>
          </w:tcPr>
          <w:p w14:paraId="1E8047B6" w14:textId="77777777" w:rsidR="00F20ABF" w:rsidRDefault="00F20ABF">
            <w:pPr>
              <w:rPr>
                <w:rFonts w:ascii="宋体"/>
              </w:rPr>
            </w:pPr>
          </w:p>
        </w:tc>
        <w:tc>
          <w:tcPr>
            <w:tcW w:w="610" w:type="pct"/>
            <w:shd w:val="clear" w:color="auto" w:fill="auto"/>
          </w:tcPr>
          <w:p w14:paraId="1E8047B7" w14:textId="77777777" w:rsidR="00F20ABF" w:rsidRDefault="00F20ABF">
            <w:pPr>
              <w:rPr>
                <w:rFonts w:ascii="宋体"/>
              </w:rPr>
            </w:pPr>
          </w:p>
        </w:tc>
        <w:tc>
          <w:tcPr>
            <w:tcW w:w="5" w:type="pct"/>
            <w:shd w:val="clear" w:color="auto" w:fill="auto"/>
          </w:tcPr>
          <w:p w14:paraId="1E8047B8" w14:textId="77777777" w:rsidR="00F20ABF" w:rsidRDefault="00F20ABF">
            <w:pPr>
              <w:rPr>
                <w:rFonts w:ascii="宋体"/>
              </w:rPr>
            </w:pPr>
          </w:p>
        </w:tc>
      </w:tr>
      <w:tr w:rsidR="00F20ABF" w14:paraId="1E8047BE" w14:textId="77777777">
        <w:tc>
          <w:tcPr>
            <w:tcW w:w="0" w:type="auto"/>
            <w:gridSpan w:val="3"/>
            <w:shd w:val="clear" w:color="auto" w:fill="auto"/>
            <w:tcMar>
              <w:top w:w="0" w:type="dxa"/>
              <w:left w:w="20" w:type="dxa"/>
              <w:bottom w:w="0" w:type="dxa"/>
              <w:right w:w="20" w:type="dxa"/>
            </w:tcMar>
          </w:tcPr>
          <w:p w14:paraId="1E8047BA"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47BB" w14:textId="77777777" w:rsidR="00F20ABF" w:rsidRDefault="00CA4D2F">
            <w:pPr>
              <w:jc w:val="center"/>
              <w:textAlignment w:val="bottom"/>
            </w:pPr>
            <w:r>
              <w:rPr>
                <w:rFonts w:ascii="sans-serif" w:eastAsia="sans-serif" w:hAnsi="sans-serif" w:cs="sans-serif"/>
                <w:b/>
                <w:bCs/>
                <w:color w:val="000000"/>
                <w:sz w:val="20"/>
                <w:szCs w:val="20"/>
              </w:rPr>
              <w:t>October 25, 2020</w:t>
            </w:r>
          </w:p>
        </w:tc>
        <w:tc>
          <w:tcPr>
            <w:tcW w:w="0" w:type="auto"/>
            <w:gridSpan w:val="3"/>
            <w:shd w:val="clear" w:color="auto" w:fill="auto"/>
            <w:tcMar>
              <w:top w:w="0" w:type="dxa"/>
              <w:left w:w="20" w:type="dxa"/>
              <w:bottom w:w="0" w:type="dxa"/>
              <w:right w:w="20" w:type="dxa"/>
            </w:tcMar>
          </w:tcPr>
          <w:p w14:paraId="1E8047BC"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47BD" w14:textId="77777777" w:rsidR="00F20ABF" w:rsidRDefault="00CA4D2F">
            <w:pPr>
              <w:jc w:val="center"/>
              <w:textAlignment w:val="bottom"/>
            </w:pPr>
            <w:r>
              <w:rPr>
                <w:rFonts w:ascii="sans-serif" w:eastAsia="sans-serif" w:hAnsi="sans-serif" w:cs="sans-serif"/>
                <w:b/>
                <w:bCs/>
                <w:color w:val="000000"/>
                <w:sz w:val="20"/>
                <w:szCs w:val="20"/>
              </w:rPr>
              <w:t>January 26, 2020</w:t>
            </w:r>
          </w:p>
        </w:tc>
      </w:tr>
      <w:tr w:rsidR="00F20ABF" w14:paraId="1E8047C7" w14:textId="77777777">
        <w:tc>
          <w:tcPr>
            <w:tcW w:w="0" w:type="auto"/>
            <w:gridSpan w:val="3"/>
            <w:shd w:val="clear" w:color="auto" w:fill="auto"/>
            <w:tcMar>
              <w:top w:w="0" w:type="dxa"/>
              <w:left w:w="20" w:type="dxa"/>
              <w:bottom w:w="0" w:type="dxa"/>
              <w:right w:w="20" w:type="dxa"/>
            </w:tcMar>
          </w:tcPr>
          <w:p w14:paraId="1E8047BF"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7C0" w14:textId="77777777" w:rsidR="00F20ABF" w:rsidRDefault="00CA4D2F">
            <w:pPr>
              <w:jc w:val="center"/>
              <w:textAlignment w:val="bottom"/>
            </w:pPr>
            <w:r>
              <w:rPr>
                <w:rFonts w:ascii="sans-serif" w:eastAsia="sans-serif" w:hAnsi="sans-serif" w:cs="sans-serif"/>
                <w:b/>
                <w:bCs/>
                <w:color w:val="000000"/>
                <w:sz w:val="20"/>
                <w:szCs w:val="20"/>
              </w:rPr>
              <w:t>Amortized Cost</w:t>
            </w:r>
          </w:p>
        </w:tc>
        <w:tc>
          <w:tcPr>
            <w:tcW w:w="0" w:type="auto"/>
            <w:gridSpan w:val="3"/>
            <w:tcBorders>
              <w:top w:val="single" w:sz="8" w:space="0" w:color="000000"/>
            </w:tcBorders>
            <w:shd w:val="clear" w:color="auto" w:fill="auto"/>
            <w:tcMar>
              <w:top w:w="0" w:type="dxa"/>
              <w:left w:w="20" w:type="dxa"/>
              <w:bottom w:w="0" w:type="dxa"/>
              <w:right w:w="20" w:type="dxa"/>
            </w:tcMar>
          </w:tcPr>
          <w:p w14:paraId="1E8047C1"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7C2" w14:textId="77777777" w:rsidR="00F20ABF" w:rsidRDefault="00CA4D2F">
            <w:pPr>
              <w:jc w:val="center"/>
              <w:textAlignment w:val="bottom"/>
            </w:pPr>
            <w:r>
              <w:rPr>
                <w:rFonts w:ascii="sans-serif" w:eastAsia="sans-serif" w:hAnsi="sans-serif" w:cs="sans-serif"/>
                <w:b/>
                <w:bCs/>
                <w:color w:val="000000"/>
                <w:sz w:val="20"/>
                <w:szCs w:val="20"/>
              </w:rPr>
              <w:t>Estimated Fair Value</w:t>
            </w:r>
          </w:p>
        </w:tc>
        <w:tc>
          <w:tcPr>
            <w:tcW w:w="0" w:type="auto"/>
            <w:gridSpan w:val="3"/>
            <w:shd w:val="clear" w:color="auto" w:fill="auto"/>
            <w:tcMar>
              <w:top w:w="0" w:type="dxa"/>
              <w:left w:w="20" w:type="dxa"/>
              <w:bottom w:w="0" w:type="dxa"/>
              <w:right w:w="20" w:type="dxa"/>
            </w:tcMar>
          </w:tcPr>
          <w:p w14:paraId="1E8047C3"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7C4" w14:textId="77777777" w:rsidR="00F20ABF" w:rsidRDefault="00CA4D2F">
            <w:pPr>
              <w:jc w:val="center"/>
              <w:textAlignment w:val="bottom"/>
            </w:pPr>
            <w:r>
              <w:rPr>
                <w:rFonts w:ascii="sans-serif" w:eastAsia="sans-serif" w:hAnsi="sans-serif" w:cs="sans-serif"/>
                <w:b/>
                <w:bCs/>
                <w:color w:val="000000"/>
                <w:sz w:val="20"/>
                <w:szCs w:val="20"/>
              </w:rPr>
              <w:t>Amortized Cost</w:t>
            </w:r>
          </w:p>
        </w:tc>
        <w:tc>
          <w:tcPr>
            <w:tcW w:w="0" w:type="auto"/>
            <w:gridSpan w:val="3"/>
            <w:tcBorders>
              <w:top w:val="single" w:sz="8" w:space="0" w:color="000000"/>
            </w:tcBorders>
            <w:shd w:val="clear" w:color="auto" w:fill="auto"/>
            <w:tcMar>
              <w:top w:w="0" w:type="dxa"/>
              <w:left w:w="20" w:type="dxa"/>
              <w:bottom w:w="0" w:type="dxa"/>
              <w:right w:w="20" w:type="dxa"/>
            </w:tcMar>
          </w:tcPr>
          <w:p w14:paraId="1E8047C5"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7C6" w14:textId="77777777" w:rsidR="00F20ABF" w:rsidRDefault="00CA4D2F">
            <w:pPr>
              <w:jc w:val="center"/>
              <w:textAlignment w:val="bottom"/>
            </w:pPr>
            <w:r>
              <w:rPr>
                <w:rFonts w:ascii="sans-serif" w:eastAsia="sans-serif" w:hAnsi="sans-serif" w:cs="sans-serif"/>
                <w:b/>
                <w:bCs/>
                <w:color w:val="000000"/>
                <w:sz w:val="20"/>
                <w:szCs w:val="20"/>
              </w:rPr>
              <w:t>Estimated Fair Value</w:t>
            </w:r>
          </w:p>
        </w:tc>
      </w:tr>
      <w:tr w:rsidR="00F20ABF" w14:paraId="1E8047D0" w14:textId="77777777">
        <w:trPr>
          <w:trHeight w:val="60"/>
        </w:trPr>
        <w:tc>
          <w:tcPr>
            <w:tcW w:w="0" w:type="auto"/>
            <w:gridSpan w:val="3"/>
            <w:shd w:val="clear" w:color="auto" w:fill="auto"/>
            <w:tcMar>
              <w:top w:w="0" w:type="dxa"/>
              <w:left w:w="20" w:type="dxa"/>
              <w:bottom w:w="0" w:type="dxa"/>
              <w:right w:w="20" w:type="dxa"/>
            </w:tcMar>
          </w:tcPr>
          <w:p w14:paraId="1E8047C8"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7C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7CA"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7CB"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7CC"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7CD"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7CE"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7CF" w14:textId="77777777" w:rsidR="00F20ABF" w:rsidRDefault="00F20ABF">
            <w:pPr>
              <w:rPr>
                <w:rFonts w:ascii="宋体"/>
              </w:rPr>
            </w:pPr>
          </w:p>
        </w:tc>
      </w:tr>
      <w:tr w:rsidR="00F20ABF" w14:paraId="1E8047D3" w14:textId="77777777">
        <w:tc>
          <w:tcPr>
            <w:tcW w:w="0" w:type="auto"/>
            <w:gridSpan w:val="3"/>
            <w:shd w:val="clear" w:color="auto" w:fill="auto"/>
            <w:tcMar>
              <w:top w:w="0" w:type="dxa"/>
              <w:left w:w="20" w:type="dxa"/>
              <w:bottom w:w="0" w:type="dxa"/>
              <w:right w:w="20" w:type="dxa"/>
            </w:tcMar>
          </w:tcPr>
          <w:p w14:paraId="1E8047D1" w14:textId="77777777" w:rsidR="00F20ABF" w:rsidRDefault="00F20ABF">
            <w:pPr>
              <w:rPr>
                <w:rFonts w:ascii="宋体"/>
              </w:rPr>
            </w:pPr>
          </w:p>
        </w:tc>
        <w:tc>
          <w:tcPr>
            <w:tcW w:w="0" w:type="auto"/>
            <w:gridSpan w:val="21"/>
            <w:shd w:val="clear" w:color="auto" w:fill="auto"/>
            <w:tcMar>
              <w:top w:w="40" w:type="dxa"/>
              <w:left w:w="20" w:type="dxa"/>
              <w:bottom w:w="40" w:type="dxa"/>
              <w:right w:w="20" w:type="dxa"/>
            </w:tcMar>
            <w:vAlign w:val="bottom"/>
          </w:tcPr>
          <w:p w14:paraId="1E8047D2"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7E4" w14:textId="77777777">
        <w:tc>
          <w:tcPr>
            <w:tcW w:w="0" w:type="auto"/>
            <w:gridSpan w:val="3"/>
            <w:shd w:val="clear" w:color="auto" w:fill="E2EFD9"/>
            <w:tcMar>
              <w:top w:w="40" w:type="dxa"/>
              <w:left w:w="20" w:type="dxa"/>
              <w:bottom w:w="40" w:type="dxa"/>
              <w:right w:w="20" w:type="dxa"/>
            </w:tcMar>
            <w:vAlign w:val="bottom"/>
          </w:tcPr>
          <w:p w14:paraId="1E8047D4" w14:textId="77777777" w:rsidR="00F20ABF" w:rsidRDefault="00CA4D2F">
            <w:pPr>
              <w:textAlignment w:val="bottom"/>
            </w:pPr>
            <w:r>
              <w:rPr>
                <w:rFonts w:ascii="sans-serif" w:eastAsia="sans-serif" w:hAnsi="sans-serif" w:cs="sans-serif"/>
                <w:color w:val="000000"/>
                <w:sz w:val="20"/>
                <w:szCs w:val="20"/>
              </w:rPr>
              <w:t>Less than one year</w:t>
            </w:r>
          </w:p>
        </w:tc>
        <w:tc>
          <w:tcPr>
            <w:tcW w:w="0" w:type="auto"/>
            <w:shd w:val="clear" w:color="auto" w:fill="E2EFD9"/>
            <w:tcMar>
              <w:top w:w="40" w:type="dxa"/>
              <w:left w:w="20" w:type="dxa"/>
              <w:bottom w:w="40" w:type="dxa"/>
              <w:right w:w="0" w:type="dxa"/>
            </w:tcMar>
            <w:vAlign w:val="bottom"/>
          </w:tcPr>
          <w:p w14:paraId="1E8047D5"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7D6" w14:textId="77777777" w:rsidR="00F20ABF" w:rsidRDefault="00CA4D2F">
            <w:pPr>
              <w:jc w:val="right"/>
              <w:textAlignment w:val="bottom"/>
            </w:pPr>
            <w:r>
              <w:rPr>
                <w:rFonts w:ascii="sans-serif" w:eastAsia="sans-serif" w:hAnsi="sans-serif" w:cs="sans-serif"/>
                <w:color w:val="000000"/>
                <w:sz w:val="20"/>
                <w:szCs w:val="20"/>
              </w:rPr>
              <w:t>9,329 </w:t>
            </w:r>
          </w:p>
        </w:tc>
        <w:tc>
          <w:tcPr>
            <w:tcW w:w="0" w:type="auto"/>
            <w:shd w:val="clear" w:color="auto" w:fill="E2EFD9"/>
            <w:tcMar>
              <w:top w:w="40" w:type="dxa"/>
              <w:left w:w="0" w:type="dxa"/>
              <w:bottom w:w="40" w:type="dxa"/>
              <w:right w:w="20" w:type="dxa"/>
            </w:tcMar>
            <w:vAlign w:val="bottom"/>
          </w:tcPr>
          <w:p w14:paraId="1E8047D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D8"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7D9"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7DA" w14:textId="77777777" w:rsidR="00F20ABF" w:rsidRDefault="00CA4D2F">
            <w:pPr>
              <w:jc w:val="right"/>
              <w:textAlignment w:val="bottom"/>
            </w:pPr>
            <w:r>
              <w:rPr>
                <w:rFonts w:ascii="sans-serif" w:eastAsia="sans-serif" w:hAnsi="sans-serif" w:cs="sans-serif"/>
                <w:color w:val="000000"/>
                <w:sz w:val="20"/>
                <w:szCs w:val="20"/>
              </w:rPr>
              <w:t>9,330 </w:t>
            </w:r>
          </w:p>
        </w:tc>
        <w:tc>
          <w:tcPr>
            <w:tcW w:w="0" w:type="auto"/>
            <w:shd w:val="clear" w:color="auto" w:fill="E2EFD9"/>
            <w:tcMar>
              <w:top w:w="40" w:type="dxa"/>
              <w:left w:w="0" w:type="dxa"/>
              <w:bottom w:w="40" w:type="dxa"/>
              <w:right w:w="20" w:type="dxa"/>
            </w:tcMar>
            <w:vAlign w:val="bottom"/>
          </w:tcPr>
          <w:p w14:paraId="1E8047D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DC"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7DD"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7DE" w14:textId="77777777" w:rsidR="00F20ABF" w:rsidRDefault="00CA4D2F">
            <w:pPr>
              <w:jc w:val="right"/>
              <w:textAlignment w:val="bottom"/>
            </w:pPr>
            <w:r>
              <w:rPr>
                <w:rFonts w:ascii="sans-serif" w:eastAsia="sans-serif" w:hAnsi="sans-serif" w:cs="sans-serif"/>
                <w:color w:val="000000"/>
                <w:sz w:val="20"/>
                <w:szCs w:val="20"/>
              </w:rPr>
              <w:t>10,781 </w:t>
            </w:r>
          </w:p>
        </w:tc>
        <w:tc>
          <w:tcPr>
            <w:tcW w:w="0" w:type="auto"/>
            <w:shd w:val="clear" w:color="auto" w:fill="E2EFD9"/>
            <w:tcMar>
              <w:top w:w="40" w:type="dxa"/>
              <w:left w:w="0" w:type="dxa"/>
              <w:bottom w:w="40" w:type="dxa"/>
              <w:right w:w="20" w:type="dxa"/>
            </w:tcMar>
            <w:vAlign w:val="bottom"/>
          </w:tcPr>
          <w:p w14:paraId="1E8047D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E0"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7E1"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7E2" w14:textId="77777777" w:rsidR="00F20ABF" w:rsidRDefault="00CA4D2F">
            <w:pPr>
              <w:jc w:val="right"/>
              <w:textAlignment w:val="bottom"/>
            </w:pPr>
            <w:r>
              <w:rPr>
                <w:rFonts w:ascii="sans-serif" w:eastAsia="sans-serif" w:hAnsi="sans-serif" w:cs="sans-serif"/>
                <w:color w:val="000000"/>
                <w:sz w:val="20"/>
                <w:szCs w:val="20"/>
              </w:rPr>
              <w:t>10,781 </w:t>
            </w:r>
          </w:p>
        </w:tc>
        <w:tc>
          <w:tcPr>
            <w:tcW w:w="0" w:type="auto"/>
            <w:shd w:val="clear" w:color="auto" w:fill="E2EFD9"/>
            <w:tcMar>
              <w:top w:w="40" w:type="dxa"/>
              <w:left w:w="0" w:type="dxa"/>
              <w:bottom w:w="40" w:type="dxa"/>
              <w:right w:w="20" w:type="dxa"/>
            </w:tcMar>
            <w:vAlign w:val="bottom"/>
          </w:tcPr>
          <w:p w14:paraId="1E8047E3" w14:textId="77777777" w:rsidR="00F20ABF" w:rsidRDefault="00F20ABF">
            <w:pPr>
              <w:jc w:val="right"/>
              <w:rPr>
                <w:rFonts w:ascii="宋体"/>
              </w:rPr>
            </w:pPr>
          </w:p>
        </w:tc>
      </w:tr>
      <w:tr w:rsidR="00F20ABF" w14:paraId="1E8047F1" w14:textId="77777777">
        <w:tc>
          <w:tcPr>
            <w:tcW w:w="0" w:type="auto"/>
            <w:gridSpan w:val="3"/>
            <w:shd w:val="clear" w:color="auto" w:fill="FFFFFF"/>
            <w:tcMar>
              <w:top w:w="40" w:type="dxa"/>
              <w:left w:w="20" w:type="dxa"/>
              <w:bottom w:w="40" w:type="dxa"/>
              <w:right w:w="20" w:type="dxa"/>
            </w:tcMar>
            <w:vAlign w:val="bottom"/>
          </w:tcPr>
          <w:p w14:paraId="1E8047E5" w14:textId="77777777" w:rsidR="00F20ABF" w:rsidRDefault="00CA4D2F">
            <w:pPr>
              <w:textAlignment w:val="bottom"/>
            </w:pPr>
            <w:r>
              <w:rPr>
                <w:rFonts w:ascii="sans-serif" w:eastAsia="sans-serif" w:hAnsi="sans-serif" w:cs="sans-serif"/>
                <w:color w:val="000000"/>
                <w:sz w:val="20"/>
                <w:szCs w:val="20"/>
              </w:rPr>
              <w:t>Due in 1 - 5 years</w:t>
            </w:r>
          </w:p>
        </w:tc>
        <w:tc>
          <w:tcPr>
            <w:tcW w:w="0" w:type="auto"/>
            <w:gridSpan w:val="2"/>
            <w:shd w:val="clear" w:color="auto" w:fill="FFFFFF"/>
            <w:tcMar>
              <w:top w:w="40" w:type="dxa"/>
              <w:left w:w="20" w:type="dxa"/>
              <w:bottom w:w="40" w:type="dxa"/>
              <w:right w:w="0" w:type="dxa"/>
            </w:tcMar>
            <w:vAlign w:val="bottom"/>
          </w:tcPr>
          <w:p w14:paraId="1E8047E6" w14:textId="77777777" w:rsidR="00F20ABF" w:rsidRDefault="00CA4D2F">
            <w:pPr>
              <w:jc w:val="right"/>
              <w:textAlignment w:val="bottom"/>
            </w:pPr>
            <w:r>
              <w:rPr>
                <w:rFonts w:ascii="sans-serif" w:eastAsia="sans-serif" w:hAnsi="sans-serif" w:cs="sans-serif"/>
                <w:color w:val="000000"/>
                <w:sz w:val="20"/>
                <w:szCs w:val="20"/>
              </w:rPr>
              <w:t>564 </w:t>
            </w:r>
          </w:p>
        </w:tc>
        <w:tc>
          <w:tcPr>
            <w:tcW w:w="0" w:type="auto"/>
            <w:shd w:val="clear" w:color="auto" w:fill="FFFFFF"/>
            <w:tcMar>
              <w:top w:w="40" w:type="dxa"/>
              <w:left w:w="0" w:type="dxa"/>
              <w:bottom w:w="40" w:type="dxa"/>
              <w:right w:w="20" w:type="dxa"/>
            </w:tcMar>
            <w:vAlign w:val="bottom"/>
          </w:tcPr>
          <w:p w14:paraId="1E8047E7"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E8"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E9" w14:textId="77777777" w:rsidR="00F20ABF" w:rsidRDefault="00CA4D2F">
            <w:pPr>
              <w:jc w:val="right"/>
              <w:textAlignment w:val="bottom"/>
            </w:pPr>
            <w:r>
              <w:rPr>
                <w:rFonts w:ascii="sans-serif" w:eastAsia="sans-serif" w:hAnsi="sans-serif" w:cs="sans-serif"/>
                <w:color w:val="000000"/>
                <w:sz w:val="20"/>
                <w:szCs w:val="20"/>
              </w:rPr>
              <w:t>566 </w:t>
            </w:r>
          </w:p>
        </w:tc>
        <w:tc>
          <w:tcPr>
            <w:tcW w:w="0" w:type="auto"/>
            <w:shd w:val="clear" w:color="auto" w:fill="FFFFFF"/>
            <w:tcMar>
              <w:top w:w="40" w:type="dxa"/>
              <w:left w:w="0" w:type="dxa"/>
              <w:bottom w:w="40" w:type="dxa"/>
              <w:right w:w="20" w:type="dxa"/>
            </w:tcMar>
            <w:vAlign w:val="bottom"/>
          </w:tcPr>
          <w:p w14:paraId="1E8047E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EB"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EC"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7E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7EE"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7EF"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7F0" w14:textId="77777777" w:rsidR="00F20ABF" w:rsidRDefault="00F20ABF">
            <w:pPr>
              <w:jc w:val="right"/>
              <w:rPr>
                <w:rFonts w:ascii="宋体"/>
              </w:rPr>
            </w:pPr>
          </w:p>
        </w:tc>
      </w:tr>
      <w:tr w:rsidR="00F20ABF" w14:paraId="1E8047FA" w14:textId="77777777">
        <w:trPr>
          <w:hidden/>
        </w:trPr>
        <w:tc>
          <w:tcPr>
            <w:tcW w:w="0" w:type="auto"/>
            <w:gridSpan w:val="3"/>
            <w:shd w:val="clear" w:color="auto" w:fill="auto"/>
          </w:tcPr>
          <w:p w14:paraId="1E8047F2" w14:textId="77777777" w:rsidR="00F20ABF" w:rsidRDefault="00F20ABF">
            <w:pPr>
              <w:rPr>
                <w:rFonts w:ascii="宋体"/>
                <w:vanish/>
              </w:rPr>
            </w:pPr>
          </w:p>
        </w:tc>
        <w:tc>
          <w:tcPr>
            <w:tcW w:w="0" w:type="auto"/>
            <w:gridSpan w:val="3"/>
            <w:shd w:val="clear" w:color="auto" w:fill="auto"/>
          </w:tcPr>
          <w:p w14:paraId="1E8047F3" w14:textId="77777777" w:rsidR="00F20ABF" w:rsidRDefault="00F20ABF">
            <w:pPr>
              <w:rPr>
                <w:rFonts w:ascii="宋体"/>
                <w:vanish/>
              </w:rPr>
            </w:pPr>
          </w:p>
        </w:tc>
        <w:tc>
          <w:tcPr>
            <w:tcW w:w="0" w:type="auto"/>
            <w:gridSpan w:val="3"/>
            <w:shd w:val="clear" w:color="auto" w:fill="auto"/>
          </w:tcPr>
          <w:p w14:paraId="1E8047F4" w14:textId="77777777" w:rsidR="00F20ABF" w:rsidRDefault="00F20ABF">
            <w:pPr>
              <w:rPr>
                <w:rFonts w:ascii="宋体"/>
                <w:vanish/>
              </w:rPr>
            </w:pPr>
          </w:p>
        </w:tc>
        <w:tc>
          <w:tcPr>
            <w:tcW w:w="0" w:type="auto"/>
            <w:gridSpan w:val="3"/>
            <w:shd w:val="clear" w:color="auto" w:fill="auto"/>
          </w:tcPr>
          <w:p w14:paraId="1E8047F5" w14:textId="77777777" w:rsidR="00F20ABF" w:rsidRDefault="00F20ABF">
            <w:pPr>
              <w:rPr>
                <w:rFonts w:ascii="宋体"/>
                <w:vanish/>
              </w:rPr>
            </w:pPr>
          </w:p>
        </w:tc>
        <w:tc>
          <w:tcPr>
            <w:tcW w:w="0" w:type="auto"/>
            <w:gridSpan w:val="3"/>
            <w:shd w:val="clear" w:color="auto" w:fill="auto"/>
          </w:tcPr>
          <w:p w14:paraId="1E8047F6" w14:textId="77777777" w:rsidR="00F20ABF" w:rsidRDefault="00F20ABF">
            <w:pPr>
              <w:rPr>
                <w:rFonts w:ascii="宋体"/>
                <w:vanish/>
              </w:rPr>
            </w:pPr>
          </w:p>
        </w:tc>
        <w:tc>
          <w:tcPr>
            <w:tcW w:w="0" w:type="auto"/>
            <w:gridSpan w:val="3"/>
            <w:shd w:val="clear" w:color="auto" w:fill="auto"/>
          </w:tcPr>
          <w:p w14:paraId="1E8047F7" w14:textId="77777777" w:rsidR="00F20ABF" w:rsidRDefault="00F20ABF">
            <w:pPr>
              <w:rPr>
                <w:rFonts w:ascii="宋体"/>
                <w:vanish/>
              </w:rPr>
            </w:pPr>
          </w:p>
        </w:tc>
        <w:tc>
          <w:tcPr>
            <w:tcW w:w="0" w:type="auto"/>
            <w:gridSpan w:val="3"/>
            <w:shd w:val="clear" w:color="auto" w:fill="auto"/>
          </w:tcPr>
          <w:p w14:paraId="1E8047F8" w14:textId="77777777" w:rsidR="00F20ABF" w:rsidRDefault="00F20ABF">
            <w:pPr>
              <w:rPr>
                <w:rFonts w:ascii="宋体"/>
                <w:vanish/>
              </w:rPr>
            </w:pPr>
          </w:p>
        </w:tc>
        <w:tc>
          <w:tcPr>
            <w:tcW w:w="0" w:type="auto"/>
            <w:gridSpan w:val="3"/>
            <w:shd w:val="clear" w:color="auto" w:fill="auto"/>
          </w:tcPr>
          <w:p w14:paraId="1E8047F9" w14:textId="77777777" w:rsidR="00F20ABF" w:rsidRDefault="00F20ABF">
            <w:pPr>
              <w:rPr>
                <w:rFonts w:ascii="宋体"/>
                <w:vanish/>
              </w:rPr>
            </w:pPr>
          </w:p>
        </w:tc>
      </w:tr>
      <w:tr w:rsidR="00F20ABF" w14:paraId="1E80480B" w14:textId="77777777">
        <w:tc>
          <w:tcPr>
            <w:tcW w:w="0" w:type="auto"/>
            <w:gridSpan w:val="3"/>
            <w:shd w:val="clear" w:color="auto" w:fill="E2EFD9"/>
            <w:tcMar>
              <w:top w:w="40" w:type="dxa"/>
              <w:left w:w="20" w:type="dxa"/>
              <w:bottom w:w="40" w:type="dxa"/>
              <w:right w:w="20" w:type="dxa"/>
            </w:tcMar>
            <w:vAlign w:val="bottom"/>
          </w:tcPr>
          <w:p w14:paraId="1E8047FB" w14:textId="77777777" w:rsidR="00F20ABF" w:rsidRDefault="00CA4D2F">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7FC"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7FD" w14:textId="77777777" w:rsidR="00F20ABF" w:rsidRDefault="00CA4D2F">
            <w:pPr>
              <w:jc w:val="right"/>
              <w:textAlignment w:val="bottom"/>
            </w:pPr>
            <w:r>
              <w:rPr>
                <w:rFonts w:ascii="sans-serif" w:eastAsia="sans-serif" w:hAnsi="sans-serif" w:cs="sans-serif"/>
                <w:color w:val="000000"/>
                <w:sz w:val="20"/>
                <w:szCs w:val="20"/>
              </w:rPr>
              <w:t>9,893 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7F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7FF"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800"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801" w14:textId="77777777" w:rsidR="00F20ABF" w:rsidRDefault="00CA4D2F">
            <w:pPr>
              <w:jc w:val="right"/>
              <w:textAlignment w:val="bottom"/>
            </w:pPr>
            <w:r>
              <w:rPr>
                <w:rFonts w:ascii="sans-serif" w:eastAsia="sans-serif" w:hAnsi="sans-serif" w:cs="sans-serif"/>
                <w:color w:val="000000"/>
                <w:sz w:val="20"/>
                <w:szCs w:val="20"/>
              </w:rPr>
              <w:t>9,896 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80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803"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804"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805" w14:textId="77777777" w:rsidR="00F20ABF" w:rsidRDefault="00CA4D2F">
            <w:pPr>
              <w:jc w:val="right"/>
              <w:textAlignment w:val="bottom"/>
            </w:pPr>
            <w:r>
              <w:rPr>
                <w:rFonts w:ascii="sans-serif" w:eastAsia="sans-serif" w:hAnsi="sans-serif" w:cs="sans-serif"/>
                <w:color w:val="000000"/>
                <w:sz w:val="20"/>
                <w:szCs w:val="20"/>
              </w:rPr>
              <w:t>10,781 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80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807"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808"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809" w14:textId="77777777" w:rsidR="00F20ABF" w:rsidRDefault="00CA4D2F">
            <w:pPr>
              <w:jc w:val="right"/>
              <w:textAlignment w:val="bottom"/>
            </w:pPr>
            <w:r>
              <w:rPr>
                <w:rFonts w:ascii="sans-serif" w:eastAsia="sans-serif" w:hAnsi="sans-serif" w:cs="sans-serif"/>
                <w:color w:val="000000"/>
                <w:sz w:val="20"/>
                <w:szCs w:val="20"/>
              </w:rPr>
              <w:t>10,781 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80A" w14:textId="77777777" w:rsidR="00F20ABF" w:rsidRDefault="00F20ABF">
            <w:pPr>
              <w:jc w:val="right"/>
              <w:rPr>
                <w:rFonts w:ascii="宋体"/>
              </w:rPr>
            </w:pPr>
          </w:p>
        </w:tc>
      </w:tr>
    </w:tbl>
    <w:p w14:paraId="1E80480C" w14:textId="77777777" w:rsidR="00F20ABF" w:rsidRDefault="00F20ABF">
      <w:pPr>
        <w:spacing w:before="180" w:after="180"/>
        <w:jc w:val="both"/>
      </w:pPr>
    </w:p>
    <w:p w14:paraId="1E80480D" w14:textId="77777777" w:rsidR="00F20ABF" w:rsidRDefault="00CA4D2F">
      <w:pPr>
        <w:spacing w:before="240" w:after="120"/>
        <w:jc w:val="both"/>
      </w:pPr>
      <w:r>
        <w:rPr>
          <w:rFonts w:ascii="sans-serif" w:eastAsia="sans-serif" w:hAnsi="sans-serif" w:cs="sans-serif"/>
          <w:b/>
          <w:bCs/>
          <w:color w:val="76B900"/>
          <w:sz w:val="22"/>
          <w:szCs w:val="22"/>
        </w:rPr>
        <w:t>Note 8 – Fair Value of Financial Assets and Liabilities</w:t>
      </w:r>
    </w:p>
    <w:p w14:paraId="1E80480E" w14:textId="77777777" w:rsidR="00F20ABF" w:rsidRDefault="00CA4D2F">
      <w:pPr>
        <w:spacing w:after="180"/>
        <w:jc w:val="both"/>
      </w:pPr>
      <w:r>
        <w:rPr>
          <w:rFonts w:ascii="sans-serif" w:eastAsia="sans-serif" w:hAnsi="sans-serif" w:cs="sans-serif"/>
          <w:color w:val="000000"/>
          <w:sz w:val="20"/>
          <w:szCs w:val="20"/>
        </w:rPr>
        <w:t>The fair values of our financial assets and l</w:t>
      </w:r>
      <w:r>
        <w:rPr>
          <w:rFonts w:ascii="sans-serif" w:eastAsia="sans-serif" w:hAnsi="sans-serif" w:cs="sans-serif"/>
          <w:color w:val="000000"/>
          <w:sz w:val="20"/>
          <w:szCs w:val="20"/>
        </w:rPr>
        <w:t xml:space="preserve">iabilities are determined using quoted market prices of identical assets or quoted market prices of similar assets from active markets. We review fair value hierarchy classification on a quarterly basis. </w:t>
      </w:r>
    </w:p>
    <w:p w14:paraId="1E80480F" w14:textId="77777777" w:rsidR="00F20ABF" w:rsidRDefault="00CA4D2F">
      <w:pPr>
        <w:spacing w:after="180"/>
        <w:jc w:val="center"/>
      </w:pPr>
      <w:r>
        <w:rPr>
          <w:rFonts w:ascii="sans-serif" w:eastAsia="sans-serif" w:hAnsi="sans-serif" w:cs="sans-serif"/>
          <w:color w:val="000000"/>
          <w:sz w:val="20"/>
          <w:szCs w:val="20"/>
        </w:rPr>
        <w:t>16</w:t>
      </w:r>
    </w:p>
    <w:p w14:paraId="1E804810" w14:textId="77777777" w:rsidR="00F20ABF" w:rsidRDefault="00CA4D2F">
      <w:r>
        <w:pict w14:anchorId="1E80558B">
          <v:rect id="_x0000_i1040" style="width:415.3pt;height:1.5pt" o:hralign="center" o:hrstd="t" o:hr="t" fillcolor="#a0a0a0" stroked="f"/>
        </w:pict>
      </w:r>
    </w:p>
    <w:p w14:paraId="1E804811" w14:textId="77777777" w:rsidR="00F20ABF" w:rsidRDefault="00CA4D2F">
      <w:pPr>
        <w:jc w:val="center"/>
      </w:pPr>
      <w:r>
        <w:rPr>
          <w:rFonts w:ascii="sans-serif" w:eastAsia="sans-serif" w:hAnsi="sans-serif" w:cs="sans-serif"/>
          <w:b/>
          <w:bCs/>
          <w:color w:val="000000"/>
          <w:sz w:val="20"/>
          <w:szCs w:val="20"/>
        </w:rPr>
        <w:t>NVIDIA CORPORATION AND SUBSIDIARIES</w:t>
      </w:r>
    </w:p>
    <w:p w14:paraId="1E804812" w14:textId="77777777" w:rsidR="00F20ABF" w:rsidRDefault="00CA4D2F">
      <w:pPr>
        <w:jc w:val="center"/>
      </w:pPr>
      <w:r>
        <w:rPr>
          <w:rFonts w:ascii="sans-serif" w:eastAsia="sans-serif" w:hAnsi="sans-serif" w:cs="sans-serif"/>
          <w:b/>
          <w:bCs/>
          <w:color w:val="000000"/>
          <w:sz w:val="20"/>
          <w:szCs w:val="20"/>
        </w:rPr>
        <w:t>NOTES TO C</w:t>
      </w:r>
      <w:r>
        <w:rPr>
          <w:rFonts w:ascii="sans-serif" w:eastAsia="sans-serif" w:hAnsi="sans-serif" w:cs="sans-serif"/>
          <w:b/>
          <w:bCs/>
          <w:color w:val="000000"/>
          <w:sz w:val="20"/>
          <w:szCs w:val="20"/>
        </w:rPr>
        <w:t>ONDENSED CONSOLIDATED FINANCIAL STATEMENTS (Continued)</w:t>
      </w:r>
    </w:p>
    <w:p w14:paraId="1E804813" w14:textId="77777777" w:rsidR="00F20ABF" w:rsidRDefault="00CA4D2F">
      <w:pPr>
        <w:jc w:val="center"/>
      </w:pPr>
      <w:r>
        <w:rPr>
          <w:rFonts w:ascii="sans-serif" w:eastAsia="sans-serif" w:hAnsi="sans-serif" w:cs="sans-serif"/>
          <w:b/>
          <w:bCs/>
          <w:color w:val="000000"/>
          <w:sz w:val="20"/>
          <w:szCs w:val="20"/>
        </w:rPr>
        <w:t>(Unaudited)</w:t>
      </w:r>
    </w:p>
    <w:p w14:paraId="1E804814" w14:textId="77777777" w:rsidR="00F20ABF" w:rsidRDefault="00F20ABF">
      <w:pPr>
        <w:spacing w:after="180"/>
        <w:jc w:val="both"/>
      </w:pPr>
    </w:p>
    <w:p w14:paraId="1E804815" w14:textId="77777777" w:rsidR="00F20ABF" w:rsidRDefault="00F20ABF">
      <w:pPr>
        <w:spacing w:after="180"/>
        <w:jc w:val="both"/>
      </w:pPr>
    </w:p>
    <w:tbl>
      <w:tblPr>
        <w:tblW w:w="5000" w:type="pct"/>
        <w:tblCellMar>
          <w:top w:w="15" w:type="dxa"/>
          <w:left w:w="15" w:type="dxa"/>
          <w:bottom w:w="15" w:type="dxa"/>
          <w:right w:w="15" w:type="dxa"/>
        </w:tblCellMar>
        <w:tblLook w:val="04A0" w:firstRow="1" w:lastRow="0" w:firstColumn="1" w:lastColumn="0" w:noHBand="0" w:noVBand="1"/>
      </w:tblPr>
      <w:tblGrid>
        <w:gridCol w:w="45"/>
        <w:gridCol w:w="3685"/>
        <w:gridCol w:w="39"/>
        <w:gridCol w:w="56"/>
        <w:gridCol w:w="1041"/>
        <w:gridCol w:w="36"/>
        <w:gridCol w:w="36"/>
        <w:gridCol w:w="36"/>
        <w:gridCol w:w="36"/>
        <w:gridCol w:w="123"/>
        <w:gridCol w:w="1437"/>
        <w:gridCol w:w="36"/>
        <w:gridCol w:w="36"/>
        <w:gridCol w:w="36"/>
        <w:gridCol w:w="36"/>
        <w:gridCol w:w="123"/>
        <w:gridCol w:w="1463"/>
        <w:gridCol w:w="36"/>
      </w:tblGrid>
      <w:tr w:rsidR="00F20ABF" w14:paraId="1E804828" w14:textId="77777777">
        <w:tc>
          <w:tcPr>
            <w:tcW w:w="50" w:type="pct"/>
            <w:shd w:val="clear" w:color="auto" w:fill="auto"/>
          </w:tcPr>
          <w:p w14:paraId="1E804816" w14:textId="77777777" w:rsidR="00F20ABF" w:rsidRDefault="00F20ABF">
            <w:pPr>
              <w:rPr>
                <w:rFonts w:ascii="宋体"/>
              </w:rPr>
            </w:pPr>
          </w:p>
        </w:tc>
        <w:tc>
          <w:tcPr>
            <w:tcW w:w="2232" w:type="pct"/>
            <w:shd w:val="clear" w:color="auto" w:fill="auto"/>
          </w:tcPr>
          <w:p w14:paraId="1E804817" w14:textId="77777777" w:rsidR="00F20ABF" w:rsidRDefault="00F20ABF">
            <w:pPr>
              <w:rPr>
                <w:rFonts w:ascii="宋体"/>
              </w:rPr>
            </w:pPr>
          </w:p>
        </w:tc>
        <w:tc>
          <w:tcPr>
            <w:tcW w:w="5" w:type="pct"/>
            <w:shd w:val="clear" w:color="auto" w:fill="auto"/>
          </w:tcPr>
          <w:p w14:paraId="1E804818" w14:textId="77777777" w:rsidR="00F20ABF" w:rsidRDefault="00F20ABF">
            <w:pPr>
              <w:rPr>
                <w:rFonts w:ascii="宋体"/>
              </w:rPr>
            </w:pPr>
          </w:p>
        </w:tc>
        <w:tc>
          <w:tcPr>
            <w:tcW w:w="50" w:type="pct"/>
            <w:shd w:val="clear" w:color="auto" w:fill="auto"/>
          </w:tcPr>
          <w:p w14:paraId="1E804819" w14:textId="77777777" w:rsidR="00F20ABF" w:rsidRDefault="00F20ABF">
            <w:pPr>
              <w:rPr>
                <w:rFonts w:ascii="宋体"/>
              </w:rPr>
            </w:pPr>
          </w:p>
        </w:tc>
        <w:tc>
          <w:tcPr>
            <w:tcW w:w="654" w:type="pct"/>
            <w:shd w:val="clear" w:color="auto" w:fill="auto"/>
          </w:tcPr>
          <w:p w14:paraId="1E80481A" w14:textId="77777777" w:rsidR="00F20ABF" w:rsidRDefault="00F20ABF">
            <w:pPr>
              <w:rPr>
                <w:rFonts w:ascii="宋体"/>
              </w:rPr>
            </w:pPr>
          </w:p>
        </w:tc>
        <w:tc>
          <w:tcPr>
            <w:tcW w:w="5" w:type="pct"/>
            <w:shd w:val="clear" w:color="auto" w:fill="auto"/>
          </w:tcPr>
          <w:p w14:paraId="1E80481B" w14:textId="77777777" w:rsidR="00F20ABF" w:rsidRDefault="00F20ABF">
            <w:pPr>
              <w:rPr>
                <w:rFonts w:ascii="宋体"/>
              </w:rPr>
            </w:pPr>
          </w:p>
        </w:tc>
        <w:tc>
          <w:tcPr>
            <w:tcW w:w="5" w:type="pct"/>
            <w:shd w:val="clear" w:color="auto" w:fill="auto"/>
          </w:tcPr>
          <w:p w14:paraId="1E80481C" w14:textId="77777777" w:rsidR="00F20ABF" w:rsidRDefault="00F20ABF">
            <w:pPr>
              <w:rPr>
                <w:rFonts w:ascii="宋体"/>
              </w:rPr>
            </w:pPr>
          </w:p>
        </w:tc>
        <w:tc>
          <w:tcPr>
            <w:tcW w:w="26" w:type="pct"/>
            <w:shd w:val="clear" w:color="auto" w:fill="auto"/>
          </w:tcPr>
          <w:p w14:paraId="1E80481D" w14:textId="77777777" w:rsidR="00F20ABF" w:rsidRDefault="00F20ABF">
            <w:pPr>
              <w:rPr>
                <w:rFonts w:ascii="宋体"/>
              </w:rPr>
            </w:pPr>
          </w:p>
        </w:tc>
        <w:tc>
          <w:tcPr>
            <w:tcW w:w="5" w:type="pct"/>
            <w:shd w:val="clear" w:color="auto" w:fill="auto"/>
          </w:tcPr>
          <w:p w14:paraId="1E80481E" w14:textId="77777777" w:rsidR="00F20ABF" w:rsidRDefault="00F20ABF">
            <w:pPr>
              <w:rPr>
                <w:rFonts w:ascii="宋体"/>
              </w:rPr>
            </w:pPr>
          </w:p>
        </w:tc>
        <w:tc>
          <w:tcPr>
            <w:tcW w:w="50" w:type="pct"/>
            <w:shd w:val="clear" w:color="auto" w:fill="auto"/>
          </w:tcPr>
          <w:p w14:paraId="1E80481F" w14:textId="77777777" w:rsidR="00F20ABF" w:rsidRDefault="00F20ABF">
            <w:pPr>
              <w:rPr>
                <w:rFonts w:ascii="宋体"/>
              </w:rPr>
            </w:pPr>
          </w:p>
        </w:tc>
        <w:tc>
          <w:tcPr>
            <w:tcW w:w="902" w:type="pct"/>
            <w:shd w:val="clear" w:color="auto" w:fill="auto"/>
          </w:tcPr>
          <w:p w14:paraId="1E804820" w14:textId="77777777" w:rsidR="00F20ABF" w:rsidRDefault="00F20ABF">
            <w:pPr>
              <w:rPr>
                <w:rFonts w:ascii="宋体"/>
              </w:rPr>
            </w:pPr>
          </w:p>
        </w:tc>
        <w:tc>
          <w:tcPr>
            <w:tcW w:w="5" w:type="pct"/>
            <w:shd w:val="clear" w:color="auto" w:fill="auto"/>
          </w:tcPr>
          <w:p w14:paraId="1E804821" w14:textId="77777777" w:rsidR="00F20ABF" w:rsidRDefault="00F20ABF">
            <w:pPr>
              <w:rPr>
                <w:rFonts w:ascii="宋体"/>
              </w:rPr>
            </w:pPr>
          </w:p>
        </w:tc>
        <w:tc>
          <w:tcPr>
            <w:tcW w:w="5" w:type="pct"/>
            <w:shd w:val="clear" w:color="auto" w:fill="auto"/>
          </w:tcPr>
          <w:p w14:paraId="1E804822" w14:textId="77777777" w:rsidR="00F20ABF" w:rsidRDefault="00F20ABF">
            <w:pPr>
              <w:rPr>
                <w:rFonts w:ascii="宋体"/>
              </w:rPr>
            </w:pPr>
          </w:p>
        </w:tc>
        <w:tc>
          <w:tcPr>
            <w:tcW w:w="41" w:type="pct"/>
            <w:shd w:val="clear" w:color="auto" w:fill="auto"/>
          </w:tcPr>
          <w:p w14:paraId="1E804823" w14:textId="77777777" w:rsidR="00F20ABF" w:rsidRDefault="00F20ABF">
            <w:pPr>
              <w:rPr>
                <w:rFonts w:ascii="宋体"/>
              </w:rPr>
            </w:pPr>
          </w:p>
        </w:tc>
        <w:tc>
          <w:tcPr>
            <w:tcW w:w="5" w:type="pct"/>
            <w:shd w:val="clear" w:color="auto" w:fill="auto"/>
          </w:tcPr>
          <w:p w14:paraId="1E804824" w14:textId="77777777" w:rsidR="00F20ABF" w:rsidRDefault="00F20ABF">
            <w:pPr>
              <w:rPr>
                <w:rFonts w:ascii="宋体"/>
              </w:rPr>
            </w:pPr>
          </w:p>
        </w:tc>
        <w:tc>
          <w:tcPr>
            <w:tcW w:w="50" w:type="pct"/>
            <w:shd w:val="clear" w:color="auto" w:fill="auto"/>
          </w:tcPr>
          <w:p w14:paraId="1E804825" w14:textId="77777777" w:rsidR="00F20ABF" w:rsidRDefault="00F20ABF">
            <w:pPr>
              <w:rPr>
                <w:rFonts w:ascii="宋体"/>
              </w:rPr>
            </w:pPr>
          </w:p>
        </w:tc>
        <w:tc>
          <w:tcPr>
            <w:tcW w:w="902" w:type="pct"/>
            <w:shd w:val="clear" w:color="auto" w:fill="auto"/>
          </w:tcPr>
          <w:p w14:paraId="1E804826" w14:textId="77777777" w:rsidR="00F20ABF" w:rsidRDefault="00F20ABF">
            <w:pPr>
              <w:rPr>
                <w:rFonts w:ascii="宋体"/>
              </w:rPr>
            </w:pPr>
          </w:p>
        </w:tc>
        <w:tc>
          <w:tcPr>
            <w:tcW w:w="5" w:type="pct"/>
            <w:shd w:val="clear" w:color="auto" w:fill="auto"/>
          </w:tcPr>
          <w:p w14:paraId="1E804827" w14:textId="77777777" w:rsidR="00F20ABF" w:rsidRDefault="00F20ABF">
            <w:pPr>
              <w:rPr>
                <w:rFonts w:ascii="宋体"/>
              </w:rPr>
            </w:pPr>
          </w:p>
        </w:tc>
      </w:tr>
      <w:tr w:rsidR="00F20ABF" w14:paraId="1E80482C" w14:textId="77777777">
        <w:tc>
          <w:tcPr>
            <w:tcW w:w="0" w:type="auto"/>
            <w:gridSpan w:val="6"/>
            <w:shd w:val="clear" w:color="auto" w:fill="auto"/>
            <w:tcMar>
              <w:top w:w="0" w:type="dxa"/>
              <w:left w:w="20" w:type="dxa"/>
              <w:bottom w:w="0" w:type="dxa"/>
              <w:right w:w="20" w:type="dxa"/>
            </w:tcMar>
          </w:tcPr>
          <w:p w14:paraId="1E80482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82A"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482B" w14:textId="77777777" w:rsidR="00F20ABF" w:rsidRDefault="00CA4D2F">
            <w:pPr>
              <w:jc w:val="center"/>
              <w:textAlignment w:val="bottom"/>
            </w:pPr>
            <w:r>
              <w:rPr>
                <w:rFonts w:ascii="sans-serif" w:eastAsia="sans-serif" w:hAnsi="sans-serif" w:cs="sans-serif"/>
                <w:b/>
                <w:bCs/>
                <w:color w:val="000000"/>
                <w:sz w:val="20"/>
                <w:szCs w:val="20"/>
              </w:rPr>
              <w:t>Fair Value at</w:t>
            </w:r>
          </w:p>
        </w:tc>
      </w:tr>
      <w:tr w:rsidR="00F20ABF" w14:paraId="1E804833" w14:textId="77777777">
        <w:tc>
          <w:tcPr>
            <w:tcW w:w="0" w:type="auto"/>
            <w:gridSpan w:val="3"/>
            <w:shd w:val="clear" w:color="auto" w:fill="auto"/>
            <w:tcMar>
              <w:top w:w="0" w:type="dxa"/>
              <w:left w:w="20" w:type="dxa"/>
              <w:bottom w:w="0" w:type="dxa"/>
              <w:right w:w="20" w:type="dxa"/>
            </w:tcMar>
          </w:tcPr>
          <w:p w14:paraId="1E80482D"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82E" w14:textId="77777777" w:rsidR="00F20ABF" w:rsidRDefault="00CA4D2F">
            <w:pPr>
              <w:jc w:val="center"/>
              <w:textAlignment w:val="bottom"/>
            </w:pPr>
            <w:r>
              <w:rPr>
                <w:rFonts w:ascii="sans-serif" w:eastAsia="sans-serif" w:hAnsi="sans-serif" w:cs="sans-serif"/>
                <w:b/>
                <w:bCs/>
                <w:color w:val="000000"/>
                <w:sz w:val="20"/>
                <w:szCs w:val="20"/>
              </w:rPr>
              <w:t>Pricing Category</w:t>
            </w:r>
          </w:p>
        </w:tc>
        <w:tc>
          <w:tcPr>
            <w:tcW w:w="0" w:type="auto"/>
            <w:gridSpan w:val="3"/>
            <w:shd w:val="clear" w:color="auto" w:fill="auto"/>
            <w:tcMar>
              <w:top w:w="0" w:type="dxa"/>
              <w:left w:w="20" w:type="dxa"/>
              <w:bottom w:w="0" w:type="dxa"/>
              <w:right w:w="20" w:type="dxa"/>
            </w:tcMar>
          </w:tcPr>
          <w:p w14:paraId="1E80482F"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830" w14:textId="77777777" w:rsidR="00F20ABF" w:rsidRDefault="00CA4D2F">
            <w:pPr>
              <w:jc w:val="center"/>
              <w:textAlignment w:val="bottom"/>
            </w:pPr>
            <w:r>
              <w:rPr>
                <w:rFonts w:ascii="sans-serif" w:eastAsia="sans-serif" w:hAnsi="sans-serif" w:cs="sans-serif"/>
                <w:b/>
                <w:bCs/>
                <w:color w:val="000000"/>
                <w:sz w:val="20"/>
                <w:szCs w:val="20"/>
              </w:rPr>
              <w:t>October 25, 2020</w:t>
            </w:r>
          </w:p>
        </w:tc>
        <w:tc>
          <w:tcPr>
            <w:tcW w:w="0" w:type="auto"/>
            <w:gridSpan w:val="3"/>
            <w:tcBorders>
              <w:top w:val="single" w:sz="8" w:space="0" w:color="000000"/>
            </w:tcBorders>
            <w:shd w:val="clear" w:color="auto" w:fill="auto"/>
            <w:tcMar>
              <w:top w:w="0" w:type="dxa"/>
              <w:left w:w="20" w:type="dxa"/>
              <w:bottom w:w="0" w:type="dxa"/>
              <w:right w:w="20" w:type="dxa"/>
            </w:tcMar>
          </w:tcPr>
          <w:p w14:paraId="1E804831"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832" w14:textId="77777777" w:rsidR="00F20ABF" w:rsidRDefault="00CA4D2F">
            <w:pPr>
              <w:jc w:val="center"/>
              <w:textAlignment w:val="bottom"/>
            </w:pPr>
            <w:r>
              <w:rPr>
                <w:rFonts w:ascii="sans-serif" w:eastAsia="sans-serif" w:hAnsi="sans-serif" w:cs="sans-serif"/>
                <w:b/>
                <w:bCs/>
                <w:color w:val="000000"/>
                <w:sz w:val="20"/>
                <w:szCs w:val="20"/>
              </w:rPr>
              <w:t>January 26, 2020</w:t>
            </w:r>
          </w:p>
        </w:tc>
      </w:tr>
      <w:tr w:rsidR="00F20ABF" w14:paraId="1E80483A" w14:textId="77777777">
        <w:trPr>
          <w:trHeight w:val="60"/>
        </w:trPr>
        <w:tc>
          <w:tcPr>
            <w:tcW w:w="0" w:type="auto"/>
            <w:gridSpan w:val="3"/>
            <w:shd w:val="clear" w:color="auto" w:fill="auto"/>
            <w:tcMar>
              <w:top w:w="0" w:type="dxa"/>
              <w:left w:w="20" w:type="dxa"/>
              <w:bottom w:w="0" w:type="dxa"/>
              <w:right w:w="20" w:type="dxa"/>
            </w:tcMar>
          </w:tcPr>
          <w:p w14:paraId="1E804834"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835"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836"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837"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838"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839" w14:textId="77777777" w:rsidR="00F20ABF" w:rsidRDefault="00F20ABF">
            <w:pPr>
              <w:rPr>
                <w:rFonts w:ascii="宋体"/>
              </w:rPr>
            </w:pPr>
          </w:p>
        </w:tc>
      </w:tr>
      <w:tr w:rsidR="00F20ABF" w14:paraId="1E80483F" w14:textId="77777777">
        <w:tc>
          <w:tcPr>
            <w:tcW w:w="0" w:type="auto"/>
            <w:gridSpan w:val="3"/>
            <w:shd w:val="clear" w:color="auto" w:fill="auto"/>
            <w:tcMar>
              <w:top w:w="0" w:type="dxa"/>
              <w:left w:w="20" w:type="dxa"/>
              <w:bottom w:w="0" w:type="dxa"/>
              <w:right w:w="20" w:type="dxa"/>
            </w:tcMar>
          </w:tcPr>
          <w:p w14:paraId="1E80483B"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83C"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83D"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483E"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846" w14:textId="77777777">
        <w:tc>
          <w:tcPr>
            <w:tcW w:w="0" w:type="auto"/>
            <w:gridSpan w:val="3"/>
            <w:shd w:val="clear" w:color="auto" w:fill="FFFFFF"/>
            <w:tcMar>
              <w:top w:w="40" w:type="dxa"/>
              <w:left w:w="20" w:type="dxa"/>
              <w:bottom w:w="40" w:type="dxa"/>
              <w:right w:w="20" w:type="dxa"/>
            </w:tcMar>
            <w:vAlign w:val="bottom"/>
          </w:tcPr>
          <w:p w14:paraId="1E804840" w14:textId="77777777" w:rsidR="00F20ABF" w:rsidRDefault="00CA4D2F">
            <w:pPr>
              <w:textAlignment w:val="bottom"/>
            </w:pPr>
            <w:r>
              <w:rPr>
                <w:rFonts w:ascii="sans-serif" w:eastAsia="sans-serif" w:hAnsi="sans-serif" w:cs="sans-serif"/>
                <w:b/>
                <w:bCs/>
                <w:color w:val="000000"/>
                <w:sz w:val="20"/>
                <w:szCs w:val="20"/>
              </w:rPr>
              <w:t>Assets</w:t>
            </w:r>
          </w:p>
        </w:tc>
        <w:tc>
          <w:tcPr>
            <w:tcW w:w="0" w:type="auto"/>
            <w:gridSpan w:val="3"/>
            <w:shd w:val="clear" w:color="auto" w:fill="FFFFFF"/>
            <w:tcMar>
              <w:top w:w="0" w:type="dxa"/>
              <w:left w:w="20" w:type="dxa"/>
              <w:bottom w:w="0" w:type="dxa"/>
              <w:right w:w="20" w:type="dxa"/>
            </w:tcMar>
          </w:tcPr>
          <w:p w14:paraId="1E804841"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842"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843"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844"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845" w14:textId="77777777" w:rsidR="00F20ABF" w:rsidRDefault="00F20ABF">
            <w:pPr>
              <w:rPr>
                <w:rFonts w:ascii="宋体"/>
              </w:rPr>
            </w:pPr>
          </w:p>
        </w:tc>
      </w:tr>
      <w:tr w:rsidR="00F20ABF" w14:paraId="1E80484D" w14:textId="77777777">
        <w:tc>
          <w:tcPr>
            <w:tcW w:w="0" w:type="auto"/>
            <w:gridSpan w:val="3"/>
            <w:shd w:val="clear" w:color="auto" w:fill="E2EFD9"/>
            <w:tcMar>
              <w:top w:w="40" w:type="dxa"/>
              <w:left w:w="20" w:type="dxa"/>
              <w:bottom w:w="40" w:type="dxa"/>
              <w:right w:w="20" w:type="dxa"/>
            </w:tcMar>
            <w:vAlign w:val="bottom"/>
          </w:tcPr>
          <w:p w14:paraId="1E804847" w14:textId="77777777" w:rsidR="00F20ABF" w:rsidRDefault="00CA4D2F">
            <w:pPr>
              <w:textAlignment w:val="bottom"/>
            </w:pPr>
            <w:r>
              <w:rPr>
                <w:rFonts w:ascii="sans-serif" w:eastAsia="sans-serif" w:hAnsi="sans-serif" w:cs="sans-serif"/>
                <w:color w:val="000000"/>
                <w:sz w:val="20"/>
                <w:szCs w:val="20"/>
              </w:rPr>
              <w:t>Cash equivalents and marketable securities:</w:t>
            </w:r>
          </w:p>
        </w:tc>
        <w:tc>
          <w:tcPr>
            <w:tcW w:w="0" w:type="auto"/>
            <w:gridSpan w:val="3"/>
            <w:shd w:val="clear" w:color="auto" w:fill="E2EFD9"/>
            <w:tcMar>
              <w:top w:w="0" w:type="dxa"/>
              <w:left w:w="20" w:type="dxa"/>
              <w:bottom w:w="0" w:type="dxa"/>
              <w:right w:w="20" w:type="dxa"/>
            </w:tcMar>
          </w:tcPr>
          <w:p w14:paraId="1E804848"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849"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84A"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84B"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84C" w14:textId="77777777" w:rsidR="00F20ABF" w:rsidRDefault="00F20ABF">
            <w:pPr>
              <w:rPr>
                <w:rFonts w:ascii="宋体"/>
              </w:rPr>
            </w:pPr>
          </w:p>
        </w:tc>
      </w:tr>
      <w:tr w:rsidR="00F20ABF" w14:paraId="1E804858" w14:textId="77777777">
        <w:tc>
          <w:tcPr>
            <w:tcW w:w="0" w:type="auto"/>
            <w:gridSpan w:val="3"/>
            <w:shd w:val="clear" w:color="auto" w:fill="FFFFFF"/>
            <w:tcMar>
              <w:top w:w="40" w:type="dxa"/>
              <w:left w:w="200" w:type="dxa"/>
              <w:bottom w:w="40" w:type="dxa"/>
              <w:right w:w="20" w:type="dxa"/>
            </w:tcMar>
            <w:vAlign w:val="bottom"/>
          </w:tcPr>
          <w:p w14:paraId="1E80484E" w14:textId="77777777" w:rsidR="00F20ABF" w:rsidRDefault="00CA4D2F">
            <w:pPr>
              <w:textAlignment w:val="bottom"/>
            </w:pPr>
            <w:r>
              <w:rPr>
                <w:rFonts w:ascii="sans-serif" w:eastAsia="sans-serif" w:hAnsi="sans-serif" w:cs="sans-serif"/>
                <w:color w:val="000000"/>
                <w:sz w:val="20"/>
                <w:szCs w:val="20"/>
              </w:rPr>
              <w:t>Money market funds</w:t>
            </w:r>
          </w:p>
        </w:tc>
        <w:tc>
          <w:tcPr>
            <w:tcW w:w="0" w:type="auto"/>
            <w:gridSpan w:val="3"/>
            <w:shd w:val="clear" w:color="auto" w:fill="FFFFFF"/>
            <w:tcMar>
              <w:top w:w="40" w:type="dxa"/>
              <w:left w:w="20" w:type="dxa"/>
              <w:bottom w:w="40" w:type="dxa"/>
              <w:right w:w="20" w:type="dxa"/>
            </w:tcMar>
            <w:vAlign w:val="bottom"/>
          </w:tcPr>
          <w:p w14:paraId="1E80484F" w14:textId="77777777" w:rsidR="00F20ABF" w:rsidRDefault="00CA4D2F">
            <w:pPr>
              <w:jc w:val="center"/>
              <w:textAlignment w:val="bottom"/>
            </w:pPr>
            <w:r>
              <w:rPr>
                <w:rFonts w:ascii="sans-serif" w:eastAsia="sans-serif" w:hAnsi="sans-serif" w:cs="sans-serif"/>
                <w:color w:val="000000"/>
                <w:sz w:val="20"/>
                <w:szCs w:val="20"/>
              </w:rPr>
              <w:t>Level 1</w:t>
            </w:r>
          </w:p>
        </w:tc>
        <w:tc>
          <w:tcPr>
            <w:tcW w:w="0" w:type="auto"/>
            <w:gridSpan w:val="3"/>
            <w:shd w:val="clear" w:color="auto" w:fill="FFFFFF"/>
            <w:tcMar>
              <w:top w:w="0" w:type="dxa"/>
              <w:left w:w="20" w:type="dxa"/>
              <w:bottom w:w="0" w:type="dxa"/>
              <w:right w:w="20" w:type="dxa"/>
            </w:tcMar>
          </w:tcPr>
          <w:p w14:paraId="1E804850"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851"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852" w14:textId="77777777" w:rsidR="00F20ABF" w:rsidRDefault="00CA4D2F">
            <w:pPr>
              <w:jc w:val="right"/>
              <w:textAlignment w:val="bottom"/>
            </w:pPr>
            <w:r>
              <w:rPr>
                <w:rFonts w:ascii="sans-serif" w:eastAsia="sans-serif" w:hAnsi="sans-serif" w:cs="sans-serif"/>
                <w:color w:val="000000"/>
                <w:sz w:val="20"/>
                <w:szCs w:val="20"/>
              </w:rPr>
              <w:t>388 </w:t>
            </w:r>
          </w:p>
        </w:tc>
        <w:tc>
          <w:tcPr>
            <w:tcW w:w="0" w:type="auto"/>
            <w:shd w:val="clear" w:color="auto" w:fill="FFFFFF"/>
            <w:tcMar>
              <w:top w:w="40" w:type="dxa"/>
              <w:left w:w="0" w:type="dxa"/>
              <w:bottom w:w="40" w:type="dxa"/>
              <w:right w:w="20" w:type="dxa"/>
            </w:tcMar>
            <w:vAlign w:val="bottom"/>
          </w:tcPr>
          <w:p w14:paraId="1E804853"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854"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855"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856" w14:textId="77777777" w:rsidR="00F20ABF" w:rsidRDefault="00CA4D2F">
            <w:pPr>
              <w:jc w:val="right"/>
              <w:textAlignment w:val="bottom"/>
            </w:pPr>
            <w:r>
              <w:rPr>
                <w:rFonts w:ascii="sans-serif" w:eastAsia="sans-serif" w:hAnsi="sans-serif" w:cs="sans-serif"/>
                <w:color w:val="000000"/>
                <w:sz w:val="20"/>
                <w:szCs w:val="20"/>
              </w:rPr>
              <w:t>7,507 </w:t>
            </w:r>
          </w:p>
        </w:tc>
        <w:tc>
          <w:tcPr>
            <w:tcW w:w="0" w:type="auto"/>
            <w:shd w:val="clear" w:color="auto" w:fill="FFFFFF"/>
            <w:tcMar>
              <w:top w:w="40" w:type="dxa"/>
              <w:left w:w="0" w:type="dxa"/>
              <w:bottom w:w="40" w:type="dxa"/>
              <w:right w:w="20" w:type="dxa"/>
            </w:tcMar>
            <w:vAlign w:val="bottom"/>
          </w:tcPr>
          <w:p w14:paraId="1E804857" w14:textId="77777777" w:rsidR="00F20ABF" w:rsidRDefault="00F20ABF">
            <w:pPr>
              <w:jc w:val="right"/>
              <w:rPr>
                <w:rFonts w:ascii="宋体"/>
              </w:rPr>
            </w:pPr>
          </w:p>
        </w:tc>
      </w:tr>
      <w:tr w:rsidR="00F20ABF" w14:paraId="1E804863" w14:textId="77777777">
        <w:tc>
          <w:tcPr>
            <w:tcW w:w="0" w:type="auto"/>
            <w:gridSpan w:val="3"/>
            <w:shd w:val="clear" w:color="auto" w:fill="E2EFD9"/>
            <w:tcMar>
              <w:top w:w="40" w:type="dxa"/>
              <w:left w:w="200" w:type="dxa"/>
              <w:bottom w:w="40" w:type="dxa"/>
              <w:right w:w="20" w:type="dxa"/>
            </w:tcMar>
            <w:vAlign w:val="bottom"/>
          </w:tcPr>
          <w:p w14:paraId="1E804859" w14:textId="77777777" w:rsidR="00F20ABF" w:rsidRDefault="00CA4D2F">
            <w:pPr>
              <w:textAlignment w:val="bottom"/>
            </w:pPr>
            <w:r>
              <w:rPr>
                <w:rFonts w:ascii="sans-serif" w:eastAsia="sans-serif" w:hAnsi="sans-serif" w:cs="sans-serif"/>
                <w:color w:val="000000"/>
                <w:sz w:val="20"/>
                <w:szCs w:val="20"/>
              </w:rPr>
              <w:t>Debt securities issued by the United States Treasury</w:t>
            </w:r>
          </w:p>
        </w:tc>
        <w:tc>
          <w:tcPr>
            <w:tcW w:w="0" w:type="auto"/>
            <w:gridSpan w:val="3"/>
            <w:shd w:val="clear" w:color="auto" w:fill="E2EFD9"/>
            <w:tcMar>
              <w:top w:w="40" w:type="dxa"/>
              <w:left w:w="20" w:type="dxa"/>
              <w:bottom w:w="40" w:type="dxa"/>
              <w:right w:w="20" w:type="dxa"/>
            </w:tcMar>
            <w:vAlign w:val="bottom"/>
          </w:tcPr>
          <w:p w14:paraId="1E80485A" w14:textId="77777777" w:rsidR="00F20ABF" w:rsidRDefault="00CA4D2F">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tcPr>
          <w:p w14:paraId="1E80485B"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85C"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85D" w14:textId="77777777" w:rsidR="00F20ABF" w:rsidRDefault="00CA4D2F">
            <w:pPr>
              <w:jc w:val="right"/>
              <w:textAlignment w:val="bottom"/>
            </w:pPr>
            <w:r>
              <w:rPr>
                <w:rFonts w:ascii="sans-serif" w:eastAsia="sans-serif" w:hAnsi="sans-serif" w:cs="sans-serif"/>
                <w:color w:val="000000"/>
                <w:sz w:val="20"/>
                <w:szCs w:val="20"/>
              </w:rPr>
              <w:t>3,881 </w:t>
            </w:r>
          </w:p>
        </w:tc>
        <w:tc>
          <w:tcPr>
            <w:tcW w:w="0" w:type="auto"/>
            <w:shd w:val="clear" w:color="auto" w:fill="E2EFD9"/>
            <w:tcMar>
              <w:top w:w="40" w:type="dxa"/>
              <w:left w:w="0" w:type="dxa"/>
              <w:bottom w:w="40" w:type="dxa"/>
              <w:right w:w="20" w:type="dxa"/>
            </w:tcMar>
            <w:vAlign w:val="bottom"/>
          </w:tcPr>
          <w:p w14:paraId="1E80485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85F"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860"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861" w14:textId="77777777" w:rsidR="00F20ABF" w:rsidRDefault="00CA4D2F">
            <w:pPr>
              <w:jc w:val="right"/>
              <w:textAlignment w:val="bottom"/>
            </w:pPr>
            <w:r>
              <w:rPr>
                <w:rFonts w:ascii="sans-serif" w:eastAsia="sans-serif" w:hAnsi="sans-serif" w:cs="sans-serif"/>
                <w:color w:val="000000"/>
                <w:sz w:val="20"/>
                <w:szCs w:val="20"/>
              </w:rPr>
              <w:t>1,358 </w:t>
            </w:r>
          </w:p>
        </w:tc>
        <w:tc>
          <w:tcPr>
            <w:tcW w:w="0" w:type="auto"/>
            <w:shd w:val="clear" w:color="auto" w:fill="E2EFD9"/>
            <w:tcMar>
              <w:top w:w="40" w:type="dxa"/>
              <w:left w:w="0" w:type="dxa"/>
              <w:bottom w:w="40" w:type="dxa"/>
              <w:right w:w="20" w:type="dxa"/>
            </w:tcMar>
            <w:vAlign w:val="bottom"/>
          </w:tcPr>
          <w:p w14:paraId="1E804862" w14:textId="77777777" w:rsidR="00F20ABF" w:rsidRDefault="00F20ABF">
            <w:pPr>
              <w:jc w:val="right"/>
              <w:rPr>
                <w:rFonts w:ascii="宋体"/>
              </w:rPr>
            </w:pPr>
          </w:p>
        </w:tc>
      </w:tr>
      <w:tr w:rsidR="00F20ABF" w14:paraId="1E80486E" w14:textId="77777777">
        <w:tc>
          <w:tcPr>
            <w:tcW w:w="0" w:type="auto"/>
            <w:gridSpan w:val="3"/>
            <w:shd w:val="clear" w:color="auto" w:fill="FFFFFF"/>
            <w:tcMar>
              <w:top w:w="40" w:type="dxa"/>
              <w:left w:w="200" w:type="dxa"/>
              <w:bottom w:w="40" w:type="dxa"/>
              <w:right w:w="20" w:type="dxa"/>
            </w:tcMar>
            <w:vAlign w:val="bottom"/>
          </w:tcPr>
          <w:p w14:paraId="1E804864" w14:textId="77777777" w:rsidR="00F20ABF" w:rsidRDefault="00CA4D2F">
            <w:pPr>
              <w:textAlignment w:val="bottom"/>
            </w:pPr>
            <w:r>
              <w:rPr>
                <w:rFonts w:ascii="sans-serif" w:eastAsia="sans-serif" w:hAnsi="sans-serif" w:cs="sans-serif"/>
                <w:color w:val="000000"/>
                <w:sz w:val="20"/>
                <w:szCs w:val="20"/>
              </w:rPr>
              <w:t>Corporate debt securities</w:t>
            </w:r>
          </w:p>
        </w:tc>
        <w:tc>
          <w:tcPr>
            <w:tcW w:w="0" w:type="auto"/>
            <w:gridSpan w:val="3"/>
            <w:shd w:val="clear" w:color="auto" w:fill="FFFFFF"/>
            <w:tcMar>
              <w:top w:w="40" w:type="dxa"/>
              <w:left w:w="20" w:type="dxa"/>
              <w:bottom w:w="40" w:type="dxa"/>
              <w:right w:w="20" w:type="dxa"/>
            </w:tcMar>
            <w:vAlign w:val="bottom"/>
          </w:tcPr>
          <w:p w14:paraId="1E804865" w14:textId="77777777" w:rsidR="00F20ABF" w:rsidRDefault="00CA4D2F">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tcPr>
          <w:p w14:paraId="1E804866"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867"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868" w14:textId="77777777" w:rsidR="00F20ABF" w:rsidRDefault="00CA4D2F">
            <w:pPr>
              <w:jc w:val="right"/>
              <w:textAlignment w:val="bottom"/>
            </w:pPr>
            <w:r>
              <w:rPr>
                <w:rFonts w:ascii="sans-serif" w:eastAsia="sans-serif" w:hAnsi="sans-serif" w:cs="sans-serif"/>
                <w:color w:val="000000"/>
                <w:sz w:val="20"/>
                <w:szCs w:val="20"/>
              </w:rPr>
              <w:t>3,141 </w:t>
            </w:r>
          </w:p>
        </w:tc>
        <w:tc>
          <w:tcPr>
            <w:tcW w:w="0" w:type="auto"/>
            <w:shd w:val="clear" w:color="auto" w:fill="FFFFFF"/>
            <w:tcMar>
              <w:top w:w="40" w:type="dxa"/>
              <w:left w:w="0" w:type="dxa"/>
              <w:bottom w:w="40" w:type="dxa"/>
              <w:right w:w="20" w:type="dxa"/>
            </w:tcMar>
            <w:vAlign w:val="bottom"/>
          </w:tcPr>
          <w:p w14:paraId="1E80486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86A"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86B"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86C" w14:textId="77777777" w:rsidR="00F20ABF" w:rsidRDefault="00CA4D2F">
            <w:pPr>
              <w:jc w:val="right"/>
              <w:textAlignment w:val="bottom"/>
            </w:pPr>
            <w:r>
              <w:rPr>
                <w:rFonts w:ascii="sans-serif" w:eastAsia="sans-serif" w:hAnsi="sans-serif" w:cs="sans-serif"/>
                <w:color w:val="000000"/>
                <w:sz w:val="20"/>
                <w:szCs w:val="20"/>
              </w:rPr>
              <w:t>592 </w:t>
            </w:r>
          </w:p>
        </w:tc>
        <w:tc>
          <w:tcPr>
            <w:tcW w:w="0" w:type="auto"/>
            <w:shd w:val="clear" w:color="auto" w:fill="FFFFFF"/>
            <w:tcMar>
              <w:top w:w="40" w:type="dxa"/>
              <w:left w:w="0" w:type="dxa"/>
              <w:bottom w:w="40" w:type="dxa"/>
              <w:right w:w="20" w:type="dxa"/>
            </w:tcMar>
            <w:vAlign w:val="bottom"/>
          </w:tcPr>
          <w:p w14:paraId="1E80486D" w14:textId="77777777" w:rsidR="00F20ABF" w:rsidRDefault="00F20ABF">
            <w:pPr>
              <w:jc w:val="right"/>
              <w:rPr>
                <w:rFonts w:ascii="宋体"/>
              </w:rPr>
            </w:pPr>
          </w:p>
        </w:tc>
      </w:tr>
      <w:tr w:rsidR="00F20ABF" w14:paraId="1E804879" w14:textId="77777777">
        <w:tc>
          <w:tcPr>
            <w:tcW w:w="0" w:type="auto"/>
            <w:gridSpan w:val="3"/>
            <w:shd w:val="clear" w:color="auto" w:fill="E2EFD9"/>
            <w:tcMar>
              <w:top w:w="40" w:type="dxa"/>
              <w:left w:w="200" w:type="dxa"/>
              <w:bottom w:w="40" w:type="dxa"/>
              <w:right w:w="20" w:type="dxa"/>
            </w:tcMar>
            <w:vAlign w:val="bottom"/>
          </w:tcPr>
          <w:p w14:paraId="1E80486F" w14:textId="77777777" w:rsidR="00F20ABF" w:rsidRDefault="00CA4D2F">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3"/>
            <w:shd w:val="clear" w:color="auto" w:fill="E2EFD9"/>
            <w:tcMar>
              <w:top w:w="40" w:type="dxa"/>
              <w:left w:w="20" w:type="dxa"/>
              <w:bottom w:w="40" w:type="dxa"/>
              <w:right w:w="20" w:type="dxa"/>
            </w:tcMar>
            <w:vAlign w:val="bottom"/>
          </w:tcPr>
          <w:p w14:paraId="1E804870" w14:textId="77777777" w:rsidR="00F20ABF" w:rsidRDefault="00CA4D2F">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tcPr>
          <w:p w14:paraId="1E804871"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872"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873" w14:textId="77777777" w:rsidR="00F20ABF" w:rsidRDefault="00CA4D2F">
            <w:pPr>
              <w:jc w:val="right"/>
              <w:textAlignment w:val="bottom"/>
            </w:pPr>
            <w:r>
              <w:rPr>
                <w:rFonts w:ascii="sans-serif" w:eastAsia="sans-serif" w:hAnsi="sans-serif" w:cs="sans-serif"/>
                <w:color w:val="000000"/>
                <w:sz w:val="20"/>
                <w:szCs w:val="20"/>
              </w:rPr>
              <w:t>1,572 </w:t>
            </w:r>
          </w:p>
        </w:tc>
        <w:tc>
          <w:tcPr>
            <w:tcW w:w="0" w:type="auto"/>
            <w:shd w:val="clear" w:color="auto" w:fill="E2EFD9"/>
            <w:tcMar>
              <w:top w:w="40" w:type="dxa"/>
              <w:left w:w="0" w:type="dxa"/>
              <w:bottom w:w="40" w:type="dxa"/>
              <w:right w:w="20" w:type="dxa"/>
            </w:tcMar>
            <w:vAlign w:val="bottom"/>
          </w:tcPr>
          <w:p w14:paraId="1E80487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875"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876"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877" w14:textId="77777777" w:rsidR="00F20ABF" w:rsidRDefault="00CA4D2F">
            <w:pPr>
              <w:jc w:val="right"/>
              <w:textAlignment w:val="bottom"/>
            </w:pPr>
            <w:r>
              <w:rPr>
                <w:rFonts w:ascii="sans-serif" w:eastAsia="sans-serif" w:hAnsi="sans-serif" w:cs="sans-serif"/>
                <w:color w:val="000000"/>
                <w:sz w:val="20"/>
                <w:szCs w:val="20"/>
              </w:rPr>
              <w:t>1,096 </w:t>
            </w:r>
          </w:p>
        </w:tc>
        <w:tc>
          <w:tcPr>
            <w:tcW w:w="0" w:type="auto"/>
            <w:shd w:val="clear" w:color="auto" w:fill="E2EFD9"/>
            <w:tcMar>
              <w:top w:w="40" w:type="dxa"/>
              <w:left w:w="0" w:type="dxa"/>
              <w:bottom w:w="40" w:type="dxa"/>
              <w:right w:w="20" w:type="dxa"/>
            </w:tcMar>
            <w:vAlign w:val="bottom"/>
          </w:tcPr>
          <w:p w14:paraId="1E804878" w14:textId="77777777" w:rsidR="00F20ABF" w:rsidRDefault="00F20ABF">
            <w:pPr>
              <w:jc w:val="right"/>
              <w:rPr>
                <w:rFonts w:ascii="宋体"/>
              </w:rPr>
            </w:pPr>
          </w:p>
        </w:tc>
      </w:tr>
      <w:tr w:rsidR="00F20ABF" w14:paraId="1E804884" w14:textId="77777777">
        <w:tc>
          <w:tcPr>
            <w:tcW w:w="0" w:type="auto"/>
            <w:gridSpan w:val="3"/>
            <w:shd w:val="clear" w:color="auto" w:fill="FFFFFF"/>
            <w:tcMar>
              <w:top w:w="40" w:type="dxa"/>
              <w:left w:w="200" w:type="dxa"/>
              <w:bottom w:w="40" w:type="dxa"/>
              <w:right w:w="20" w:type="dxa"/>
            </w:tcMar>
            <w:vAlign w:val="bottom"/>
          </w:tcPr>
          <w:p w14:paraId="1E80487A" w14:textId="77777777" w:rsidR="00F20ABF" w:rsidRDefault="00CA4D2F">
            <w:pPr>
              <w:textAlignment w:val="bottom"/>
            </w:pPr>
            <w:r>
              <w:rPr>
                <w:rFonts w:ascii="sans-serif" w:eastAsia="sans-serif" w:hAnsi="sans-serif" w:cs="sans-serif"/>
                <w:color w:val="000000"/>
                <w:sz w:val="20"/>
                <w:szCs w:val="20"/>
              </w:rPr>
              <w:t>Certificates of deposit</w:t>
            </w:r>
          </w:p>
        </w:tc>
        <w:tc>
          <w:tcPr>
            <w:tcW w:w="0" w:type="auto"/>
            <w:gridSpan w:val="3"/>
            <w:shd w:val="clear" w:color="auto" w:fill="FFFFFF"/>
            <w:tcMar>
              <w:top w:w="40" w:type="dxa"/>
              <w:left w:w="20" w:type="dxa"/>
              <w:bottom w:w="40" w:type="dxa"/>
              <w:right w:w="20" w:type="dxa"/>
            </w:tcMar>
            <w:vAlign w:val="bottom"/>
          </w:tcPr>
          <w:p w14:paraId="1E80487B" w14:textId="77777777" w:rsidR="00F20ABF" w:rsidRDefault="00CA4D2F">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tcPr>
          <w:p w14:paraId="1E80487C"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87D"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87E" w14:textId="77777777" w:rsidR="00F20ABF" w:rsidRDefault="00CA4D2F">
            <w:pPr>
              <w:jc w:val="right"/>
              <w:textAlignment w:val="bottom"/>
            </w:pPr>
            <w:r>
              <w:rPr>
                <w:rFonts w:ascii="sans-serif" w:eastAsia="sans-serif" w:hAnsi="sans-serif" w:cs="sans-serif"/>
                <w:color w:val="000000"/>
                <w:sz w:val="20"/>
                <w:szCs w:val="20"/>
              </w:rPr>
              <w:t>797 </w:t>
            </w:r>
          </w:p>
        </w:tc>
        <w:tc>
          <w:tcPr>
            <w:tcW w:w="0" w:type="auto"/>
            <w:shd w:val="clear" w:color="auto" w:fill="FFFFFF"/>
            <w:tcMar>
              <w:top w:w="40" w:type="dxa"/>
              <w:left w:w="0" w:type="dxa"/>
              <w:bottom w:w="40" w:type="dxa"/>
              <w:right w:w="20" w:type="dxa"/>
            </w:tcMar>
            <w:vAlign w:val="bottom"/>
          </w:tcPr>
          <w:p w14:paraId="1E80487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880"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881"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882" w14:textId="77777777" w:rsidR="00F20ABF" w:rsidRDefault="00CA4D2F">
            <w:pPr>
              <w:jc w:val="right"/>
              <w:textAlignment w:val="bottom"/>
            </w:pPr>
            <w:r>
              <w:rPr>
                <w:rFonts w:ascii="sans-serif" w:eastAsia="sans-serif" w:hAnsi="sans-serif" w:cs="sans-serif"/>
                <w:color w:val="000000"/>
                <w:sz w:val="20"/>
                <w:szCs w:val="20"/>
              </w:rPr>
              <w:t>27 </w:t>
            </w:r>
          </w:p>
        </w:tc>
        <w:tc>
          <w:tcPr>
            <w:tcW w:w="0" w:type="auto"/>
            <w:shd w:val="clear" w:color="auto" w:fill="FFFFFF"/>
            <w:tcMar>
              <w:top w:w="40" w:type="dxa"/>
              <w:left w:w="0" w:type="dxa"/>
              <w:bottom w:w="40" w:type="dxa"/>
              <w:right w:w="20" w:type="dxa"/>
            </w:tcMar>
            <w:vAlign w:val="bottom"/>
          </w:tcPr>
          <w:p w14:paraId="1E804883" w14:textId="77777777" w:rsidR="00F20ABF" w:rsidRDefault="00F20ABF">
            <w:pPr>
              <w:jc w:val="right"/>
              <w:rPr>
                <w:rFonts w:ascii="宋体"/>
              </w:rPr>
            </w:pPr>
          </w:p>
        </w:tc>
      </w:tr>
      <w:tr w:rsidR="00F20ABF" w14:paraId="1E80488F" w14:textId="77777777">
        <w:tc>
          <w:tcPr>
            <w:tcW w:w="0" w:type="auto"/>
            <w:gridSpan w:val="3"/>
            <w:shd w:val="clear" w:color="auto" w:fill="E2EFD9"/>
            <w:tcMar>
              <w:top w:w="40" w:type="dxa"/>
              <w:left w:w="200" w:type="dxa"/>
              <w:bottom w:w="40" w:type="dxa"/>
              <w:right w:w="20" w:type="dxa"/>
            </w:tcMar>
            <w:vAlign w:val="bottom"/>
          </w:tcPr>
          <w:p w14:paraId="1E804885" w14:textId="77777777" w:rsidR="00F20ABF" w:rsidRDefault="00CA4D2F">
            <w:pPr>
              <w:textAlignment w:val="bottom"/>
            </w:pPr>
            <w:r>
              <w:rPr>
                <w:rFonts w:ascii="sans-serif" w:eastAsia="sans-serif" w:hAnsi="sans-serif" w:cs="sans-serif"/>
                <w:color w:val="000000"/>
                <w:sz w:val="20"/>
                <w:szCs w:val="20"/>
              </w:rPr>
              <w:t>Foreign government bonds</w:t>
            </w:r>
          </w:p>
        </w:tc>
        <w:tc>
          <w:tcPr>
            <w:tcW w:w="0" w:type="auto"/>
            <w:gridSpan w:val="3"/>
            <w:shd w:val="clear" w:color="auto" w:fill="E2EFD9"/>
            <w:tcMar>
              <w:top w:w="40" w:type="dxa"/>
              <w:left w:w="20" w:type="dxa"/>
              <w:bottom w:w="40" w:type="dxa"/>
              <w:right w:w="20" w:type="dxa"/>
            </w:tcMar>
            <w:vAlign w:val="bottom"/>
          </w:tcPr>
          <w:p w14:paraId="1E804886" w14:textId="77777777" w:rsidR="00F20ABF" w:rsidRDefault="00CA4D2F">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tcPr>
          <w:p w14:paraId="1E804887"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888"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889" w14:textId="77777777" w:rsidR="00F20ABF" w:rsidRDefault="00CA4D2F">
            <w:pPr>
              <w:jc w:val="right"/>
              <w:textAlignment w:val="bottom"/>
            </w:pPr>
            <w:r>
              <w:rPr>
                <w:rFonts w:ascii="sans-serif" w:eastAsia="sans-serif" w:hAnsi="sans-serif" w:cs="sans-serif"/>
                <w:color w:val="000000"/>
                <w:sz w:val="20"/>
                <w:szCs w:val="20"/>
              </w:rPr>
              <w:t>117 </w:t>
            </w:r>
          </w:p>
        </w:tc>
        <w:tc>
          <w:tcPr>
            <w:tcW w:w="0" w:type="auto"/>
            <w:shd w:val="clear" w:color="auto" w:fill="E2EFD9"/>
            <w:tcMar>
              <w:top w:w="40" w:type="dxa"/>
              <w:left w:w="0" w:type="dxa"/>
              <w:bottom w:w="40" w:type="dxa"/>
              <w:right w:w="20" w:type="dxa"/>
            </w:tcMar>
            <w:vAlign w:val="bottom"/>
          </w:tcPr>
          <w:p w14:paraId="1E80488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88B"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88C"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88D" w14:textId="77777777" w:rsidR="00F20ABF" w:rsidRDefault="00CA4D2F">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left w:w="0" w:type="dxa"/>
              <w:bottom w:w="40" w:type="dxa"/>
              <w:right w:w="20" w:type="dxa"/>
            </w:tcMar>
            <w:vAlign w:val="bottom"/>
          </w:tcPr>
          <w:p w14:paraId="1E80488E" w14:textId="77777777" w:rsidR="00F20ABF" w:rsidRDefault="00F20ABF">
            <w:pPr>
              <w:jc w:val="right"/>
              <w:rPr>
                <w:rFonts w:ascii="宋体"/>
              </w:rPr>
            </w:pPr>
          </w:p>
        </w:tc>
      </w:tr>
      <w:tr w:rsidR="00F20ABF" w14:paraId="1E80489A" w14:textId="77777777">
        <w:tc>
          <w:tcPr>
            <w:tcW w:w="0" w:type="auto"/>
            <w:gridSpan w:val="3"/>
            <w:shd w:val="clear" w:color="auto" w:fill="FFFFFF"/>
            <w:tcMar>
              <w:top w:w="40" w:type="dxa"/>
              <w:left w:w="200" w:type="dxa"/>
              <w:bottom w:w="40" w:type="dxa"/>
              <w:right w:w="20" w:type="dxa"/>
            </w:tcMar>
            <w:vAlign w:val="bottom"/>
          </w:tcPr>
          <w:p w14:paraId="1E804890" w14:textId="77777777" w:rsidR="00F20ABF" w:rsidRDefault="00CA4D2F">
            <w:pPr>
              <w:textAlignment w:val="bottom"/>
            </w:pPr>
            <w:r>
              <w:rPr>
                <w:rFonts w:ascii="sans-serif" w:eastAsia="sans-serif" w:hAnsi="sans-serif" w:cs="sans-serif"/>
                <w:color w:val="000000"/>
                <w:sz w:val="20"/>
                <w:szCs w:val="20"/>
              </w:rPr>
              <w:t>Asset-backed securities</w:t>
            </w:r>
          </w:p>
        </w:tc>
        <w:tc>
          <w:tcPr>
            <w:tcW w:w="0" w:type="auto"/>
            <w:gridSpan w:val="3"/>
            <w:shd w:val="clear" w:color="auto" w:fill="FFFFFF"/>
            <w:tcMar>
              <w:top w:w="40" w:type="dxa"/>
              <w:left w:w="20" w:type="dxa"/>
              <w:bottom w:w="40" w:type="dxa"/>
              <w:right w:w="20" w:type="dxa"/>
            </w:tcMar>
            <w:vAlign w:val="bottom"/>
          </w:tcPr>
          <w:p w14:paraId="1E804891" w14:textId="77777777" w:rsidR="00F20ABF" w:rsidRDefault="00CA4D2F">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tcPr>
          <w:p w14:paraId="1E804892"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893"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894"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89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896"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897"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898" w14:textId="77777777" w:rsidR="00F20ABF" w:rsidRDefault="00CA4D2F">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1E804899" w14:textId="77777777" w:rsidR="00F20ABF" w:rsidRDefault="00F20ABF">
            <w:pPr>
              <w:jc w:val="right"/>
              <w:rPr>
                <w:rFonts w:ascii="宋体"/>
              </w:rPr>
            </w:pPr>
          </w:p>
        </w:tc>
      </w:tr>
      <w:tr w:rsidR="00F20ABF" w14:paraId="1E8048A1" w14:textId="77777777">
        <w:trPr>
          <w:hidden/>
        </w:trPr>
        <w:tc>
          <w:tcPr>
            <w:tcW w:w="0" w:type="auto"/>
            <w:gridSpan w:val="3"/>
            <w:shd w:val="clear" w:color="auto" w:fill="auto"/>
          </w:tcPr>
          <w:p w14:paraId="1E80489B" w14:textId="77777777" w:rsidR="00F20ABF" w:rsidRDefault="00F20ABF">
            <w:pPr>
              <w:rPr>
                <w:rFonts w:ascii="宋体"/>
                <w:vanish/>
              </w:rPr>
            </w:pPr>
          </w:p>
        </w:tc>
        <w:tc>
          <w:tcPr>
            <w:tcW w:w="0" w:type="auto"/>
            <w:gridSpan w:val="3"/>
            <w:shd w:val="clear" w:color="auto" w:fill="auto"/>
          </w:tcPr>
          <w:p w14:paraId="1E80489C" w14:textId="77777777" w:rsidR="00F20ABF" w:rsidRDefault="00F20ABF">
            <w:pPr>
              <w:rPr>
                <w:rFonts w:ascii="宋体"/>
                <w:vanish/>
              </w:rPr>
            </w:pPr>
          </w:p>
        </w:tc>
        <w:tc>
          <w:tcPr>
            <w:tcW w:w="0" w:type="auto"/>
            <w:gridSpan w:val="3"/>
            <w:shd w:val="clear" w:color="auto" w:fill="auto"/>
          </w:tcPr>
          <w:p w14:paraId="1E80489D" w14:textId="77777777" w:rsidR="00F20ABF" w:rsidRDefault="00F20ABF">
            <w:pPr>
              <w:rPr>
                <w:rFonts w:ascii="宋体"/>
                <w:vanish/>
              </w:rPr>
            </w:pPr>
          </w:p>
        </w:tc>
        <w:tc>
          <w:tcPr>
            <w:tcW w:w="0" w:type="auto"/>
            <w:gridSpan w:val="3"/>
            <w:shd w:val="clear" w:color="auto" w:fill="auto"/>
          </w:tcPr>
          <w:p w14:paraId="1E80489E" w14:textId="77777777" w:rsidR="00F20ABF" w:rsidRDefault="00F20ABF">
            <w:pPr>
              <w:rPr>
                <w:rFonts w:ascii="宋体"/>
                <w:vanish/>
              </w:rPr>
            </w:pPr>
          </w:p>
        </w:tc>
        <w:tc>
          <w:tcPr>
            <w:tcW w:w="0" w:type="auto"/>
            <w:gridSpan w:val="3"/>
            <w:shd w:val="clear" w:color="auto" w:fill="auto"/>
          </w:tcPr>
          <w:p w14:paraId="1E80489F" w14:textId="77777777" w:rsidR="00F20ABF" w:rsidRDefault="00F20ABF">
            <w:pPr>
              <w:rPr>
                <w:rFonts w:ascii="宋体"/>
                <w:vanish/>
              </w:rPr>
            </w:pPr>
          </w:p>
        </w:tc>
        <w:tc>
          <w:tcPr>
            <w:tcW w:w="0" w:type="auto"/>
            <w:gridSpan w:val="3"/>
            <w:shd w:val="clear" w:color="auto" w:fill="auto"/>
          </w:tcPr>
          <w:p w14:paraId="1E8048A0" w14:textId="77777777" w:rsidR="00F20ABF" w:rsidRDefault="00F20ABF">
            <w:pPr>
              <w:rPr>
                <w:rFonts w:ascii="宋体"/>
                <w:vanish/>
              </w:rPr>
            </w:pPr>
          </w:p>
        </w:tc>
      </w:tr>
      <w:tr w:rsidR="00F20ABF" w14:paraId="1E8048A8" w14:textId="77777777">
        <w:tc>
          <w:tcPr>
            <w:tcW w:w="0" w:type="auto"/>
            <w:gridSpan w:val="3"/>
            <w:shd w:val="clear" w:color="auto" w:fill="E2EFD9"/>
            <w:tcMar>
              <w:top w:w="40" w:type="dxa"/>
              <w:left w:w="80" w:type="dxa"/>
              <w:bottom w:w="40" w:type="dxa"/>
              <w:right w:w="20" w:type="dxa"/>
            </w:tcMar>
            <w:vAlign w:val="bottom"/>
          </w:tcPr>
          <w:p w14:paraId="1E8048A2" w14:textId="77777777" w:rsidR="00F20ABF" w:rsidRDefault="00CA4D2F">
            <w:pPr>
              <w:textAlignment w:val="bottom"/>
            </w:pPr>
            <w:r>
              <w:rPr>
                <w:rFonts w:ascii="sans-serif" w:eastAsia="sans-serif" w:hAnsi="sans-serif" w:cs="sans-serif"/>
                <w:color w:val="000000"/>
                <w:sz w:val="20"/>
                <w:szCs w:val="20"/>
              </w:rPr>
              <w:t>Other asset:</w:t>
            </w:r>
          </w:p>
        </w:tc>
        <w:tc>
          <w:tcPr>
            <w:tcW w:w="0" w:type="auto"/>
            <w:gridSpan w:val="3"/>
            <w:shd w:val="clear" w:color="auto" w:fill="E2EFD9"/>
            <w:tcMar>
              <w:top w:w="0" w:type="dxa"/>
              <w:left w:w="20" w:type="dxa"/>
              <w:bottom w:w="0" w:type="dxa"/>
              <w:right w:w="20" w:type="dxa"/>
            </w:tcMar>
          </w:tcPr>
          <w:p w14:paraId="1E8048A3"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8A4"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8A5"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8A6"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8A7" w14:textId="77777777" w:rsidR="00F20ABF" w:rsidRDefault="00F20ABF">
            <w:pPr>
              <w:rPr>
                <w:rFonts w:ascii="宋体"/>
              </w:rPr>
            </w:pPr>
          </w:p>
        </w:tc>
      </w:tr>
      <w:tr w:rsidR="00F20ABF" w14:paraId="1E8048B3" w14:textId="77777777">
        <w:tc>
          <w:tcPr>
            <w:tcW w:w="0" w:type="auto"/>
            <w:gridSpan w:val="3"/>
            <w:shd w:val="clear" w:color="auto" w:fill="FFFFFF"/>
            <w:tcMar>
              <w:top w:w="40" w:type="dxa"/>
              <w:left w:w="200" w:type="dxa"/>
              <w:bottom w:w="40" w:type="dxa"/>
              <w:right w:w="20" w:type="dxa"/>
            </w:tcMar>
            <w:vAlign w:val="bottom"/>
          </w:tcPr>
          <w:p w14:paraId="1E8048A9" w14:textId="77777777" w:rsidR="00F20ABF" w:rsidRDefault="00CA4D2F">
            <w:pPr>
              <w:textAlignment w:val="bottom"/>
            </w:pPr>
            <w:r>
              <w:rPr>
                <w:rFonts w:ascii="sans-serif" w:eastAsia="sans-serif" w:hAnsi="sans-serif" w:cs="sans-serif"/>
                <w:color w:val="000000"/>
                <w:sz w:val="20"/>
                <w:szCs w:val="20"/>
              </w:rPr>
              <w:t>Investment in non-affiliated entities (1)</w:t>
            </w:r>
          </w:p>
        </w:tc>
        <w:tc>
          <w:tcPr>
            <w:tcW w:w="0" w:type="auto"/>
            <w:gridSpan w:val="3"/>
            <w:shd w:val="clear" w:color="auto" w:fill="FFFFFF"/>
            <w:tcMar>
              <w:top w:w="40" w:type="dxa"/>
              <w:left w:w="20" w:type="dxa"/>
              <w:bottom w:w="40" w:type="dxa"/>
              <w:right w:w="20" w:type="dxa"/>
            </w:tcMar>
            <w:vAlign w:val="bottom"/>
          </w:tcPr>
          <w:p w14:paraId="1E8048AA" w14:textId="77777777" w:rsidR="00F20ABF" w:rsidRDefault="00CA4D2F">
            <w:pPr>
              <w:jc w:val="center"/>
              <w:textAlignment w:val="bottom"/>
            </w:pPr>
            <w:r>
              <w:rPr>
                <w:rFonts w:ascii="sans-serif" w:eastAsia="sans-serif" w:hAnsi="sans-serif" w:cs="sans-serif"/>
                <w:color w:val="000000"/>
                <w:sz w:val="20"/>
                <w:szCs w:val="20"/>
              </w:rPr>
              <w:t>Level 3</w:t>
            </w:r>
          </w:p>
        </w:tc>
        <w:tc>
          <w:tcPr>
            <w:tcW w:w="0" w:type="auto"/>
            <w:gridSpan w:val="3"/>
            <w:shd w:val="clear" w:color="auto" w:fill="FFFFFF"/>
            <w:tcMar>
              <w:top w:w="0" w:type="dxa"/>
              <w:left w:w="20" w:type="dxa"/>
              <w:bottom w:w="0" w:type="dxa"/>
              <w:right w:w="20" w:type="dxa"/>
            </w:tcMar>
          </w:tcPr>
          <w:p w14:paraId="1E8048AB"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8AC"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8AD" w14:textId="77777777" w:rsidR="00F20ABF" w:rsidRDefault="00CA4D2F">
            <w:pPr>
              <w:jc w:val="right"/>
              <w:textAlignment w:val="bottom"/>
            </w:pPr>
            <w:r>
              <w:rPr>
                <w:rFonts w:ascii="sans-serif" w:eastAsia="sans-serif" w:hAnsi="sans-serif" w:cs="sans-serif"/>
                <w:color w:val="000000"/>
                <w:sz w:val="20"/>
                <w:szCs w:val="20"/>
              </w:rPr>
              <w:t>106 </w:t>
            </w:r>
          </w:p>
        </w:tc>
        <w:tc>
          <w:tcPr>
            <w:tcW w:w="0" w:type="auto"/>
            <w:shd w:val="clear" w:color="auto" w:fill="FFFFFF"/>
            <w:tcMar>
              <w:top w:w="40" w:type="dxa"/>
              <w:left w:w="0" w:type="dxa"/>
              <w:bottom w:w="40" w:type="dxa"/>
              <w:right w:w="20" w:type="dxa"/>
            </w:tcMar>
            <w:vAlign w:val="bottom"/>
          </w:tcPr>
          <w:p w14:paraId="1E8048A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8AF"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8B0"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8B1" w14:textId="77777777" w:rsidR="00F20ABF" w:rsidRDefault="00CA4D2F">
            <w:pPr>
              <w:jc w:val="right"/>
              <w:textAlignment w:val="bottom"/>
            </w:pPr>
            <w:r>
              <w:rPr>
                <w:rFonts w:ascii="sans-serif" w:eastAsia="sans-serif" w:hAnsi="sans-serif" w:cs="sans-serif"/>
                <w:color w:val="000000"/>
                <w:sz w:val="20"/>
                <w:szCs w:val="20"/>
              </w:rPr>
              <w:t>77 </w:t>
            </w:r>
          </w:p>
        </w:tc>
        <w:tc>
          <w:tcPr>
            <w:tcW w:w="0" w:type="auto"/>
            <w:shd w:val="clear" w:color="auto" w:fill="FFFFFF"/>
            <w:tcMar>
              <w:top w:w="40" w:type="dxa"/>
              <w:left w:w="0" w:type="dxa"/>
              <w:bottom w:w="40" w:type="dxa"/>
              <w:right w:w="20" w:type="dxa"/>
            </w:tcMar>
            <w:vAlign w:val="bottom"/>
          </w:tcPr>
          <w:p w14:paraId="1E8048B2" w14:textId="77777777" w:rsidR="00F20ABF" w:rsidRDefault="00F20ABF">
            <w:pPr>
              <w:jc w:val="right"/>
              <w:rPr>
                <w:rFonts w:ascii="宋体"/>
              </w:rPr>
            </w:pPr>
          </w:p>
        </w:tc>
      </w:tr>
      <w:tr w:rsidR="00F20ABF" w14:paraId="1E8048BA" w14:textId="77777777">
        <w:trPr>
          <w:trHeight w:val="300"/>
        </w:trPr>
        <w:tc>
          <w:tcPr>
            <w:tcW w:w="0" w:type="auto"/>
            <w:gridSpan w:val="3"/>
            <w:shd w:val="clear" w:color="auto" w:fill="E2EFD9"/>
            <w:tcMar>
              <w:top w:w="0" w:type="dxa"/>
              <w:left w:w="20" w:type="dxa"/>
              <w:bottom w:w="0" w:type="dxa"/>
              <w:right w:w="20" w:type="dxa"/>
            </w:tcMar>
          </w:tcPr>
          <w:p w14:paraId="1E8048B4"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8B5"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8B6"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8B7"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8B8"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8B9" w14:textId="77777777" w:rsidR="00F20ABF" w:rsidRDefault="00F20ABF">
            <w:pPr>
              <w:rPr>
                <w:rFonts w:ascii="宋体"/>
              </w:rPr>
            </w:pPr>
          </w:p>
        </w:tc>
      </w:tr>
      <w:tr w:rsidR="00F20ABF" w14:paraId="1E8048C1" w14:textId="77777777">
        <w:trPr>
          <w:hidden/>
        </w:trPr>
        <w:tc>
          <w:tcPr>
            <w:tcW w:w="0" w:type="auto"/>
            <w:gridSpan w:val="3"/>
            <w:shd w:val="clear" w:color="auto" w:fill="auto"/>
          </w:tcPr>
          <w:p w14:paraId="1E8048BB" w14:textId="77777777" w:rsidR="00F20ABF" w:rsidRDefault="00F20ABF">
            <w:pPr>
              <w:rPr>
                <w:rFonts w:ascii="宋体"/>
                <w:vanish/>
              </w:rPr>
            </w:pPr>
          </w:p>
        </w:tc>
        <w:tc>
          <w:tcPr>
            <w:tcW w:w="0" w:type="auto"/>
            <w:gridSpan w:val="3"/>
            <w:shd w:val="clear" w:color="auto" w:fill="auto"/>
          </w:tcPr>
          <w:p w14:paraId="1E8048BC" w14:textId="77777777" w:rsidR="00F20ABF" w:rsidRDefault="00F20ABF">
            <w:pPr>
              <w:rPr>
                <w:rFonts w:ascii="宋体"/>
                <w:vanish/>
              </w:rPr>
            </w:pPr>
          </w:p>
        </w:tc>
        <w:tc>
          <w:tcPr>
            <w:tcW w:w="0" w:type="auto"/>
            <w:gridSpan w:val="3"/>
            <w:shd w:val="clear" w:color="auto" w:fill="auto"/>
          </w:tcPr>
          <w:p w14:paraId="1E8048BD" w14:textId="77777777" w:rsidR="00F20ABF" w:rsidRDefault="00F20ABF">
            <w:pPr>
              <w:rPr>
                <w:rFonts w:ascii="宋体"/>
                <w:vanish/>
              </w:rPr>
            </w:pPr>
          </w:p>
        </w:tc>
        <w:tc>
          <w:tcPr>
            <w:tcW w:w="0" w:type="auto"/>
            <w:gridSpan w:val="3"/>
            <w:shd w:val="clear" w:color="auto" w:fill="auto"/>
          </w:tcPr>
          <w:p w14:paraId="1E8048BE" w14:textId="77777777" w:rsidR="00F20ABF" w:rsidRDefault="00F20ABF">
            <w:pPr>
              <w:rPr>
                <w:rFonts w:ascii="宋体"/>
                <w:vanish/>
              </w:rPr>
            </w:pPr>
          </w:p>
        </w:tc>
        <w:tc>
          <w:tcPr>
            <w:tcW w:w="0" w:type="auto"/>
            <w:gridSpan w:val="3"/>
            <w:shd w:val="clear" w:color="auto" w:fill="auto"/>
          </w:tcPr>
          <w:p w14:paraId="1E8048BF" w14:textId="77777777" w:rsidR="00F20ABF" w:rsidRDefault="00F20ABF">
            <w:pPr>
              <w:rPr>
                <w:rFonts w:ascii="宋体"/>
                <w:vanish/>
              </w:rPr>
            </w:pPr>
          </w:p>
        </w:tc>
        <w:tc>
          <w:tcPr>
            <w:tcW w:w="0" w:type="auto"/>
            <w:gridSpan w:val="3"/>
            <w:shd w:val="clear" w:color="auto" w:fill="auto"/>
          </w:tcPr>
          <w:p w14:paraId="1E8048C0" w14:textId="77777777" w:rsidR="00F20ABF" w:rsidRDefault="00F20ABF">
            <w:pPr>
              <w:rPr>
                <w:rFonts w:ascii="宋体"/>
                <w:vanish/>
              </w:rPr>
            </w:pPr>
          </w:p>
        </w:tc>
      </w:tr>
      <w:tr w:rsidR="00F20ABF" w14:paraId="1E8048C8" w14:textId="77777777">
        <w:trPr>
          <w:hidden/>
        </w:trPr>
        <w:tc>
          <w:tcPr>
            <w:tcW w:w="0" w:type="auto"/>
            <w:gridSpan w:val="3"/>
            <w:shd w:val="clear" w:color="auto" w:fill="auto"/>
          </w:tcPr>
          <w:p w14:paraId="1E8048C2" w14:textId="77777777" w:rsidR="00F20ABF" w:rsidRDefault="00F20ABF">
            <w:pPr>
              <w:rPr>
                <w:rFonts w:ascii="宋体"/>
                <w:vanish/>
              </w:rPr>
            </w:pPr>
          </w:p>
        </w:tc>
        <w:tc>
          <w:tcPr>
            <w:tcW w:w="0" w:type="auto"/>
            <w:gridSpan w:val="3"/>
            <w:shd w:val="clear" w:color="auto" w:fill="auto"/>
          </w:tcPr>
          <w:p w14:paraId="1E8048C3" w14:textId="77777777" w:rsidR="00F20ABF" w:rsidRDefault="00F20ABF">
            <w:pPr>
              <w:rPr>
                <w:rFonts w:ascii="宋体"/>
                <w:vanish/>
              </w:rPr>
            </w:pPr>
          </w:p>
        </w:tc>
        <w:tc>
          <w:tcPr>
            <w:tcW w:w="0" w:type="auto"/>
            <w:gridSpan w:val="3"/>
            <w:shd w:val="clear" w:color="auto" w:fill="auto"/>
          </w:tcPr>
          <w:p w14:paraId="1E8048C4" w14:textId="77777777" w:rsidR="00F20ABF" w:rsidRDefault="00F20ABF">
            <w:pPr>
              <w:rPr>
                <w:rFonts w:ascii="宋体"/>
                <w:vanish/>
              </w:rPr>
            </w:pPr>
          </w:p>
        </w:tc>
        <w:tc>
          <w:tcPr>
            <w:tcW w:w="0" w:type="auto"/>
            <w:gridSpan w:val="3"/>
            <w:shd w:val="clear" w:color="auto" w:fill="auto"/>
          </w:tcPr>
          <w:p w14:paraId="1E8048C5" w14:textId="77777777" w:rsidR="00F20ABF" w:rsidRDefault="00F20ABF">
            <w:pPr>
              <w:rPr>
                <w:rFonts w:ascii="宋体"/>
                <w:vanish/>
              </w:rPr>
            </w:pPr>
          </w:p>
        </w:tc>
        <w:tc>
          <w:tcPr>
            <w:tcW w:w="0" w:type="auto"/>
            <w:gridSpan w:val="3"/>
            <w:shd w:val="clear" w:color="auto" w:fill="auto"/>
          </w:tcPr>
          <w:p w14:paraId="1E8048C6" w14:textId="77777777" w:rsidR="00F20ABF" w:rsidRDefault="00F20ABF">
            <w:pPr>
              <w:rPr>
                <w:rFonts w:ascii="宋体"/>
                <w:vanish/>
              </w:rPr>
            </w:pPr>
          </w:p>
        </w:tc>
        <w:tc>
          <w:tcPr>
            <w:tcW w:w="0" w:type="auto"/>
            <w:gridSpan w:val="3"/>
            <w:shd w:val="clear" w:color="auto" w:fill="auto"/>
          </w:tcPr>
          <w:p w14:paraId="1E8048C7" w14:textId="77777777" w:rsidR="00F20ABF" w:rsidRDefault="00F20ABF">
            <w:pPr>
              <w:rPr>
                <w:rFonts w:ascii="宋体"/>
                <w:vanish/>
              </w:rPr>
            </w:pPr>
          </w:p>
        </w:tc>
      </w:tr>
      <w:tr w:rsidR="00F20ABF" w14:paraId="1E8048CF" w14:textId="77777777">
        <w:tc>
          <w:tcPr>
            <w:tcW w:w="0" w:type="auto"/>
            <w:gridSpan w:val="3"/>
            <w:shd w:val="clear" w:color="auto" w:fill="FFFFFF"/>
            <w:tcMar>
              <w:top w:w="40" w:type="dxa"/>
              <w:left w:w="20" w:type="dxa"/>
              <w:bottom w:w="40" w:type="dxa"/>
              <w:right w:w="20" w:type="dxa"/>
            </w:tcMar>
            <w:vAlign w:val="bottom"/>
          </w:tcPr>
          <w:p w14:paraId="1E8048C9" w14:textId="77777777" w:rsidR="00F20ABF" w:rsidRDefault="00CA4D2F">
            <w:pPr>
              <w:textAlignment w:val="bottom"/>
            </w:pPr>
            <w:r>
              <w:rPr>
                <w:rFonts w:ascii="sans-serif" w:eastAsia="sans-serif" w:hAnsi="sans-serif" w:cs="sans-serif"/>
                <w:b/>
                <w:bCs/>
                <w:color w:val="000000"/>
                <w:sz w:val="20"/>
                <w:szCs w:val="20"/>
              </w:rPr>
              <w:t>Liabilities</w:t>
            </w:r>
          </w:p>
        </w:tc>
        <w:tc>
          <w:tcPr>
            <w:tcW w:w="0" w:type="auto"/>
            <w:gridSpan w:val="3"/>
            <w:shd w:val="clear" w:color="auto" w:fill="FFFFFF"/>
            <w:tcMar>
              <w:top w:w="0" w:type="dxa"/>
              <w:left w:w="20" w:type="dxa"/>
              <w:bottom w:w="0" w:type="dxa"/>
              <w:right w:w="20" w:type="dxa"/>
            </w:tcMar>
          </w:tcPr>
          <w:p w14:paraId="1E8048CA"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8CB"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8CC"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8CD"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8CE" w14:textId="77777777" w:rsidR="00F20ABF" w:rsidRDefault="00F20ABF">
            <w:pPr>
              <w:rPr>
                <w:rFonts w:ascii="宋体"/>
              </w:rPr>
            </w:pPr>
          </w:p>
        </w:tc>
      </w:tr>
      <w:tr w:rsidR="00F20ABF" w14:paraId="1E8048D6" w14:textId="77777777">
        <w:trPr>
          <w:hidden/>
        </w:trPr>
        <w:tc>
          <w:tcPr>
            <w:tcW w:w="0" w:type="auto"/>
            <w:gridSpan w:val="3"/>
            <w:shd w:val="clear" w:color="auto" w:fill="auto"/>
          </w:tcPr>
          <w:p w14:paraId="1E8048D0" w14:textId="77777777" w:rsidR="00F20ABF" w:rsidRDefault="00F20ABF">
            <w:pPr>
              <w:rPr>
                <w:rFonts w:ascii="宋体"/>
                <w:vanish/>
              </w:rPr>
            </w:pPr>
          </w:p>
        </w:tc>
        <w:tc>
          <w:tcPr>
            <w:tcW w:w="0" w:type="auto"/>
            <w:gridSpan w:val="3"/>
            <w:shd w:val="clear" w:color="auto" w:fill="auto"/>
          </w:tcPr>
          <w:p w14:paraId="1E8048D1" w14:textId="77777777" w:rsidR="00F20ABF" w:rsidRDefault="00F20ABF">
            <w:pPr>
              <w:rPr>
                <w:rFonts w:ascii="宋体"/>
                <w:vanish/>
              </w:rPr>
            </w:pPr>
          </w:p>
        </w:tc>
        <w:tc>
          <w:tcPr>
            <w:tcW w:w="0" w:type="auto"/>
            <w:gridSpan w:val="3"/>
            <w:shd w:val="clear" w:color="auto" w:fill="auto"/>
          </w:tcPr>
          <w:p w14:paraId="1E8048D2" w14:textId="77777777" w:rsidR="00F20ABF" w:rsidRDefault="00F20ABF">
            <w:pPr>
              <w:rPr>
                <w:rFonts w:ascii="宋体"/>
                <w:vanish/>
              </w:rPr>
            </w:pPr>
          </w:p>
        </w:tc>
        <w:tc>
          <w:tcPr>
            <w:tcW w:w="0" w:type="auto"/>
            <w:gridSpan w:val="3"/>
            <w:shd w:val="clear" w:color="auto" w:fill="auto"/>
          </w:tcPr>
          <w:p w14:paraId="1E8048D3" w14:textId="77777777" w:rsidR="00F20ABF" w:rsidRDefault="00F20ABF">
            <w:pPr>
              <w:rPr>
                <w:rFonts w:ascii="宋体"/>
                <w:vanish/>
              </w:rPr>
            </w:pPr>
          </w:p>
        </w:tc>
        <w:tc>
          <w:tcPr>
            <w:tcW w:w="0" w:type="auto"/>
            <w:gridSpan w:val="3"/>
            <w:shd w:val="clear" w:color="auto" w:fill="auto"/>
          </w:tcPr>
          <w:p w14:paraId="1E8048D4" w14:textId="77777777" w:rsidR="00F20ABF" w:rsidRDefault="00F20ABF">
            <w:pPr>
              <w:rPr>
                <w:rFonts w:ascii="宋体"/>
                <w:vanish/>
              </w:rPr>
            </w:pPr>
          </w:p>
        </w:tc>
        <w:tc>
          <w:tcPr>
            <w:tcW w:w="0" w:type="auto"/>
            <w:gridSpan w:val="3"/>
            <w:shd w:val="clear" w:color="auto" w:fill="auto"/>
          </w:tcPr>
          <w:p w14:paraId="1E8048D5" w14:textId="77777777" w:rsidR="00F20ABF" w:rsidRDefault="00F20ABF">
            <w:pPr>
              <w:rPr>
                <w:rFonts w:ascii="宋体"/>
                <w:vanish/>
              </w:rPr>
            </w:pPr>
          </w:p>
        </w:tc>
      </w:tr>
      <w:tr w:rsidR="00F20ABF" w14:paraId="1E8048DD" w14:textId="77777777">
        <w:trPr>
          <w:hidden/>
        </w:trPr>
        <w:tc>
          <w:tcPr>
            <w:tcW w:w="0" w:type="auto"/>
            <w:gridSpan w:val="3"/>
            <w:shd w:val="clear" w:color="auto" w:fill="auto"/>
          </w:tcPr>
          <w:p w14:paraId="1E8048D7" w14:textId="77777777" w:rsidR="00F20ABF" w:rsidRDefault="00F20ABF">
            <w:pPr>
              <w:rPr>
                <w:rFonts w:ascii="宋体"/>
                <w:vanish/>
              </w:rPr>
            </w:pPr>
          </w:p>
        </w:tc>
        <w:tc>
          <w:tcPr>
            <w:tcW w:w="0" w:type="auto"/>
            <w:gridSpan w:val="3"/>
            <w:shd w:val="clear" w:color="auto" w:fill="auto"/>
          </w:tcPr>
          <w:p w14:paraId="1E8048D8" w14:textId="77777777" w:rsidR="00F20ABF" w:rsidRDefault="00F20ABF">
            <w:pPr>
              <w:rPr>
                <w:rFonts w:ascii="宋体"/>
                <w:vanish/>
              </w:rPr>
            </w:pPr>
          </w:p>
        </w:tc>
        <w:tc>
          <w:tcPr>
            <w:tcW w:w="0" w:type="auto"/>
            <w:gridSpan w:val="3"/>
            <w:shd w:val="clear" w:color="auto" w:fill="auto"/>
          </w:tcPr>
          <w:p w14:paraId="1E8048D9" w14:textId="77777777" w:rsidR="00F20ABF" w:rsidRDefault="00F20ABF">
            <w:pPr>
              <w:rPr>
                <w:rFonts w:ascii="宋体"/>
                <w:vanish/>
              </w:rPr>
            </w:pPr>
          </w:p>
        </w:tc>
        <w:tc>
          <w:tcPr>
            <w:tcW w:w="0" w:type="auto"/>
            <w:gridSpan w:val="3"/>
            <w:shd w:val="clear" w:color="auto" w:fill="auto"/>
          </w:tcPr>
          <w:p w14:paraId="1E8048DA" w14:textId="77777777" w:rsidR="00F20ABF" w:rsidRDefault="00F20ABF">
            <w:pPr>
              <w:rPr>
                <w:rFonts w:ascii="宋体"/>
                <w:vanish/>
              </w:rPr>
            </w:pPr>
          </w:p>
        </w:tc>
        <w:tc>
          <w:tcPr>
            <w:tcW w:w="0" w:type="auto"/>
            <w:gridSpan w:val="3"/>
            <w:shd w:val="clear" w:color="auto" w:fill="auto"/>
          </w:tcPr>
          <w:p w14:paraId="1E8048DB" w14:textId="77777777" w:rsidR="00F20ABF" w:rsidRDefault="00F20ABF">
            <w:pPr>
              <w:rPr>
                <w:rFonts w:ascii="宋体"/>
                <w:vanish/>
              </w:rPr>
            </w:pPr>
          </w:p>
        </w:tc>
        <w:tc>
          <w:tcPr>
            <w:tcW w:w="0" w:type="auto"/>
            <w:gridSpan w:val="3"/>
            <w:shd w:val="clear" w:color="auto" w:fill="auto"/>
          </w:tcPr>
          <w:p w14:paraId="1E8048DC" w14:textId="77777777" w:rsidR="00F20ABF" w:rsidRDefault="00F20ABF">
            <w:pPr>
              <w:rPr>
                <w:rFonts w:ascii="宋体"/>
                <w:vanish/>
              </w:rPr>
            </w:pPr>
          </w:p>
        </w:tc>
      </w:tr>
      <w:tr w:rsidR="00F20ABF" w14:paraId="1E8048E4" w14:textId="77777777">
        <w:trPr>
          <w:hidden/>
        </w:trPr>
        <w:tc>
          <w:tcPr>
            <w:tcW w:w="0" w:type="auto"/>
            <w:gridSpan w:val="3"/>
            <w:shd w:val="clear" w:color="auto" w:fill="auto"/>
          </w:tcPr>
          <w:p w14:paraId="1E8048DE" w14:textId="77777777" w:rsidR="00F20ABF" w:rsidRDefault="00F20ABF">
            <w:pPr>
              <w:rPr>
                <w:rFonts w:ascii="宋体"/>
                <w:vanish/>
              </w:rPr>
            </w:pPr>
          </w:p>
        </w:tc>
        <w:tc>
          <w:tcPr>
            <w:tcW w:w="0" w:type="auto"/>
            <w:gridSpan w:val="3"/>
            <w:shd w:val="clear" w:color="auto" w:fill="auto"/>
          </w:tcPr>
          <w:p w14:paraId="1E8048DF" w14:textId="77777777" w:rsidR="00F20ABF" w:rsidRDefault="00F20ABF">
            <w:pPr>
              <w:rPr>
                <w:rFonts w:ascii="宋体"/>
                <w:vanish/>
              </w:rPr>
            </w:pPr>
          </w:p>
        </w:tc>
        <w:tc>
          <w:tcPr>
            <w:tcW w:w="0" w:type="auto"/>
            <w:gridSpan w:val="3"/>
            <w:shd w:val="clear" w:color="auto" w:fill="auto"/>
          </w:tcPr>
          <w:p w14:paraId="1E8048E0" w14:textId="77777777" w:rsidR="00F20ABF" w:rsidRDefault="00F20ABF">
            <w:pPr>
              <w:rPr>
                <w:rFonts w:ascii="宋体"/>
                <w:vanish/>
              </w:rPr>
            </w:pPr>
          </w:p>
        </w:tc>
        <w:tc>
          <w:tcPr>
            <w:tcW w:w="0" w:type="auto"/>
            <w:gridSpan w:val="3"/>
            <w:shd w:val="clear" w:color="auto" w:fill="auto"/>
          </w:tcPr>
          <w:p w14:paraId="1E8048E1" w14:textId="77777777" w:rsidR="00F20ABF" w:rsidRDefault="00F20ABF">
            <w:pPr>
              <w:rPr>
                <w:rFonts w:ascii="宋体"/>
                <w:vanish/>
              </w:rPr>
            </w:pPr>
          </w:p>
        </w:tc>
        <w:tc>
          <w:tcPr>
            <w:tcW w:w="0" w:type="auto"/>
            <w:gridSpan w:val="3"/>
            <w:shd w:val="clear" w:color="auto" w:fill="auto"/>
          </w:tcPr>
          <w:p w14:paraId="1E8048E2" w14:textId="77777777" w:rsidR="00F20ABF" w:rsidRDefault="00F20ABF">
            <w:pPr>
              <w:rPr>
                <w:rFonts w:ascii="宋体"/>
                <w:vanish/>
              </w:rPr>
            </w:pPr>
          </w:p>
        </w:tc>
        <w:tc>
          <w:tcPr>
            <w:tcW w:w="0" w:type="auto"/>
            <w:gridSpan w:val="3"/>
            <w:shd w:val="clear" w:color="auto" w:fill="auto"/>
          </w:tcPr>
          <w:p w14:paraId="1E8048E3" w14:textId="77777777" w:rsidR="00F20ABF" w:rsidRDefault="00F20ABF">
            <w:pPr>
              <w:rPr>
                <w:rFonts w:ascii="宋体"/>
                <w:vanish/>
              </w:rPr>
            </w:pPr>
          </w:p>
        </w:tc>
      </w:tr>
      <w:tr w:rsidR="00F20ABF" w14:paraId="1E8048EB" w14:textId="77777777">
        <w:tc>
          <w:tcPr>
            <w:tcW w:w="0" w:type="auto"/>
            <w:gridSpan w:val="3"/>
            <w:shd w:val="clear" w:color="auto" w:fill="E2EFD9"/>
            <w:tcMar>
              <w:top w:w="40" w:type="dxa"/>
              <w:left w:w="20" w:type="dxa"/>
              <w:bottom w:w="40" w:type="dxa"/>
              <w:right w:w="20" w:type="dxa"/>
            </w:tcMar>
            <w:vAlign w:val="bottom"/>
          </w:tcPr>
          <w:p w14:paraId="1E8048E5" w14:textId="77777777" w:rsidR="00F20ABF" w:rsidRDefault="00CA4D2F">
            <w:pPr>
              <w:textAlignment w:val="bottom"/>
            </w:pPr>
            <w:r>
              <w:rPr>
                <w:rFonts w:ascii="sans-serif" w:eastAsia="sans-serif" w:hAnsi="sans-serif" w:cs="sans-serif"/>
                <w:color w:val="000000"/>
                <w:sz w:val="20"/>
                <w:szCs w:val="20"/>
              </w:rPr>
              <w:t>Other non-current liabilities:</w:t>
            </w:r>
          </w:p>
        </w:tc>
        <w:tc>
          <w:tcPr>
            <w:tcW w:w="0" w:type="auto"/>
            <w:gridSpan w:val="3"/>
            <w:shd w:val="clear" w:color="auto" w:fill="E2EFD9"/>
            <w:tcMar>
              <w:top w:w="0" w:type="dxa"/>
              <w:left w:w="20" w:type="dxa"/>
              <w:bottom w:w="0" w:type="dxa"/>
              <w:right w:w="20" w:type="dxa"/>
            </w:tcMar>
          </w:tcPr>
          <w:p w14:paraId="1E8048E6"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8E7"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8E8"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8E9"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8EA" w14:textId="77777777" w:rsidR="00F20ABF" w:rsidRDefault="00F20ABF">
            <w:pPr>
              <w:rPr>
                <w:rFonts w:ascii="宋体"/>
              </w:rPr>
            </w:pPr>
          </w:p>
        </w:tc>
      </w:tr>
      <w:tr w:rsidR="00F20ABF" w14:paraId="1E8048F6" w14:textId="77777777">
        <w:tc>
          <w:tcPr>
            <w:tcW w:w="0" w:type="auto"/>
            <w:gridSpan w:val="3"/>
            <w:shd w:val="clear" w:color="auto" w:fill="FFFFFF"/>
            <w:tcMar>
              <w:top w:w="40" w:type="dxa"/>
              <w:left w:w="20" w:type="dxa"/>
              <w:bottom w:w="40" w:type="dxa"/>
              <w:right w:w="20" w:type="dxa"/>
            </w:tcMar>
            <w:vAlign w:val="bottom"/>
          </w:tcPr>
          <w:p w14:paraId="1E8048EC" w14:textId="77777777" w:rsidR="00F20ABF" w:rsidRDefault="00CA4D2F">
            <w:pPr>
              <w:textAlignment w:val="bottom"/>
            </w:pPr>
            <w:r>
              <w:rPr>
                <w:rFonts w:ascii="sans-serif" w:eastAsia="sans-serif" w:hAnsi="sans-serif" w:cs="sans-serif"/>
                <w:color w:val="000000"/>
                <w:sz w:val="20"/>
                <w:szCs w:val="20"/>
              </w:rPr>
              <w:t>2.20% Notes Due 2021 (2)</w:t>
            </w:r>
          </w:p>
        </w:tc>
        <w:tc>
          <w:tcPr>
            <w:tcW w:w="0" w:type="auto"/>
            <w:gridSpan w:val="3"/>
            <w:shd w:val="clear" w:color="auto" w:fill="FFFFFF"/>
            <w:tcMar>
              <w:top w:w="40" w:type="dxa"/>
              <w:left w:w="20" w:type="dxa"/>
              <w:bottom w:w="40" w:type="dxa"/>
              <w:right w:w="20" w:type="dxa"/>
            </w:tcMar>
            <w:vAlign w:val="bottom"/>
          </w:tcPr>
          <w:p w14:paraId="1E8048ED" w14:textId="77777777" w:rsidR="00F20ABF" w:rsidRDefault="00CA4D2F">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tcPr>
          <w:p w14:paraId="1E8048EE"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8EF"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8F0" w14:textId="77777777" w:rsidR="00F20ABF" w:rsidRDefault="00CA4D2F">
            <w:pPr>
              <w:jc w:val="right"/>
              <w:textAlignment w:val="bottom"/>
            </w:pPr>
            <w:r>
              <w:rPr>
                <w:rFonts w:ascii="sans-serif" w:eastAsia="sans-serif" w:hAnsi="sans-serif" w:cs="sans-serif"/>
                <w:color w:val="000000"/>
                <w:sz w:val="20"/>
                <w:szCs w:val="20"/>
              </w:rPr>
              <w:t>1,016 </w:t>
            </w:r>
          </w:p>
        </w:tc>
        <w:tc>
          <w:tcPr>
            <w:tcW w:w="0" w:type="auto"/>
            <w:shd w:val="clear" w:color="auto" w:fill="FFFFFF"/>
            <w:tcMar>
              <w:top w:w="40" w:type="dxa"/>
              <w:left w:w="0" w:type="dxa"/>
              <w:bottom w:w="40" w:type="dxa"/>
              <w:right w:w="20" w:type="dxa"/>
            </w:tcMar>
            <w:vAlign w:val="bottom"/>
          </w:tcPr>
          <w:p w14:paraId="1E8048F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8F2"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8F3"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8F4" w14:textId="77777777" w:rsidR="00F20ABF" w:rsidRDefault="00CA4D2F">
            <w:pPr>
              <w:jc w:val="right"/>
              <w:textAlignment w:val="bottom"/>
            </w:pPr>
            <w:r>
              <w:rPr>
                <w:rFonts w:ascii="sans-serif" w:eastAsia="sans-serif" w:hAnsi="sans-serif" w:cs="sans-serif"/>
                <w:color w:val="000000"/>
                <w:sz w:val="20"/>
                <w:szCs w:val="20"/>
              </w:rPr>
              <w:t>1,006 </w:t>
            </w:r>
          </w:p>
        </w:tc>
        <w:tc>
          <w:tcPr>
            <w:tcW w:w="0" w:type="auto"/>
            <w:shd w:val="clear" w:color="auto" w:fill="FFFFFF"/>
            <w:tcMar>
              <w:top w:w="40" w:type="dxa"/>
              <w:left w:w="0" w:type="dxa"/>
              <w:bottom w:w="40" w:type="dxa"/>
              <w:right w:w="20" w:type="dxa"/>
            </w:tcMar>
            <w:vAlign w:val="bottom"/>
          </w:tcPr>
          <w:p w14:paraId="1E8048F5" w14:textId="77777777" w:rsidR="00F20ABF" w:rsidRDefault="00F20ABF">
            <w:pPr>
              <w:jc w:val="right"/>
              <w:rPr>
                <w:rFonts w:ascii="宋体"/>
              </w:rPr>
            </w:pPr>
          </w:p>
        </w:tc>
      </w:tr>
      <w:tr w:rsidR="00F20ABF" w14:paraId="1E804901" w14:textId="77777777">
        <w:tc>
          <w:tcPr>
            <w:tcW w:w="0" w:type="auto"/>
            <w:gridSpan w:val="3"/>
            <w:shd w:val="clear" w:color="auto" w:fill="E2EFD9"/>
            <w:tcMar>
              <w:top w:w="40" w:type="dxa"/>
              <w:left w:w="20" w:type="dxa"/>
              <w:bottom w:w="40" w:type="dxa"/>
              <w:right w:w="20" w:type="dxa"/>
            </w:tcMar>
            <w:vAlign w:val="bottom"/>
          </w:tcPr>
          <w:p w14:paraId="1E8048F7" w14:textId="77777777" w:rsidR="00F20ABF" w:rsidRDefault="00CA4D2F">
            <w:pPr>
              <w:textAlignment w:val="bottom"/>
            </w:pPr>
            <w:r>
              <w:rPr>
                <w:rFonts w:ascii="sans-serif" w:eastAsia="sans-serif" w:hAnsi="sans-serif" w:cs="sans-serif"/>
                <w:color w:val="000000"/>
                <w:sz w:val="20"/>
                <w:szCs w:val="20"/>
              </w:rPr>
              <w:t>3.20% Notes Due 2026 (2)</w:t>
            </w:r>
          </w:p>
        </w:tc>
        <w:tc>
          <w:tcPr>
            <w:tcW w:w="0" w:type="auto"/>
            <w:gridSpan w:val="3"/>
            <w:shd w:val="clear" w:color="auto" w:fill="E2EFD9"/>
            <w:tcMar>
              <w:top w:w="40" w:type="dxa"/>
              <w:left w:w="20" w:type="dxa"/>
              <w:bottom w:w="40" w:type="dxa"/>
              <w:right w:w="20" w:type="dxa"/>
            </w:tcMar>
            <w:vAlign w:val="bottom"/>
          </w:tcPr>
          <w:p w14:paraId="1E8048F8" w14:textId="77777777" w:rsidR="00F20ABF" w:rsidRDefault="00CA4D2F">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tcPr>
          <w:p w14:paraId="1E8048F9"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8FA"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8FB" w14:textId="77777777" w:rsidR="00F20ABF" w:rsidRDefault="00CA4D2F">
            <w:pPr>
              <w:jc w:val="right"/>
              <w:textAlignment w:val="bottom"/>
            </w:pPr>
            <w:r>
              <w:rPr>
                <w:rFonts w:ascii="sans-serif" w:eastAsia="sans-serif" w:hAnsi="sans-serif" w:cs="sans-serif"/>
                <w:color w:val="000000"/>
                <w:sz w:val="20"/>
                <w:szCs w:val="20"/>
              </w:rPr>
              <w:t>1,127 </w:t>
            </w:r>
          </w:p>
        </w:tc>
        <w:tc>
          <w:tcPr>
            <w:tcW w:w="0" w:type="auto"/>
            <w:shd w:val="clear" w:color="auto" w:fill="E2EFD9"/>
            <w:tcMar>
              <w:top w:w="40" w:type="dxa"/>
              <w:left w:w="0" w:type="dxa"/>
              <w:bottom w:w="40" w:type="dxa"/>
              <w:right w:w="20" w:type="dxa"/>
            </w:tcMar>
            <w:vAlign w:val="bottom"/>
          </w:tcPr>
          <w:p w14:paraId="1E8048F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8FD"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8FE"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8FF" w14:textId="77777777" w:rsidR="00F20ABF" w:rsidRDefault="00CA4D2F">
            <w:pPr>
              <w:jc w:val="right"/>
              <w:textAlignment w:val="bottom"/>
            </w:pPr>
            <w:r>
              <w:rPr>
                <w:rFonts w:ascii="sans-serif" w:eastAsia="sans-serif" w:hAnsi="sans-serif" w:cs="sans-serif"/>
                <w:color w:val="000000"/>
                <w:sz w:val="20"/>
                <w:szCs w:val="20"/>
              </w:rPr>
              <w:t>1,065 </w:t>
            </w:r>
          </w:p>
        </w:tc>
        <w:tc>
          <w:tcPr>
            <w:tcW w:w="0" w:type="auto"/>
            <w:shd w:val="clear" w:color="auto" w:fill="E2EFD9"/>
            <w:tcMar>
              <w:top w:w="40" w:type="dxa"/>
              <w:left w:w="0" w:type="dxa"/>
              <w:bottom w:w="40" w:type="dxa"/>
              <w:right w:w="20" w:type="dxa"/>
            </w:tcMar>
            <w:vAlign w:val="bottom"/>
          </w:tcPr>
          <w:p w14:paraId="1E804900" w14:textId="77777777" w:rsidR="00F20ABF" w:rsidRDefault="00F20ABF">
            <w:pPr>
              <w:jc w:val="right"/>
              <w:rPr>
                <w:rFonts w:ascii="宋体"/>
              </w:rPr>
            </w:pPr>
          </w:p>
        </w:tc>
      </w:tr>
      <w:tr w:rsidR="00F20ABF" w14:paraId="1E80490C" w14:textId="77777777">
        <w:tc>
          <w:tcPr>
            <w:tcW w:w="0" w:type="auto"/>
            <w:gridSpan w:val="3"/>
            <w:shd w:val="clear" w:color="auto" w:fill="FFFFFF"/>
            <w:tcMar>
              <w:top w:w="40" w:type="dxa"/>
              <w:left w:w="20" w:type="dxa"/>
              <w:bottom w:w="40" w:type="dxa"/>
              <w:right w:w="20" w:type="dxa"/>
            </w:tcMar>
            <w:vAlign w:val="bottom"/>
          </w:tcPr>
          <w:p w14:paraId="1E804902" w14:textId="77777777" w:rsidR="00F20ABF" w:rsidRDefault="00CA4D2F">
            <w:pPr>
              <w:textAlignment w:val="bottom"/>
            </w:pPr>
            <w:r>
              <w:rPr>
                <w:rFonts w:ascii="sans-serif" w:eastAsia="sans-serif" w:hAnsi="sans-serif" w:cs="sans-serif"/>
                <w:color w:val="000000"/>
                <w:sz w:val="20"/>
                <w:szCs w:val="20"/>
              </w:rPr>
              <w:t xml:space="preserve">2.85% Notes Due </w:t>
            </w:r>
            <w:r>
              <w:rPr>
                <w:rFonts w:ascii="sans-serif" w:eastAsia="sans-serif" w:hAnsi="sans-serif" w:cs="sans-serif"/>
                <w:color w:val="000000"/>
                <w:sz w:val="20"/>
                <w:szCs w:val="20"/>
              </w:rPr>
              <w:t>2030 (2)</w:t>
            </w:r>
          </w:p>
        </w:tc>
        <w:tc>
          <w:tcPr>
            <w:tcW w:w="0" w:type="auto"/>
            <w:gridSpan w:val="3"/>
            <w:shd w:val="clear" w:color="auto" w:fill="FFFFFF"/>
            <w:tcMar>
              <w:top w:w="40" w:type="dxa"/>
              <w:left w:w="20" w:type="dxa"/>
              <w:bottom w:w="40" w:type="dxa"/>
              <w:right w:w="20" w:type="dxa"/>
            </w:tcMar>
            <w:vAlign w:val="bottom"/>
          </w:tcPr>
          <w:p w14:paraId="1E804903" w14:textId="77777777" w:rsidR="00F20ABF" w:rsidRDefault="00CA4D2F">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tcPr>
          <w:p w14:paraId="1E804904"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905"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906" w14:textId="77777777" w:rsidR="00F20ABF" w:rsidRDefault="00CA4D2F">
            <w:pPr>
              <w:jc w:val="right"/>
              <w:textAlignment w:val="bottom"/>
            </w:pPr>
            <w:r>
              <w:rPr>
                <w:rFonts w:ascii="sans-serif" w:eastAsia="sans-serif" w:hAnsi="sans-serif" w:cs="sans-serif"/>
                <w:color w:val="000000"/>
                <w:sz w:val="20"/>
                <w:szCs w:val="20"/>
              </w:rPr>
              <w:t>1,676 </w:t>
            </w:r>
          </w:p>
        </w:tc>
        <w:tc>
          <w:tcPr>
            <w:tcW w:w="0" w:type="auto"/>
            <w:shd w:val="clear" w:color="auto" w:fill="FFFFFF"/>
            <w:tcMar>
              <w:top w:w="40" w:type="dxa"/>
              <w:left w:w="0" w:type="dxa"/>
              <w:bottom w:w="40" w:type="dxa"/>
              <w:right w:w="20" w:type="dxa"/>
            </w:tcMar>
            <w:vAlign w:val="bottom"/>
          </w:tcPr>
          <w:p w14:paraId="1E804907"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908"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909"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90A"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90B" w14:textId="77777777" w:rsidR="00F20ABF" w:rsidRDefault="00F20ABF">
            <w:pPr>
              <w:jc w:val="right"/>
              <w:rPr>
                <w:rFonts w:ascii="宋体"/>
              </w:rPr>
            </w:pPr>
          </w:p>
        </w:tc>
      </w:tr>
      <w:tr w:rsidR="00F20ABF" w14:paraId="1E804917" w14:textId="77777777">
        <w:tc>
          <w:tcPr>
            <w:tcW w:w="0" w:type="auto"/>
            <w:gridSpan w:val="3"/>
            <w:shd w:val="clear" w:color="auto" w:fill="E2EFD9"/>
            <w:tcMar>
              <w:top w:w="40" w:type="dxa"/>
              <w:left w:w="20" w:type="dxa"/>
              <w:bottom w:w="40" w:type="dxa"/>
              <w:right w:w="20" w:type="dxa"/>
            </w:tcMar>
            <w:vAlign w:val="bottom"/>
          </w:tcPr>
          <w:p w14:paraId="1E80490D" w14:textId="77777777" w:rsidR="00F20ABF" w:rsidRDefault="00CA4D2F">
            <w:pPr>
              <w:textAlignment w:val="bottom"/>
            </w:pPr>
            <w:r>
              <w:rPr>
                <w:rFonts w:ascii="sans-serif" w:eastAsia="sans-serif" w:hAnsi="sans-serif" w:cs="sans-serif"/>
                <w:color w:val="000000"/>
                <w:sz w:val="20"/>
                <w:szCs w:val="20"/>
              </w:rPr>
              <w:t>3.50% Notes Due 2040 (2)</w:t>
            </w:r>
          </w:p>
        </w:tc>
        <w:tc>
          <w:tcPr>
            <w:tcW w:w="0" w:type="auto"/>
            <w:gridSpan w:val="3"/>
            <w:shd w:val="clear" w:color="auto" w:fill="E2EFD9"/>
            <w:tcMar>
              <w:top w:w="40" w:type="dxa"/>
              <w:left w:w="20" w:type="dxa"/>
              <w:bottom w:w="40" w:type="dxa"/>
              <w:right w:w="20" w:type="dxa"/>
            </w:tcMar>
            <w:vAlign w:val="bottom"/>
          </w:tcPr>
          <w:p w14:paraId="1E80490E" w14:textId="77777777" w:rsidR="00F20ABF" w:rsidRDefault="00CA4D2F">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tcPr>
          <w:p w14:paraId="1E80490F"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910"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911" w14:textId="77777777" w:rsidR="00F20ABF" w:rsidRDefault="00CA4D2F">
            <w:pPr>
              <w:jc w:val="right"/>
              <w:textAlignment w:val="bottom"/>
            </w:pPr>
            <w:r>
              <w:rPr>
                <w:rFonts w:ascii="sans-serif" w:eastAsia="sans-serif" w:hAnsi="sans-serif" w:cs="sans-serif"/>
                <w:color w:val="000000"/>
                <w:sz w:val="20"/>
                <w:szCs w:val="20"/>
              </w:rPr>
              <w:t>1,163 </w:t>
            </w:r>
          </w:p>
        </w:tc>
        <w:tc>
          <w:tcPr>
            <w:tcW w:w="0" w:type="auto"/>
            <w:shd w:val="clear" w:color="auto" w:fill="E2EFD9"/>
            <w:tcMar>
              <w:top w:w="40" w:type="dxa"/>
              <w:left w:w="0" w:type="dxa"/>
              <w:bottom w:w="40" w:type="dxa"/>
              <w:right w:w="20" w:type="dxa"/>
            </w:tcMar>
            <w:vAlign w:val="bottom"/>
          </w:tcPr>
          <w:p w14:paraId="1E80491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913"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914"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915"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916" w14:textId="77777777" w:rsidR="00F20ABF" w:rsidRDefault="00F20ABF">
            <w:pPr>
              <w:jc w:val="right"/>
              <w:rPr>
                <w:rFonts w:ascii="宋体"/>
              </w:rPr>
            </w:pPr>
          </w:p>
        </w:tc>
      </w:tr>
      <w:tr w:rsidR="00F20ABF" w14:paraId="1E804922" w14:textId="77777777">
        <w:tc>
          <w:tcPr>
            <w:tcW w:w="0" w:type="auto"/>
            <w:gridSpan w:val="3"/>
            <w:shd w:val="clear" w:color="auto" w:fill="FFFFFF"/>
            <w:tcMar>
              <w:top w:w="40" w:type="dxa"/>
              <w:left w:w="20" w:type="dxa"/>
              <w:bottom w:w="40" w:type="dxa"/>
              <w:right w:w="20" w:type="dxa"/>
            </w:tcMar>
            <w:vAlign w:val="bottom"/>
          </w:tcPr>
          <w:p w14:paraId="1E804918" w14:textId="77777777" w:rsidR="00F20ABF" w:rsidRDefault="00CA4D2F">
            <w:pPr>
              <w:textAlignment w:val="bottom"/>
            </w:pPr>
            <w:r>
              <w:rPr>
                <w:rFonts w:ascii="sans-serif" w:eastAsia="sans-serif" w:hAnsi="sans-serif" w:cs="sans-serif"/>
                <w:color w:val="000000"/>
                <w:sz w:val="20"/>
                <w:szCs w:val="20"/>
              </w:rPr>
              <w:t>3.50% Notes Due 2050 (2)</w:t>
            </w:r>
          </w:p>
        </w:tc>
        <w:tc>
          <w:tcPr>
            <w:tcW w:w="0" w:type="auto"/>
            <w:gridSpan w:val="3"/>
            <w:shd w:val="clear" w:color="auto" w:fill="FFFFFF"/>
            <w:tcMar>
              <w:top w:w="40" w:type="dxa"/>
              <w:left w:w="20" w:type="dxa"/>
              <w:bottom w:w="40" w:type="dxa"/>
              <w:right w:w="20" w:type="dxa"/>
            </w:tcMar>
            <w:vAlign w:val="bottom"/>
          </w:tcPr>
          <w:p w14:paraId="1E804919" w14:textId="77777777" w:rsidR="00F20ABF" w:rsidRDefault="00CA4D2F">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tcPr>
          <w:p w14:paraId="1E80491A"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91B"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91C" w14:textId="77777777" w:rsidR="00F20ABF" w:rsidRDefault="00CA4D2F">
            <w:pPr>
              <w:jc w:val="right"/>
              <w:textAlignment w:val="bottom"/>
            </w:pPr>
            <w:r>
              <w:rPr>
                <w:rFonts w:ascii="sans-serif" w:eastAsia="sans-serif" w:hAnsi="sans-serif" w:cs="sans-serif"/>
                <w:color w:val="000000"/>
                <w:sz w:val="20"/>
                <w:szCs w:val="20"/>
              </w:rPr>
              <w:t>2,311 </w:t>
            </w:r>
          </w:p>
        </w:tc>
        <w:tc>
          <w:tcPr>
            <w:tcW w:w="0" w:type="auto"/>
            <w:shd w:val="clear" w:color="auto" w:fill="FFFFFF"/>
            <w:tcMar>
              <w:top w:w="40" w:type="dxa"/>
              <w:left w:w="0" w:type="dxa"/>
              <w:bottom w:w="40" w:type="dxa"/>
              <w:right w:w="20" w:type="dxa"/>
            </w:tcMar>
            <w:vAlign w:val="bottom"/>
          </w:tcPr>
          <w:p w14:paraId="1E80491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91E"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91F"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920"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921" w14:textId="77777777" w:rsidR="00F20ABF" w:rsidRDefault="00F20ABF">
            <w:pPr>
              <w:jc w:val="right"/>
              <w:rPr>
                <w:rFonts w:ascii="宋体"/>
              </w:rPr>
            </w:pPr>
          </w:p>
        </w:tc>
      </w:tr>
      <w:tr w:rsidR="00F20ABF" w14:paraId="1E80492D" w14:textId="77777777">
        <w:tc>
          <w:tcPr>
            <w:tcW w:w="0" w:type="auto"/>
            <w:gridSpan w:val="3"/>
            <w:shd w:val="clear" w:color="auto" w:fill="E2EFD9"/>
            <w:tcMar>
              <w:top w:w="40" w:type="dxa"/>
              <w:left w:w="20" w:type="dxa"/>
              <w:bottom w:w="40" w:type="dxa"/>
              <w:right w:w="20" w:type="dxa"/>
            </w:tcMar>
            <w:vAlign w:val="bottom"/>
          </w:tcPr>
          <w:p w14:paraId="1E804923" w14:textId="77777777" w:rsidR="00F20ABF" w:rsidRDefault="00CA4D2F">
            <w:pPr>
              <w:textAlignment w:val="bottom"/>
            </w:pPr>
            <w:r>
              <w:rPr>
                <w:rFonts w:ascii="sans-serif" w:eastAsia="sans-serif" w:hAnsi="sans-serif" w:cs="sans-serif"/>
                <w:color w:val="000000"/>
                <w:sz w:val="20"/>
                <w:szCs w:val="20"/>
              </w:rPr>
              <w:t>3.70% Notes Due 2060 (2)</w:t>
            </w:r>
          </w:p>
        </w:tc>
        <w:tc>
          <w:tcPr>
            <w:tcW w:w="0" w:type="auto"/>
            <w:gridSpan w:val="3"/>
            <w:shd w:val="clear" w:color="auto" w:fill="E2EFD9"/>
            <w:tcMar>
              <w:top w:w="40" w:type="dxa"/>
              <w:left w:w="20" w:type="dxa"/>
              <w:bottom w:w="40" w:type="dxa"/>
              <w:right w:w="20" w:type="dxa"/>
            </w:tcMar>
            <w:vAlign w:val="bottom"/>
          </w:tcPr>
          <w:p w14:paraId="1E804924" w14:textId="77777777" w:rsidR="00F20ABF" w:rsidRDefault="00CA4D2F">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tcPr>
          <w:p w14:paraId="1E804925"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926"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927" w14:textId="77777777" w:rsidR="00F20ABF" w:rsidRDefault="00CA4D2F">
            <w:pPr>
              <w:jc w:val="right"/>
              <w:textAlignment w:val="bottom"/>
            </w:pPr>
            <w:r>
              <w:rPr>
                <w:rFonts w:ascii="sans-serif" w:eastAsia="sans-serif" w:hAnsi="sans-serif" w:cs="sans-serif"/>
                <w:color w:val="000000"/>
                <w:sz w:val="20"/>
                <w:szCs w:val="20"/>
              </w:rPr>
              <w:t>594 </w:t>
            </w:r>
          </w:p>
        </w:tc>
        <w:tc>
          <w:tcPr>
            <w:tcW w:w="0" w:type="auto"/>
            <w:shd w:val="clear" w:color="auto" w:fill="E2EFD9"/>
            <w:tcMar>
              <w:top w:w="40" w:type="dxa"/>
              <w:left w:w="0" w:type="dxa"/>
              <w:bottom w:w="40" w:type="dxa"/>
              <w:right w:w="20" w:type="dxa"/>
            </w:tcMar>
            <w:vAlign w:val="bottom"/>
          </w:tcPr>
          <w:p w14:paraId="1E80492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929"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92A"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92B"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92C" w14:textId="77777777" w:rsidR="00F20ABF" w:rsidRDefault="00F20ABF">
            <w:pPr>
              <w:jc w:val="right"/>
              <w:rPr>
                <w:rFonts w:ascii="宋体"/>
              </w:rPr>
            </w:pPr>
          </w:p>
        </w:tc>
      </w:tr>
    </w:tbl>
    <w:p w14:paraId="1E80492E" w14:textId="77777777" w:rsidR="00F20ABF" w:rsidRDefault="00CA4D2F">
      <w:pPr>
        <w:spacing w:after="60"/>
        <w:ind w:hanging="360"/>
        <w:jc w:val="both"/>
      </w:pPr>
      <w:r>
        <w:rPr>
          <w:rFonts w:ascii="sans-serif" w:eastAsia="sans-serif" w:hAnsi="sans-serif" w:cs="sans-serif"/>
          <w:color w:val="000000"/>
          <w:sz w:val="16"/>
          <w:szCs w:val="16"/>
        </w:rPr>
        <w:t xml:space="preserve">(1)     Investment in non-affiliated entities is </w:t>
      </w:r>
      <w:r>
        <w:rPr>
          <w:rFonts w:ascii="sans-serif" w:eastAsia="sans-serif" w:hAnsi="sans-serif" w:cs="sans-serif"/>
          <w:color w:val="000000"/>
          <w:sz w:val="16"/>
          <w:szCs w:val="16"/>
        </w:rPr>
        <w:t>privately held and recorded at fair value on a non-recurring basis only if an impairment or observable price adjustment occurs in the period with changes in fair value recorded through net income. The amount recorded as of October 25, 2020 has not been sig</w:t>
      </w:r>
      <w:r>
        <w:rPr>
          <w:rFonts w:ascii="sans-serif" w:eastAsia="sans-serif" w:hAnsi="sans-serif" w:cs="sans-serif"/>
          <w:color w:val="000000"/>
          <w:sz w:val="16"/>
          <w:szCs w:val="16"/>
        </w:rPr>
        <w:t>nificant.</w:t>
      </w:r>
    </w:p>
    <w:p w14:paraId="1E80492F" w14:textId="77777777" w:rsidR="00F20ABF" w:rsidRDefault="00CA4D2F">
      <w:pPr>
        <w:spacing w:after="60"/>
        <w:ind w:hanging="360"/>
        <w:jc w:val="both"/>
      </w:pPr>
      <w:r>
        <w:rPr>
          <w:rFonts w:ascii="sans-serif" w:eastAsia="sans-serif" w:hAnsi="sans-serif" w:cs="sans-serif"/>
          <w:color w:val="000000"/>
          <w:sz w:val="16"/>
          <w:szCs w:val="16"/>
        </w:rPr>
        <w:t xml:space="preserve">(2)    These liabilities are carried on our Consolidated Balance Sheets at their original issuance value, net of unamortized debt discount and issuance costs, and are not marked to fair value each period. Refer to Note 12 of these Notes to </w:t>
      </w:r>
      <w:r>
        <w:rPr>
          <w:rFonts w:ascii="sans-serif" w:eastAsia="sans-serif" w:hAnsi="sans-serif" w:cs="sans-serif"/>
          <w:color w:val="000000"/>
          <w:sz w:val="16"/>
          <w:szCs w:val="16"/>
        </w:rPr>
        <w:t>Condensed Consolidated Financial Statements for additional information.</w:t>
      </w:r>
    </w:p>
    <w:p w14:paraId="1E804930" w14:textId="77777777" w:rsidR="00F20ABF" w:rsidRDefault="00F20ABF">
      <w:pPr>
        <w:spacing w:after="60"/>
        <w:ind w:hanging="360"/>
        <w:jc w:val="both"/>
      </w:pPr>
    </w:p>
    <w:p w14:paraId="1E804931" w14:textId="77777777" w:rsidR="00F20ABF" w:rsidRDefault="00F20ABF">
      <w:pPr>
        <w:spacing w:before="240" w:after="120"/>
        <w:jc w:val="both"/>
      </w:pPr>
    </w:p>
    <w:p w14:paraId="1E804932" w14:textId="77777777" w:rsidR="00F20ABF" w:rsidRDefault="00CA4D2F">
      <w:pPr>
        <w:spacing w:after="180"/>
        <w:jc w:val="center"/>
      </w:pPr>
      <w:r>
        <w:rPr>
          <w:rFonts w:ascii="sans-serif" w:eastAsia="sans-serif" w:hAnsi="sans-serif" w:cs="sans-serif"/>
          <w:color w:val="000000"/>
          <w:sz w:val="20"/>
          <w:szCs w:val="20"/>
        </w:rPr>
        <w:t>17</w:t>
      </w:r>
    </w:p>
    <w:p w14:paraId="1E804933" w14:textId="77777777" w:rsidR="00F20ABF" w:rsidRDefault="00CA4D2F">
      <w:r>
        <w:pict w14:anchorId="1E80558C">
          <v:rect id="_x0000_i1041" style="width:415.3pt;height:1.5pt" o:hralign="center" o:hrstd="t" o:hr="t" fillcolor="#a0a0a0" stroked="f"/>
        </w:pict>
      </w:r>
    </w:p>
    <w:p w14:paraId="1E804934" w14:textId="77777777" w:rsidR="00F20ABF" w:rsidRDefault="00CA4D2F">
      <w:pPr>
        <w:jc w:val="center"/>
      </w:pPr>
      <w:r>
        <w:rPr>
          <w:rFonts w:ascii="sans-serif" w:eastAsia="sans-serif" w:hAnsi="sans-serif" w:cs="sans-serif"/>
          <w:b/>
          <w:bCs/>
          <w:color w:val="000000"/>
          <w:sz w:val="20"/>
          <w:szCs w:val="20"/>
        </w:rPr>
        <w:t>NVIDIA CORPORATION AND SUBSIDIARIES</w:t>
      </w:r>
    </w:p>
    <w:p w14:paraId="1E804935" w14:textId="77777777" w:rsidR="00F20ABF" w:rsidRDefault="00CA4D2F">
      <w:pPr>
        <w:jc w:val="center"/>
      </w:pPr>
      <w:r>
        <w:rPr>
          <w:rFonts w:ascii="sans-serif" w:eastAsia="sans-serif" w:hAnsi="sans-serif" w:cs="sans-serif"/>
          <w:b/>
          <w:bCs/>
          <w:color w:val="000000"/>
          <w:sz w:val="20"/>
          <w:szCs w:val="20"/>
        </w:rPr>
        <w:t>NOTES TO CONDENSED CONSOLIDATED FINANCIAL STATEMENTS (Continued)</w:t>
      </w:r>
    </w:p>
    <w:p w14:paraId="1E804936" w14:textId="77777777" w:rsidR="00F20ABF" w:rsidRDefault="00CA4D2F">
      <w:pPr>
        <w:jc w:val="center"/>
      </w:pPr>
      <w:r>
        <w:rPr>
          <w:rFonts w:ascii="sans-serif" w:eastAsia="sans-serif" w:hAnsi="sans-serif" w:cs="sans-serif"/>
          <w:b/>
          <w:bCs/>
          <w:color w:val="000000"/>
          <w:sz w:val="20"/>
          <w:szCs w:val="20"/>
        </w:rPr>
        <w:t>(Unaudited)</w:t>
      </w:r>
    </w:p>
    <w:p w14:paraId="1E804937" w14:textId="77777777" w:rsidR="00F20ABF" w:rsidRDefault="00F20ABF">
      <w:pPr>
        <w:spacing w:after="180"/>
        <w:jc w:val="both"/>
      </w:pPr>
    </w:p>
    <w:p w14:paraId="1E804938" w14:textId="77777777" w:rsidR="00F20ABF" w:rsidRDefault="00F20ABF">
      <w:pPr>
        <w:spacing w:after="180"/>
        <w:jc w:val="both"/>
      </w:pPr>
    </w:p>
    <w:p w14:paraId="1E804939" w14:textId="77777777" w:rsidR="00F20ABF" w:rsidRDefault="00CA4D2F">
      <w:pPr>
        <w:spacing w:before="240" w:after="120"/>
        <w:jc w:val="both"/>
      </w:pPr>
      <w:r>
        <w:rPr>
          <w:rFonts w:ascii="sans-serif" w:eastAsia="sans-serif" w:hAnsi="sans-serif" w:cs="sans-serif"/>
          <w:b/>
          <w:bCs/>
          <w:color w:val="76B900"/>
          <w:sz w:val="22"/>
          <w:szCs w:val="22"/>
        </w:rPr>
        <w:t>Note 9 - Amortizable Intangible Assets</w:t>
      </w:r>
    </w:p>
    <w:p w14:paraId="1E80493A" w14:textId="77777777" w:rsidR="00F20ABF" w:rsidRDefault="00CA4D2F">
      <w:pPr>
        <w:spacing w:after="180"/>
        <w:jc w:val="both"/>
      </w:pPr>
      <w:r>
        <w:rPr>
          <w:rFonts w:ascii="sans-serif" w:eastAsia="sans-serif" w:hAnsi="sans-serif" w:cs="sans-serif"/>
          <w:color w:val="000000"/>
          <w:sz w:val="20"/>
          <w:szCs w:val="20"/>
        </w:rPr>
        <w:t>The components of our a</w:t>
      </w:r>
      <w:r>
        <w:rPr>
          <w:rFonts w:ascii="sans-serif" w:eastAsia="sans-serif" w:hAnsi="sans-serif" w:cs="sans-serif"/>
          <w:color w:val="000000"/>
          <w:sz w:val="20"/>
          <w:szCs w:val="20"/>
        </w:rPr>
        <w:t>mortizable intangible assets are as follows:</w:t>
      </w:r>
    </w:p>
    <w:tbl>
      <w:tblPr>
        <w:tblW w:w="4963" w:type="pct"/>
        <w:tblCellMar>
          <w:top w:w="15" w:type="dxa"/>
          <w:left w:w="15" w:type="dxa"/>
          <w:bottom w:w="15" w:type="dxa"/>
          <w:right w:w="15" w:type="dxa"/>
        </w:tblCellMar>
        <w:tblLook w:val="04A0" w:firstRow="1" w:lastRow="0" w:firstColumn="1" w:lastColumn="0" w:noHBand="0" w:noVBand="1"/>
      </w:tblPr>
      <w:tblGrid>
        <w:gridCol w:w="75"/>
        <w:gridCol w:w="1477"/>
        <w:gridCol w:w="36"/>
        <w:gridCol w:w="121"/>
        <w:gridCol w:w="656"/>
        <w:gridCol w:w="36"/>
        <w:gridCol w:w="40"/>
        <w:gridCol w:w="32"/>
        <w:gridCol w:w="36"/>
        <w:gridCol w:w="121"/>
        <w:gridCol w:w="1012"/>
        <w:gridCol w:w="36"/>
        <w:gridCol w:w="40"/>
        <w:gridCol w:w="32"/>
        <w:gridCol w:w="36"/>
        <w:gridCol w:w="121"/>
        <w:gridCol w:w="965"/>
        <w:gridCol w:w="36"/>
        <w:gridCol w:w="40"/>
        <w:gridCol w:w="32"/>
        <w:gridCol w:w="36"/>
        <w:gridCol w:w="121"/>
        <w:gridCol w:w="656"/>
        <w:gridCol w:w="36"/>
        <w:gridCol w:w="40"/>
        <w:gridCol w:w="32"/>
        <w:gridCol w:w="36"/>
        <w:gridCol w:w="121"/>
        <w:gridCol w:w="1012"/>
        <w:gridCol w:w="36"/>
        <w:gridCol w:w="40"/>
        <w:gridCol w:w="32"/>
        <w:gridCol w:w="36"/>
        <w:gridCol w:w="121"/>
        <w:gridCol w:w="965"/>
        <w:gridCol w:w="36"/>
      </w:tblGrid>
      <w:tr w:rsidR="00F20ABF" w14:paraId="1E80495F" w14:textId="77777777">
        <w:tc>
          <w:tcPr>
            <w:tcW w:w="50" w:type="pct"/>
            <w:shd w:val="clear" w:color="auto" w:fill="auto"/>
          </w:tcPr>
          <w:p w14:paraId="1E80493B" w14:textId="77777777" w:rsidR="00F20ABF" w:rsidRDefault="00F20ABF">
            <w:pPr>
              <w:rPr>
                <w:rFonts w:ascii="宋体"/>
              </w:rPr>
            </w:pPr>
          </w:p>
        </w:tc>
        <w:tc>
          <w:tcPr>
            <w:tcW w:w="1005" w:type="pct"/>
            <w:shd w:val="clear" w:color="auto" w:fill="auto"/>
          </w:tcPr>
          <w:p w14:paraId="1E80493C" w14:textId="77777777" w:rsidR="00F20ABF" w:rsidRDefault="00F20ABF">
            <w:pPr>
              <w:rPr>
                <w:rFonts w:ascii="宋体"/>
              </w:rPr>
            </w:pPr>
          </w:p>
        </w:tc>
        <w:tc>
          <w:tcPr>
            <w:tcW w:w="5" w:type="pct"/>
            <w:shd w:val="clear" w:color="auto" w:fill="auto"/>
          </w:tcPr>
          <w:p w14:paraId="1E80493D" w14:textId="77777777" w:rsidR="00F20ABF" w:rsidRDefault="00F20ABF">
            <w:pPr>
              <w:rPr>
                <w:rFonts w:ascii="宋体"/>
              </w:rPr>
            </w:pPr>
          </w:p>
        </w:tc>
        <w:tc>
          <w:tcPr>
            <w:tcW w:w="50" w:type="pct"/>
            <w:shd w:val="clear" w:color="auto" w:fill="auto"/>
          </w:tcPr>
          <w:p w14:paraId="1E80493E" w14:textId="77777777" w:rsidR="00F20ABF" w:rsidRDefault="00F20ABF">
            <w:pPr>
              <w:rPr>
                <w:rFonts w:ascii="宋体"/>
              </w:rPr>
            </w:pPr>
          </w:p>
        </w:tc>
        <w:tc>
          <w:tcPr>
            <w:tcW w:w="570" w:type="pct"/>
            <w:shd w:val="clear" w:color="auto" w:fill="auto"/>
          </w:tcPr>
          <w:p w14:paraId="1E80493F" w14:textId="77777777" w:rsidR="00F20ABF" w:rsidRDefault="00F20ABF">
            <w:pPr>
              <w:rPr>
                <w:rFonts w:ascii="宋体"/>
              </w:rPr>
            </w:pPr>
          </w:p>
        </w:tc>
        <w:tc>
          <w:tcPr>
            <w:tcW w:w="5" w:type="pct"/>
            <w:shd w:val="clear" w:color="auto" w:fill="auto"/>
          </w:tcPr>
          <w:p w14:paraId="1E804940" w14:textId="77777777" w:rsidR="00F20ABF" w:rsidRDefault="00F20ABF">
            <w:pPr>
              <w:rPr>
                <w:rFonts w:ascii="宋体"/>
              </w:rPr>
            </w:pPr>
          </w:p>
        </w:tc>
        <w:tc>
          <w:tcPr>
            <w:tcW w:w="5" w:type="pct"/>
            <w:shd w:val="clear" w:color="auto" w:fill="auto"/>
          </w:tcPr>
          <w:p w14:paraId="1E804941" w14:textId="77777777" w:rsidR="00F20ABF" w:rsidRDefault="00F20ABF">
            <w:pPr>
              <w:rPr>
                <w:rFonts w:ascii="宋体"/>
              </w:rPr>
            </w:pPr>
          </w:p>
        </w:tc>
        <w:tc>
          <w:tcPr>
            <w:tcW w:w="26" w:type="pct"/>
            <w:shd w:val="clear" w:color="auto" w:fill="auto"/>
          </w:tcPr>
          <w:p w14:paraId="1E804942" w14:textId="77777777" w:rsidR="00F20ABF" w:rsidRDefault="00F20ABF">
            <w:pPr>
              <w:rPr>
                <w:rFonts w:ascii="宋体"/>
              </w:rPr>
            </w:pPr>
          </w:p>
        </w:tc>
        <w:tc>
          <w:tcPr>
            <w:tcW w:w="5" w:type="pct"/>
            <w:shd w:val="clear" w:color="auto" w:fill="auto"/>
          </w:tcPr>
          <w:p w14:paraId="1E804943" w14:textId="77777777" w:rsidR="00F20ABF" w:rsidRDefault="00F20ABF">
            <w:pPr>
              <w:rPr>
                <w:rFonts w:ascii="宋体"/>
              </w:rPr>
            </w:pPr>
          </w:p>
        </w:tc>
        <w:tc>
          <w:tcPr>
            <w:tcW w:w="50" w:type="pct"/>
            <w:shd w:val="clear" w:color="auto" w:fill="auto"/>
          </w:tcPr>
          <w:p w14:paraId="1E804944" w14:textId="77777777" w:rsidR="00F20ABF" w:rsidRDefault="00F20ABF">
            <w:pPr>
              <w:rPr>
                <w:rFonts w:ascii="宋体"/>
              </w:rPr>
            </w:pPr>
          </w:p>
        </w:tc>
        <w:tc>
          <w:tcPr>
            <w:tcW w:w="570" w:type="pct"/>
            <w:shd w:val="clear" w:color="auto" w:fill="auto"/>
          </w:tcPr>
          <w:p w14:paraId="1E804945" w14:textId="77777777" w:rsidR="00F20ABF" w:rsidRDefault="00F20ABF">
            <w:pPr>
              <w:rPr>
                <w:rFonts w:ascii="宋体"/>
              </w:rPr>
            </w:pPr>
          </w:p>
        </w:tc>
        <w:tc>
          <w:tcPr>
            <w:tcW w:w="5" w:type="pct"/>
            <w:shd w:val="clear" w:color="auto" w:fill="auto"/>
          </w:tcPr>
          <w:p w14:paraId="1E804946" w14:textId="77777777" w:rsidR="00F20ABF" w:rsidRDefault="00F20ABF">
            <w:pPr>
              <w:rPr>
                <w:rFonts w:ascii="宋体"/>
              </w:rPr>
            </w:pPr>
          </w:p>
        </w:tc>
        <w:tc>
          <w:tcPr>
            <w:tcW w:w="5" w:type="pct"/>
            <w:shd w:val="clear" w:color="auto" w:fill="auto"/>
          </w:tcPr>
          <w:p w14:paraId="1E804947" w14:textId="77777777" w:rsidR="00F20ABF" w:rsidRDefault="00F20ABF">
            <w:pPr>
              <w:rPr>
                <w:rFonts w:ascii="宋体"/>
              </w:rPr>
            </w:pPr>
          </w:p>
        </w:tc>
        <w:tc>
          <w:tcPr>
            <w:tcW w:w="26" w:type="pct"/>
            <w:shd w:val="clear" w:color="auto" w:fill="auto"/>
          </w:tcPr>
          <w:p w14:paraId="1E804948" w14:textId="77777777" w:rsidR="00F20ABF" w:rsidRDefault="00F20ABF">
            <w:pPr>
              <w:rPr>
                <w:rFonts w:ascii="宋体"/>
              </w:rPr>
            </w:pPr>
          </w:p>
        </w:tc>
        <w:tc>
          <w:tcPr>
            <w:tcW w:w="5" w:type="pct"/>
            <w:shd w:val="clear" w:color="auto" w:fill="auto"/>
          </w:tcPr>
          <w:p w14:paraId="1E804949" w14:textId="77777777" w:rsidR="00F20ABF" w:rsidRDefault="00F20ABF">
            <w:pPr>
              <w:rPr>
                <w:rFonts w:ascii="宋体"/>
              </w:rPr>
            </w:pPr>
          </w:p>
        </w:tc>
        <w:tc>
          <w:tcPr>
            <w:tcW w:w="50" w:type="pct"/>
            <w:shd w:val="clear" w:color="auto" w:fill="auto"/>
          </w:tcPr>
          <w:p w14:paraId="1E80494A" w14:textId="77777777" w:rsidR="00F20ABF" w:rsidRDefault="00F20ABF">
            <w:pPr>
              <w:rPr>
                <w:rFonts w:ascii="宋体"/>
              </w:rPr>
            </w:pPr>
          </w:p>
        </w:tc>
        <w:tc>
          <w:tcPr>
            <w:tcW w:w="570" w:type="pct"/>
            <w:shd w:val="clear" w:color="auto" w:fill="auto"/>
          </w:tcPr>
          <w:p w14:paraId="1E80494B" w14:textId="77777777" w:rsidR="00F20ABF" w:rsidRDefault="00F20ABF">
            <w:pPr>
              <w:rPr>
                <w:rFonts w:ascii="宋体"/>
              </w:rPr>
            </w:pPr>
          </w:p>
        </w:tc>
        <w:tc>
          <w:tcPr>
            <w:tcW w:w="5" w:type="pct"/>
            <w:shd w:val="clear" w:color="auto" w:fill="auto"/>
          </w:tcPr>
          <w:p w14:paraId="1E80494C" w14:textId="77777777" w:rsidR="00F20ABF" w:rsidRDefault="00F20ABF">
            <w:pPr>
              <w:rPr>
                <w:rFonts w:ascii="宋体"/>
              </w:rPr>
            </w:pPr>
          </w:p>
        </w:tc>
        <w:tc>
          <w:tcPr>
            <w:tcW w:w="5" w:type="pct"/>
            <w:shd w:val="clear" w:color="auto" w:fill="auto"/>
          </w:tcPr>
          <w:p w14:paraId="1E80494D" w14:textId="77777777" w:rsidR="00F20ABF" w:rsidRDefault="00F20ABF">
            <w:pPr>
              <w:rPr>
                <w:rFonts w:ascii="宋体"/>
              </w:rPr>
            </w:pPr>
          </w:p>
        </w:tc>
        <w:tc>
          <w:tcPr>
            <w:tcW w:w="26" w:type="pct"/>
            <w:shd w:val="clear" w:color="auto" w:fill="auto"/>
          </w:tcPr>
          <w:p w14:paraId="1E80494E" w14:textId="77777777" w:rsidR="00F20ABF" w:rsidRDefault="00F20ABF">
            <w:pPr>
              <w:rPr>
                <w:rFonts w:ascii="宋体"/>
              </w:rPr>
            </w:pPr>
          </w:p>
        </w:tc>
        <w:tc>
          <w:tcPr>
            <w:tcW w:w="5" w:type="pct"/>
            <w:shd w:val="clear" w:color="auto" w:fill="auto"/>
          </w:tcPr>
          <w:p w14:paraId="1E80494F" w14:textId="77777777" w:rsidR="00F20ABF" w:rsidRDefault="00F20ABF">
            <w:pPr>
              <w:rPr>
                <w:rFonts w:ascii="宋体"/>
              </w:rPr>
            </w:pPr>
          </w:p>
        </w:tc>
        <w:tc>
          <w:tcPr>
            <w:tcW w:w="50" w:type="pct"/>
            <w:shd w:val="clear" w:color="auto" w:fill="auto"/>
          </w:tcPr>
          <w:p w14:paraId="1E804950" w14:textId="77777777" w:rsidR="00F20ABF" w:rsidRDefault="00F20ABF">
            <w:pPr>
              <w:rPr>
                <w:rFonts w:ascii="宋体"/>
              </w:rPr>
            </w:pPr>
          </w:p>
        </w:tc>
        <w:tc>
          <w:tcPr>
            <w:tcW w:w="570" w:type="pct"/>
            <w:shd w:val="clear" w:color="auto" w:fill="auto"/>
          </w:tcPr>
          <w:p w14:paraId="1E804951" w14:textId="77777777" w:rsidR="00F20ABF" w:rsidRDefault="00F20ABF">
            <w:pPr>
              <w:rPr>
                <w:rFonts w:ascii="宋体"/>
              </w:rPr>
            </w:pPr>
          </w:p>
        </w:tc>
        <w:tc>
          <w:tcPr>
            <w:tcW w:w="5" w:type="pct"/>
            <w:shd w:val="clear" w:color="auto" w:fill="auto"/>
          </w:tcPr>
          <w:p w14:paraId="1E804952" w14:textId="77777777" w:rsidR="00F20ABF" w:rsidRDefault="00F20ABF">
            <w:pPr>
              <w:rPr>
                <w:rFonts w:ascii="宋体"/>
              </w:rPr>
            </w:pPr>
          </w:p>
        </w:tc>
        <w:tc>
          <w:tcPr>
            <w:tcW w:w="5" w:type="pct"/>
            <w:shd w:val="clear" w:color="auto" w:fill="auto"/>
          </w:tcPr>
          <w:p w14:paraId="1E804953" w14:textId="77777777" w:rsidR="00F20ABF" w:rsidRDefault="00F20ABF">
            <w:pPr>
              <w:rPr>
                <w:rFonts w:ascii="宋体"/>
              </w:rPr>
            </w:pPr>
          </w:p>
        </w:tc>
        <w:tc>
          <w:tcPr>
            <w:tcW w:w="26" w:type="pct"/>
            <w:shd w:val="clear" w:color="auto" w:fill="auto"/>
          </w:tcPr>
          <w:p w14:paraId="1E804954" w14:textId="77777777" w:rsidR="00F20ABF" w:rsidRDefault="00F20ABF">
            <w:pPr>
              <w:rPr>
                <w:rFonts w:ascii="宋体"/>
              </w:rPr>
            </w:pPr>
          </w:p>
        </w:tc>
        <w:tc>
          <w:tcPr>
            <w:tcW w:w="5" w:type="pct"/>
            <w:shd w:val="clear" w:color="auto" w:fill="auto"/>
          </w:tcPr>
          <w:p w14:paraId="1E804955" w14:textId="77777777" w:rsidR="00F20ABF" w:rsidRDefault="00F20ABF">
            <w:pPr>
              <w:rPr>
                <w:rFonts w:ascii="宋体"/>
              </w:rPr>
            </w:pPr>
          </w:p>
        </w:tc>
        <w:tc>
          <w:tcPr>
            <w:tcW w:w="50" w:type="pct"/>
            <w:shd w:val="clear" w:color="auto" w:fill="auto"/>
          </w:tcPr>
          <w:p w14:paraId="1E804956" w14:textId="77777777" w:rsidR="00F20ABF" w:rsidRDefault="00F20ABF">
            <w:pPr>
              <w:rPr>
                <w:rFonts w:ascii="宋体"/>
              </w:rPr>
            </w:pPr>
          </w:p>
        </w:tc>
        <w:tc>
          <w:tcPr>
            <w:tcW w:w="570" w:type="pct"/>
            <w:shd w:val="clear" w:color="auto" w:fill="auto"/>
          </w:tcPr>
          <w:p w14:paraId="1E804957" w14:textId="77777777" w:rsidR="00F20ABF" w:rsidRDefault="00F20ABF">
            <w:pPr>
              <w:rPr>
                <w:rFonts w:ascii="宋体"/>
              </w:rPr>
            </w:pPr>
          </w:p>
        </w:tc>
        <w:tc>
          <w:tcPr>
            <w:tcW w:w="5" w:type="pct"/>
            <w:shd w:val="clear" w:color="auto" w:fill="auto"/>
          </w:tcPr>
          <w:p w14:paraId="1E804958" w14:textId="77777777" w:rsidR="00F20ABF" w:rsidRDefault="00F20ABF">
            <w:pPr>
              <w:rPr>
                <w:rFonts w:ascii="宋体"/>
              </w:rPr>
            </w:pPr>
          </w:p>
        </w:tc>
        <w:tc>
          <w:tcPr>
            <w:tcW w:w="5" w:type="pct"/>
            <w:shd w:val="clear" w:color="auto" w:fill="auto"/>
          </w:tcPr>
          <w:p w14:paraId="1E804959" w14:textId="77777777" w:rsidR="00F20ABF" w:rsidRDefault="00F20ABF">
            <w:pPr>
              <w:rPr>
                <w:rFonts w:ascii="宋体"/>
              </w:rPr>
            </w:pPr>
          </w:p>
        </w:tc>
        <w:tc>
          <w:tcPr>
            <w:tcW w:w="26" w:type="pct"/>
            <w:shd w:val="clear" w:color="auto" w:fill="auto"/>
          </w:tcPr>
          <w:p w14:paraId="1E80495A" w14:textId="77777777" w:rsidR="00F20ABF" w:rsidRDefault="00F20ABF">
            <w:pPr>
              <w:rPr>
                <w:rFonts w:ascii="宋体"/>
              </w:rPr>
            </w:pPr>
          </w:p>
        </w:tc>
        <w:tc>
          <w:tcPr>
            <w:tcW w:w="5" w:type="pct"/>
            <w:shd w:val="clear" w:color="auto" w:fill="auto"/>
          </w:tcPr>
          <w:p w14:paraId="1E80495B" w14:textId="77777777" w:rsidR="00F20ABF" w:rsidRDefault="00F20ABF">
            <w:pPr>
              <w:rPr>
                <w:rFonts w:ascii="宋体"/>
              </w:rPr>
            </w:pPr>
          </w:p>
        </w:tc>
        <w:tc>
          <w:tcPr>
            <w:tcW w:w="50" w:type="pct"/>
            <w:shd w:val="clear" w:color="auto" w:fill="auto"/>
          </w:tcPr>
          <w:p w14:paraId="1E80495C" w14:textId="77777777" w:rsidR="00F20ABF" w:rsidRDefault="00F20ABF">
            <w:pPr>
              <w:rPr>
                <w:rFonts w:ascii="宋体"/>
              </w:rPr>
            </w:pPr>
          </w:p>
        </w:tc>
        <w:tc>
          <w:tcPr>
            <w:tcW w:w="571" w:type="pct"/>
            <w:shd w:val="clear" w:color="auto" w:fill="auto"/>
          </w:tcPr>
          <w:p w14:paraId="1E80495D" w14:textId="77777777" w:rsidR="00F20ABF" w:rsidRDefault="00F20ABF">
            <w:pPr>
              <w:rPr>
                <w:rFonts w:ascii="宋体"/>
              </w:rPr>
            </w:pPr>
          </w:p>
        </w:tc>
        <w:tc>
          <w:tcPr>
            <w:tcW w:w="5" w:type="pct"/>
            <w:shd w:val="clear" w:color="auto" w:fill="auto"/>
          </w:tcPr>
          <w:p w14:paraId="1E80495E" w14:textId="77777777" w:rsidR="00F20ABF" w:rsidRDefault="00F20ABF">
            <w:pPr>
              <w:rPr>
                <w:rFonts w:ascii="宋体"/>
              </w:rPr>
            </w:pPr>
          </w:p>
        </w:tc>
      </w:tr>
      <w:tr w:rsidR="00F20ABF" w14:paraId="1E804964" w14:textId="77777777">
        <w:tc>
          <w:tcPr>
            <w:tcW w:w="0" w:type="auto"/>
            <w:gridSpan w:val="3"/>
            <w:shd w:val="clear" w:color="auto" w:fill="auto"/>
            <w:tcMar>
              <w:top w:w="40" w:type="dxa"/>
              <w:left w:w="20" w:type="dxa"/>
              <w:bottom w:w="40" w:type="dxa"/>
              <w:right w:w="20" w:type="dxa"/>
            </w:tcMar>
            <w:vAlign w:val="bottom"/>
          </w:tcPr>
          <w:p w14:paraId="1E804960" w14:textId="77777777" w:rsidR="00F20ABF" w:rsidRDefault="00CA4D2F">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E804961" w14:textId="77777777" w:rsidR="00F20ABF" w:rsidRDefault="00CA4D2F">
            <w:pPr>
              <w:jc w:val="center"/>
              <w:textAlignment w:val="bottom"/>
            </w:pPr>
            <w:r>
              <w:rPr>
                <w:rFonts w:ascii="sans-serif" w:eastAsia="sans-serif" w:hAnsi="sans-serif" w:cs="sans-serif"/>
                <w:b/>
                <w:bCs/>
                <w:color w:val="000000"/>
                <w:sz w:val="20"/>
                <w:szCs w:val="20"/>
              </w:rPr>
              <w:t>October 25, 2020</w:t>
            </w:r>
          </w:p>
        </w:tc>
        <w:tc>
          <w:tcPr>
            <w:tcW w:w="0" w:type="auto"/>
            <w:gridSpan w:val="3"/>
            <w:shd w:val="clear" w:color="auto" w:fill="auto"/>
            <w:tcMar>
              <w:top w:w="0" w:type="dxa"/>
              <w:left w:w="20" w:type="dxa"/>
              <w:bottom w:w="0" w:type="dxa"/>
              <w:right w:w="20" w:type="dxa"/>
            </w:tcMar>
          </w:tcPr>
          <w:p w14:paraId="1E804962" w14:textId="77777777" w:rsidR="00F20ABF" w:rsidRDefault="00F20ABF">
            <w:pPr>
              <w:rPr>
                <w:rFonts w:ascii="宋体"/>
              </w:rPr>
            </w:pPr>
          </w:p>
        </w:tc>
        <w:tc>
          <w:tcPr>
            <w:tcW w:w="0" w:type="auto"/>
            <w:gridSpan w:val="15"/>
            <w:shd w:val="clear" w:color="auto" w:fill="auto"/>
            <w:tcMar>
              <w:top w:w="40" w:type="dxa"/>
              <w:left w:w="20" w:type="dxa"/>
              <w:bottom w:w="40" w:type="dxa"/>
              <w:right w:w="20" w:type="dxa"/>
            </w:tcMar>
            <w:vAlign w:val="bottom"/>
          </w:tcPr>
          <w:p w14:paraId="1E804963" w14:textId="77777777" w:rsidR="00F20ABF" w:rsidRDefault="00CA4D2F">
            <w:pPr>
              <w:jc w:val="center"/>
              <w:textAlignment w:val="bottom"/>
            </w:pPr>
            <w:r>
              <w:rPr>
                <w:rFonts w:ascii="sans-serif" w:eastAsia="sans-serif" w:hAnsi="sans-serif" w:cs="sans-serif"/>
                <w:b/>
                <w:bCs/>
                <w:color w:val="000000"/>
                <w:sz w:val="20"/>
                <w:szCs w:val="20"/>
              </w:rPr>
              <w:t>January 26, 2020</w:t>
            </w:r>
          </w:p>
        </w:tc>
      </w:tr>
      <w:tr w:rsidR="00F20ABF" w14:paraId="1E804971" w14:textId="77777777">
        <w:tc>
          <w:tcPr>
            <w:tcW w:w="0" w:type="auto"/>
            <w:gridSpan w:val="3"/>
            <w:shd w:val="clear" w:color="auto" w:fill="auto"/>
            <w:tcMar>
              <w:top w:w="40" w:type="dxa"/>
              <w:left w:w="20" w:type="dxa"/>
              <w:bottom w:w="40" w:type="dxa"/>
              <w:right w:w="20" w:type="dxa"/>
            </w:tcMar>
            <w:vAlign w:val="bottom"/>
          </w:tcPr>
          <w:p w14:paraId="1E804965"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966" w14:textId="77777777" w:rsidR="00F20ABF" w:rsidRDefault="00CA4D2F">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1E804967"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968" w14:textId="77777777" w:rsidR="00F20ABF" w:rsidRDefault="00CA4D2F">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tcPr>
          <w:p w14:paraId="1E804969"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96A" w14:textId="77777777" w:rsidR="00F20ABF" w:rsidRDefault="00CA4D2F">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c>
          <w:tcPr>
            <w:tcW w:w="0" w:type="auto"/>
            <w:gridSpan w:val="3"/>
            <w:shd w:val="clear" w:color="auto" w:fill="auto"/>
            <w:tcMar>
              <w:top w:w="0" w:type="dxa"/>
              <w:left w:w="20" w:type="dxa"/>
              <w:bottom w:w="0" w:type="dxa"/>
              <w:right w:w="20" w:type="dxa"/>
            </w:tcMar>
          </w:tcPr>
          <w:p w14:paraId="1E80496B"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96C" w14:textId="77777777" w:rsidR="00F20ABF" w:rsidRDefault="00CA4D2F">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1E80496D"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96E" w14:textId="77777777" w:rsidR="00F20ABF" w:rsidRDefault="00CA4D2F">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tcPr>
          <w:p w14:paraId="1E80496F"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970" w14:textId="77777777" w:rsidR="00F20ABF" w:rsidRDefault="00CA4D2F">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r>
      <w:tr w:rsidR="00F20ABF" w14:paraId="1E80497E" w14:textId="77777777">
        <w:trPr>
          <w:trHeight w:val="60"/>
        </w:trPr>
        <w:tc>
          <w:tcPr>
            <w:tcW w:w="0" w:type="auto"/>
            <w:gridSpan w:val="3"/>
            <w:shd w:val="clear" w:color="auto" w:fill="auto"/>
            <w:tcMar>
              <w:top w:w="0" w:type="dxa"/>
              <w:left w:w="20" w:type="dxa"/>
              <w:bottom w:w="0" w:type="dxa"/>
              <w:right w:w="20" w:type="dxa"/>
            </w:tcMar>
          </w:tcPr>
          <w:p w14:paraId="1E804972"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973"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974"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975"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976"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977"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978"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97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97A"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97B"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97C"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97D" w14:textId="77777777" w:rsidR="00F20ABF" w:rsidRDefault="00F20ABF">
            <w:pPr>
              <w:rPr>
                <w:rFonts w:ascii="宋体"/>
              </w:rPr>
            </w:pPr>
          </w:p>
        </w:tc>
      </w:tr>
      <w:tr w:rsidR="00F20ABF" w14:paraId="1E804981" w14:textId="77777777">
        <w:tc>
          <w:tcPr>
            <w:tcW w:w="0" w:type="auto"/>
            <w:gridSpan w:val="3"/>
            <w:shd w:val="clear" w:color="auto" w:fill="auto"/>
            <w:tcMar>
              <w:top w:w="40" w:type="dxa"/>
              <w:left w:w="20" w:type="dxa"/>
              <w:bottom w:w="40" w:type="dxa"/>
              <w:right w:w="20" w:type="dxa"/>
            </w:tcMar>
            <w:vAlign w:val="bottom"/>
          </w:tcPr>
          <w:p w14:paraId="1E80497F" w14:textId="77777777" w:rsidR="00F20ABF" w:rsidRDefault="00CA4D2F">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1E804980"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99A" w14:textId="77777777">
        <w:tc>
          <w:tcPr>
            <w:tcW w:w="0" w:type="auto"/>
            <w:gridSpan w:val="3"/>
            <w:shd w:val="clear" w:color="auto" w:fill="E2EFD9"/>
            <w:tcMar>
              <w:top w:w="40" w:type="dxa"/>
              <w:left w:w="20" w:type="dxa"/>
              <w:bottom w:w="40" w:type="dxa"/>
              <w:right w:w="20" w:type="dxa"/>
            </w:tcMar>
            <w:vAlign w:val="bottom"/>
          </w:tcPr>
          <w:p w14:paraId="1E804982" w14:textId="77777777" w:rsidR="00F20ABF" w:rsidRDefault="00CA4D2F">
            <w:pPr>
              <w:textAlignment w:val="bottom"/>
            </w:pPr>
            <w:r>
              <w:rPr>
                <w:rFonts w:ascii="sans-serif" w:eastAsia="sans-serif" w:hAnsi="sans-serif" w:cs="sans-serif"/>
                <w:color w:val="000000"/>
                <w:sz w:val="20"/>
                <w:szCs w:val="20"/>
              </w:rPr>
              <w:t>Acquisition-related intangible assets (1)</w:t>
            </w:r>
          </w:p>
        </w:tc>
        <w:tc>
          <w:tcPr>
            <w:tcW w:w="0" w:type="auto"/>
            <w:shd w:val="clear" w:color="auto" w:fill="E2EFD9"/>
            <w:tcMar>
              <w:top w:w="40" w:type="dxa"/>
              <w:left w:w="20" w:type="dxa"/>
              <w:bottom w:w="40" w:type="dxa"/>
              <w:right w:w="0" w:type="dxa"/>
            </w:tcMar>
            <w:vAlign w:val="bottom"/>
          </w:tcPr>
          <w:p w14:paraId="1E804983"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984" w14:textId="77777777" w:rsidR="00F20ABF" w:rsidRDefault="00CA4D2F">
            <w:pPr>
              <w:jc w:val="right"/>
              <w:textAlignment w:val="bottom"/>
            </w:pPr>
            <w:r>
              <w:rPr>
                <w:rFonts w:ascii="sans-serif" w:eastAsia="sans-serif" w:hAnsi="sans-serif" w:cs="sans-serif"/>
                <w:color w:val="000000"/>
                <w:sz w:val="20"/>
                <w:szCs w:val="20"/>
              </w:rPr>
              <w:t>3,287 </w:t>
            </w:r>
          </w:p>
        </w:tc>
        <w:tc>
          <w:tcPr>
            <w:tcW w:w="0" w:type="auto"/>
            <w:shd w:val="clear" w:color="auto" w:fill="E2EFD9"/>
            <w:tcMar>
              <w:top w:w="40" w:type="dxa"/>
              <w:left w:w="0" w:type="dxa"/>
              <w:bottom w:w="40" w:type="dxa"/>
              <w:right w:w="20" w:type="dxa"/>
            </w:tcMar>
            <w:vAlign w:val="bottom"/>
          </w:tcPr>
          <w:p w14:paraId="1E80498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986"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987"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988" w14:textId="77777777" w:rsidR="00F20ABF" w:rsidRDefault="00CA4D2F">
            <w:pPr>
              <w:jc w:val="right"/>
              <w:textAlignment w:val="bottom"/>
            </w:pPr>
            <w:r>
              <w:rPr>
                <w:rFonts w:ascii="sans-serif" w:eastAsia="sans-serif" w:hAnsi="sans-serif" w:cs="sans-serif"/>
                <w:color w:val="000000"/>
                <w:sz w:val="20"/>
                <w:szCs w:val="20"/>
              </w:rPr>
              <w:t>(642)</w:t>
            </w:r>
          </w:p>
        </w:tc>
        <w:tc>
          <w:tcPr>
            <w:tcW w:w="0" w:type="auto"/>
            <w:shd w:val="clear" w:color="auto" w:fill="E2EFD9"/>
            <w:tcMar>
              <w:top w:w="40" w:type="dxa"/>
              <w:left w:w="0" w:type="dxa"/>
              <w:bottom w:w="40" w:type="dxa"/>
              <w:right w:w="20" w:type="dxa"/>
            </w:tcMar>
            <w:vAlign w:val="bottom"/>
          </w:tcPr>
          <w:p w14:paraId="1E80498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98A"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98B"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98C" w14:textId="77777777" w:rsidR="00F20ABF" w:rsidRDefault="00CA4D2F">
            <w:pPr>
              <w:jc w:val="right"/>
              <w:textAlignment w:val="bottom"/>
            </w:pPr>
            <w:r>
              <w:rPr>
                <w:rFonts w:ascii="sans-serif" w:eastAsia="sans-serif" w:hAnsi="sans-serif" w:cs="sans-serif"/>
                <w:color w:val="000000"/>
                <w:sz w:val="20"/>
                <w:szCs w:val="20"/>
              </w:rPr>
              <w:t>2,645 </w:t>
            </w:r>
          </w:p>
        </w:tc>
        <w:tc>
          <w:tcPr>
            <w:tcW w:w="0" w:type="auto"/>
            <w:shd w:val="clear" w:color="auto" w:fill="E2EFD9"/>
            <w:tcMar>
              <w:top w:w="40" w:type="dxa"/>
              <w:left w:w="0" w:type="dxa"/>
              <w:bottom w:w="40" w:type="dxa"/>
              <w:right w:w="20" w:type="dxa"/>
            </w:tcMar>
            <w:vAlign w:val="bottom"/>
          </w:tcPr>
          <w:p w14:paraId="1E80498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98E"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98F"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990" w14:textId="77777777" w:rsidR="00F20ABF" w:rsidRDefault="00CA4D2F">
            <w:pPr>
              <w:jc w:val="right"/>
              <w:textAlignment w:val="bottom"/>
            </w:pPr>
            <w:r>
              <w:rPr>
                <w:rFonts w:ascii="sans-serif" w:eastAsia="sans-serif" w:hAnsi="sans-serif" w:cs="sans-serif"/>
                <w:color w:val="000000"/>
                <w:sz w:val="20"/>
                <w:szCs w:val="20"/>
              </w:rPr>
              <w:t>195 </w:t>
            </w:r>
          </w:p>
        </w:tc>
        <w:tc>
          <w:tcPr>
            <w:tcW w:w="0" w:type="auto"/>
            <w:shd w:val="clear" w:color="auto" w:fill="E2EFD9"/>
            <w:tcMar>
              <w:top w:w="40" w:type="dxa"/>
              <w:left w:w="0" w:type="dxa"/>
              <w:bottom w:w="40" w:type="dxa"/>
              <w:right w:w="20" w:type="dxa"/>
            </w:tcMar>
            <w:vAlign w:val="bottom"/>
          </w:tcPr>
          <w:p w14:paraId="1E80499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992"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993"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994" w14:textId="77777777" w:rsidR="00F20ABF" w:rsidRDefault="00CA4D2F">
            <w:pPr>
              <w:jc w:val="right"/>
              <w:textAlignment w:val="bottom"/>
            </w:pPr>
            <w:r>
              <w:rPr>
                <w:rFonts w:ascii="sans-serif" w:eastAsia="sans-serif" w:hAnsi="sans-serif" w:cs="sans-serif"/>
                <w:color w:val="000000"/>
                <w:sz w:val="20"/>
                <w:szCs w:val="20"/>
              </w:rPr>
              <w:t>(192)</w:t>
            </w:r>
          </w:p>
        </w:tc>
        <w:tc>
          <w:tcPr>
            <w:tcW w:w="0" w:type="auto"/>
            <w:shd w:val="clear" w:color="auto" w:fill="E2EFD9"/>
            <w:tcMar>
              <w:top w:w="40" w:type="dxa"/>
              <w:left w:w="0" w:type="dxa"/>
              <w:bottom w:w="40" w:type="dxa"/>
              <w:right w:w="20" w:type="dxa"/>
            </w:tcMar>
            <w:vAlign w:val="bottom"/>
          </w:tcPr>
          <w:p w14:paraId="1E80499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996"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997"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998" w14:textId="77777777" w:rsidR="00F20ABF" w:rsidRDefault="00CA4D2F">
            <w:pPr>
              <w:jc w:val="right"/>
              <w:textAlignment w:val="bottom"/>
            </w:pPr>
            <w:r>
              <w:rPr>
                <w:rFonts w:ascii="sans-serif" w:eastAsia="sans-serif" w:hAnsi="sans-serif" w:cs="sans-serif"/>
                <w:color w:val="000000"/>
                <w:sz w:val="20"/>
                <w:szCs w:val="20"/>
              </w:rPr>
              <w:t>3 </w:t>
            </w:r>
          </w:p>
        </w:tc>
        <w:tc>
          <w:tcPr>
            <w:tcW w:w="0" w:type="auto"/>
            <w:shd w:val="clear" w:color="auto" w:fill="E2EFD9"/>
            <w:tcMar>
              <w:top w:w="40" w:type="dxa"/>
              <w:left w:w="0" w:type="dxa"/>
              <w:bottom w:w="40" w:type="dxa"/>
              <w:right w:w="20" w:type="dxa"/>
            </w:tcMar>
            <w:vAlign w:val="bottom"/>
          </w:tcPr>
          <w:p w14:paraId="1E804999" w14:textId="77777777" w:rsidR="00F20ABF" w:rsidRDefault="00F20ABF">
            <w:pPr>
              <w:jc w:val="right"/>
              <w:rPr>
                <w:rFonts w:ascii="宋体"/>
              </w:rPr>
            </w:pPr>
          </w:p>
        </w:tc>
      </w:tr>
      <w:tr w:rsidR="00F20ABF" w14:paraId="1E8049AD" w14:textId="77777777">
        <w:tc>
          <w:tcPr>
            <w:tcW w:w="0" w:type="auto"/>
            <w:gridSpan w:val="3"/>
            <w:shd w:val="clear" w:color="auto" w:fill="FFFFFF"/>
            <w:tcMar>
              <w:top w:w="40" w:type="dxa"/>
              <w:left w:w="20" w:type="dxa"/>
              <w:bottom w:w="40" w:type="dxa"/>
              <w:right w:w="20" w:type="dxa"/>
            </w:tcMar>
            <w:vAlign w:val="bottom"/>
          </w:tcPr>
          <w:p w14:paraId="1E80499B" w14:textId="77777777" w:rsidR="00F20ABF" w:rsidRDefault="00CA4D2F">
            <w:pPr>
              <w:textAlignment w:val="bottom"/>
            </w:pPr>
            <w:r>
              <w:rPr>
                <w:rFonts w:ascii="sans-serif" w:eastAsia="sans-serif" w:hAnsi="sans-serif" w:cs="sans-serif"/>
                <w:color w:val="000000"/>
                <w:sz w:val="20"/>
                <w:szCs w:val="20"/>
              </w:rPr>
              <w:t>Patents and licensed technology</w:t>
            </w:r>
          </w:p>
        </w:tc>
        <w:tc>
          <w:tcPr>
            <w:tcW w:w="0" w:type="auto"/>
            <w:gridSpan w:val="2"/>
            <w:shd w:val="clear" w:color="auto" w:fill="FFFFFF"/>
            <w:tcMar>
              <w:top w:w="40" w:type="dxa"/>
              <w:left w:w="20" w:type="dxa"/>
              <w:bottom w:w="40" w:type="dxa"/>
              <w:right w:w="0" w:type="dxa"/>
            </w:tcMar>
            <w:vAlign w:val="bottom"/>
          </w:tcPr>
          <w:p w14:paraId="1E80499C" w14:textId="77777777" w:rsidR="00F20ABF" w:rsidRDefault="00CA4D2F">
            <w:pPr>
              <w:jc w:val="right"/>
              <w:textAlignment w:val="bottom"/>
            </w:pPr>
            <w:r>
              <w:rPr>
                <w:rFonts w:ascii="sans-serif" w:eastAsia="sans-serif" w:hAnsi="sans-serif" w:cs="sans-serif"/>
                <w:color w:val="000000"/>
                <w:sz w:val="20"/>
                <w:szCs w:val="20"/>
              </w:rPr>
              <w:t>705 </w:t>
            </w:r>
          </w:p>
        </w:tc>
        <w:tc>
          <w:tcPr>
            <w:tcW w:w="0" w:type="auto"/>
            <w:shd w:val="clear" w:color="auto" w:fill="FFFFFF"/>
            <w:tcMar>
              <w:top w:w="40" w:type="dxa"/>
              <w:left w:w="0" w:type="dxa"/>
              <w:bottom w:w="40" w:type="dxa"/>
              <w:right w:w="20" w:type="dxa"/>
            </w:tcMar>
            <w:vAlign w:val="bottom"/>
          </w:tcPr>
          <w:p w14:paraId="1E80499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99E"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99F" w14:textId="77777777" w:rsidR="00F20ABF" w:rsidRDefault="00CA4D2F">
            <w:pPr>
              <w:jc w:val="right"/>
              <w:textAlignment w:val="bottom"/>
            </w:pPr>
            <w:r>
              <w:rPr>
                <w:rFonts w:ascii="sans-serif" w:eastAsia="sans-serif" w:hAnsi="sans-serif" w:cs="sans-serif"/>
                <w:color w:val="000000"/>
                <w:sz w:val="20"/>
                <w:szCs w:val="20"/>
              </w:rPr>
              <w:t>(489)</w:t>
            </w:r>
          </w:p>
        </w:tc>
        <w:tc>
          <w:tcPr>
            <w:tcW w:w="0" w:type="auto"/>
            <w:shd w:val="clear" w:color="auto" w:fill="FFFFFF"/>
            <w:tcMar>
              <w:top w:w="40" w:type="dxa"/>
              <w:left w:w="0" w:type="dxa"/>
              <w:bottom w:w="40" w:type="dxa"/>
              <w:right w:w="20" w:type="dxa"/>
            </w:tcMar>
            <w:vAlign w:val="bottom"/>
          </w:tcPr>
          <w:p w14:paraId="1E8049A0"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9A1"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9A2" w14:textId="77777777" w:rsidR="00F20ABF" w:rsidRDefault="00CA4D2F">
            <w:pPr>
              <w:jc w:val="right"/>
              <w:textAlignment w:val="bottom"/>
            </w:pPr>
            <w:r>
              <w:rPr>
                <w:rFonts w:ascii="sans-serif" w:eastAsia="sans-serif" w:hAnsi="sans-serif" w:cs="sans-serif"/>
                <w:color w:val="000000"/>
                <w:sz w:val="20"/>
                <w:szCs w:val="20"/>
              </w:rPr>
              <w:t>216 </w:t>
            </w:r>
          </w:p>
        </w:tc>
        <w:tc>
          <w:tcPr>
            <w:tcW w:w="0" w:type="auto"/>
            <w:shd w:val="clear" w:color="auto" w:fill="FFFFFF"/>
            <w:tcMar>
              <w:top w:w="40" w:type="dxa"/>
              <w:left w:w="0" w:type="dxa"/>
              <w:bottom w:w="40" w:type="dxa"/>
              <w:right w:w="20" w:type="dxa"/>
            </w:tcMar>
            <w:vAlign w:val="bottom"/>
          </w:tcPr>
          <w:p w14:paraId="1E8049A3"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9A4"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9A5" w14:textId="77777777" w:rsidR="00F20ABF" w:rsidRDefault="00CA4D2F">
            <w:pPr>
              <w:jc w:val="right"/>
              <w:textAlignment w:val="bottom"/>
            </w:pPr>
            <w:r>
              <w:rPr>
                <w:rFonts w:ascii="sans-serif" w:eastAsia="sans-serif" w:hAnsi="sans-serif" w:cs="sans-serif"/>
                <w:color w:val="000000"/>
                <w:sz w:val="20"/>
                <w:szCs w:val="20"/>
              </w:rPr>
              <w:t>520 </w:t>
            </w:r>
          </w:p>
        </w:tc>
        <w:tc>
          <w:tcPr>
            <w:tcW w:w="0" w:type="auto"/>
            <w:shd w:val="clear" w:color="auto" w:fill="FFFFFF"/>
            <w:tcMar>
              <w:top w:w="40" w:type="dxa"/>
              <w:left w:w="0" w:type="dxa"/>
              <w:bottom w:w="40" w:type="dxa"/>
              <w:right w:w="20" w:type="dxa"/>
            </w:tcMar>
            <w:vAlign w:val="bottom"/>
          </w:tcPr>
          <w:p w14:paraId="1E8049A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9A7"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9A8" w14:textId="77777777" w:rsidR="00F20ABF" w:rsidRDefault="00CA4D2F">
            <w:pPr>
              <w:jc w:val="right"/>
              <w:textAlignment w:val="bottom"/>
            </w:pPr>
            <w:r>
              <w:rPr>
                <w:rFonts w:ascii="sans-serif" w:eastAsia="sans-serif" w:hAnsi="sans-serif" w:cs="sans-serif"/>
                <w:color w:val="000000"/>
                <w:sz w:val="20"/>
                <w:szCs w:val="20"/>
              </w:rPr>
              <w:t>(474)</w:t>
            </w:r>
          </w:p>
        </w:tc>
        <w:tc>
          <w:tcPr>
            <w:tcW w:w="0" w:type="auto"/>
            <w:shd w:val="clear" w:color="auto" w:fill="FFFFFF"/>
            <w:tcMar>
              <w:top w:w="40" w:type="dxa"/>
              <w:left w:w="0" w:type="dxa"/>
              <w:bottom w:w="40" w:type="dxa"/>
              <w:right w:w="20" w:type="dxa"/>
            </w:tcMar>
            <w:vAlign w:val="bottom"/>
          </w:tcPr>
          <w:p w14:paraId="1E8049A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9AA"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9AB" w14:textId="77777777" w:rsidR="00F20ABF" w:rsidRDefault="00CA4D2F">
            <w:pPr>
              <w:jc w:val="right"/>
              <w:textAlignment w:val="bottom"/>
            </w:pPr>
            <w:r>
              <w:rPr>
                <w:rFonts w:ascii="sans-serif" w:eastAsia="sans-serif" w:hAnsi="sans-serif" w:cs="sans-serif"/>
                <w:color w:val="000000"/>
                <w:sz w:val="20"/>
                <w:szCs w:val="20"/>
              </w:rPr>
              <w:t>46 </w:t>
            </w:r>
          </w:p>
        </w:tc>
        <w:tc>
          <w:tcPr>
            <w:tcW w:w="0" w:type="auto"/>
            <w:shd w:val="clear" w:color="auto" w:fill="FFFFFF"/>
            <w:tcMar>
              <w:top w:w="40" w:type="dxa"/>
              <w:left w:w="0" w:type="dxa"/>
              <w:bottom w:w="40" w:type="dxa"/>
              <w:right w:w="20" w:type="dxa"/>
            </w:tcMar>
            <w:vAlign w:val="bottom"/>
          </w:tcPr>
          <w:p w14:paraId="1E8049AC" w14:textId="77777777" w:rsidR="00F20ABF" w:rsidRDefault="00F20ABF">
            <w:pPr>
              <w:jc w:val="right"/>
              <w:rPr>
                <w:rFonts w:ascii="宋体"/>
              </w:rPr>
            </w:pPr>
          </w:p>
        </w:tc>
      </w:tr>
      <w:tr w:rsidR="00F20ABF" w14:paraId="1E8049C6" w14:textId="77777777">
        <w:tc>
          <w:tcPr>
            <w:tcW w:w="0" w:type="auto"/>
            <w:gridSpan w:val="3"/>
            <w:shd w:val="clear" w:color="auto" w:fill="E2EFD9"/>
            <w:tcMar>
              <w:top w:w="40" w:type="dxa"/>
              <w:left w:w="20" w:type="dxa"/>
              <w:bottom w:w="40" w:type="dxa"/>
              <w:right w:w="20" w:type="dxa"/>
            </w:tcMar>
            <w:vAlign w:val="bottom"/>
          </w:tcPr>
          <w:p w14:paraId="1E8049AE" w14:textId="77777777" w:rsidR="00F20ABF" w:rsidRDefault="00CA4D2F">
            <w:pPr>
              <w:textAlignment w:val="bottom"/>
            </w:pPr>
            <w:r>
              <w:rPr>
                <w:rFonts w:ascii="sans-serif" w:eastAsia="sans-serif" w:hAnsi="sans-serif" w:cs="sans-serif"/>
                <w:color w:val="000000"/>
                <w:sz w:val="20"/>
                <w:szCs w:val="20"/>
              </w:rPr>
              <w:t>Total intangible assets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9AF"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9B0" w14:textId="77777777" w:rsidR="00F20ABF" w:rsidRDefault="00CA4D2F">
            <w:pPr>
              <w:jc w:val="right"/>
              <w:textAlignment w:val="bottom"/>
            </w:pPr>
            <w:r>
              <w:rPr>
                <w:rFonts w:ascii="sans-serif" w:eastAsia="sans-serif" w:hAnsi="sans-serif" w:cs="sans-serif"/>
                <w:color w:val="000000"/>
                <w:sz w:val="20"/>
                <w:szCs w:val="20"/>
              </w:rPr>
              <w:t>3,992 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9B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9B2"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9B3"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9B4" w14:textId="77777777" w:rsidR="00F20ABF" w:rsidRDefault="00CA4D2F">
            <w:pPr>
              <w:jc w:val="right"/>
              <w:textAlignment w:val="bottom"/>
            </w:pPr>
            <w:r>
              <w:rPr>
                <w:rFonts w:ascii="sans-serif" w:eastAsia="sans-serif" w:hAnsi="sans-serif" w:cs="sans-serif"/>
                <w:color w:val="000000"/>
                <w:sz w:val="20"/>
                <w:szCs w:val="20"/>
              </w:rPr>
              <w:t>(1,131)</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9B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9B6"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9B7"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9B8" w14:textId="77777777" w:rsidR="00F20ABF" w:rsidRDefault="00CA4D2F">
            <w:pPr>
              <w:jc w:val="right"/>
              <w:textAlignment w:val="bottom"/>
            </w:pPr>
            <w:r>
              <w:rPr>
                <w:rFonts w:ascii="sans-serif" w:eastAsia="sans-serif" w:hAnsi="sans-serif" w:cs="sans-serif"/>
                <w:color w:val="000000"/>
                <w:sz w:val="20"/>
                <w:szCs w:val="20"/>
              </w:rPr>
              <w:t>2,861 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9B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9BA"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9BB"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9BC" w14:textId="77777777" w:rsidR="00F20ABF" w:rsidRDefault="00CA4D2F">
            <w:pPr>
              <w:jc w:val="right"/>
              <w:textAlignment w:val="bottom"/>
            </w:pPr>
            <w:r>
              <w:rPr>
                <w:rFonts w:ascii="sans-serif" w:eastAsia="sans-serif" w:hAnsi="sans-serif" w:cs="sans-serif"/>
                <w:color w:val="000000"/>
                <w:sz w:val="20"/>
                <w:szCs w:val="20"/>
              </w:rPr>
              <w:t>715 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9B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9BE"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9BF"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9C0" w14:textId="77777777" w:rsidR="00F20ABF" w:rsidRDefault="00CA4D2F">
            <w:pPr>
              <w:jc w:val="right"/>
              <w:textAlignment w:val="bottom"/>
            </w:pPr>
            <w:r>
              <w:rPr>
                <w:rFonts w:ascii="sans-serif" w:eastAsia="sans-serif" w:hAnsi="sans-serif" w:cs="sans-serif"/>
                <w:color w:val="000000"/>
                <w:sz w:val="20"/>
                <w:szCs w:val="20"/>
              </w:rPr>
              <w:t>(666)</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9C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9C2"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9C3"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9C4" w14:textId="77777777" w:rsidR="00F20ABF" w:rsidRDefault="00CA4D2F">
            <w:pPr>
              <w:jc w:val="right"/>
              <w:textAlignment w:val="bottom"/>
            </w:pPr>
            <w:r>
              <w:rPr>
                <w:rFonts w:ascii="sans-serif" w:eastAsia="sans-serif" w:hAnsi="sans-serif" w:cs="sans-serif"/>
                <w:color w:val="000000"/>
                <w:sz w:val="20"/>
                <w:szCs w:val="20"/>
              </w:rPr>
              <w:t>49 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9C5" w14:textId="77777777" w:rsidR="00F20ABF" w:rsidRDefault="00F20ABF">
            <w:pPr>
              <w:jc w:val="right"/>
              <w:rPr>
                <w:rFonts w:ascii="宋体"/>
              </w:rPr>
            </w:pPr>
          </w:p>
        </w:tc>
      </w:tr>
    </w:tbl>
    <w:p w14:paraId="1E8049C7" w14:textId="77777777" w:rsidR="00F20ABF" w:rsidRDefault="00CA4D2F">
      <w:pPr>
        <w:spacing w:after="180"/>
        <w:ind w:hanging="360"/>
        <w:jc w:val="both"/>
      </w:pPr>
      <w:r>
        <w:rPr>
          <w:rFonts w:ascii="sans-serif" w:eastAsia="sans-serif" w:hAnsi="sans-serif" w:cs="sans-serif"/>
          <w:color w:val="000000"/>
          <w:sz w:val="16"/>
          <w:szCs w:val="16"/>
        </w:rPr>
        <w:t xml:space="preserve">(1)     As of October 25, 2020, acquisition-related intangible assets include the fair value of a Mellanox IPR&amp;D project of $630 million, which has not been amortized. </w:t>
      </w:r>
      <w:r>
        <w:rPr>
          <w:rFonts w:ascii="sans-serif" w:eastAsia="sans-serif" w:hAnsi="sans-serif" w:cs="sans-serif"/>
          <w:color w:val="000000"/>
          <w:sz w:val="16"/>
          <w:szCs w:val="16"/>
        </w:rPr>
        <w:t>Once the project reaches technological feasibility, we will begin to amortize the intangible asset over its estimated useful life. Refer to Note 2 of these Notes to Condensed Consolidated Financial Statements for further details.</w:t>
      </w:r>
    </w:p>
    <w:p w14:paraId="1E8049C8" w14:textId="77777777" w:rsidR="00F20ABF" w:rsidRDefault="00CA4D2F">
      <w:pPr>
        <w:spacing w:after="180"/>
        <w:jc w:val="both"/>
      </w:pPr>
      <w:r>
        <w:rPr>
          <w:rFonts w:ascii="sans-serif" w:eastAsia="sans-serif" w:hAnsi="sans-serif" w:cs="sans-serif"/>
          <w:color w:val="000000"/>
          <w:sz w:val="20"/>
          <w:szCs w:val="20"/>
        </w:rPr>
        <w:t>Amortization expense assoc</w:t>
      </w:r>
      <w:r>
        <w:rPr>
          <w:rFonts w:ascii="sans-serif" w:eastAsia="sans-serif" w:hAnsi="sans-serif" w:cs="sans-serif"/>
          <w:color w:val="000000"/>
          <w:sz w:val="20"/>
          <w:szCs w:val="20"/>
        </w:rPr>
        <w:t>iated with intangible assets was $174 million and $465 million for the third quarter and first nine months of fiscal year 2021, respectively, and $6 million and $19 million for the third quarter and first nine months of fiscal year 2020, respectively. Futu</w:t>
      </w:r>
      <w:r>
        <w:rPr>
          <w:rFonts w:ascii="sans-serif" w:eastAsia="sans-serif" w:hAnsi="sans-serif" w:cs="sans-serif"/>
          <w:color w:val="000000"/>
          <w:sz w:val="20"/>
          <w:szCs w:val="20"/>
        </w:rPr>
        <w:t>re amortization expense related to the net carrying amount of intangible assets as of October 25, 2020 is estimated to be $146 million for the remainder of fiscal year 2021, $542 million in fiscal year 2022, $539 million in fiscal year 2023, $418 million i</w:t>
      </w:r>
      <w:r>
        <w:rPr>
          <w:rFonts w:ascii="sans-serif" w:eastAsia="sans-serif" w:hAnsi="sans-serif" w:cs="sans-serif"/>
          <w:color w:val="000000"/>
          <w:sz w:val="20"/>
          <w:szCs w:val="20"/>
        </w:rPr>
        <w:t>n fiscal year 2024, $364 million in fiscal year 2025, and $852 million in fiscal year 2026 and thereafter. Refer to Note 2 of these Notes to Condensed Consolidated Financial Statements for further details on intangible assets.</w:t>
      </w:r>
    </w:p>
    <w:p w14:paraId="1E8049C9" w14:textId="77777777" w:rsidR="00F20ABF" w:rsidRDefault="00CA4D2F">
      <w:pPr>
        <w:spacing w:before="180" w:after="120"/>
        <w:jc w:val="both"/>
      </w:pPr>
      <w:r>
        <w:rPr>
          <w:rFonts w:ascii="sans-serif" w:eastAsia="sans-serif" w:hAnsi="sans-serif" w:cs="sans-serif"/>
          <w:b/>
          <w:bCs/>
          <w:color w:val="76B900"/>
          <w:sz w:val="22"/>
          <w:szCs w:val="22"/>
        </w:rPr>
        <w:t>Note 10 - Balance Sheet Compo</w:t>
      </w:r>
      <w:r>
        <w:rPr>
          <w:rFonts w:ascii="sans-serif" w:eastAsia="sans-serif" w:hAnsi="sans-serif" w:cs="sans-serif"/>
          <w:b/>
          <w:bCs/>
          <w:color w:val="76B900"/>
          <w:sz w:val="22"/>
          <w:szCs w:val="22"/>
        </w:rPr>
        <w:t>nents </w:t>
      </w:r>
    </w:p>
    <w:p w14:paraId="1E8049CA" w14:textId="77777777" w:rsidR="00F20ABF" w:rsidRDefault="00CA4D2F">
      <w:pPr>
        <w:spacing w:after="120"/>
        <w:jc w:val="both"/>
      </w:pPr>
      <w:r>
        <w:rPr>
          <w:rFonts w:ascii="sans-serif" w:eastAsia="sans-serif" w:hAnsi="sans-serif" w:cs="sans-serif"/>
          <w:color w:val="000000"/>
          <w:sz w:val="20"/>
          <w:szCs w:val="20"/>
        </w:rPr>
        <w:t>Certain balance sheet components are as follows:</w:t>
      </w:r>
    </w:p>
    <w:tbl>
      <w:tblPr>
        <w:tblW w:w="4993" w:type="pct"/>
        <w:tblCellMar>
          <w:top w:w="15" w:type="dxa"/>
          <w:left w:w="15" w:type="dxa"/>
          <w:bottom w:w="15" w:type="dxa"/>
          <w:right w:w="15" w:type="dxa"/>
        </w:tblCellMar>
        <w:tblLook w:val="04A0" w:firstRow="1" w:lastRow="0" w:firstColumn="1" w:lastColumn="0" w:noHBand="0" w:noVBand="1"/>
      </w:tblPr>
      <w:tblGrid>
        <w:gridCol w:w="39"/>
        <w:gridCol w:w="5910"/>
        <w:gridCol w:w="37"/>
        <w:gridCol w:w="123"/>
        <w:gridCol w:w="974"/>
        <w:gridCol w:w="36"/>
        <w:gridCol w:w="36"/>
        <w:gridCol w:w="36"/>
        <w:gridCol w:w="36"/>
        <w:gridCol w:w="123"/>
        <w:gridCol w:w="938"/>
        <w:gridCol w:w="36"/>
      </w:tblGrid>
      <w:tr w:rsidR="00F20ABF" w14:paraId="1E8049D7" w14:textId="77777777">
        <w:tc>
          <w:tcPr>
            <w:tcW w:w="50" w:type="pct"/>
            <w:shd w:val="clear" w:color="auto" w:fill="auto"/>
          </w:tcPr>
          <w:p w14:paraId="1E8049CB" w14:textId="77777777" w:rsidR="00F20ABF" w:rsidRDefault="00F20ABF">
            <w:pPr>
              <w:rPr>
                <w:rFonts w:ascii="宋体"/>
              </w:rPr>
            </w:pPr>
          </w:p>
        </w:tc>
        <w:tc>
          <w:tcPr>
            <w:tcW w:w="3575" w:type="pct"/>
            <w:shd w:val="clear" w:color="auto" w:fill="auto"/>
          </w:tcPr>
          <w:p w14:paraId="1E8049CC" w14:textId="77777777" w:rsidR="00F20ABF" w:rsidRDefault="00F20ABF">
            <w:pPr>
              <w:rPr>
                <w:rFonts w:ascii="宋体"/>
              </w:rPr>
            </w:pPr>
          </w:p>
        </w:tc>
        <w:tc>
          <w:tcPr>
            <w:tcW w:w="5" w:type="pct"/>
            <w:shd w:val="clear" w:color="auto" w:fill="auto"/>
          </w:tcPr>
          <w:p w14:paraId="1E8049CD" w14:textId="77777777" w:rsidR="00F20ABF" w:rsidRDefault="00F20ABF">
            <w:pPr>
              <w:rPr>
                <w:rFonts w:ascii="宋体"/>
              </w:rPr>
            </w:pPr>
          </w:p>
        </w:tc>
        <w:tc>
          <w:tcPr>
            <w:tcW w:w="50" w:type="pct"/>
            <w:shd w:val="clear" w:color="auto" w:fill="auto"/>
          </w:tcPr>
          <w:p w14:paraId="1E8049CE" w14:textId="77777777" w:rsidR="00F20ABF" w:rsidRDefault="00F20ABF">
            <w:pPr>
              <w:rPr>
                <w:rFonts w:ascii="宋体"/>
              </w:rPr>
            </w:pPr>
          </w:p>
        </w:tc>
        <w:tc>
          <w:tcPr>
            <w:tcW w:w="611" w:type="pct"/>
            <w:shd w:val="clear" w:color="auto" w:fill="auto"/>
          </w:tcPr>
          <w:p w14:paraId="1E8049CF" w14:textId="77777777" w:rsidR="00F20ABF" w:rsidRDefault="00F20ABF">
            <w:pPr>
              <w:rPr>
                <w:rFonts w:ascii="宋体"/>
              </w:rPr>
            </w:pPr>
          </w:p>
        </w:tc>
        <w:tc>
          <w:tcPr>
            <w:tcW w:w="5" w:type="pct"/>
            <w:shd w:val="clear" w:color="auto" w:fill="auto"/>
          </w:tcPr>
          <w:p w14:paraId="1E8049D0" w14:textId="77777777" w:rsidR="00F20ABF" w:rsidRDefault="00F20ABF">
            <w:pPr>
              <w:rPr>
                <w:rFonts w:ascii="宋体"/>
              </w:rPr>
            </w:pPr>
          </w:p>
        </w:tc>
        <w:tc>
          <w:tcPr>
            <w:tcW w:w="5" w:type="pct"/>
            <w:shd w:val="clear" w:color="auto" w:fill="auto"/>
          </w:tcPr>
          <w:p w14:paraId="1E8049D1" w14:textId="77777777" w:rsidR="00F20ABF" w:rsidRDefault="00F20ABF">
            <w:pPr>
              <w:rPr>
                <w:rFonts w:ascii="宋体"/>
              </w:rPr>
            </w:pPr>
          </w:p>
        </w:tc>
        <w:tc>
          <w:tcPr>
            <w:tcW w:w="26" w:type="pct"/>
            <w:shd w:val="clear" w:color="auto" w:fill="auto"/>
          </w:tcPr>
          <w:p w14:paraId="1E8049D2" w14:textId="77777777" w:rsidR="00F20ABF" w:rsidRDefault="00F20ABF">
            <w:pPr>
              <w:rPr>
                <w:rFonts w:ascii="宋体"/>
              </w:rPr>
            </w:pPr>
          </w:p>
        </w:tc>
        <w:tc>
          <w:tcPr>
            <w:tcW w:w="5" w:type="pct"/>
            <w:shd w:val="clear" w:color="auto" w:fill="auto"/>
          </w:tcPr>
          <w:p w14:paraId="1E8049D3" w14:textId="77777777" w:rsidR="00F20ABF" w:rsidRDefault="00F20ABF">
            <w:pPr>
              <w:rPr>
                <w:rFonts w:ascii="宋体"/>
              </w:rPr>
            </w:pPr>
          </w:p>
        </w:tc>
        <w:tc>
          <w:tcPr>
            <w:tcW w:w="50" w:type="pct"/>
            <w:shd w:val="clear" w:color="auto" w:fill="auto"/>
          </w:tcPr>
          <w:p w14:paraId="1E8049D4" w14:textId="77777777" w:rsidR="00F20ABF" w:rsidRDefault="00F20ABF">
            <w:pPr>
              <w:rPr>
                <w:rFonts w:ascii="宋体"/>
              </w:rPr>
            </w:pPr>
          </w:p>
        </w:tc>
        <w:tc>
          <w:tcPr>
            <w:tcW w:w="611" w:type="pct"/>
            <w:shd w:val="clear" w:color="auto" w:fill="auto"/>
          </w:tcPr>
          <w:p w14:paraId="1E8049D5" w14:textId="77777777" w:rsidR="00F20ABF" w:rsidRDefault="00F20ABF">
            <w:pPr>
              <w:rPr>
                <w:rFonts w:ascii="宋体"/>
              </w:rPr>
            </w:pPr>
          </w:p>
        </w:tc>
        <w:tc>
          <w:tcPr>
            <w:tcW w:w="5" w:type="pct"/>
            <w:shd w:val="clear" w:color="auto" w:fill="auto"/>
          </w:tcPr>
          <w:p w14:paraId="1E8049D6" w14:textId="77777777" w:rsidR="00F20ABF" w:rsidRDefault="00F20ABF">
            <w:pPr>
              <w:rPr>
                <w:rFonts w:ascii="宋体"/>
              </w:rPr>
            </w:pPr>
          </w:p>
        </w:tc>
      </w:tr>
      <w:tr w:rsidR="00F20ABF" w14:paraId="1E8049DC" w14:textId="77777777">
        <w:tc>
          <w:tcPr>
            <w:tcW w:w="0" w:type="auto"/>
            <w:gridSpan w:val="3"/>
            <w:shd w:val="clear" w:color="auto" w:fill="auto"/>
            <w:tcMar>
              <w:top w:w="0" w:type="dxa"/>
              <w:left w:w="20" w:type="dxa"/>
              <w:bottom w:w="0" w:type="dxa"/>
              <w:right w:w="20" w:type="dxa"/>
            </w:tcMar>
          </w:tcPr>
          <w:p w14:paraId="1E8049D8"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9D9" w14:textId="77777777" w:rsidR="00F20ABF" w:rsidRDefault="00CA4D2F">
            <w:pPr>
              <w:jc w:val="center"/>
              <w:textAlignment w:val="bottom"/>
            </w:pPr>
            <w:r>
              <w:rPr>
                <w:rFonts w:ascii="sans-serif" w:eastAsia="sans-serif" w:hAnsi="sans-serif" w:cs="sans-serif"/>
                <w:b/>
                <w:bCs/>
                <w:color w:val="000000"/>
                <w:sz w:val="20"/>
                <w:szCs w:val="20"/>
              </w:rPr>
              <w:t>October 25,</w:t>
            </w:r>
          </w:p>
        </w:tc>
        <w:tc>
          <w:tcPr>
            <w:tcW w:w="0" w:type="auto"/>
            <w:gridSpan w:val="3"/>
            <w:shd w:val="clear" w:color="auto" w:fill="auto"/>
            <w:tcMar>
              <w:top w:w="0" w:type="dxa"/>
              <w:left w:w="20" w:type="dxa"/>
              <w:bottom w:w="0" w:type="dxa"/>
              <w:right w:w="20" w:type="dxa"/>
            </w:tcMar>
          </w:tcPr>
          <w:p w14:paraId="1E8049DA"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9DB" w14:textId="77777777" w:rsidR="00F20ABF" w:rsidRDefault="00CA4D2F">
            <w:pPr>
              <w:jc w:val="center"/>
              <w:textAlignment w:val="bottom"/>
            </w:pPr>
            <w:r>
              <w:rPr>
                <w:rFonts w:ascii="sans-serif" w:eastAsia="sans-serif" w:hAnsi="sans-serif" w:cs="sans-serif"/>
                <w:b/>
                <w:bCs/>
                <w:color w:val="000000"/>
                <w:sz w:val="20"/>
                <w:szCs w:val="20"/>
              </w:rPr>
              <w:t>January 26,</w:t>
            </w:r>
          </w:p>
        </w:tc>
      </w:tr>
      <w:tr w:rsidR="00F20ABF" w14:paraId="1E8049E1" w14:textId="77777777">
        <w:tc>
          <w:tcPr>
            <w:tcW w:w="0" w:type="auto"/>
            <w:gridSpan w:val="3"/>
            <w:shd w:val="clear" w:color="auto" w:fill="auto"/>
            <w:tcMar>
              <w:top w:w="40" w:type="dxa"/>
              <w:left w:w="20" w:type="dxa"/>
              <w:bottom w:w="40" w:type="dxa"/>
              <w:right w:w="20" w:type="dxa"/>
            </w:tcMar>
            <w:vAlign w:val="bottom"/>
          </w:tcPr>
          <w:p w14:paraId="1E8049DD"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49DE" w14:textId="77777777" w:rsidR="00F20ABF" w:rsidRDefault="00CA4D2F">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tcPr>
          <w:p w14:paraId="1E8049DF"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9E0" w14:textId="77777777" w:rsidR="00F20ABF" w:rsidRDefault="00CA4D2F">
            <w:pPr>
              <w:jc w:val="center"/>
              <w:textAlignment w:val="bottom"/>
            </w:pPr>
            <w:r>
              <w:rPr>
                <w:rFonts w:ascii="sans-serif" w:eastAsia="sans-serif" w:hAnsi="sans-serif" w:cs="sans-serif"/>
                <w:b/>
                <w:bCs/>
                <w:color w:val="000000"/>
                <w:sz w:val="20"/>
                <w:szCs w:val="20"/>
              </w:rPr>
              <w:t>2020</w:t>
            </w:r>
          </w:p>
        </w:tc>
      </w:tr>
      <w:tr w:rsidR="00F20ABF" w14:paraId="1E8049E6" w14:textId="77777777">
        <w:trPr>
          <w:trHeight w:val="60"/>
        </w:trPr>
        <w:tc>
          <w:tcPr>
            <w:tcW w:w="0" w:type="auto"/>
            <w:gridSpan w:val="3"/>
            <w:shd w:val="clear" w:color="auto" w:fill="auto"/>
            <w:tcMar>
              <w:top w:w="0" w:type="dxa"/>
              <w:left w:w="20" w:type="dxa"/>
              <w:bottom w:w="0" w:type="dxa"/>
              <w:right w:w="20" w:type="dxa"/>
            </w:tcMar>
          </w:tcPr>
          <w:p w14:paraId="1E8049E2"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9E3"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9E4"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9E5" w14:textId="77777777" w:rsidR="00F20ABF" w:rsidRDefault="00F20ABF">
            <w:pPr>
              <w:rPr>
                <w:rFonts w:ascii="宋体"/>
              </w:rPr>
            </w:pPr>
          </w:p>
        </w:tc>
      </w:tr>
      <w:tr w:rsidR="00F20ABF" w14:paraId="1E8049E9" w14:textId="77777777">
        <w:tc>
          <w:tcPr>
            <w:tcW w:w="0" w:type="auto"/>
            <w:gridSpan w:val="3"/>
            <w:shd w:val="clear" w:color="auto" w:fill="auto"/>
            <w:tcMar>
              <w:top w:w="40" w:type="dxa"/>
              <w:left w:w="20" w:type="dxa"/>
              <w:bottom w:w="40" w:type="dxa"/>
              <w:right w:w="20" w:type="dxa"/>
            </w:tcMar>
            <w:vAlign w:val="bottom"/>
          </w:tcPr>
          <w:p w14:paraId="1E8049E7" w14:textId="77777777" w:rsidR="00F20ABF" w:rsidRDefault="00CA4D2F">
            <w:pPr>
              <w:textAlignment w:val="bottom"/>
            </w:pPr>
            <w:r>
              <w:rPr>
                <w:rFonts w:ascii="sans-serif" w:eastAsia="sans-serif" w:hAnsi="sans-serif" w:cs="sans-serif"/>
                <w:b/>
                <w:bCs/>
                <w:color w:val="000000"/>
                <w:sz w:val="20"/>
                <w:szCs w:val="20"/>
              </w:rPr>
              <w:t>Inventories:</w:t>
            </w:r>
          </w:p>
        </w:tc>
        <w:tc>
          <w:tcPr>
            <w:tcW w:w="0" w:type="auto"/>
            <w:gridSpan w:val="9"/>
            <w:shd w:val="clear" w:color="auto" w:fill="auto"/>
            <w:tcMar>
              <w:top w:w="40" w:type="dxa"/>
              <w:left w:w="20" w:type="dxa"/>
              <w:bottom w:w="40" w:type="dxa"/>
              <w:right w:w="20" w:type="dxa"/>
            </w:tcMar>
            <w:vAlign w:val="bottom"/>
          </w:tcPr>
          <w:p w14:paraId="1E8049E8"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9F2" w14:textId="77777777">
        <w:tc>
          <w:tcPr>
            <w:tcW w:w="0" w:type="auto"/>
            <w:gridSpan w:val="3"/>
            <w:shd w:val="clear" w:color="auto" w:fill="E2EFD9"/>
            <w:tcMar>
              <w:top w:w="40" w:type="dxa"/>
              <w:left w:w="20" w:type="dxa"/>
              <w:bottom w:w="40" w:type="dxa"/>
              <w:right w:w="20" w:type="dxa"/>
            </w:tcMar>
            <w:vAlign w:val="bottom"/>
          </w:tcPr>
          <w:p w14:paraId="1E8049EA" w14:textId="77777777" w:rsidR="00F20ABF" w:rsidRDefault="00CA4D2F">
            <w:pPr>
              <w:textAlignment w:val="bottom"/>
            </w:pPr>
            <w:r>
              <w:rPr>
                <w:rFonts w:ascii="sans-serif" w:eastAsia="sans-serif" w:hAnsi="sans-serif" w:cs="sans-serif"/>
                <w:color w:val="000000"/>
                <w:sz w:val="20"/>
                <w:szCs w:val="20"/>
              </w:rPr>
              <w:t>Raw materials</w:t>
            </w:r>
          </w:p>
        </w:tc>
        <w:tc>
          <w:tcPr>
            <w:tcW w:w="0" w:type="auto"/>
            <w:shd w:val="clear" w:color="auto" w:fill="E2EFD9"/>
            <w:tcMar>
              <w:top w:w="40" w:type="dxa"/>
              <w:left w:w="20" w:type="dxa"/>
              <w:bottom w:w="40" w:type="dxa"/>
              <w:right w:w="0" w:type="dxa"/>
            </w:tcMar>
            <w:vAlign w:val="bottom"/>
          </w:tcPr>
          <w:p w14:paraId="1E8049EB"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9EC" w14:textId="77777777" w:rsidR="00F20ABF" w:rsidRDefault="00CA4D2F">
            <w:pPr>
              <w:jc w:val="right"/>
              <w:textAlignment w:val="bottom"/>
            </w:pPr>
            <w:r>
              <w:rPr>
                <w:rFonts w:ascii="sans-serif" w:eastAsia="sans-serif" w:hAnsi="sans-serif" w:cs="sans-serif"/>
                <w:color w:val="000000"/>
                <w:sz w:val="20"/>
                <w:szCs w:val="20"/>
              </w:rPr>
              <w:t>455 </w:t>
            </w:r>
          </w:p>
        </w:tc>
        <w:tc>
          <w:tcPr>
            <w:tcW w:w="0" w:type="auto"/>
            <w:shd w:val="clear" w:color="auto" w:fill="E2EFD9"/>
            <w:tcMar>
              <w:top w:w="40" w:type="dxa"/>
              <w:left w:w="0" w:type="dxa"/>
              <w:bottom w:w="40" w:type="dxa"/>
              <w:right w:w="20" w:type="dxa"/>
            </w:tcMar>
            <w:vAlign w:val="bottom"/>
          </w:tcPr>
          <w:p w14:paraId="1E8049E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9EE"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9EF"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9F0" w14:textId="77777777" w:rsidR="00F20ABF" w:rsidRDefault="00CA4D2F">
            <w:pPr>
              <w:jc w:val="right"/>
              <w:textAlignment w:val="bottom"/>
            </w:pPr>
            <w:r>
              <w:rPr>
                <w:rFonts w:ascii="sans-serif" w:eastAsia="sans-serif" w:hAnsi="sans-serif" w:cs="sans-serif"/>
                <w:color w:val="000000"/>
                <w:sz w:val="20"/>
                <w:szCs w:val="20"/>
              </w:rPr>
              <w:t>249 </w:t>
            </w:r>
          </w:p>
        </w:tc>
        <w:tc>
          <w:tcPr>
            <w:tcW w:w="0" w:type="auto"/>
            <w:shd w:val="clear" w:color="auto" w:fill="E2EFD9"/>
            <w:tcMar>
              <w:top w:w="40" w:type="dxa"/>
              <w:left w:w="0" w:type="dxa"/>
              <w:bottom w:w="40" w:type="dxa"/>
              <w:right w:w="20" w:type="dxa"/>
            </w:tcMar>
            <w:vAlign w:val="bottom"/>
          </w:tcPr>
          <w:p w14:paraId="1E8049F1" w14:textId="77777777" w:rsidR="00F20ABF" w:rsidRDefault="00F20ABF">
            <w:pPr>
              <w:jc w:val="right"/>
              <w:rPr>
                <w:rFonts w:ascii="宋体"/>
              </w:rPr>
            </w:pPr>
          </w:p>
        </w:tc>
      </w:tr>
      <w:tr w:rsidR="00F20ABF" w14:paraId="1E8049F9" w14:textId="77777777">
        <w:tc>
          <w:tcPr>
            <w:tcW w:w="0" w:type="auto"/>
            <w:gridSpan w:val="3"/>
            <w:shd w:val="clear" w:color="auto" w:fill="FFFFFF"/>
            <w:tcMar>
              <w:top w:w="40" w:type="dxa"/>
              <w:left w:w="20" w:type="dxa"/>
              <w:bottom w:w="40" w:type="dxa"/>
              <w:right w:w="20" w:type="dxa"/>
            </w:tcMar>
            <w:vAlign w:val="bottom"/>
          </w:tcPr>
          <w:p w14:paraId="1E8049F3" w14:textId="77777777" w:rsidR="00F20ABF" w:rsidRDefault="00CA4D2F">
            <w:pPr>
              <w:textAlignment w:val="bottom"/>
            </w:pPr>
            <w:r>
              <w:rPr>
                <w:rFonts w:ascii="sans-serif" w:eastAsia="sans-serif" w:hAnsi="sans-serif" w:cs="sans-serif"/>
                <w:color w:val="000000"/>
                <w:sz w:val="20"/>
                <w:szCs w:val="20"/>
              </w:rPr>
              <w:t>Work in-process</w:t>
            </w:r>
          </w:p>
        </w:tc>
        <w:tc>
          <w:tcPr>
            <w:tcW w:w="0" w:type="auto"/>
            <w:gridSpan w:val="2"/>
            <w:shd w:val="clear" w:color="auto" w:fill="FFFFFF"/>
            <w:tcMar>
              <w:top w:w="40" w:type="dxa"/>
              <w:left w:w="20" w:type="dxa"/>
              <w:bottom w:w="40" w:type="dxa"/>
              <w:right w:w="0" w:type="dxa"/>
            </w:tcMar>
            <w:vAlign w:val="bottom"/>
          </w:tcPr>
          <w:p w14:paraId="1E8049F4" w14:textId="77777777" w:rsidR="00F20ABF" w:rsidRDefault="00CA4D2F">
            <w:pPr>
              <w:jc w:val="right"/>
              <w:textAlignment w:val="bottom"/>
            </w:pPr>
            <w:r>
              <w:rPr>
                <w:rFonts w:ascii="sans-serif" w:eastAsia="sans-serif" w:hAnsi="sans-serif" w:cs="sans-serif"/>
                <w:color w:val="000000"/>
                <w:sz w:val="20"/>
                <w:szCs w:val="20"/>
              </w:rPr>
              <w:t>380 </w:t>
            </w:r>
          </w:p>
        </w:tc>
        <w:tc>
          <w:tcPr>
            <w:tcW w:w="0" w:type="auto"/>
            <w:shd w:val="clear" w:color="auto" w:fill="FFFFFF"/>
            <w:tcMar>
              <w:top w:w="40" w:type="dxa"/>
              <w:left w:w="0" w:type="dxa"/>
              <w:bottom w:w="40" w:type="dxa"/>
              <w:right w:w="20" w:type="dxa"/>
            </w:tcMar>
            <w:vAlign w:val="bottom"/>
          </w:tcPr>
          <w:p w14:paraId="1E8049F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9F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9F7" w14:textId="77777777" w:rsidR="00F20ABF" w:rsidRDefault="00CA4D2F">
            <w:pPr>
              <w:jc w:val="right"/>
              <w:textAlignment w:val="bottom"/>
            </w:pPr>
            <w:r>
              <w:rPr>
                <w:rFonts w:ascii="sans-serif" w:eastAsia="sans-serif" w:hAnsi="sans-serif" w:cs="sans-serif"/>
                <w:color w:val="000000"/>
                <w:sz w:val="20"/>
                <w:szCs w:val="20"/>
              </w:rPr>
              <w:t>265 </w:t>
            </w:r>
          </w:p>
        </w:tc>
        <w:tc>
          <w:tcPr>
            <w:tcW w:w="0" w:type="auto"/>
            <w:shd w:val="clear" w:color="auto" w:fill="FFFFFF"/>
            <w:tcMar>
              <w:top w:w="40" w:type="dxa"/>
              <w:left w:w="0" w:type="dxa"/>
              <w:bottom w:w="40" w:type="dxa"/>
              <w:right w:w="20" w:type="dxa"/>
            </w:tcMar>
            <w:vAlign w:val="bottom"/>
          </w:tcPr>
          <w:p w14:paraId="1E8049F8" w14:textId="77777777" w:rsidR="00F20ABF" w:rsidRDefault="00F20ABF">
            <w:pPr>
              <w:jc w:val="right"/>
              <w:rPr>
                <w:rFonts w:ascii="宋体"/>
              </w:rPr>
            </w:pPr>
          </w:p>
        </w:tc>
      </w:tr>
      <w:tr w:rsidR="00F20ABF" w14:paraId="1E804A00" w14:textId="77777777">
        <w:tc>
          <w:tcPr>
            <w:tcW w:w="0" w:type="auto"/>
            <w:gridSpan w:val="3"/>
            <w:shd w:val="clear" w:color="auto" w:fill="E2EFD9"/>
            <w:tcMar>
              <w:top w:w="40" w:type="dxa"/>
              <w:left w:w="20" w:type="dxa"/>
              <w:bottom w:w="40" w:type="dxa"/>
              <w:right w:w="20" w:type="dxa"/>
            </w:tcMar>
            <w:vAlign w:val="bottom"/>
          </w:tcPr>
          <w:p w14:paraId="1E8049FA" w14:textId="77777777" w:rsidR="00F20ABF" w:rsidRDefault="00CA4D2F">
            <w:pPr>
              <w:textAlignment w:val="bottom"/>
            </w:pPr>
            <w:r>
              <w:rPr>
                <w:rFonts w:ascii="sans-serif" w:eastAsia="sans-serif" w:hAnsi="sans-serif" w:cs="sans-serif"/>
                <w:color w:val="000000"/>
                <w:sz w:val="20"/>
                <w:szCs w:val="20"/>
              </w:rPr>
              <w:t>Finished goods</w:t>
            </w:r>
          </w:p>
        </w:tc>
        <w:tc>
          <w:tcPr>
            <w:tcW w:w="0" w:type="auto"/>
            <w:gridSpan w:val="2"/>
            <w:shd w:val="clear" w:color="auto" w:fill="E2EFD9"/>
            <w:tcMar>
              <w:top w:w="40" w:type="dxa"/>
              <w:left w:w="20" w:type="dxa"/>
              <w:bottom w:w="40" w:type="dxa"/>
              <w:right w:w="0" w:type="dxa"/>
            </w:tcMar>
            <w:vAlign w:val="bottom"/>
          </w:tcPr>
          <w:p w14:paraId="1E8049FB" w14:textId="77777777" w:rsidR="00F20ABF" w:rsidRDefault="00CA4D2F">
            <w:pPr>
              <w:jc w:val="right"/>
              <w:textAlignment w:val="bottom"/>
            </w:pPr>
            <w:r>
              <w:rPr>
                <w:rFonts w:ascii="sans-serif" w:eastAsia="sans-serif" w:hAnsi="sans-serif" w:cs="sans-serif"/>
                <w:color w:val="000000"/>
                <w:sz w:val="20"/>
                <w:szCs w:val="20"/>
              </w:rPr>
              <w:t>660 </w:t>
            </w:r>
          </w:p>
        </w:tc>
        <w:tc>
          <w:tcPr>
            <w:tcW w:w="0" w:type="auto"/>
            <w:shd w:val="clear" w:color="auto" w:fill="E2EFD9"/>
            <w:tcMar>
              <w:top w:w="40" w:type="dxa"/>
              <w:left w:w="0" w:type="dxa"/>
              <w:bottom w:w="40" w:type="dxa"/>
              <w:right w:w="20" w:type="dxa"/>
            </w:tcMar>
            <w:vAlign w:val="bottom"/>
          </w:tcPr>
          <w:p w14:paraId="1E8049F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9FD"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9FE" w14:textId="77777777" w:rsidR="00F20ABF" w:rsidRDefault="00CA4D2F">
            <w:pPr>
              <w:jc w:val="right"/>
              <w:textAlignment w:val="bottom"/>
            </w:pPr>
            <w:r>
              <w:rPr>
                <w:rFonts w:ascii="sans-serif" w:eastAsia="sans-serif" w:hAnsi="sans-serif" w:cs="sans-serif"/>
                <w:color w:val="000000"/>
                <w:sz w:val="20"/>
                <w:szCs w:val="20"/>
              </w:rPr>
              <w:t>465 </w:t>
            </w:r>
          </w:p>
        </w:tc>
        <w:tc>
          <w:tcPr>
            <w:tcW w:w="0" w:type="auto"/>
            <w:shd w:val="clear" w:color="auto" w:fill="E2EFD9"/>
            <w:tcMar>
              <w:top w:w="40" w:type="dxa"/>
              <w:left w:w="0" w:type="dxa"/>
              <w:bottom w:w="40" w:type="dxa"/>
              <w:right w:w="20" w:type="dxa"/>
            </w:tcMar>
            <w:vAlign w:val="bottom"/>
          </w:tcPr>
          <w:p w14:paraId="1E8049FF" w14:textId="77777777" w:rsidR="00F20ABF" w:rsidRDefault="00F20ABF">
            <w:pPr>
              <w:jc w:val="right"/>
              <w:rPr>
                <w:rFonts w:ascii="宋体"/>
              </w:rPr>
            </w:pPr>
          </w:p>
        </w:tc>
      </w:tr>
      <w:tr w:rsidR="00F20ABF" w14:paraId="1E804A09" w14:textId="77777777">
        <w:tc>
          <w:tcPr>
            <w:tcW w:w="0" w:type="auto"/>
            <w:gridSpan w:val="3"/>
            <w:shd w:val="clear" w:color="auto" w:fill="FFFFFF"/>
            <w:tcMar>
              <w:top w:w="40" w:type="dxa"/>
              <w:left w:w="380" w:type="dxa"/>
              <w:bottom w:w="40" w:type="dxa"/>
              <w:right w:w="20" w:type="dxa"/>
            </w:tcMar>
            <w:vAlign w:val="bottom"/>
          </w:tcPr>
          <w:p w14:paraId="1E804A01" w14:textId="77777777" w:rsidR="00F20ABF" w:rsidRDefault="00CA4D2F">
            <w:pPr>
              <w:textAlignment w:val="bottom"/>
            </w:pPr>
            <w:r>
              <w:rPr>
                <w:rFonts w:ascii="sans-serif" w:eastAsia="sans-serif" w:hAnsi="sans-serif" w:cs="sans-serif"/>
                <w:color w:val="000000"/>
                <w:sz w:val="20"/>
                <w:szCs w:val="20"/>
              </w:rPr>
              <w:t xml:space="preserve">Total </w:t>
            </w:r>
            <w:r>
              <w:rPr>
                <w:rFonts w:ascii="sans-serif" w:eastAsia="sans-serif" w:hAnsi="sans-serif" w:cs="sans-serif"/>
                <w:color w:val="000000"/>
                <w:sz w:val="20"/>
                <w:szCs w:val="20"/>
              </w:rPr>
              <w:t>inventories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A02"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A03" w14:textId="77777777" w:rsidR="00F20ABF" w:rsidRDefault="00CA4D2F">
            <w:pPr>
              <w:jc w:val="right"/>
              <w:textAlignment w:val="bottom"/>
            </w:pPr>
            <w:r>
              <w:rPr>
                <w:rFonts w:ascii="sans-serif" w:eastAsia="sans-serif" w:hAnsi="sans-serif" w:cs="sans-serif"/>
                <w:color w:val="000000"/>
                <w:sz w:val="20"/>
                <w:szCs w:val="20"/>
              </w:rPr>
              <w:t>1,495 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A04"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A05"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A06"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A07" w14:textId="77777777" w:rsidR="00F20ABF" w:rsidRDefault="00CA4D2F">
            <w:pPr>
              <w:jc w:val="right"/>
              <w:textAlignment w:val="bottom"/>
            </w:pPr>
            <w:r>
              <w:rPr>
                <w:rFonts w:ascii="sans-serif" w:eastAsia="sans-serif" w:hAnsi="sans-serif" w:cs="sans-serif"/>
                <w:color w:val="000000"/>
                <w:sz w:val="20"/>
                <w:szCs w:val="20"/>
              </w:rPr>
              <w:t>979 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A08" w14:textId="77777777" w:rsidR="00F20ABF" w:rsidRDefault="00F20ABF">
            <w:pPr>
              <w:jc w:val="right"/>
              <w:rPr>
                <w:rFonts w:ascii="宋体"/>
              </w:rPr>
            </w:pPr>
          </w:p>
        </w:tc>
      </w:tr>
    </w:tbl>
    <w:p w14:paraId="1E804A0A" w14:textId="77777777" w:rsidR="00F20ABF" w:rsidRDefault="00F20ABF"/>
    <w:tbl>
      <w:tblPr>
        <w:tblW w:w="4993" w:type="pct"/>
        <w:tblCellMar>
          <w:top w:w="15" w:type="dxa"/>
          <w:left w:w="15" w:type="dxa"/>
          <w:bottom w:w="15" w:type="dxa"/>
          <w:right w:w="15" w:type="dxa"/>
        </w:tblCellMar>
        <w:tblLook w:val="04A0" w:firstRow="1" w:lastRow="0" w:firstColumn="1" w:lastColumn="0" w:noHBand="0" w:noVBand="1"/>
      </w:tblPr>
      <w:tblGrid>
        <w:gridCol w:w="40"/>
        <w:gridCol w:w="5910"/>
        <w:gridCol w:w="36"/>
        <w:gridCol w:w="123"/>
        <w:gridCol w:w="974"/>
        <w:gridCol w:w="36"/>
        <w:gridCol w:w="36"/>
        <w:gridCol w:w="36"/>
        <w:gridCol w:w="36"/>
        <w:gridCol w:w="123"/>
        <w:gridCol w:w="938"/>
        <w:gridCol w:w="36"/>
      </w:tblGrid>
      <w:tr w:rsidR="00F20ABF" w14:paraId="1E804A17" w14:textId="77777777">
        <w:tc>
          <w:tcPr>
            <w:tcW w:w="50" w:type="pct"/>
            <w:shd w:val="clear" w:color="auto" w:fill="auto"/>
          </w:tcPr>
          <w:p w14:paraId="1E804A0B" w14:textId="77777777" w:rsidR="00F20ABF" w:rsidRDefault="00F20ABF">
            <w:pPr>
              <w:rPr>
                <w:rFonts w:ascii="宋体"/>
              </w:rPr>
            </w:pPr>
          </w:p>
        </w:tc>
        <w:tc>
          <w:tcPr>
            <w:tcW w:w="3575" w:type="pct"/>
            <w:shd w:val="clear" w:color="auto" w:fill="auto"/>
          </w:tcPr>
          <w:p w14:paraId="1E804A0C" w14:textId="77777777" w:rsidR="00F20ABF" w:rsidRDefault="00F20ABF">
            <w:pPr>
              <w:rPr>
                <w:rFonts w:ascii="宋体"/>
              </w:rPr>
            </w:pPr>
          </w:p>
        </w:tc>
        <w:tc>
          <w:tcPr>
            <w:tcW w:w="5" w:type="pct"/>
            <w:shd w:val="clear" w:color="auto" w:fill="auto"/>
          </w:tcPr>
          <w:p w14:paraId="1E804A0D" w14:textId="77777777" w:rsidR="00F20ABF" w:rsidRDefault="00F20ABF">
            <w:pPr>
              <w:rPr>
                <w:rFonts w:ascii="宋体"/>
              </w:rPr>
            </w:pPr>
          </w:p>
        </w:tc>
        <w:tc>
          <w:tcPr>
            <w:tcW w:w="50" w:type="pct"/>
            <w:shd w:val="clear" w:color="auto" w:fill="auto"/>
          </w:tcPr>
          <w:p w14:paraId="1E804A0E" w14:textId="77777777" w:rsidR="00F20ABF" w:rsidRDefault="00F20ABF">
            <w:pPr>
              <w:rPr>
                <w:rFonts w:ascii="宋体"/>
              </w:rPr>
            </w:pPr>
          </w:p>
        </w:tc>
        <w:tc>
          <w:tcPr>
            <w:tcW w:w="611" w:type="pct"/>
            <w:shd w:val="clear" w:color="auto" w:fill="auto"/>
          </w:tcPr>
          <w:p w14:paraId="1E804A0F" w14:textId="77777777" w:rsidR="00F20ABF" w:rsidRDefault="00F20ABF">
            <w:pPr>
              <w:rPr>
                <w:rFonts w:ascii="宋体"/>
              </w:rPr>
            </w:pPr>
          </w:p>
        </w:tc>
        <w:tc>
          <w:tcPr>
            <w:tcW w:w="5" w:type="pct"/>
            <w:shd w:val="clear" w:color="auto" w:fill="auto"/>
          </w:tcPr>
          <w:p w14:paraId="1E804A10" w14:textId="77777777" w:rsidR="00F20ABF" w:rsidRDefault="00F20ABF">
            <w:pPr>
              <w:rPr>
                <w:rFonts w:ascii="宋体"/>
              </w:rPr>
            </w:pPr>
          </w:p>
        </w:tc>
        <w:tc>
          <w:tcPr>
            <w:tcW w:w="5" w:type="pct"/>
            <w:shd w:val="clear" w:color="auto" w:fill="auto"/>
          </w:tcPr>
          <w:p w14:paraId="1E804A11" w14:textId="77777777" w:rsidR="00F20ABF" w:rsidRDefault="00F20ABF">
            <w:pPr>
              <w:rPr>
                <w:rFonts w:ascii="宋体"/>
              </w:rPr>
            </w:pPr>
          </w:p>
        </w:tc>
        <w:tc>
          <w:tcPr>
            <w:tcW w:w="26" w:type="pct"/>
            <w:shd w:val="clear" w:color="auto" w:fill="auto"/>
          </w:tcPr>
          <w:p w14:paraId="1E804A12" w14:textId="77777777" w:rsidR="00F20ABF" w:rsidRDefault="00F20ABF">
            <w:pPr>
              <w:rPr>
                <w:rFonts w:ascii="宋体"/>
              </w:rPr>
            </w:pPr>
          </w:p>
        </w:tc>
        <w:tc>
          <w:tcPr>
            <w:tcW w:w="5" w:type="pct"/>
            <w:shd w:val="clear" w:color="auto" w:fill="auto"/>
          </w:tcPr>
          <w:p w14:paraId="1E804A13" w14:textId="77777777" w:rsidR="00F20ABF" w:rsidRDefault="00F20ABF">
            <w:pPr>
              <w:rPr>
                <w:rFonts w:ascii="宋体"/>
              </w:rPr>
            </w:pPr>
          </w:p>
        </w:tc>
        <w:tc>
          <w:tcPr>
            <w:tcW w:w="50" w:type="pct"/>
            <w:shd w:val="clear" w:color="auto" w:fill="auto"/>
          </w:tcPr>
          <w:p w14:paraId="1E804A14" w14:textId="77777777" w:rsidR="00F20ABF" w:rsidRDefault="00F20ABF">
            <w:pPr>
              <w:rPr>
                <w:rFonts w:ascii="宋体"/>
              </w:rPr>
            </w:pPr>
          </w:p>
        </w:tc>
        <w:tc>
          <w:tcPr>
            <w:tcW w:w="611" w:type="pct"/>
            <w:shd w:val="clear" w:color="auto" w:fill="auto"/>
          </w:tcPr>
          <w:p w14:paraId="1E804A15" w14:textId="77777777" w:rsidR="00F20ABF" w:rsidRDefault="00F20ABF">
            <w:pPr>
              <w:rPr>
                <w:rFonts w:ascii="宋体"/>
              </w:rPr>
            </w:pPr>
          </w:p>
        </w:tc>
        <w:tc>
          <w:tcPr>
            <w:tcW w:w="5" w:type="pct"/>
            <w:shd w:val="clear" w:color="auto" w:fill="auto"/>
          </w:tcPr>
          <w:p w14:paraId="1E804A16" w14:textId="77777777" w:rsidR="00F20ABF" w:rsidRDefault="00F20ABF">
            <w:pPr>
              <w:rPr>
                <w:rFonts w:ascii="宋体"/>
              </w:rPr>
            </w:pPr>
          </w:p>
        </w:tc>
      </w:tr>
      <w:tr w:rsidR="00F20ABF" w14:paraId="1E804A1C" w14:textId="77777777">
        <w:tc>
          <w:tcPr>
            <w:tcW w:w="0" w:type="auto"/>
            <w:gridSpan w:val="3"/>
            <w:shd w:val="clear" w:color="auto" w:fill="auto"/>
            <w:tcMar>
              <w:top w:w="0" w:type="dxa"/>
              <w:left w:w="20" w:type="dxa"/>
              <w:bottom w:w="0" w:type="dxa"/>
              <w:right w:w="20" w:type="dxa"/>
            </w:tcMar>
          </w:tcPr>
          <w:p w14:paraId="1E804A18"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A19" w14:textId="77777777" w:rsidR="00F20ABF" w:rsidRDefault="00CA4D2F">
            <w:pPr>
              <w:jc w:val="center"/>
              <w:textAlignment w:val="bottom"/>
            </w:pPr>
            <w:r>
              <w:rPr>
                <w:rFonts w:ascii="sans-serif" w:eastAsia="sans-serif" w:hAnsi="sans-serif" w:cs="sans-serif"/>
                <w:b/>
                <w:bCs/>
                <w:color w:val="000000"/>
                <w:sz w:val="20"/>
                <w:szCs w:val="20"/>
              </w:rPr>
              <w:t>October 25,</w:t>
            </w:r>
          </w:p>
        </w:tc>
        <w:tc>
          <w:tcPr>
            <w:tcW w:w="0" w:type="auto"/>
            <w:gridSpan w:val="3"/>
            <w:shd w:val="clear" w:color="auto" w:fill="auto"/>
            <w:tcMar>
              <w:top w:w="0" w:type="dxa"/>
              <w:left w:w="20" w:type="dxa"/>
              <w:bottom w:w="0" w:type="dxa"/>
              <w:right w:w="20" w:type="dxa"/>
            </w:tcMar>
          </w:tcPr>
          <w:p w14:paraId="1E804A1A"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A1B" w14:textId="77777777" w:rsidR="00F20ABF" w:rsidRDefault="00CA4D2F">
            <w:pPr>
              <w:jc w:val="center"/>
              <w:textAlignment w:val="bottom"/>
            </w:pPr>
            <w:r>
              <w:rPr>
                <w:rFonts w:ascii="sans-serif" w:eastAsia="sans-serif" w:hAnsi="sans-serif" w:cs="sans-serif"/>
                <w:b/>
                <w:bCs/>
                <w:color w:val="000000"/>
                <w:sz w:val="20"/>
                <w:szCs w:val="20"/>
              </w:rPr>
              <w:t>January 26,</w:t>
            </w:r>
          </w:p>
        </w:tc>
      </w:tr>
      <w:tr w:rsidR="00F20ABF" w14:paraId="1E804A21" w14:textId="77777777">
        <w:tc>
          <w:tcPr>
            <w:tcW w:w="0" w:type="auto"/>
            <w:gridSpan w:val="3"/>
            <w:shd w:val="clear" w:color="auto" w:fill="auto"/>
            <w:tcMar>
              <w:top w:w="40" w:type="dxa"/>
              <w:left w:w="20" w:type="dxa"/>
              <w:bottom w:w="40" w:type="dxa"/>
              <w:right w:w="20" w:type="dxa"/>
            </w:tcMar>
            <w:vAlign w:val="bottom"/>
          </w:tcPr>
          <w:p w14:paraId="1E804A1D"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4A1E" w14:textId="77777777" w:rsidR="00F20ABF" w:rsidRDefault="00CA4D2F">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tcPr>
          <w:p w14:paraId="1E804A1F"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A20" w14:textId="77777777" w:rsidR="00F20ABF" w:rsidRDefault="00CA4D2F">
            <w:pPr>
              <w:jc w:val="center"/>
              <w:textAlignment w:val="bottom"/>
            </w:pPr>
            <w:r>
              <w:rPr>
                <w:rFonts w:ascii="sans-serif" w:eastAsia="sans-serif" w:hAnsi="sans-serif" w:cs="sans-serif"/>
                <w:b/>
                <w:bCs/>
                <w:color w:val="000000"/>
                <w:sz w:val="20"/>
                <w:szCs w:val="20"/>
              </w:rPr>
              <w:t>2020</w:t>
            </w:r>
          </w:p>
        </w:tc>
      </w:tr>
      <w:tr w:rsidR="00F20ABF" w14:paraId="1E804A26" w14:textId="77777777">
        <w:trPr>
          <w:trHeight w:val="60"/>
        </w:trPr>
        <w:tc>
          <w:tcPr>
            <w:tcW w:w="0" w:type="auto"/>
            <w:gridSpan w:val="3"/>
            <w:shd w:val="clear" w:color="auto" w:fill="auto"/>
            <w:tcMar>
              <w:top w:w="0" w:type="dxa"/>
              <w:left w:w="20" w:type="dxa"/>
              <w:bottom w:w="0" w:type="dxa"/>
              <w:right w:w="20" w:type="dxa"/>
            </w:tcMar>
          </w:tcPr>
          <w:p w14:paraId="1E804A22"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A23"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A24"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A25" w14:textId="77777777" w:rsidR="00F20ABF" w:rsidRDefault="00F20ABF">
            <w:pPr>
              <w:rPr>
                <w:rFonts w:ascii="宋体"/>
              </w:rPr>
            </w:pPr>
          </w:p>
        </w:tc>
      </w:tr>
      <w:tr w:rsidR="00F20ABF" w14:paraId="1E804A29" w14:textId="77777777">
        <w:tc>
          <w:tcPr>
            <w:tcW w:w="0" w:type="auto"/>
            <w:gridSpan w:val="3"/>
            <w:shd w:val="clear" w:color="auto" w:fill="auto"/>
            <w:tcMar>
              <w:top w:w="40" w:type="dxa"/>
              <w:left w:w="20" w:type="dxa"/>
              <w:bottom w:w="40" w:type="dxa"/>
              <w:right w:w="20" w:type="dxa"/>
            </w:tcMar>
            <w:vAlign w:val="bottom"/>
          </w:tcPr>
          <w:p w14:paraId="1E804A27" w14:textId="77777777" w:rsidR="00F20ABF" w:rsidRDefault="00CA4D2F">
            <w:pPr>
              <w:textAlignment w:val="bottom"/>
            </w:pPr>
            <w:r>
              <w:rPr>
                <w:rFonts w:ascii="sans-serif" w:eastAsia="sans-serif" w:hAnsi="sans-serif" w:cs="sans-serif"/>
                <w:b/>
                <w:bCs/>
                <w:color w:val="000000"/>
                <w:sz w:val="20"/>
                <w:szCs w:val="20"/>
              </w:rPr>
              <w:t>Other assets:</w:t>
            </w:r>
          </w:p>
        </w:tc>
        <w:tc>
          <w:tcPr>
            <w:tcW w:w="0" w:type="auto"/>
            <w:gridSpan w:val="9"/>
            <w:shd w:val="clear" w:color="auto" w:fill="auto"/>
            <w:tcMar>
              <w:top w:w="40" w:type="dxa"/>
              <w:left w:w="20" w:type="dxa"/>
              <w:bottom w:w="40" w:type="dxa"/>
              <w:right w:w="20" w:type="dxa"/>
            </w:tcMar>
            <w:vAlign w:val="bottom"/>
          </w:tcPr>
          <w:p w14:paraId="1E804A28"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A32" w14:textId="77777777">
        <w:tc>
          <w:tcPr>
            <w:tcW w:w="0" w:type="auto"/>
            <w:gridSpan w:val="3"/>
            <w:shd w:val="clear" w:color="auto" w:fill="E2EFD9"/>
            <w:tcMar>
              <w:top w:w="40" w:type="dxa"/>
              <w:left w:w="20" w:type="dxa"/>
              <w:bottom w:w="40" w:type="dxa"/>
              <w:right w:w="20" w:type="dxa"/>
            </w:tcMar>
            <w:vAlign w:val="bottom"/>
          </w:tcPr>
          <w:p w14:paraId="1E804A2A" w14:textId="77777777" w:rsidR="00F20ABF" w:rsidRDefault="00CA4D2F">
            <w:pPr>
              <w:textAlignment w:val="bottom"/>
            </w:pPr>
            <w:r>
              <w:rPr>
                <w:rFonts w:ascii="sans-serif" w:eastAsia="sans-serif" w:hAnsi="sans-serif" w:cs="sans-serif"/>
                <w:color w:val="000000"/>
                <w:sz w:val="20"/>
                <w:szCs w:val="20"/>
              </w:rPr>
              <w:t>Advanced consideration for acquisition (1)</w:t>
            </w:r>
          </w:p>
        </w:tc>
        <w:tc>
          <w:tcPr>
            <w:tcW w:w="0" w:type="auto"/>
            <w:shd w:val="clear" w:color="auto" w:fill="E2EFD9"/>
            <w:tcMar>
              <w:top w:w="40" w:type="dxa"/>
              <w:left w:w="20" w:type="dxa"/>
              <w:bottom w:w="40" w:type="dxa"/>
              <w:right w:w="0" w:type="dxa"/>
            </w:tcMar>
            <w:vAlign w:val="bottom"/>
          </w:tcPr>
          <w:p w14:paraId="1E804A2B"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A2C" w14:textId="77777777" w:rsidR="00F20ABF" w:rsidRDefault="00CA4D2F">
            <w:pPr>
              <w:jc w:val="right"/>
              <w:textAlignment w:val="bottom"/>
            </w:pPr>
            <w:r>
              <w:rPr>
                <w:rFonts w:ascii="sans-serif" w:eastAsia="sans-serif" w:hAnsi="sans-serif" w:cs="sans-serif"/>
                <w:color w:val="000000"/>
                <w:sz w:val="20"/>
                <w:szCs w:val="20"/>
              </w:rPr>
              <w:t>1,357 </w:t>
            </w:r>
          </w:p>
        </w:tc>
        <w:tc>
          <w:tcPr>
            <w:tcW w:w="0" w:type="auto"/>
            <w:shd w:val="clear" w:color="auto" w:fill="E2EFD9"/>
            <w:tcMar>
              <w:top w:w="40" w:type="dxa"/>
              <w:left w:w="0" w:type="dxa"/>
              <w:bottom w:w="40" w:type="dxa"/>
              <w:right w:w="20" w:type="dxa"/>
            </w:tcMar>
            <w:vAlign w:val="bottom"/>
          </w:tcPr>
          <w:p w14:paraId="1E804A2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A2E"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A2F"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A30"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A31" w14:textId="77777777" w:rsidR="00F20ABF" w:rsidRDefault="00F20ABF">
            <w:pPr>
              <w:jc w:val="right"/>
              <w:rPr>
                <w:rFonts w:ascii="宋体"/>
              </w:rPr>
            </w:pPr>
          </w:p>
        </w:tc>
      </w:tr>
      <w:tr w:rsidR="00F20ABF" w14:paraId="1E804A39" w14:textId="77777777">
        <w:tc>
          <w:tcPr>
            <w:tcW w:w="0" w:type="auto"/>
            <w:gridSpan w:val="3"/>
            <w:shd w:val="clear" w:color="auto" w:fill="FFFFFF"/>
            <w:tcMar>
              <w:top w:w="40" w:type="dxa"/>
              <w:left w:w="20" w:type="dxa"/>
              <w:bottom w:w="40" w:type="dxa"/>
              <w:right w:w="20" w:type="dxa"/>
            </w:tcMar>
            <w:vAlign w:val="bottom"/>
          </w:tcPr>
          <w:p w14:paraId="1E804A33" w14:textId="77777777" w:rsidR="00F20ABF" w:rsidRDefault="00CA4D2F">
            <w:pPr>
              <w:textAlignment w:val="bottom"/>
            </w:pPr>
            <w:r>
              <w:rPr>
                <w:rFonts w:ascii="sans-serif" w:eastAsia="sans-serif" w:hAnsi="sans-serif" w:cs="sans-serif"/>
                <w:color w:val="000000"/>
                <w:sz w:val="20"/>
                <w:szCs w:val="20"/>
              </w:rPr>
              <w:t>Prepaid royalties (1)</w:t>
            </w:r>
          </w:p>
        </w:tc>
        <w:tc>
          <w:tcPr>
            <w:tcW w:w="0" w:type="auto"/>
            <w:gridSpan w:val="2"/>
            <w:shd w:val="clear" w:color="auto" w:fill="FFFFFF"/>
            <w:tcMar>
              <w:top w:w="40" w:type="dxa"/>
              <w:left w:w="20" w:type="dxa"/>
              <w:bottom w:w="40" w:type="dxa"/>
              <w:right w:w="0" w:type="dxa"/>
            </w:tcMar>
            <w:vAlign w:val="bottom"/>
          </w:tcPr>
          <w:p w14:paraId="1E804A34" w14:textId="77777777" w:rsidR="00F20ABF" w:rsidRDefault="00CA4D2F">
            <w:pPr>
              <w:jc w:val="right"/>
              <w:textAlignment w:val="bottom"/>
            </w:pPr>
            <w:r>
              <w:rPr>
                <w:rFonts w:ascii="sans-serif" w:eastAsia="sans-serif" w:hAnsi="sans-serif" w:cs="sans-serif"/>
                <w:color w:val="000000"/>
                <w:sz w:val="20"/>
                <w:szCs w:val="20"/>
              </w:rPr>
              <w:t>446 </w:t>
            </w:r>
          </w:p>
        </w:tc>
        <w:tc>
          <w:tcPr>
            <w:tcW w:w="0" w:type="auto"/>
            <w:shd w:val="clear" w:color="auto" w:fill="FFFFFF"/>
            <w:tcMar>
              <w:top w:w="40" w:type="dxa"/>
              <w:left w:w="0" w:type="dxa"/>
              <w:bottom w:w="40" w:type="dxa"/>
              <w:right w:w="20" w:type="dxa"/>
            </w:tcMar>
            <w:vAlign w:val="bottom"/>
          </w:tcPr>
          <w:p w14:paraId="1E804A3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A3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A37" w14:textId="77777777" w:rsidR="00F20ABF" w:rsidRDefault="00CA4D2F">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1E804A38" w14:textId="77777777" w:rsidR="00F20ABF" w:rsidRDefault="00F20ABF">
            <w:pPr>
              <w:jc w:val="right"/>
              <w:rPr>
                <w:rFonts w:ascii="宋体"/>
              </w:rPr>
            </w:pPr>
          </w:p>
        </w:tc>
      </w:tr>
      <w:tr w:rsidR="00F20ABF" w14:paraId="1E804A40" w14:textId="77777777">
        <w:tc>
          <w:tcPr>
            <w:tcW w:w="0" w:type="auto"/>
            <w:gridSpan w:val="3"/>
            <w:shd w:val="clear" w:color="auto" w:fill="E2EFD9"/>
            <w:tcMar>
              <w:top w:w="40" w:type="dxa"/>
              <w:left w:w="20" w:type="dxa"/>
              <w:bottom w:w="40" w:type="dxa"/>
              <w:right w:w="20" w:type="dxa"/>
            </w:tcMar>
            <w:vAlign w:val="bottom"/>
          </w:tcPr>
          <w:p w14:paraId="1E804A3A" w14:textId="77777777" w:rsidR="00F20ABF" w:rsidRDefault="00CA4D2F">
            <w:pPr>
              <w:textAlignment w:val="bottom"/>
            </w:pPr>
            <w:r>
              <w:rPr>
                <w:rFonts w:ascii="sans-serif" w:eastAsia="sans-serif" w:hAnsi="sans-serif" w:cs="sans-serif"/>
                <w:color w:val="000000"/>
                <w:sz w:val="20"/>
                <w:szCs w:val="20"/>
              </w:rPr>
              <w:t xml:space="preserve">Investment in </w:t>
            </w:r>
            <w:r>
              <w:rPr>
                <w:rFonts w:ascii="sans-serif" w:eastAsia="sans-serif" w:hAnsi="sans-serif" w:cs="sans-serif"/>
                <w:color w:val="000000"/>
                <w:sz w:val="20"/>
                <w:szCs w:val="20"/>
              </w:rPr>
              <w:t>non-affiliated entities</w:t>
            </w:r>
          </w:p>
        </w:tc>
        <w:tc>
          <w:tcPr>
            <w:tcW w:w="0" w:type="auto"/>
            <w:gridSpan w:val="2"/>
            <w:shd w:val="clear" w:color="auto" w:fill="E2EFD9"/>
            <w:tcMar>
              <w:top w:w="40" w:type="dxa"/>
              <w:left w:w="20" w:type="dxa"/>
              <w:bottom w:w="40" w:type="dxa"/>
              <w:right w:w="0" w:type="dxa"/>
            </w:tcMar>
            <w:vAlign w:val="bottom"/>
          </w:tcPr>
          <w:p w14:paraId="1E804A3B" w14:textId="77777777" w:rsidR="00F20ABF" w:rsidRDefault="00CA4D2F">
            <w:pPr>
              <w:jc w:val="right"/>
              <w:textAlignment w:val="bottom"/>
            </w:pPr>
            <w:r>
              <w:rPr>
                <w:rFonts w:ascii="sans-serif" w:eastAsia="sans-serif" w:hAnsi="sans-serif" w:cs="sans-serif"/>
                <w:color w:val="000000"/>
                <w:sz w:val="20"/>
                <w:szCs w:val="20"/>
              </w:rPr>
              <w:t>106 </w:t>
            </w:r>
          </w:p>
        </w:tc>
        <w:tc>
          <w:tcPr>
            <w:tcW w:w="0" w:type="auto"/>
            <w:shd w:val="clear" w:color="auto" w:fill="E2EFD9"/>
            <w:tcMar>
              <w:top w:w="40" w:type="dxa"/>
              <w:left w:w="0" w:type="dxa"/>
              <w:bottom w:w="40" w:type="dxa"/>
              <w:right w:w="20" w:type="dxa"/>
            </w:tcMar>
            <w:vAlign w:val="bottom"/>
          </w:tcPr>
          <w:p w14:paraId="1E804A3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A3D"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A3E" w14:textId="77777777" w:rsidR="00F20ABF" w:rsidRDefault="00CA4D2F">
            <w:pPr>
              <w:jc w:val="right"/>
              <w:textAlignment w:val="bottom"/>
            </w:pPr>
            <w:r>
              <w:rPr>
                <w:rFonts w:ascii="sans-serif" w:eastAsia="sans-serif" w:hAnsi="sans-serif" w:cs="sans-serif"/>
                <w:color w:val="000000"/>
                <w:sz w:val="20"/>
                <w:szCs w:val="20"/>
              </w:rPr>
              <w:t>77 </w:t>
            </w:r>
          </w:p>
        </w:tc>
        <w:tc>
          <w:tcPr>
            <w:tcW w:w="0" w:type="auto"/>
            <w:shd w:val="clear" w:color="auto" w:fill="E2EFD9"/>
            <w:tcMar>
              <w:top w:w="40" w:type="dxa"/>
              <w:left w:w="0" w:type="dxa"/>
              <w:bottom w:w="40" w:type="dxa"/>
              <w:right w:w="20" w:type="dxa"/>
            </w:tcMar>
            <w:vAlign w:val="bottom"/>
          </w:tcPr>
          <w:p w14:paraId="1E804A3F" w14:textId="77777777" w:rsidR="00F20ABF" w:rsidRDefault="00F20ABF">
            <w:pPr>
              <w:jc w:val="right"/>
              <w:rPr>
                <w:rFonts w:ascii="宋体"/>
              </w:rPr>
            </w:pPr>
          </w:p>
        </w:tc>
      </w:tr>
      <w:tr w:rsidR="00F20ABF" w14:paraId="1E804A47" w14:textId="77777777">
        <w:tc>
          <w:tcPr>
            <w:tcW w:w="0" w:type="auto"/>
            <w:gridSpan w:val="3"/>
            <w:shd w:val="clear" w:color="auto" w:fill="FFFFFF"/>
            <w:tcMar>
              <w:top w:w="40" w:type="dxa"/>
              <w:left w:w="20" w:type="dxa"/>
              <w:bottom w:w="40" w:type="dxa"/>
              <w:right w:w="20" w:type="dxa"/>
            </w:tcMar>
            <w:vAlign w:val="bottom"/>
          </w:tcPr>
          <w:p w14:paraId="1E804A41" w14:textId="77777777" w:rsidR="00F20ABF" w:rsidRDefault="00CA4D2F">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E804A42" w14:textId="77777777" w:rsidR="00F20ABF" w:rsidRDefault="00CA4D2F">
            <w:pPr>
              <w:jc w:val="right"/>
              <w:textAlignment w:val="bottom"/>
            </w:pPr>
            <w:r>
              <w:rPr>
                <w:rFonts w:ascii="sans-serif" w:eastAsia="sans-serif" w:hAnsi="sans-serif" w:cs="sans-serif"/>
                <w:color w:val="000000"/>
                <w:sz w:val="20"/>
                <w:szCs w:val="20"/>
              </w:rPr>
              <w:t>119 </w:t>
            </w:r>
          </w:p>
        </w:tc>
        <w:tc>
          <w:tcPr>
            <w:tcW w:w="0" w:type="auto"/>
            <w:shd w:val="clear" w:color="auto" w:fill="FFFFFF"/>
            <w:tcMar>
              <w:top w:w="40" w:type="dxa"/>
              <w:left w:w="0" w:type="dxa"/>
              <w:bottom w:w="40" w:type="dxa"/>
              <w:right w:w="20" w:type="dxa"/>
            </w:tcMar>
            <w:vAlign w:val="bottom"/>
          </w:tcPr>
          <w:p w14:paraId="1E804A43"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A44"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A45" w14:textId="77777777" w:rsidR="00F20ABF" w:rsidRDefault="00CA4D2F">
            <w:pPr>
              <w:jc w:val="right"/>
              <w:textAlignment w:val="bottom"/>
            </w:pPr>
            <w:r>
              <w:rPr>
                <w:rFonts w:ascii="sans-serif" w:eastAsia="sans-serif" w:hAnsi="sans-serif" w:cs="sans-serif"/>
                <w:color w:val="000000"/>
                <w:sz w:val="20"/>
                <w:szCs w:val="20"/>
              </w:rPr>
              <w:t>40 </w:t>
            </w:r>
          </w:p>
        </w:tc>
        <w:tc>
          <w:tcPr>
            <w:tcW w:w="0" w:type="auto"/>
            <w:shd w:val="clear" w:color="auto" w:fill="FFFFFF"/>
            <w:tcMar>
              <w:top w:w="40" w:type="dxa"/>
              <w:left w:w="0" w:type="dxa"/>
              <w:bottom w:w="40" w:type="dxa"/>
              <w:right w:w="20" w:type="dxa"/>
            </w:tcMar>
            <w:vAlign w:val="bottom"/>
          </w:tcPr>
          <w:p w14:paraId="1E804A46" w14:textId="77777777" w:rsidR="00F20ABF" w:rsidRDefault="00F20ABF">
            <w:pPr>
              <w:jc w:val="right"/>
              <w:rPr>
                <w:rFonts w:ascii="宋体"/>
              </w:rPr>
            </w:pPr>
          </w:p>
        </w:tc>
      </w:tr>
      <w:tr w:rsidR="00F20ABF" w14:paraId="1E804A50" w14:textId="77777777">
        <w:tc>
          <w:tcPr>
            <w:tcW w:w="0" w:type="auto"/>
            <w:gridSpan w:val="3"/>
            <w:shd w:val="clear" w:color="auto" w:fill="E2EFD9"/>
            <w:tcMar>
              <w:top w:w="40" w:type="dxa"/>
              <w:left w:w="380" w:type="dxa"/>
              <w:bottom w:w="40" w:type="dxa"/>
              <w:right w:w="20" w:type="dxa"/>
            </w:tcMar>
            <w:vAlign w:val="bottom"/>
          </w:tcPr>
          <w:p w14:paraId="1E804A48" w14:textId="77777777" w:rsidR="00F20ABF" w:rsidRDefault="00CA4D2F">
            <w:pPr>
              <w:textAlignment w:val="bottom"/>
            </w:pPr>
            <w:r>
              <w:rPr>
                <w:rFonts w:ascii="sans-serif" w:eastAsia="sans-serif" w:hAnsi="sans-serif" w:cs="sans-serif"/>
                <w:color w:val="000000"/>
                <w:sz w:val="20"/>
                <w:szCs w:val="20"/>
              </w:rPr>
              <w:t>Total other assets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A49"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A4A" w14:textId="77777777" w:rsidR="00F20ABF" w:rsidRDefault="00CA4D2F">
            <w:pPr>
              <w:jc w:val="right"/>
              <w:textAlignment w:val="bottom"/>
            </w:pPr>
            <w:r>
              <w:rPr>
                <w:rFonts w:ascii="sans-serif" w:eastAsia="sans-serif" w:hAnsi="sans-serif" w:cs="sans-serif"/>
                <w:color w:val="000000"/>
                <w:sz w:val="20"/>
                <w:szCs w:val="20"/>
              </w:rPr>
              <w:t>2,028 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A4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A4C"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A4D"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A4E" w14:textId="77777777" w:rsidR="00F20ABF" w:rsidRDefault="00CA4D2F">
            <w:pPr>
              <w:jc w:val="right"/>
              <w:textAlignment w:val="bottom"/>
            </w:pPr>
            <w:r>
              <w:rPr>
                <w:rFonts w:ascii="sans-serif" w:eastAsia="sans-serif" w:hAnsi="sans-serif" w:cs="sans-serif"/>
                <w:color w:val="000000"/>
                <w:sz w:val="20"/>
                <w:szCs w:val="20"/>
              </w:rPr>
              <w:t>118 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A4F" w14:textId="77777777" w:rsidR="00F20ABF" w:rsidRDefault="00F20ABF">
            <w:pPr>
              <w:jc w:val="right"/>
              <w:rPr>
                <w:rFonts w:ascii="宋体"/>
              </w:rPr>
            </w:pPr>
          </w:p>
        </w:tc>
      </w:tr>
    </w:tbl>
    <w:p w14:paraId="1E804A51" w14:textId="77777777" w:rsidR="00F20ABF" w:rsidRDefault="00F20ABF"/>
    <w:p w14:paraId="1E804A52" w14:textId="77777777" w:rsidR="00F20ABF" w:rsidRDefault="00CA4D2F">
      <w:pPr>
        <w:ind w:hanging="360"/>
        <w:jc w:val="both"/>
      </w:pPr>
      <w:r>
        <w:rPr>
          <w:rFonts w:ascii="sans-serif" w:eastAsia="sans-serif" w:hAnsi="sans-serif" w:cs="sans-serif"/>
          <w:color w:val="000000"/>
          <w:sz w:val="16"/>
          <w:szCs w:val="16"/>
        </w:rPr>
        <w:t xml:space="preserve">(1)    Advanced consideration for acquisition and long-term prepaid royalties are related to the pending acquisition of Arm. Refer to Note 2 of these Notes to </w:t>
      </w:r>
      <w:r>
        <w:rPr>
          <w:rFonts w:ascii="sans-serif" w:eastAsia="sans-serif" w:hAnsi="sans-serif" w:cs="sans-serif"/>
          <w:color w:val="000000"/>
          <w:sz w:val="16"/>
          <w:szCs w:val="16"/>
        </w:rPr>
        <w:t>Condensed Consolidated Financial Statements for further details.</w:t>
      </w:r>
    </w:p>
    <w:p w14:paraId="1E804A53" w14:textId="77777777" w:rsidR="00F20ABF" w:rsidRDefault="00F20ABF"/>
    <w:p w14:paraId="1E804A54" w14:textId="77777777" w:rsidR="00F20ABF" w:rsidRDefault="00CA4D2F">
      <w:pPr>
        <w:spacing w:after="180"/>
        <w:jc w:val="center"/>
      </w:pPr>
      <w:r>
        <w:rPr>
          <w:rFonts w:ascii="sans-serif" w:eastAsia="sans-serif" w:hAnsi="sans-serif" w:cs="sans-serif"/>
          <w:color w:val="000000"/>
          <w:sz w:val="20"/>
          <w:szCs w:val="20"/>
        </w:rPr>
        <w:t>18</w:t>
      </w:r>
    </w:p>
    <w:p w14:paraId="1E804A55" w14:textId="77777777" w:rsidR="00F20ABF" w:rsidRDefault="00CA4D2F">
      <w:r>
        <w:pict w14:anchorId="1E80558D">
          <v:rect id="_x0000_i1042" style="width:415.3pt;height:1.5pt" o:hralign="center" o:hrstd="t" o:hr="t" fillcolor="#a0a0a0" stroked="f"/>
        </w:pict>
      </w:r>
    </w:p>
    <w:p w14:paraId="1E804A56" w14:textId="77777777" w:rsidR="00F20ABF" w:rsidRDefault="00CA4D2F">
      <w:pPr>
        <w:jc w:val="center"/>
      </w:pPr>
      <w:r>
        <w:rPr>
          <w:rFonts w:ascii="sans-serif" w:eastAsia="sans-serif" w:hAnsi="sans-serif" w:cs="sans-serif"/>
          <w:b/>
          <w:bCs/>
          <w:color w:val="000000"/>
          <w:sz w:val="20"/>
          <w:szCs w:val="20"/>
        </w:rPr>
        <w:t>NVIDIA CORPORATION AND SUBSIDIARIES</w:t>
      </w:r>
    </w:p>
    <w:p w14:paraId="1E804A57" w14:textId="77777777" w:rsidR="00F20ABF" w:rsidRDefault="00CA4D2F">
      <w:pPr>
        <w:jc w:val="center"/>
      </w:pPr>
      <w:r>
        <w:rPr>
          <w:rFonts w:ascii="sans-serif" w:eastAsia="sans-serif" w:hAnsi="sans-serif" w:cs="sans-serif"/>
          <w:b/>
          <w:bCs/>
          <w:color w:val="000000"/>
          <w:sz w:val="20"/>
          <w:szCs w:val="20"/>
        </w:rPr>
        <w:t>NOTES TO CONDENSED CONSOLIDATED FINANCIAL STATEMENTS (Continued)</w:t>
      </w:r>
    </w:p>
    <w:p w14:paraId="1E804A58" w14:textId="77777777" w:rsidR="00F20ABF" w:rsidRDefault="00CA4D2F">
      <w:pPr>
        <w:jc w:val="center"/>
      </w:pPr>
      <w:r>
        <w:rPr>
          <w:rFonts w:ascii="sans-serif" w:eastAsia="sans-serif" w:hAnsi="sans-serif" w:cs="sans-serif"/>
          <w:b/>
          <w:bCs/>
          <w:color w:val="000000"/>
          <w:sz w:val="20"/>
          <w:szCs w:val="20"/>
        </w:rPr>
        <w:t>(Unaudited)</w:t>
      </w:r>
    </w:p>
    <w:p w14:paraId="1E804A59" w14:textId="77777777" w:rsidR="00F20ABF" w:rsidRDefault="00F20ABF">
      <w:pPr>
        <w:spacing w:after="180"/>
        <w:jc w:val="both"/>
      </w:pPr>
    </w:p>
    <w:p w14:paraId="1E804A5A" w14:textId="77777777" w:rsidR="00F20ABF" w:rsidRDefault="00F20ABF">
      <w:pPr>
        <w:spacing w:after="180"/>
        <w:jc w:val="both"/>
      </w:pPr>
    </w:p>
    <w:tbl>
      <w:tblPr>
        <w:tblW w:w="4993" w:type="pct"/>
        <w:tblCellMar>
          <w:top w:w="15" w:type="dxa"/>
          <w:left w:w="15" w:type="dxa"/>
          <w:bottom w:w="15" w:type="dxa"/>
          <w:right w:w="15" w:type="dxa"/>
        </w:tblCellMar>
        <w:tblLook w:val="04A0" w:firstRow="1" w:lastRow="0" w:firstColumn="1" w:lastColumn="0" w:noHBand="0" w:noVBand="1"/>
      </w:tblPr>
      <w:tblGrid>
        <w:gridCol w:w="39"/>
        <w:gridCol w:w="5909"/>
        <w:gridCol w:w="38"/>
        <w:gridCol w:w="123"/>
        <w:gridCol w:w="974"/>
        <w:gridCol w:w="36"/>
        <w:gridCol w:w="36"/>
        <w:gridCol w:w="36"/>
        <w:gridCol w:w="36"/>
        <w:gridCol w:w="123"/>
        <w:gridCol w:w="938"/>
        <w:gridCol w:w="36"/>
      </w:tblGrid>
      <w:tr w:rsidR="00F20ABF" w14:paraId="1E804A67" w14:textId="77777777">
        <w:tc>
          <w:tcPr>
            <w:tcW w:w="50" w:type="pct"/>
            <w:shd w:val="clear" w:color="auto" w:fill="auto"/>
          </w:tcPr>
          <w:p w14:paraId="1E804A5B" w14:textId="77777777" w:rsidR="00F20ABF" w:rsidRDefault="00F20ABF">
            <w:pPr>
              <w:rPr>
                <w:rFonts w:ascii="宋体"/>
              </w:rPr>
            </w:pPr>
          </w:p>
        </w:tc>
        <w:tc>
          <w:tcPr>
            <w:tcW w:w="3575" w:type="pct"/>
            <w:shd w:val="clear" w:color="auto" w:fill="auto"/>
          </w:tcPr>
          <w:p w14:paraId="1E804A5C" w14:textId="77777777" w:rsidR="00F20ABF" w:rsidRDefault="00F20ABF">
            <w:pPr>
              <w:rPr>
                <w:rFonts w:ascii="宋体"/>
              </w:rPr>
            </w:pPr>
          </w:p>
        </w:tc>
        <w:tc>
          <w:tcPr>
            <w:tcW w:w="5" w:type="pct"/>
            <w:shd w:val="clear" w:color="auto" w:fill="auto"/>
          </w:tcPr>
          <w:p w14:paraId="1E804A5D" w14:textId="77777777" w:rsidR="00F20ABF" w:rsidRDefault="00F20ABF">
            <w:pPr>
              <w:rPr>
                <w:rFonts w:ascii="宋体"/>
              </w:rPr>
            </w:pPr>
          </w:p>
        </w:tc>
        <w:tc>
          <w:tcPr>
            <w:tcW w:w="50" w:type="pct"/>
            <w:shd w:val="clear" w:color="auto" w:fill="auto"/>
          </w:tcPr>
          <w:p w14:paraId="1E804A5E" w14:textId="77777777" w:rsidR="00F20ABF" w:rsidRDefault="00F20ABF">
            <w:pPr>
              <w:rPr>
                <w:rFonts w:ascii="宋体"/>
              </w:rPr>
            </w:pPr>
          </w:p>
        </w:tc>
        <w:tc>
          <w:tcPr>
            <w:tcW w:w="611" w:type="pct"/>
            <w:shd w:val="clear" w:color="auto" w:fill="auto"/>
          </w:tcPr>
          <w:p w14:paraId="1E804A5F" w14:textId="77777777" w:rsidR="00F20ABF" w:rsidRDefault="00F20ABF">
            <w:pPr>
              <w:rPr>
                <w:rFonts w:ascii="宋体"/>
              </w:rPr>
            </w:pPr>
          </w:p>
        </w:tc>
        <w:tc>
          <w:tcPr>
            <w:tcW w:w="5" w:type="pct"/>
            <w:shd w:val="clear" w:color="auto" w:fill="auto"/>
          </w:tcPr>
          <w:p w14:paraId="1E804A60" w14:textId="77777777" w:rsidR="00F20ABF" w:rsidRDefault="00F20ABF">
            <w:pPr>
              <w:rPr>
                <w:rFonts w:ascii="宋体"/>
              </w:rPr>
            </w:pPr>
          </w:p>
        </w:tc>
        <w:tc>
          <w:tcPr>
            <w:tcW w:w="5" w:type="pct"/>
            <w:shd w:val="clear" w:color="auto" w:fill="auto"/>
          </w:tcPr>
          <w:p w14:paraId="1E804A61" w14:textId="77777777" w:rsidR="00F20ABF" w:rsidRDefault="00F20ABF">
            <w:pPr>
              <w:rPr>
                <w:rFonts w:ascii="宋体"/>
              </w:rPr>
            </w:pPr>
          </w:p>
        </w:tc>
        <w:tc>
          <w:tcPr>
            <w:tcW w:w="26" w:type="pct"/>
            <w:shd w:val="clear" w:color="auto" w:fill="auto"/>
          </w:tcPr>
          <w:p w14:paraId="1E804A62" w14:textId="77777777" w:rsidR="00F20ABF" w:rsidRDefault="00F20ABF">
            <w:pPr>
              <w:rPr>
                <w:rFonts w:ascii="宋体"/>
              </w:rPr>
            </w:pPr>
          </w:p>
        </w:tc>
        <w:tc>
          <w:tcPr>
            <w:tcW w:w="5" w:type="pct"/>
            <w:shd w:val="clear" w:color="auto" w:fill="auto"/>
          </w:tcPr>
          <w:p w14:paraId="1E804A63" w14:textId="77777777" w:rsidR="00F20ABF" w:rsidRDefault="00F20ABF">
            <w:pPr>
              <w:rPr>
                <w:rFonts w:ascii="宋体"/>
              </w:rPr>
            </w:pPr>
          </w:p>
        </w:tc>
        <w:tc>
          <w:tcPr>
            <w:tcW w:w="50" w:type="pct"/>
            <w:shd w:val="clear" w:color="auto" w:fill="auto"/>
          </w:tcPr>
          <w:p w14:paraId="1E804A64" w14:textId="77777777" w:rsidR="00F20ABF" w:rsidRDefault="00F20ABF">
            <w:pPr>
              <w:rPr>
                <w:rFonts w:ascii="宋体"/>
              </w:rPr>
            </w:pPr>
          </w:p>
        </w:tc>
        <w:tc>
          <w:tcPr>
            <w:tcW w:w="611" w:type="pct"/>
            <w:shd w:val="clear" w:color="auto" w:fill="auto"/>
          </w:tcPr>
          <w:p w14:paraId="1E804A65" w14:textId="77777777" w:rsidR="00F20ABF" w:rsidRDefault="00F20ABF">
            <w:pPr>
              <w:rPr>
                <w:rFonts w:ascii="宋体"/>
              </w:rPr>
            </w:pPr>
          </w:p>
        </w:tc>
        <w:tc>
          <w:tcPr>
            <w:tcW w:w="5" w:type="pct"/>
            <w:shd w:val="clear" w:color="auto" w:fill="auto"/>
          </w:tcPr>
          <w:p w14:paraId="1E804A66" w14:textId="77777777" w:rsidR="00F20ABF" w:rsidRDefault="00F20ABF">
            <w:pPr>
              <w:rPr>
                <w:rFonts w:ascii="宋体"/>
              </w:rPr>
            </w:pPr>
          </w:p>
        </w:tc>
      </w:tr>
      <w:tr w:rsidR="00F20ABF" w14:paraId="1E804A6C" w14:textId="77777777">
        <w:tc>
          <w:tcPr>
            <w:tcW w:w="0" w:type="auto"/>
            <w:gridSpan w:val="3"/>
            <w:shd w:val="clear" w:color="auto" w:fill="auto"/>
            <w:tcMar>
              <w:top w:w="0" w:type="dxa"/>
              <w:left w:w="20" w:type="dxa"/>
              <w:bottom w:w="0" w:type="dxa"/>
              <w:right w:w="20" w:type="dxa"/>
            </w:tcMar>
          </w:tcPr>
          <w:p w14:paraId="1E804A68"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A69" w14:textId="77777777" w:rsidR="00F20ABF" w:rsidRDefault="00CA4D2F">
            <w:pPr>
              <w:jc w:val="center"/>
              <w:textAlignment w:val="bottom"/>
            </w:pPr>
            <w:r>
              <w:rPr>
                <w:rFonts w:ascii="sans-serif" w:eastAsia="sans-serif" w:hAnsi="sans-serif" w:cs="sans-serif"/>
                <w:b/>
                <w:bCs/>
                <w:color w:val="000000"/>
                <w:sz w:val="20"/>
                <w:szCs w:val="20"/>
              </w:rPr>
              <w:t>October 25,</w:t>
            </w:r>
          </w:p>
        </w:tc>
        <w:tc>
          <w:tcPr>
            <w:tcW w:w="0" w:type="auto"/>
            <w:gridSpan w:val="3"/>
            <w:shd w:val="clear" w:color="auto" w:fill="auto"/>
            <w:tcMar>
              <w:top w:w="0" w:type="dxa"/>
              <w:left w:w="20" w:type="dxa"/>
              <w:bottom w:w="0" w:type="dxa"/>
              <w:right w:w="20" w:type="dxa"/>
            </w:tcMar>
          </w:tcPr>
          <w:p w14:paraId="1E804A6A"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A6B" w14:textId="77777777" w:rsidR="00F20ABF" w:rsidRDefault="00CA4D2F">
            <w:pPr>
              <w:jc w:val="center"/>
              <w:textAlignment w:val="bottom"/>
            </w:pPr>
            <w:r>
              <w:rPr>
                <w:rFonts w:ascii="sans-serif" w:eastAsia="sans-serif" w:hAnsi="sans-serif" w:cs="sans-serif"/>
                <w:b/>
                <w:bCs/>
                <w:color w:val="000000"/>
                <w:sz w:val="20"/>
                <w:szCs w:val="20"/>
              </w:rPr>
              <w:t>January 26,</w:t>
            </w:r>
          </w:p>
        </w:tc>
      </w:tr>
      <w:tr w:rsidR="00F20ABF" w14:paraId="1E804A71" w14:textId="77777777">
        <w:tc>
          <w:tcPr>
            <w:tcW w:w="0" w:type="auto"/>
            <w:gridSpan w:val="3"/>
            <w:shd w:val="clear" w:color="auto" w:fill="auto"/>
            <w:tcMar>
              <w:top w:w="40" w:type="dxa"/>
              <w:left w:w="20" w:type="dxa"/>
              <w:bottom w:w="40" w:type="dxa"/>
              <w:right w:w="20" w:type="dxa"/>
            </w:tcMar>
            <w:vAlign w:val="bottom"/>
          </w:tcPr>
          <w:p w14:paraId="1E804A6D"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4A6E" w14:textId="77777777" w:rsidR="00F20ABF" w:rsidRDefault="00CA4D2F">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tcPr>
          <w:p w14:paraId="1E804A6F"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A70" w14:textId="77777777" w:rsidR="00F20ABF" w:rsidRDefault="00CA4D2F">
            <w:pPr>
              <w:jc w:val="center"/>
              <w:textAlignment w:val="bottom"/>
            </w:pPr>
            <w:r>
              <w:rPr>
                <w:rFonts w:ascii="sans-serif" w:eastAsia="sans-serif" w:hAnsi="sans-serif" w:cs="sans-serif"/>
                <w:b/>
                <w:bCs/>
                <w:color w:val="000000"/>
                <w:sz w:val="20"/>
                <w:szCs w:val="20"/>
              </w:rPr>
              <w:t>2020</w:t>
            </w:r>
          </w:p>
        </w:tc>
      </w:tr>
      <w:tr w:rsidR="00F20ABF" w14:paraId="1E804A76" w14:textId="77777777">
        <w:trPr>
          <w:trHeight w:val="60"/>
        </w:trPr>
        <w:tc>
          <w:tcPr>
            <w:tcW w:w="0" w:type="auto"/>
            <w:gridSpan w:val="3"/>
            <w:shd w:val="clear" w:color="auto" w:fill="auto"/>
            <w:tcMar>
              <w:top w:w="0" w:type="dxa"/>
              <w:left w:w="20" w:type="dxa"/>
              <w:bottom w:w="0" w:type="dxa"/>
              <w:right w:w="20" w:type="dxa"/>
            </w:tcMar>
          </w:tcPr>
          <w:p w14:paraId="1E804A72"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A73"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A74"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A75" w14:textId="77777777" w:rsidR="00F20ABF" w:rsidRDefault="00F20ABF">
            <w:pPr>
              <w:rPr>
                <w:rFonts w:ascii="宋体"/>
              </w:rPr>
            </w:pPr>
          </w:p>
        </w:tc>
      </w:tr>
      <w:tr w:rsidR="00F20ABF" w14:paraId="1E804A79" w14:textId="77777777">
        <w:tc>
          <w:tcPr>
            <w:tcW w:w="0" w:type="auto"/>
            <w:gridSpan w:val="3"/>
            <w:shd w:val="clear" w:color="auto" w:fill="auto"/>
            <w:tcMar>
              <w:top w:w="40" w:type="dxa"/>
              <w:left w:w="20" w:type="dxa"/>
              <w:bottom w:w="40" w:type="dxa"/>
              <w:right w:w="20" w:type="dxa"/>
            </w:tcMar>
            <w:vAlign w:val="bottom"/>
          </w:tcPr>
          <w:p w14:paraId="1E804A77" w14:textId="77777777" w:rsidR="00F20ABF" w:rsidRDefault="00CA4D2F">
            <w:pPr>
              <w:textAlignment w:val="bottom"/>
            </w:pPr>
            <w:r>
              <w:rPr>
                <w:rFonts w:ascii="sans-serif" w:eastAsia="sans-serif" w:hAnsi="sans-serif" w:cs="sans-serif"/>
                <w:b/>
                <w:bCs/>
                <w:color w:val="000000"/>
                <w:sz w:val="20"/>
                <w:szCs w:val="20"/>
              </w:rPr>
              <w:t>Accrued and Other Current Liabilities:</w:t>
            </w:r>
          </w:p>
        </w:tc>
        <w:tc>
          <w:tcPr>
            <w:tcW w:w="0" w:type="auto"/>
            <w:gridSpan w:val="9"/>
            <w:shd w:val="clear" w:color="auto" w:fill="auto"/>
            <w:tcMar>
              <w:top w:w="40" w:type="dxa"/>
              <w:left w:w="20" w:type="dxa"/>
              <w:bottom w:w="40" w:type="dxa"/>
              <w:right w:w="20" w:type="dxa"/>
            </w:tcMar>
            <w:vAlign w:val="bottom"/>
          </w:tcPr>
          <w:p w14:paraId="1E804A78"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A82" w14:textId="77777777">
        <w:tc>
          <w:tcPr>
            <w:tcW w:w="0" w:type="auto"/>
            <w:gridSpan w:val="3"/>
            <w:shd w:val="clear" w:color="auto" w:fill="E2EFD9"/>
            <w:tcMar>
              <w:top w:w="40" w:type="dxa"/>
              <w:left w:w="20" w:type="dxa"/>
              <w:bottom w:w="40" w:type="dxa"/>
              <w:right w:w="20" w:type="dxa"/>
            </w:tcMar>
            <w:vAlign w:val="bottom"/>
          </w:tcPr>
          <w:p w14:paraId="1E804A7A" w14:textId="77777777" w:rsidR="00F20ABF" w:rsidRDefault="00CA4D2F">
            <w:pPr>
              <w:textAlignment w:val="bottom"/>
            </w:pPr>
            <w:r>
              <w:rPr>
                <w:rFonts w:ascii="sans-serif" w:eastAsia="sans-serif" w:hAnsi="sans-serif" w:cs="sans-serif"/>
                <w:color w:val="000000"/>
                <w:sz w:val="20"/>
                <w:szCs w:val="20"/>
              </w:rPr>
              <w:t>Customer program accruals</w:t>
            </w:r>
          </w:p>
        </w:tc>
        <w:tc>
          <w:tcPr>
            <w:tcW w:w="0" w:type="auto"/>
            <w:shd w:val="clear" w:color="auto" w:fill="E2EFD9"/>
            <w:tcMar>
              <w:top w:w="40" w:type="dxa"/>
              <w:left w:w="20" w:type="dxa"/>
              <w:bottom w:w="40" w:type="dxa"/>
              <w:right w:w="0" w:type="dxa"/>
            </w:tcMar>
            <w:vAlign w:val="bottom"/>
          </w:tcPr>
          <w:p w14:paraId="1E804A7B"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A7C" w14:textId="77777777" w:rsidR="00F20ABF" w:rsidRDefault="00CA4D2F">
            <w:pPr>
              <w:jc w:val="right"/>
              <w:textAlignment w:val="bottom"/>
            </w:pPr>
            <w:r>
              <w:rPr>
                <w:rFonts w:ascii="sans-serif" w:eastAsia="sans-serif" w:hAnsi="sans-serif" w:cs="sans-serif"/>
                <w:color w:val="000000"/>
                <w:sz w:val="20"/>
                <w:szCs w:val="20"/>
              </w:rPr>
              <w:t>609 </w:t>
            </w:r>
          </w:p>
        </w:tc>
        <w:tc>
          <w:tcPr>
            <w:tcW w:w="0" w:type="auto"/>
            <w:shd w:val="clear" w:color="auto" w:fill="E2EFD9"/>
            <w:tcMar>
              <w:top w:w="40" w:type="dxa"/>
              <w:left w:w="0" w:type="dxa"/>
              <w:bottom w:w="40" w:type="dxa"/>
              <w:right w:w="20" w:type="dxa"/>
            </w:tcMar>
            <w:vAlign w:val="bottom"/>
          </w:tcPr>
          <w:p w14:paraId="1E804A7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A7E"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A7F"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A80" w14:textId="77777777" w:rsidR="00F20ABF" w:rsidRDefault="00CA4D2F">
            <w:pPr>
              <w:jc w:val="right"/>
              <w:textAlignment w:val="bottom"/>
            </w:pPr>
            <w:r>
              <w:rPr>
                <w:rFonts w:ascii="sans-serif" w:eastAsia="sans-serif" w:hAnsi="sans-serif" w:cs="sans-serif"/>
                <w:color w:val="000000"/>
                <w:sz w:val="20"/>
                <w:szCs w:val="20"/>
              </w:rPr>
              <w:t>462 </w:t>
            </w:r>
          </w:p>
        </w:tc>
        <w:tc>
          <w:tcPr>
            <w:tcW w:w="0" w:type="auto"/>
            <w:shd w:val="clear" w:color="auto" w:fill="E2EFD9"/>
            <w:tcMar>
              <w:top w:w="40" w:type="dxa"/>
              <w:left w:w="0" w:type="dxa"/>
              <w:bottom w:w="40" w:type="dxa"/>
              <w:right w:w="20" w:type="dxa"/>
            </w:tcMar>
            <w:vAlign w:val="bottom"/>
          </w:tcPr>
          <w:p w14:paraId="1E804A81" w14:textId="77777777" w:rsidR="00F20ABF" w:rsidRDefault="00F20ABF">
            <w:pPr>
              <w:jc w:val="right"/>
              <w:rPr>
                <w:rFonts w:ascii="宋体"/>
              </w:rPr>
            </w:pPr>
          </w:p>
        </w:tc>
      </w:tr>
      <w:tr w:rsidR="00F20ABF" w14:paraId="1E804A89" w14:textId="77777777">
        <w:tc>
          <w:tcPr>
            <w:tcW w:w="0" w:type="auto"/>
            <w:gridSpan w:val="3"/>
            <w:shd w:val="clear" w:color="auto" w:fill="FFFFFF"/>
            <w:tcMar>
              <w:top w:w="40" w:type="dxa"/>
              <w:left w:w="20" w:type="dxa"/>
              <w:bottom w:w="40" w:type="dxa"/>
              <w:right w:w="20" w:type="dxa"/>
            </w:tcMar>
            <w:vAlign w:val="bottom"/>
          </w:tcPr>
          <w:p w14:paraId="1E804A83" w14:textId="77777777" w:rsidR="00F20ABF" w:rsidRDefault="00CA4D2F">
            <w:pPr>
              <w:textAlignment w:val="bottom"/>
            </w:pPr>
            <w:r>
              <w:rPr>
                <w:rFonts w:ascii="sans-serif" w:eastAsia="sans-serif" w:hAnsi="sans-serif" w:cs="sans-serif"/>
                <w:color w:val="000000"/>
                <w:sz w:val="20"/>
                <w:szCs w:val="20"/>
              </w:rPr>
              <w:t>Accrued payroll and related expenses</w:t>
            </w:r>
          </w:p>
        </w:tc>
        <w:tc>
          <w:tcPr>
            <w:tcW w:w="0" w:type="auto"/>
            <w:gridSpan w:val="2"/>
            <w:shd w:val="clear" w:color="auto" w:fill="FFFFFF"/>
            <w:tcMar>
              <w:top w:w="40" w:type="dxa"/>
              <w:left w:w="20" w:type="dxa"/>
              <w:bottom w:w="40" w:type="dxa"/>
              <w:right w:w="0" w:type="dxa"/>
            </w:tcMar>
            <w:vAlign w:val="bottom"/>
          </w:tcPr>
          <w:p w14:paraId="1E804A84" w14:textId="77777777" w:rsidR="00F20ABF" w:rsidRDefault="00CA4D2F">
            <w:pPr>
              <w:jc w:val="right"/>
              <w:textAlignment w:val="bottom"/>
            </w:pPr>
            <w:r>
              <w:rPr>
                <w:rFonts w:ascii="sans-serif" w:eastAsia="sans-serif" w:hAnsi="sans-serif" w:cs="sans-serif"/>
                <w:color w:val="000000"/>
                <w:sz w:val="20"/>
                <w:szCs w:val="20"/>
              </w:rPr>
              <w:t>277 </w:t>
            </w:r>
          </w:p>
        </w:tc>
        <w:tc>
          <w:tcPr>
            <w:tcW w:w="0" w:type="auto"/>
            <w:shd w:val="clear" w:color="auto" w:fill="FFFFFF"/>
            <w:tcMar>
              <w:top w:w="40" w:type="dxa"/>
              <w:left w:w="0" w:type="dxa"/>
              <w:bottom w:w="40" w:type="dxa"/>
              <w:right w:w="20" w:type="dxa"/>
            </w:tcMar>
            <w:vAlign w:val="bottom"/>
          </w:tcPr>
          <w:p w14:paraId="1E804A8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A8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A87" w14:textId="77777777" w:rsidR="00F20ABF" w:rsidRDefault="00CA4D2F">
            <w:pPr>
              <w:jc w:val="right"/>
              <w:textAlignment w:val="bottom"/>
            </w:pPr>
            <w:r>
              <w:rPr>
                <w:rFonts w:ascii="sans-serif" w:eastAsia="sans-serif" w:hAnsi="sans-serif" w:cs="sans-serif"/>
                <w:color w:val="000000"/>
                <w:sz w:val="20"/>
                <w:szCs w:val="20"/>
              </w:rPr>
              <w:t>185 </w:t>
            </w:r>
          </w:p>
        </w:tc>
        <w:tc>
          <w:tcPr>
            <w:tcW w:w="0" w:type="auto"/>
            <w:shd w:val="clear" w:color="auto" w:fill="FFFFFF"/>
            <w:tcMar>
              <w:top w:w="40" w:type="dxa"/>
              <w:left w:w="0" w:type="dxa"/>
              <w:bottom w:w="40" w:type="dxa"/>
              <w:right w:w="20" w:type="dxa"/>
            </w:tcMar>
            <w:vAlign w:val="bottom"/>
          </w:tcPr>
          <w:p w14:paraId="1E804A88" w14:textId="77777777" w:rsidR="00F20ABF" w:rsidRDefault="00F20ABF">
            <w:pPr>
              <w:jc w:val="right"/>
              <w:rPr>
                <w:rFonts w:ascii="宋体"/>
              </w:rPr>
            </w:pPr>
          </w:p>
        </w:tc>
      </w:tr>
      <w:tr w:rsidR="00F20ABF" w14:paraId="1E804A90" w14:textId="77777777">
        <w:tc>
          <w:tcPr>
            <w:tcW w:w="0" w:type="auto"/>
            <w:gridSpan w:val="3"/>
            <w:shd w:val="clear" w:color="auto" w:fill="E2EFD9"/>
            <w:tcMar>
              <w:top w:w="40" w:type="dxa"/>
              <w:left w:w="20" w:type="dxa"/>
              <w:bottom w:w="40" w:type="dxa"/>
              <w:right w:w="20" w:type="dxa"/>
            </w:tcMar>
            <w:vAlign w:val="bottom"/>
          </w:tcPr>
          <w:p w14:paraId="1E804A8A" w14:textId="77777777" w:rsidR="00F20ABF" w:rsidRDefault="00CA4D2F">
            <w:pPr>
              <w:textAlignment w:val="bottom"/>
            </w:pPr>
            <w:r>
              <w:rPr>
                <w:rFonts w:ascii="sans-serif" w:eastAsia="sans-serif" w:hAnsi="sans-serif" w:cs="sans-serif"/>
                <w:color w:val="000000"/>
                <w:sz w:val="20"/>
                <w:szCs w:val="20"/>
              </w:rPr>
              <w:t>Deferred revenue (1)</w:t>
            </w:r>
          </w:p>
        </w:tc>
        <w:tc>
          <w:tcPr>
            <w:tcW w:w="0" w:type="auto"/>
            <w:gridSpan w:val="2"/>
            <w:shd w:val="clear" w:color="auto" w:fill="E2EFD9"/>
            <w:tcMar>
              <w:top w:w="40" w:type="dxa"/>
              <w:left w:w="20" w:type="dxa"/>
              <w:bottom w:w="40" w:type="dxa"/>
              <w:right w:w="0" w:type="dxa"/>
            </w:tcMar>
            <w:vAlign w:val="bottom"/>
          </w:tcPr>
          <w:p w14:paraId="1E804A8B" w14:textId="77777777" w:rsidR="00F20ABF" w:rsidRDefault="00CA4D2F">
            <w:pPr>
              <w:jc w:val="right"/>
              <w:textAlignment w:val="bottom"/>
            </w:pPr>
            <w:r>
              <w:rPr>
                <w:rFonts w:ascii="sans-serif" w:eastAsia="sans-serif" w:hAnsi="sans-serif" w:cs="sans-serif"/>
                <w:color w:val="000000"/>
                <w:sz w:val="20"/>
                <w:szCs w:val="20"/>
              </w:rPr>
              <w:t>235 </w:t>
            </w:r>
          </w:p>
        </w:tc>
        <w:tc>
          <w:tcPr>
            <w:tcW w:w="0" w:type="auto"/>
            <w:shd w:val="clear" w:color="auto" w:fill="E2EFD9"/>
            <w:tcMar>
              <w:top w:w="40" w:type="dxa"/>
              <w:left w:w="0" w:type="dxa"/>
              <w:bottom w:w="40" w:type="dxa"/>
              <w:right w:w="20" w:type="dxa"/>
            </w:tcMar>
            <w:vAlign w:val="bottom"/>
          </w:tcPr>
          <w:p w14:paraId="1E804A8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A8D"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A8E" w14:textId="77777777" w:rsidR="00F20ABF" w:rsidRDefault="00CA4D2F">
            <w:pPr>
              <w:jc w:val="right"/>
              <w:textAlignment w:val="bottom"/>
            </w:pPr>
            <w:r>
              <w:rPr>
                <w:rFonts w:ascii="sans-serif" w:eastAsia="sans-serif" w:hAnsi="sans-serif" w:cs="sans-serif"/>
                <w:color w:val="000000"/>
                <w:sz w:val="20"/>
                <w:szCs w:val="20"/>
              </w:rPr>
              <w:t>141 </w:t>
            </w:r>
          </w:p>
        </w:tc>
        <w:tc>
          <w:tcPr>
            <w:tcW w:w="0" w:type="auto"/>
            <w:shd w:val="clear" w:color="auto" w:fill="E2EFD9"/>
            <w:tcMar>
              <w:top w:w="40" w:type="dxa"/>
              <w:left w:w="0" w:type="dxa"/>
              <w:bottom w:w="40" w:type="dxa"/>
              <w:right w:w="20" w:type="dxa"/>
            </w:tcMar>
            <w:vAlign w:val="bottom"/>
          </w:tcPr>
          <w:p w14:paraId="1E804A8F" w14:textId="77777777" w:rsidR="00F20ABF" w:rsidRDefault="00F20ABF">
            <w:pPr>
              <w:jc w:val="right"/>
              <w:rPr>
                <w:rFonts w:ascii="宋体"/>
              </w:rPr>
            </w:pPr>
          </w:p>
        </w:tc>
      </w:tr>
      <w:tr w:rsidR="00F20ABF" w14:paraId="1E804A97" w14:textId="77777777">
        <w:tc>
          <w:tcPr>
            <w:tcW w:w="0" w:type="auto"/>
            <w:gridSpan w:val="3"/>
            <w:shd w:val="clear" w:color="auto" w:fill="FFFFFF"/>
            <w:tcMar>
              <w:top w:w="40" w:type="dxa"/>
              <w:left w:w="20" w:type="dxa"/>
              <w:bottom w:w="40" w:type="dxa"/>
              <w:right w:w="20" w:type="dxa"/>
            </w:tcMar>
            <w:vAlign w:val="bottom"/>
          </w:tcPr>
          <w:p w14:paraId="1E804A91" w14:textId="77777777" w:rsidR="00F20ABF" w:rsidRDefault="00CA4D2F">
            <w:pPr>
              <w:textAlignment w:val="bottom"/>
            </w:pPr>
            <w:r>
              <w:rPr>
                <w:rFonts w:ascii="sans-serif" w:eastAsia="sans-serif" w:hAnsi="sans-serif" w:cs="sans-serif"/>
                <w:color w:val="000000"/>
                <w:sz w:val="20"/>
                <w:szCs w:val="20"/>
              </w:rPr>
              <w:t>Licenses and royalties</w:t>
            </w:r>
          </w:p>
        </w:tc>
        <w:tc>
          <w:tcPr>
            <w:tcW w:w="0" w:type="auto"/>
            <w:gridSpan w:val="2"/>
            <w:shd w:val="clear" w:color="auto" w:fill="FFFFFF"/>
            <w:tcMar>
              <w:top w:w="40" w:type="dxa"/>
              <w:left w:w="20" w:type="dxa"/>
              <w:bottom w:w="40" w:type="dxa"/>
              <w:right w:w="0" w:type="dxa"/>
            </w:tcMar>
            <w:vAlign w:val="bottom"/>
          </w:tcPr>
          <w:p w14:paraId="1E804A92" w14:textId="77777777" w:rsidR="00F20ABF" w:rsidRDefault="00CA4D2F">
            <w:pPr>
              <w:jc w:val="right"/>
              <w:textAlignment w:val="bottom"/>
            </w:pPr>
            <w:r>
              <w:rPr>
                <w:rFonts w:ascii="sans-serif" w:eastAsia="sans-serif" w:hAnsi="sans-serif" w:cs="sans-serif"/>
                <w:color w:val="000000"/>
                <w:sz w:val="20"/>
                <w:szCs w:val="20"/>
              </w:rPr>
              <w:t>124 </w:t>
            </w:r>
          </w:p>
        </w:tc>
        <w:tc>
          <w:tcPr>
            <w:tcW w:w="0" w:type="auto"/>
            <w:shd w:val="clear" w:color="auto" w:fill="FFFFFF"/>
            <w:tcMar>
              <w:top w:w="40" w:type="dxa"/>
              <w:left w:w="0" w:type="dxa"/>
              <w:bottom w:w="40" w:type="dxa"/>
              <w:right w:w="20" w:type="dxa"/>
            </w:tcMar>
            <w:vAlign w:val="bottom"/>
          </w:tcPr>
          <w:p w14:paraId="1E804A93"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A94"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A95" w14:textId="77777777" w:rsidR="00F20ABF" w:rsidRDefault="00CA4D2F">
            <w:pPr>
              <w:jc w:val="right"/>
              <w:textAlignment w:val="bottom"/>
            </w:pPr>
            <w:r>
              <w:rPr>
                <w:rFonts w:ascii="sans-serif" w:eastAsia="sans-serif" w:hAnsi="sans-serif" w:cs="sans-serif"/>
                <w:color w:val="000000"/>
                <w:sz w:val="20"/>
                <w:szCs w:val="20"/>
              </w:rPr>
              <w:t>66 </w:t>
            </w:r>
          </w:p>
        </w:tc>
        <w:tc>
          <w:tcPr>
            <w:tcW w:w="0" w:type="auto"/>
            <w:shd w:val="clear" w:color="auto" w:fill="FFFFFF"/>
            <w:tcMar>
              <w:top w:w="40" w:type="dxa"/>
              <w:left w:w="0" w:type="dxa"/>
              <w:bottom w:w="40" w:type="dxa"/>
              <w:right w:w="20" w:type="dxa"/>
            </w:tcMar>
            <w:vAlign w:val="bottom"/>
          </w:tcPr>
          <w:p w14:paraId="1E804A96" w14:textId="77777777" w:rsidR="00F20ABF" w:rsidRDefault="00F20ABF">
            <w:pPr>
              <w:jc w:val="right"/>
              <w:rPr>
                <w:rFonts w:ascii="宋体"/>
              </w:rPr>
            </w:pPr>
          </w:p>
        </w:tc>
      </w:tr>
      <w:tr w:rsidR="00F20ABF" w14:paraId="1E804A9E" w14:textId="77777777">
        <w:tc>
          <w:tcPr>
            <w:tcW w:w="0" w:type="auto"/>
            <w:gridSpan w:val="3"/>
            <w:shd w:val="clear" w:color="auto" w:fill="E2EFD9"/>
            <w:tcMar>
              <w:top w:w="40" w:type="dxa"/>
              <w:left w:w="20" w:type="dxa"/>
              <w:bottom w:w="40" w:type="dxa"/>
              <w:right w:w="20" w:type="dxa"/>
            </w:tcMar>
            <w:vAlign w:val="bottom"/>
          </w:tcPr>
          <w:p w14:paraId="1E804A98" w14:textId="77777777" w:rsidR="00F20ABF" w:rsidRDefault="00CA4D2F">
            <w:pPr>
              <w:textAlignment w:val="bottom"/>
            </w:pPr>
            <w:r>
              <w:rPr>
                <w:rFonts w:ascii="sans-serif" w:eastAsia="sans-serif" w:hAnsi="sans-serif" w:cs="sans-serif"/>
                <w:color w:val="000000"/>
                <w:sz w:val="20"/>
                <w:szCs w:val="20"/>
              </w:rPr>
              <w:t>Operating leases</w:t>
            </w:r>
          </w:p>
        </w:tc>
        <w:tc>
          <w:tcPr>
            <w:tcW w:w="0" w:type="auto"/>
            <w:gridSpan w:val="2"/>
            <w:shd w:val="clear" w:color="auto" w:fill="E2EFD9"/>
            <w:tcMar>
              <w:top w:w="40" w:type="dxa"/>
              <w:left w:w="20" w:type="dxa"/>
              <w:bottom w:w="40" w:type="dxa"/>
              <w:right w:w="0" w:type="dxa"/>
            </w:tcMar>
            <w:vAlign w:val="bottom"/>
          </w:tcPr>
          <w:p w14:paraId="1E804A99" w14:textId="77777777" w:rsidR="00F20ABF" w:rsidRDefault="00CA4D2F">
            <w:pPr>
              <w:jc w:val="right"/>
              <w:textAlignment w:val="bottom"/>
            </w:pPr>
            <w:r>
              <w:rPr>
                <w:rFonts w:ascii="sans-serif" w:eastAsia="sans-serif" w:hAnsi="sans-serif" w:cs="sans-serif"/>
                <w:color w:val="000000"/>
                <w:sz w:val="20"/>
                <w:szCs w:val="20"/>
              </w:rPr>
              <w:t>116 </w:t>
            </w:r>
          </w:p>
        </w:tc>
        <w:tc>
          <w:tcPr>
            <w:tcW w:w="0" w:type="auto"/>
            <w:shd w:val="clear" w:color="auto" w:fill="E2EFD9"/>
            <w:tcMar>
              <w:top w:w="40" w:type="dxa"/>
              <w:left w:w="0" w:type="dxa"/>
              <w:bottom w:w="40" w:type="dxa"/>
              <w:right w:w="20" w:type="dxa"/>
            </w:tcMar>
            <w:vAlign w:val="bottom"/>
          </w:tcPr>
          <w:p w14:paraId="1E804A9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A9B"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A9C" w14:textId="77777777" w:rsidR="00F20ABF" w:rsidRDefault="00CA4D2F">
            <w:pPr>
              <w:jc w:val="right"/>
              <w:textAlignment w:val="bottom"/>
            </w:pPr>
            <w:r>
              <w:rPr>
                <w:rFonts w:ascii="sans-serif" w:eastAsia="sans-serif" w:hAnsi="sans-serif" w:cs="sans-serif"/>
                <w:color w:val="000000"/>
                <w:sz w:val="20"/>
                <w:szCs w:val="20"/>
              </w:rPr>
              <w:t>91 </w:t>
            </w:r>
          </w:p>
        </w:tc>
        <w:tc>
          <w:tcPr>
            <w:tcW w:w="0" w:type="auto"/>
            <w:shd w:val="clear" w:color="auto" w:fill="E2EFD9"/>
            <w:tcMar>
              <w:top w:w="40" w:type="dxa"/>
              <w:left w:w="0" w:type="dxa"/>
              <w:bottom w:w="40" w:type="dxa"/>
              <w:right w:w="20" w:type="dxa"/>
            </w:tcMar>
            <w:vAlign w:val="bottom"/>
          </w:tcPr>
          <w:p w14:paraId="1E804A9D" w14:textId="77777777" w:rsidR="00F20ABF" w:rsidRDefault="00F20ABF">
            <w:pPr>
              <w:jc w:val="right"/>
              <w:rPr>
                <w:rFonts w:ascii="宋体"/>
              </w:rPr>
            </w:pPr>
          </w:p>
        </w:tc>
      </w:tr>
      <w:tr w:rsidR="00F20ABF" w14:paraId="1E804AA5" w14:textId="77777777">
        <w:tc>
          <w:tcPr>
            <w:tcW w:w="0" w:type="auto"/>
            <w:gridSpan w:val="3"/>
            <w:shd w:val="clear" w:color="auto" w:fill="FFFFFF"/>
            <w:tcMar>
              <w:top w:w="40" w:type="dxa"/>
              <w:left w:w="20" w:type="dxa"/>
              <w:bottom w:w="40" w:type="dxa"/>
              <w:right w:w="20" w:type="dxa"/>
            </w:tcMar>
            <w:vAlign w:val="bottom"/>
          </w:tcPr>
          <w:p w14:paraId="1E804A9F" w14:textId="77777777" w:rsidR="00F20ABF" w:rsidRDefault="00CA4D2F">
            <w:pPr>
              <w:textAlignment w:val="bottom"/>
            </w:pPr>
            <w:r>
              <w:rPr>
                <w:rFonts w:ascii="sans-serif" w:eastAsia="sans-serif" w:hAnsi="sans-serif" w:cs="sans-serif"/>
                <w:color w:val="000000"/>
                <w:sz w:val="20"/>
                <w:szCs w:val="20"/>
              </w:rPr>
              <w:t>Taxes payable</w:t>
            </w:r>
          </w:p>
        </w:tc>
        <w:tc>
          <w:tcPr>
            <w:tcW w:w="0" w:type="auto"/>
            <w:gridSpan w:val="2"/>
            <w:shd w:val="clear" w:color="auto" w:fill="FFFFFF"/>
            <w:tcMar>
              <w:top w:w="40" w:type="dxa"/>
              <w:left w:w="20" w:type="dxa"/>
              <w:bottom w:w="40" w:type="dxa"/>
              <w:right w:w="0" w:type="dxa"/>
            </w:tcMar>
            <w:vAlign w:val="bottom"/>
          </w:tcPr>
          <w:p w14:paraId="1E804AA0" w14:textId="77777777" w:rsidR="00F20ABF" w:rsidRDefault="00CA4D2F">
            <w:pPr>
              <w:jc w:val="right"/>
              <w:textAlignment w:val="bottom"/>
            </w:pPr>
            <w:r>
              <w:rPr>
                <w:rFonts w:ascii="sans-serif" w:eastAsia="sans-serif" w:hAnsi="sans-serif" w:cs="sans-serif"/>
                <w:color w:val="000000"/>
                <w:sz w:val="20"/>
                <w:szCs w:val="20"/>
              </w:rPr>
              <w:t>70 </w:t>
            </w:r>
          </w:p>
        </w:tc>
        <w:tc>
          <w:tcPr>
            <w:tcW w:w="0" w:type="auto"/>
            <w:shd w:val="clear" w:color="auto" w:fill="FFFFFF"/>
            <w:tcMar>
              <w:top w:w="40" w:type="dxa"/>
              <w:left w:w="0" w:type="dxa"/>
              <w:bottom w:w="40" w:type="dxa"/>
              <w:right w:w="20" w:type="dxa"/>
            </w:tcMar>
            <w:vAlign w:val="bottom"/>
          </w:tcPr>
          <w:p w14:paraId="1E804AA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AA2"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AA3" w14:textId="77777777" w:rsidR="00F20ABF" w:rsidRDefault="00CA4D2F">
            <w:pPr>
              <w:jc w:val="right"/>
              <w:textAlignment w:val="bottom"/>
            </w:pPr>
            <w:r>
              <w:rPr>
                <w:rFonts w:ascii="sans-serif" w:eastAsia="sans-serif" w:hAnsi="sans-serif" w:cs="sans-serif"/>
                <w:color w:val="000000"/>
                <w:sz w:val="20"/>
                <w:szCs w:val="20"/>
              </w:rPr>
              <w:t>61 </w:t>
            </w:r>
          </w:p>
        </w:tc>
        <w:tc>
          <w:tcPr>
            <w:tcW w:w="0" w:type="auto"/>
            <w:shd w:val="clear" w:color="auto" w:fill="FFFFFF"/>
            <w:tcMar>
              <w:top w:w="40" w:type="dxa"/>
              <w:left w:w="0" w:type="dxa"/>
              <w:bottom w:w="40" w:type="dxa"/>
              <w:right w:w="20" w:type="dxa"/>
            </w:tcMar>
            <w:vAlign w:val="bottom"/>
          </w:tcPr>
          <w:p w14:paraId="1E804AA4" w14:textId="77777777" w:rsidR="00F20ABF" w:rsidRDefault="00F20ABF">
            <w:pPr>
              <w:jc w:val="right"/>
              <w:rPr>
                <w:rFonts w:ascii="宋体"/>
              </w:rPr>
            </w:pPr>
          </w:p>
        </w:tc>
      </w:tr>
      <w:tr w:rsidR="00F20ABF" w14:paraId="1E804AAA" w14:textId="77777777">
        <w:trPr>
          <w:hidden/>
        </w:trPr>
        <w:tc>
          <w:tcPr>
            <w:tcW w:w="0" w:type="auto"/>
            <w:gridSpan w:val="3"/>
            <w:shd w:val="clear" w:color="auto" w:fill="auto"/>
          </w:tcPr>
          <w:p w14:paraId="1E804AA6" w14:textId="77777777" w:rsidR="00F20ABF" w:rsidRDefault="00F20ABF">
            <w:pPr>
              <w:rPr>
                <w:rFonts w:ascii="宋体"/>
                <w:vanish/>
              </w:rPr>
            </w:pPr>
          </w:p>
        </w:tc>
        <w:tc>
          <w:tcPr>
            <w:tcW w:w="0" w:type="auto"/>
            <w:gridSpan w:val="3"/>
            <w:shd w:val="clear" w:color="auto" w:fill="auto"/>
          </w:tcPr>
          <w:p w14:paraId="1E804AA7" w14:textId="77777777" w:rsidR="00F20ABF" w:rsidRDefault="00F20ABF">
            <w:pPr>
              <w:rPr>
                <w:rFonts w:ascii="宋体"/>
                <w:vanish/>
              </w:rPr>
            </w:pPr>
          </w:p>
        </w:tc>
        <w:tc>
          <w:tcPr>
            <w:tcW w:w="0" w:type="auto"/>
            <w:gridSpan w:val="3"/>
            <w:shd w:val="clear" w:color="auto" w:fill="auto"/>
          </w:tcPr>
          <w:p w14:paraId="1E804AA8" w14:textId="77777777" w:rsidR="00F20ABF" w:rsidRDefault="00F20ABF">
            <w:pPr>
              <w:rPr>
                <w:rFonts w:ascii="宋体"/>
                <w:vanish/>
              </w:rPr>
            </w:pPr>
          </w:p>
        </w:tc>
        <w:tc>
          <w:tcPr>
            <w:tcW w:w="0" w:type="auto"/>
            <w:gridSpan w:val="3"/>
            <w:shd w:val="clear" w:color="auto" w:fill="auto"/>
          </w:tcPr>
          <w:p w14:paraId="1E804AA9" w14:textId="77777777" w:rsidR="00F20ABF" w:rsidRDefault="00F20ABF">
            <w:pPr>
              <w:rPr>
                <w:rFonts w:ascii="宋体"/>
                <w:vanish/>
              </w:rPr>
            </w:pPr>
          </w:p>
        </w:tc>
      </w:tr>
      <w:tr w:rsidR="00F20ABF" w14:paraId="1E804AB1" w14:textId="77777777">
        <w:tc>
          <w:tcPr>
            <w:tcW w:w="0" w:type="auto"/>
            <w:gridSpan w:val="3"/>
            <w:shd w:val="clear" w:color="auto" w:fill="E2EFD9"/>
            <w:tcMar>
              <w:top w:w="40" w:type="dxa"/>
              <w:left w:w="20" w:type="dxa"/>
              <w:bottom w:w="40" w:type="dxa"/>
              <w:right w:w="20" w:type="dxa"/>
            </w:tcMar>
            <w:vAlign w:val="bottom"/>
          </w:tcPr>
          <w:p w14:paraId="1E804AAB" w14:textId="77777777" w:rsidR="00F20ABF" w:rsidRDefault="00CA4D2F">
            <w:pPr>
              <w:textAlignment w:val="bottom"/>
            </w:pPr>
            <w:r>
              <w:rPr>
                <w:rFonts w:ascii="sans-serif" w:eastAsia="sans-serif" w:hAnsi="sans-serif" w:cs="sans-serif"/>
                <w:color w:val="000000"/>
                <w:sz w:val="20"/>
                <w:szCs w:val="20"/>
              </w:rPr>
              <w:t>Product warranty and return provisions</w:t>
            </w:r>
          </w:p>
        </w:tc>
        <w:tc>
          <w:tcPr>
            <w:tcW w:w="0" w:type="auto"/>
            <w:gridSpan w:val="2"/>
            <w:shd w:val="clear" w:color="auto" w:fill="E2EFD9"/>
            <w:tcMar>
              <w:top w:w="40" w:type="dxa"/>
              <w:left w:w="20" w:type="dxa"/>
              <w:bottom w:w="40" w:type="dxa"/>
              <w:right w:w="0" w:type="dxa"/>
            </w:tcMar>
            <w:vAlign w:val="bottom"/>
          </w:tcPr>
          <w:p w14:paraId="1E804AAC" w14:textId="77777777" w:rsidR="00F20ABF" w:rsidRDefault="00CA4D2F">
            <w:pPr>
              <w:jc w:val="right"/>
              <w:textAlignment w:val="bottom"/>
            </w:pPr>
            <w:r>
              <w:rPr>
                <w:rFonts w:ascii="sans-serif" w:eastAsia="sans-serif" w:hAnsi="sans-serif" w:cs="sans-serif"/>
                <w:color w:val="000000"/>
                <w:sz w:val="20"/>
                <w:szCs w:val="20"/>
              </w:rPr>
              <w:t>33 </w:t>
            </w:r>
          </w:p>
        </w:tc>
        <w:tc>
          <w:tcPr>
            <w:tcW w:w="0" w:type="auto"/>
            <w:shd w:val="clear" w:color="auto" w:fill="E2EFD9"/>
            <w:tcMar>
              <w:top w:w="40" w:type="dxa"/>
              <w:left w:w="0" w:type="dxa"/>
              <w:bottom w:w="40" w:type="dxa"/>
              <w:right w:w="20" w:type="dxa"/>
            </w:tcMar>
            <w:vAlign w:val="bottom"/>
          </w:tcPr>
          <w:p w14:paraId="1E804AA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AAE"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AAF" w14:textId="77777777" w:rsidR="00F20ABF" w:rsidRDefault="00CA4D2F">
            <w:pPr>
              <w:jc w:val="right"/>
              <w:textAlignment w:val="bottom"/>
            </w:pPr>
            <w:r>
              <w:rPr>
                <w:rFonts w:ascii="sans-serif" w:eastAsia="sans-serif" w:hAnsi="sans-serif" w:cs="sans-serif"/>
                <w:color w:val="000000"/>
                <w:sz w:val="20"/>
                <w:szCs w:val="20"/>
              </w:rPr>
              <w:t>24 </w:t>
            </w:r>
          </w:p>
        </w:tc>
        <w:tc>
          <w:tcPr>
            <w:tcW w:w="0" w:type="auto"/>
            <w:shd w:val="clear" w:color="auto" w:fill="E2EFD9"/>
            <w:tcMar>
              <w:top w:w="40" w:type="dxa"/>
              <w:left w:w="0" w:type="dxa"/>
              <w:bottom w:w="40" w:type="dxa"/>
              <w:right w:w="20" w:type="dxa"/>
            </w:tcMar>
            <w:vAlign w:val="bottom"/>
          </w:tcPr>
          <w:p w14:paraId="1E804AB0" w14:textId="77777777" w:rsidR="00F20ABF" w:rsidRDefault="00F20ABF">
            <w:pPr>
              <w:jc w:val="right"/>
              <w:rPr>
                <w:rFonts w:ascii="宋体"/>
              </w:rPr>
            </w:pPr>
          </w:p>
        </w:tc>
      </w:tr>
      <w:tr w:rsidR="00F20ABF" w14:paraId="1E804AB8" w14:textId="77777777">
        <w:tc>
          <w:tcPr>
            <w:tcW w:w="0" w:type="auto"/>
            <w:gridSpan w:val="3"/>
            <w:shd w:val="clear" w:color="auto" w:fill="FFFFFF"/>
            <w:tcMar>
              <w:top w:w="40" w:type="dxa"/>
              <w:left w:w="20" w:type="dxa"/>
              <w:bottom w:w="40" w:type="dxa"/>
              <w:right w:w="20" w:type="dxa"/>
            </w:tcMar>
            <w:vAlign w:val="bottom"/>
          </w:tcPr>
          <w:p w14:paraId="1E804AB2" w14:textId="77777777" w:rsidR="00F20ABF" w:rsidRDefault="00CA4D2F">
            <w:pPr>
              <w:textAlignment w:val="bottom"/>
            </w:pPr>
            <w:r>
              <w:rPr>
                <w:rFonts w:ascii="sans-serif" w:eastAsia="sans-serif" w:hAnsi="sans-serif" w:cs="sans-serif"/>
                <w:color w:val="000000"/>
                <w:sz w:val="20"/>
                <w:szCs w:val="20"/>
              </w:rPr>
              <w:t>Professional service fee</w:t>
            </w:r>
          </w:p>
        </w:tc>
        <w:tc>
          <w:tcPr>
            <w:tcW w:w="0" w:type="auto"/>
            <w:gridSpan w:val="2"/>
            <w:shd w:val="clear" w:color="auto" w:fill="FFFFFF"/>
            <w:tcMar>
              <w:top w:w="40" w:type="dxa"/>
              <w:left w:w="20" w:type="dxa"/>
              <w:bottom w:w="40" w:type="dxa"/>
              <w:right w:w="0" w:type="dxa"/>
            </w:tcMar>
            <w:vAlign w:val="bottom"/>
          </w:tcPr>
          <w:p w14:paraId="1E804AB3" w14:textId="77777777" w:rsidR="00F20ABF" w:rsidRDefault="00CA4D2F">
            <w:pPr>
              <w:jc w:val="right"/>
              <w:textAlignment w:val="bottom"/>
            </w:pPr>
            <w:r>
              <w:rPr>
                <w:rFonts w:ascii="sans-serif" w:eastAsia="sans-serif" w:hAnsi="sans-serif" w:cs="sans-serif"/>
                <w:color w:val="000000"/>
                <w:sz w:val="20"/>
                <w:szCs w:val="20"/>
              </w:rPr>
              <w:t>28 </w:t>
            </w:r>
          </w:p>
        </w:tc>
        <w:tc>
          <w:tcPr>
            <w:tcW w:w="0" w:type="auto"/>
            <w:shd w:val="clear" w:color="auto" w:fill="FFFFFF"/>
            <w:tcMar>
              <w:top w:w="40" w:type="dxa"/>
              <w:left w:w="0" w:type="dxa"/>
              <w:bottom w:w="40" w:type="dxa"/>
              <w:right w:w="20" w:type="dxa"/>
            </w:tcMar>
            <w:vAlign w:val="bottom"/>
          </w:tcPr>
          <w:p w14:paraId="1E804AB4"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AB5"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AB6" w14:textId="77777777" w:rsidR="00F20ABF" w:rsidRDefault="00CA4D2F">
            <w:pPr>
              <w:jc w:val="right"/>
              <w:textAlignment w:val="bottom"/>
            </w:pPr>
            <w:r>
              <w:rPr>
                <w:rFonts w:ascii="sans-serif" w:eastAsia="sans-serif" w:hAnsi="sans-serif" w:cs="sans-serif"/>
                <w:color w:val="000000"/>
                <w:sz w:val="20"/>
                <w:szCs w:val="20"/>
              </w:rPr>
              <w:t>18 </w:t>
            </w:r>
          </w:p>
        </w:tc>
        <w:tc>
          <w:tcPr>
            <w:tcW w:w="0" w:type="auto"/>
            <w:shd w:val="clear" w:color="auto" w:fill="FFFFFF"/>
            <w:tcMar>
              <w:top w:w="40" w:type="dxa"/>
              <w:left w:w="0" w:type="dxa"/>
              <w:bottom w:w="40" w:type="dxa"/>
              <w:right w:w="20" w:type="dxa"/>
            </w:tcMar>
            <w:vAlign w:val="bottom"/>
          </w:tcPr>
          <w:p w14:paraId="1E804AB7" w14:textId="77777777" w:rsidR="00F20ABF" w:rsidRDefault="00F20ABF">
            <w:pPr>
              <w:jc w:val="right"/>
              <w:rPr>
                <w:rFonts w:ascii="宋体"/>
              </w:rPr>
            </w:pPr>
          </w:p>
        </w:tc>
      </w:tr>
      <w:tr w:rsidR="00F20ABF" w14:paraId="1E804ABD" w14:textId="77777777">
        <w:trPr>
          <w:hidden/>
        </w:trPr>
        <w:tc>
          <w:tcPr>
            <w:tcW w:w="0" w:type="auto"/>
            <w:gridSpan w:val="3"/>
            <w:shd w:val="clear" w:color="auto" w:fill="auto"/>
          </w:tcPr>
          <w:p w14:paraId="1E804AB9" w14:textId="77777777" w:rsidR="00F20ABF" w:rsidRDefault="00F20ABF">
            <w:pPr>
              <w:rPr>
                <w:rFonts w:ascii="宋体"/>
                <w:vanish/>
              </w:rPr>
            </w:pPr>
          </w:p>
        </w:tc>
        <w:tc>
          <w:tcPr>
            <w:tcW w:w="0" w:type="auto"/>
            <w:gridSpan w:val="3"/>
            <w:shd w:val="clear" w:color="auto" w:fill="auto"/>
          </w:tcPr>
          <w:p w14:paraId="1E804ABA" w14:textId="77777777" w:rsidR="00F20ABF" w:rsidRDefault="00F20ABF">
            <w:pPr>
              <w:rPr>
                <w:rFonts w:ascii="宋体"/>
                <w:vanish/>
              </w:rPr>
            </w:pPr>
          </w:p>
        </w:tc>
        <w:tc>
          <w:tcPr>
            <w:tcW w:w="0" w:type="auto"/>
            <w:gridSpan w:val="3"/>
            <w:shd w:val="clear" w:color="auto" w:fill="auto"/>
          </w:tcPr>
          <w:p w14:paraId="1E804ABB" w14:textId="77777777" w:rsidR="00F20ABF" w:rsidRDefault="00F20ABF">
            <w:pPr>
              <w:rPr>
                <w:rFonts w:ascii="宋体"/>
                <w:vanish/>
              </w:rPr>
            </w:pPr>
          </w:p>
        </w:tc>
        <w:tc>
          <w:tcPr>
            <w:tcW w:w="0" w:type="auto"/>
            <w:gridSpan w:val="3"/>
            <w:shd w:val="clear" w:color="auto" w:fill="auto"/>
          </w:tcPr>
          <w:p w14:paraId="1E804ABC" w14:textId="77777777" w:rsidR="00F20ABF" w:rsidRDefault="00F20ABF">
            <w:pPr>
              <w:rPr>
                <w:rFonts w:ascii="宋体"/>
                <w:vanish/>
              </w:rPr>
            </w:pPr>
          </w:p>
        </w:tc>
      </w:tr>
      <w:tr w:rsidR="00F20ABF" w14:paraId="1E804AC2" w14:textId="77777777">
        <w:trPr>
          <w:hidden/>
        </w:trPr>
        <w:tc>
          <w:tcPr>
            <w:tcW w:w="0" w:type="auto"/>
            <w:gridSpan w:val="3"/>
            <w:shd w:val="clear" w:color="auto" w:fill="auto"/>
          </w:tcPr>
          <w:p w14:paraId="1E804ABE" w14:textId="77777777" w:rsidR="00F20ABF" w:rsidRDefault="00F20ABF">
            <w:pPr>
              <w:rPr>
                <w:rFonts w:ascii="宋体"/>
                <w:vanish/>
              </w:rPr>
            </w:pPr>
          </w:p>
        </w:tc>
        <w:tc>
          <w:tcPr>
            <w:tcW w:w="0" w:type="auto"/>
            <w:gridSpan w:val="3"/>
            <w:shd w:val="clear" w:color="auto" w:fill="auto"/>
          </w:tcPr>
          <w:p w14:paraId="1E804ABF" w14:textId="77777777" w:rsidR="00F20ABF" w:rsidRDefault="00F20ABF">
            <w:pPr>
              <w:rPr>
                <w:rFonts w:ascii="宋体"/>
                <w:vanish/>
              </w:rPr>
            </w:pPr>
          </w:p>
        </w:tc>
        <w:tc>
          <w:tcPr>
            <w:tcW w:w="0" w:type="auto"/>
            <w:gridSpan w:val="3"/>
            <w:shd w:val="clear" w:color="auto" w:fill="auto"/>
          </w:tcPr>
          <w:p w14:paraId="1E804AC0" w14:textId="77777777" w:rsidR="00F20ABF" w:rsidRDefault="00F20ABF">
            <w:pPr>
              <w:rPr>
                <w:rFonts w:ascii="宋体"/>
                <w:vanish/>
              </w:rPr>
            </w:pPr>
          </w:p>
        </w:tc>
        <w:tc>
          <w:tcPr>
            <w:tcW w:w="0" w:type="auto"/>
            <w:gridSpan w:val="3"/>
            <w:shd w:val="clear" w:color="auto" w:fill="auto"/>
          </w:tcPr>
          <w:p w14:paraId="1E804AC1" w14:textId="77777777" w:rsidR="00F20ABF" w:rsidRDefault="00F20ABF">
            <w:pPr>
              <w:rPr>
                <w:rFonts w:ascii="宋体"/>
                <w:vanish/>
              </w:rPr>
            </w:pPr>
          </w:p>
        </w:tc>
      </w:tr>
      <w:tr w:rsidR="00F20ABF" w14:paraId="1E804AC7" w14:textId="77777777">
        <w:trPr>
          <w:hidden/>
        </w:trPr>
        <w:tc>
          <w:tcPr>
            <w:tcW w:w="0" w:type="auto"/>
            <w:gridSpan w:val="3"/>
            <w:shd w:val="clear" w:color="auto" w:fill="auto"/>
          </w:tcPr>
          <w:p w14:paraId="1E804AC3" w14:textId="77777777" w:rsidR="00F20ABF" w:rsidRDefault="00F20ABF">
            <w:pPr>
              <w:rPr>
                <w:rFonts w:ascii="宋体"/>
                <w:vanish/>
              </w:rPr>
            </w:pPr>
          </w:p>
        </w:tc>
        <w:tc>
          <w:tcPr>
            <w:tcW w:w="0" w:type="auto"/>
            <w:gridSpan w:val="3"/>
            <w:shd w:val="clear" w:color="auto" w:fill="auto"/>
          </w:tcPr>
          <w:p w14:paraId="1E804AC4" w14:textId="77777777" w:rsidR="00F20ABF" w:rsidRDefault="00F20ABF">
            <w:pPr>
              <w:rPr>
                <w:rFonts w:ascii="宋体"/>
                <w:vanish/>
              </w:rPr>
            </w:pPr>
          </w:p>
        </w:tc>
        <w:tc>
          <w:tcPr>
            <w:tcW w:w="0" w:type="auto"/>
            <w:gridSpan w:val="3"/>
            <w:shd w:val="clear" w:color="auto" w:fill="auto"/>
          </w:tcPr>
          <w:p w14:paraId="1E804AC5" w14:textId="77777777" w:rsidR="00F20ABF" w:rsidRDefault="00F20ABF">
            <w:pPr>
              <w:rPr>
                <w:rFonts w:ascii="宋体"/>
                <w:vanish/>
              </w:rPr>
            </w:pPr>
          </w:p>
        </w:tc>
        <w:tc>
          <w:tcPr>
            <w:tcW w:w="0" w:type="auto"/>
            <w:gridSpan w:val="3"/>
            <w:shd w:val="clear" w:color="auto" w:fill="auto"/>
          </w:tcPr>
          <w:p w14:paraId="1E804AC6" w14:textId="77777777" w:rsidR="00F20ABF" w:rsidRDefault="00F20ABF">
            <w:pPr>
              <w:rPr>
                <w:rFonts w:ascii="宋体"/>
                <w:vanish/>
              </w:rPr>
            </w:pPr>
          </w:p>
        </w:tc>
      </w:tr>
      <w:tr w:rsidR="00F20ABF" w14:paraId="1E804ACC" w14:textId="77777777">
        <w:trPr>
          <w:hidden/>
        </w:trPr>
        <w:tc>
          <w:tcPr>
            <w:tcW w:w="0" w:type="auto"/>
            <w:gridSpan w:val="3"/>
            <w:shd w:val="clear" w:color="auto" w:fill="auto"/>
          </w:tcPr>
          <w:p w14:paraId="1E804AC8" w14:textId="77777777" w:rsidR="00F20ABF" w:rsidRDefault="00F20ABF">
            <w:pPr>
              <w:rPr>
                <w:rFonts w:ascii="宋体"/>
                <w:vanish/>
              </w:rPr>
            </w:pPr>
          </w:p>
        </w:tc>
        <w:tc>
          <w:tcPr>
            <w:tcW w:w="0" w:type="auto"/>
            <w:gridSpan w:val="3"/>
            <w:shd w:val="clear" w:color="auto" w:fill="auto"/>
          </w:tcPr>
          <w:p w14:paraId="1E804AC9" w14:textId="77777777" w:rsidR="00F20ABF" w:rsidRDefault="00F20ABF">
            <w:pPr>
              <w:rPr>
                <w:rFonts w:ascii="宋体"/>
                <w:vanish/>
              </w:rPr>
            </w:pPr>
          </w:p>
        </w:tc>
        <w:tc>
          <w:tcPr>
            <w:tcW w:w="0" w:type="auto"/>
            <w:gridSpan w:val="3"/>
            <w:shd w:val="clear" w:color="auto" w:fill="auto"/>
          </w:tcPr>
          <w:p w14:paraId="1E804ACA" w14:textId="77777777" w:rsidR="00F20ABF" w:rsidRDefault="00F20ABF">
            <w:pPr>
              <w:rPr>
                <w:rFonts w:ascii="宋体"/>
                <w:vanish/>
              </w:rPr>
            </w:pPr>
          </w:p>
        </w:tc>
        <w:tc>
          <w:tcPr>
            <w:tcW w:w="0" w:type="auto"/>
            <w:gridSpan w:val="3"/>
            <w:shd w:val="clear" w:color="auto" w:fill="auto"/>
          </w:tcPr>
          <w:p w14:paraId="1E804ACB" w14:textId="77777777" w:rsidR="00F20ABF" w:rsidRDefault="00F20ABF">
            <w:pPr>
              <w:rPr>
                <w:rFonts w:ascii="宋体"/>
                <w:vanish/>
              </w:rPr>
            </w:pPr>
          </w:p>
        </w:tc>
      </w:tr>
      <w:tr w:rsidR="00F20ABF" w14:paraId="1E804AD1" w14:textId="77777777">
        <w:trPr>
          <w:hidden/>
        </w:trPr>
        <w:tc>
          <w:tcPr>
            <w:tcW w:w="0" w:type="auto"/>
            <w:gridSpan w:val="3"/>
            <w:shd w:val="clear" w:color="auto" w:fill="auto"/>
          </w:tcPr>
          <w:p w14:paraId="1E804ACD" w14:textId="77777777" w:rsidR="00F20ABF" w:rsidRDefault="00F20ABF">
            <w:pPr>
              <w:rPr>
                <w:rFonts w:ascii="宋体"/>
                <w:vanish/>
              </w:rPr>
            </w:pPr>
          </w:p>
        </w:tc>
        <w:tc>
          <w:tcPr>
            <w:tcW w:w="0" w:type="auto"/>
            <w:gridSpan w:val="3"/>
            <w:shd w:val="clear" w:color="auto" w:fill="auto"/>
          </w:tcPr>
          <w:p w14:paraId="1E804ACE" w14:textId="77777777" w:rsidR="00F20ABF" w:rsidRDefault="00F20ABF">
            <w:pPr>
              <w:rPr>
                <w:rFonts w:ascii="宋体"/>
                <w:vanish/>
              </w:rPr>
            </w:pPr>
          </w:p>
        </w:tc>
        <w:tc>
          <w:tcPr>
            <w:tcW w:w="0" w:type="auto"/>
            <w:gridSpan w:val="3"/>
            <w:shd w:val="clear" w:color="auto" w:fill="auto"/>
          </w:tcPr>
          <w:p w14:paraId="1E804ACF" w14:textId="77777777" w:rsidR="00F20ABF" w:rsidRDefault="00F20ABF">
            <w:pPr>
              <w:rPr>
                <w:rFonts w:ascii="宋体"/>
                <w:vanish/>
              </w:rPr>
            </w:pPr>
          </w:p>
        </w:tc>
        <w:tc>
          <w:tcPr>
            <w:tcW w:w="0" w:type="auto"/>
            <w:gridSpan w:val="3"/>
            <w:shd w:val="clear" w:color="auto" w:fill="auto"/>
          </w:tcPr>
          <w:p w14:paraId="1E804AD0" w14:textId="77777777" w:rsidR="00F20ABF" w:rsidRDefault="00F20ABF">
            <w:pPr>
              <w:rPr>
                <w:rFonts w:ascii="宋体"/>
                <w:vanish/>
              </w:rPr>
            </w:pPr>
          </w:p>
        </w:tc>
      </w:tr>
      <w:tr w:rsidR="00F20ABF" w14:paraId="1E804AD6" w14:textId="77777777">
        <w:trPr>
          <w:hidden/>
        </w:trPr>
        <w:tc>
          <w:tcPr>
            <w:tcW w:w="0" w:type="auto"/>
            <w:gridSpan w:val="3"/>
            <w:shd w:val="clear" w:color="auto" w:fill="auto"/>
          </w:tcPr>
          <w:p w14:paraId="1E804AD2" w14:textId="77777777" w:rsidR="00F20ABF" w:rsidRDefault="00F20ABF">
            <w:pPr>
              <w:rPr>
                <w:rFonts w:ascii="宋体"/>
                <w:vanish/>
              </w:rPr>
            </w:pPr>
          </w:p>
        </w:tc>
        <w:tc>
          <w:tcPr>
            <w:tcW w:w="0" w:type="auto"/>
            <w:gridSpan w:val="3"/>
            <w:shd w:val="clear" w:color="auto" w:fill="auto"/>
          </w:tcPr>
          <w:p w14:paraId="1E804AD3" w14:textId="77777777" w:rsidR="00F20ABF" w:rsidRDefault="00F20ABF">
            <w:pPr>
              <w:rPr>
                <w:rFonts w:ascii="宋体"/>
                <w:vanish/>
              </w:rPr>
            </w:pPr>
          </w:p>
        </w:tc>
        <w:tc>
          <w:tcPr>
            <w:tcW w:w="0" w:type="auto"/>
            <w:gridSpan w:val="3"/>
            <w:shd w:val="clear" w:color="auto" w:fill="auto"/>
          </w:tcPr>
          <w:p w14:paraId="1E804AD4" w14:textId="77777777" w:rsidR="00F20ABF" w:rsidRDefault="00F20ABF">
            <w:pPr>
              <w:rPr>
                <w:rFonts w:ascii="宋体"/>
                <w:vanish/>
              </w:rPr>
            </w:pPr>
          </w:p>
        </w:tc>
        <w:tc>
          <w:tcPr>
            <w:tcW w:w="0" w:type="auto"/>
            <w:gridSpan w:val="3"/>
            <w:shd w:val="clear" w:color="auto" w:fill="auto"/>
          </w:tcPr>
          <w:p w14:paraId="1E804AD5" w14:textId="77777777" w:rsidR="00F20ABF" w:rsidRDefault="00F20ABF">
            <w:pPr>
              <w:rPr>
                <w:rFonts w:ascii="宋体"/>
                <w:vanish/>
              </w:rPr>
            </w:pPr>
          </w:p>
        </w:tc>
      </w:tr>
      <w:tr w:rsidR="00F20ABF" w14:paraId="1E804ADB" w14:textId="77777777">
        <w:trPr>
          <w:hidden/>
        </w:trPr>
        <w:tc>
          <w:tcPr>
            <w:tcW w:w="0" w:type="auto"/>
            <w:gridSpan w:val="3"/>
            <w:shd w:val="clear" w:color="auto" w:fill="auto"/>
          </w:tcPr>
          <w:p w14:paraId="1E804AD7" w14:textId="77777777" w:rsidR="00F20ABF" w:rsidRDefault="00F20ABF">
            <w:pPr>
              <w:rPr>
                <w:rFonts w:ascii="宋体"/>
                <w:vanish/>
              </w:rPr>
            </w:pPr>
          </w:p>
        </w:tc>
        <w:tc>
          <w:tcPr>
            <w:tcW w:w="0" w:type="auto"/>
            <w:gridSpan w:val="3"/>
            <w:shd w:val="clear" w:color="auto" w:fill="auto"/>
          </w:tcPr>
          <w:p w14:paraId="1E804AD8" w14:textId="77777777" w:rsidR="00F20ABF" w:rsidRDefault="00F20ABF">
            <w:pPr>
              <w:rPr>
                <w:rFonts w:ascii="宋体"/>
                <w:vanish/>
              </w:rPr>
            </w:pPr>
          </w:p>
        </w:tc>
        <w:tc>
          <w:tcPr>
            <w:tcW w:w="0" w:type="auto"/>
            <w:gridSpan w:val="3"/>
            <w:shd w:val="clear" w:color="auto" w:fill="auto"/>
          </w:tcPr>
          <w:p w14:paraId="1E804AD9" w14:textId="77777777" w:rsidR="00F20ABF" w:rsidRDefault="00F20ABF">
            <w:pPr>
              <w:rPr>
                <w:rFonts w:ascii="宋体"/>
                <w:vanish/>
              </w:rPr>
            </w:pPr>
          </w:p>
        </w:tc>
        <w:tc>
          <w:tcPr>
            <w:tcW w:w="0" w:type="auto"/>
            <w:gridSpan w:val="3"/>
            <w:shd w:val="clear" w:color="auto" w:fill="auto"/>
          </w:tcPr>
          <w:p w14:paraId="1E804ADA" w14:textId="77777777" w:rsidR="00F20ABF" w:rsidRDefault="00F20ABF">
            <w:pPr>
              <w:rPr>
                <w:rFonts w:ascii="宋体"/>
                <w:vanish/>
              </w:rPr>
            </w:pPr>
          </w:p>
        </w:tc>
      </w:tr>
      <w:tr w:rsidR="00F20ABF" w14:paraId="1E804AE0" w14:textId="77777777">
        <w:trPr>
          <w:hidden/>
        </w:trPr>
        <w:tc>
          <w:tcPr>
            <w:tcW w:w="0" w:type="auto"/>
            <w:gridSpan w:val="3"/>
            <w:shd w:val="clear" w:color="auto" w:fill="auto"/>
          </w:tcPr>
          <w:p w14:paraId="1E804ADC" w14:textId="77777777" w:rsidR="00F20ABF" w:rsidRDefault="00F20ABF">
            <w:pPr>
              <w:rPr>
                <w:rFonts w:ascii="宋体"/>
                <w:vanish/>
              </w:rPr>
            </w:pPr>
          </w:p>
        </w:tc>
        <w:tc>
          <w:tcPr>
            <w:tcW w:w="0" w:type="auto"/>
            <w:gridSpan w:val="3"/>
            <w:shd w:val="clear" w:color="auto" w:fill="auto"/>
          </w:tcPr>
          <w:p w14:paraId="1E804ADD" w14:textId="77777777" w:rsidR="00F20ABF" w:rsidRDefault="00F20ABF">
            <w:pPr>
              <w:rPr>
                <w:rFonts w:ascii="宋体"/>
                <w:vanish/>
              </w:rPr>
            </w:pPr>
          </w:p>
        </w:tc>
        <w:tc>
          <w:tcPr>
            <w:tcW w:w="0" w:type="auto"/>
            <w:gridSpan w:val="3"/>
            <w:shd w:val="clear" w:color="auto" w:fill="auto"/>
          </w:tcPr>
          <w:p w14:paraId="1E804ADE" w14:textId="77777777" w:rsidR="00F20ABF" w:rsidRDefault="00F20ABF">
            <w:pPr>
              <w:rPr>
                <w:rFonts w:ascii="宋体"/>
                <w:vanish/>
              </w:rPr>
            </w:pPr>
          </w:p>
        </w:tc>
        <w:tc>
          <w:tcPr>
            <w:tcW w:w="0" w:type="auto"/>
            <w:gridSpan w:val="3"/>
            <w:shd w:val="clear" w:color="auto" w:fill="auto"/>
          </w:tcPr>
          <w:p w14:paraId="1E804ADF" w14:textId="77777777" w:rsidR="00F20ABF" w:rsidRDefault="00F20ABF">
            <w:pPr>
              <w:rPr>
                <w:rFonts w:ascii="宋体"/>
                <w:vanish/>
              </w:rPr>
            </w:pPr>
          </w:p>
        </w:tc>
      </w:tr>
      <w:tr w:rsidR="00F20ABF" w14:paraId="1E804AE7" w14:textId="77777777">
        <w:tc>
          <w:tcPr>
            <w:tcW w:w="0" w:type="auto"/>
            <w:gridSpan w:val="3"/>
            <w:shd w:val="clear" w:color="auto" w:fill="E2EFD9"/>
            <w:tcMar>
              <w:top w:w="40" w:type="dxa"/>
              <w:left w:w="20" w:type="dxa"/>
              <w:bottom w:w="40" w:type="dxa"/>
              <w:right w:w="20" w:type="dxa"/>
            </w:tcMar>
            <w:vAlign w:val="bottom"/>
          </w:tcPr>
          <w:p w14:paraId="1E804AE1" w14:textId="77777777" w:rsidR="00F20ABF" w:rsidRDefault="00CA4D2F">
            <w:pPr>
              <w:textAlignment w:val="bottom"/>
            </w:pPr>
            <w:r>
              <w:rPr>
                <w:rFonts w:ascii="sans-serif" w:eastAsia="sans-serif" w:hAnsi="sans-serif" w:cs="sans-serif"/>
                <w:color w:val="000000"/>
                <w:sz w:val="20"/>
                <w:szCs w:val="20"/>
              </w:rPr>
              <w:t>Coupon interest on debt obligations</w:t>
            </w:r>
          </w:p>
        </w:tc>
        <w:tc>
          <w:tcPr>
            <w:tcW w:w="0" w:type="auto"/>
            <w:gridSpan w:val="2"/>
            <w:shd w:val="clear" w:color="auto" w:fill="E2EFD9"/>
            <w:tcMar>
              <w:top w:w="40" w:type="dxa"/>
              <w:left w:w="20" w:type="dxa"/>
              <w:bottom w:w="40" w:type="dxa"/>
              <w:right w:w="0" w:type="dxa"/>
            </w:tcMar>
            <w:vAlign w:val="bottom"/>
          </w:tcPr>
          <w:p w14:paraId="1E804AE2" w14:textId="77777777" w:rsidR="00F20ABF" w:rsidRDefault="00CA4D2F">
            <w:pPr>
              <w:jc w:val="right"/>
              <w:textAlignment w:val="bottom"/>
            </w:pPr>
            <w:r>
              <w:rPr>
                <w:rFonts w:ascii="sans-serif" w:eastAsia="sans-serif" w:hAnsi="sans-serif" w:cs="sans-serif"/>
                <w:color w:val="000000"/>
                <w:sz w:val="20"/>
                <w:szCs w:val="20"/>
              </w:rPr>
              <w:t>19 </w:t>
            </w:r>
          </w:p>
        </w:tc>
        <w:tc>
          <w:tcPr>
            <w:tcW w:w="0" w:type="auto"/>
            <w:shd w:val="clear" w:color="auto" w:fill="E2EFD9"/>
            <w:tcMar>
              <w:top w:w="40" w:type="dxa"/>
              <w:left w:w="0" w:type="dxa"/>
              <w:bottom w:w="40" w:type="dxa"/>
              <w:right w:w="20" w:type="dxa"/>
            </w:tcMar>
            <w:vAlign w:val="bottom"/>
          </w:tcPr>
          <w:p w14:paraId="1E804AE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AE4"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AE5" w14:textId="77777777" w:rsidR="00F20ABF" w:rsidRDefault="00CA4D2F">
            <w:pPr>
              <w:jc w:val="right"/>
              <w:textAlignment w:val="bottom"/>
            </w:pPr>
            <w:r>
              <w:rPr>
                <w:rFonts w:ascii="sans-serif" w:eastAsia="sans-serif" w:hAnsi="sans-serif" w:cs="sans-serif"/>
                <w:color w:val="000000"/>
                <w:sz w:val="20"/>
                <w:szCs w:val="20"/>
              </w:rPr>
              <w:t>20 </w:t>
            </w:r>
          </w:p>
        </w:tc>
        <w:tc>
          <w:tcPr>
            <w:tcW w:w="0" w:type="auto"/>
            <w:shd w:val="clear" w:color="auto" w:fill="E2EFD9"/>
            <w:tcMar>
              <w:top w:w="40" w:type="dxa"/>
              <w:left w:w="0" w:type="dxa"/>
              <w:bottom w:w="40" w:type="dxa"/>
              <w:right w:w="20" w:type="dxa"/>
            </w:tcMar>
            <w:vAlign w:val="bottom"/>
          </w:tcPr>
          <w:p w14:paraId="1E804AE6" w14:textId="77777777" w:rsidR="00F20ABF" w:rsidRDefault="00F20ABF">
            <w:pPr>
              <w:jc w:val="right"/>
              <w:rPr>
                <w:rFonts w:ascii="宋体"/>
              </w:rPr>
            </w:pPr>
          </w:p>
        </w:tc>
      </w:tr>
      <w:tr w:rsidR="00F20ABF" w14:paraId="1E804AEE" w14:textId="77777777">
        <w:tc>
          <w:tcPr>
            <w:tcW w:w="0" w:type="auto"/>
            <w:gridSpan w:val="3"/>
            <w:shd w:val="clear" w:color="auto" w:fill="FFFFFF"/>
            <w:tcMar>
              <w:top w:w="40" w:type="dxa"/>
              <w:left w:w="20" w:type="dxa"/>
              <w:bottom w:w="40" w:type="dxa"/>
              <w:right w:w="20" w:type="dxa"/>
            </w:tcMar>
            <w:vAlign w:val="bottom"/>
          </w:tcPr>
          <w:p w14:paraId="1E804AE8" w14:textId="77777777" w:rsidR="00F20ABF" w:rsidRDefault="00CA4D2F">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E804AE9" w14:textId="77777777" w:rsidR="00F20ABF" w:rsidRDefault="00CA4D2F">
            <w:pPr>
              <w:jc w:val="right"/>
              <w:textAlignment w:val="bottom"/>
            </w:pPr>
            <w:r>
              <w:rPr>
                <w:rFonts w:ascii="sans-serif" w:eastAsia="sans-serif" w:hAnsi="sans-serif" w:cs="sans-serif"/>
                <w:color w:val="000000"/>
                <w:sz w:val="20"/>
                <w:szCs w:val="20"/>
              </w:rPr>
              <w:t>63 </w:t>
            </w:r>
          </w:p>
        </w:tc>
        <w:tc>
          <w:tcPr>
            <w:tcW w:w="0" w:type="auto"/>
            <w:shd w:val="clear" w:color="auto" w:fill="FFFFFF"/>
            <w:tcMar>
              <w:top w:w="40" w:type="dxa"/>
              <w:left w:w="0" w:type="dxa"/>
              <w:bottom w:w="40" w:type="dxa"/>
              <w:right w:w="20" w:type="dxa"/>
            </w:tcMar>
            <w:vAlign w:val="bottom"/>
          </w:tcPr>
          <w:p w14:paraId="1E804AE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AEB"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AEC" w14:textId="77777777" w:rsidR="00F20ABF" w:rsidRDefault="00CA4D2F">
            <w:pPr>
              <w:jc w:val="right"/>
              <w:textAlignment w:val="bottom"/>
            </w:pPr>
            <w:r>
              <w:rPr>
                <w:rFonts w:ascii="sans-serif" w:eastAsia="sans-serif" w:hAnsi="sans-serif" w:cs="sans-serif"/>
                <w:color w:val="000000"/>
                <w:sz w:val="20"/>
                <w:szCs w:val="20"/>
              </w:rPr>
              <w:t>29 </w:t>
            </w:r>
          </w:p>
        </w:tc>
        <w:tc>
          <w:tcPr>
            <w:tcW w:w="0" w:type="auto"/>
            <w:shd w:val="clear" w:color="auto" w:fill="FFFFFF"/>
            <w:tcMar>
              <w:top w:w="40" w:type="dxa"/>
              <w:left w:w="0" w:type="dxa"/>
              <w:bottom w:w="40" w:type="dxa"/>
              <w:right w:w="20" w:type="dxa"/>
            </w:tcMar>
            <w:vAlign w:val="bottom"/>
          </w:tcPr>
          <w:p w14:paraId="1E804AED" w14:textId="77777777" w:rsidR="00F20ABF" w:rsidRDefault="00F20ABF">
            <w:pPr>
              <w:jc w:val="right"/>
              <w:rPr>
                <w:rFonts w:ascii="宋体"/>
              </w:rPr>
            </w:pPr>
          </w:p>
        </w:tc>
      </w:tr>
      <w:tr w:rsidR="00F20ABF" w14:paraId="1E804AF7" w14:textId="77777777">
        <w:tc>
          <w:tcPr>
            <w:tcW w:w="0" w:type="auto"/>
            <w:gridSpan w:val="3"/>
            <w:shd w:val="clear" w:color="auto" w:fill="E2EFD9"/>
            <w:tcMar>
              <w:top w:w="40" w:type="dxa"/>
              <w:left w:w="380" w:type="dxa"/>
              <w:bottom w:w="40" w:type="dxa"/>
              <w:right w:w="20" w:type="dxa"/>
            </w:tcMar>
            <w:vAlign w:val="bottom"/>
          </w:tcPr>
          <w:p w14:paraId="1E804AEF" w14:textId="77777777" w:rsidR="00F20ABF" w:rsidRDefault="00CA4D2F">
            <w:pPr>
              <w:textAlignment w:val="bottom"/>
            </w:pPr>
            <w:r>
              <w:rPr>
                <w:rFonts w:ascii="sans-serif" w:eastAsia="sans-serif" w:hAnsi="sans-serif" w:cs="sans-serif"/>
                <w:color w:val="000000"/>
                <w:sz w:val="20"/>
                <w:szCs w:val="20"/>
              </w:rPr>
              <w:t xml:space="preserve">Total accrued and other </w:t>
            </w:r>
            <w:r>
              <w:rPr>
                <w:rFonts w:ascii="sans-serif" w:eastAsia="sans-serif" w:hAnsi="sans-serif" w:cs="sans-serif"/>
                <w:color w:val="000000"/>
                <w:sz w:val="20"/>
                <w:szCs w:val="20"/>
              </w:rPr>
              <w:t>current liabilities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AF0"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AF1" w14:textId="77777777" w:rsidR="00F20ABF" w:rsidRDefault="00CA4D2F">
            <w:pPr>
              <w:jc w:val="right"/>
              <w:textAlignment w:val="bottom"/>
            </w:pPr>
            <w:r>
              <w:rPr>
                <w:rFonts w:ascii="sans-serif" w:eastAsia="sans-serif" w:hAnsi="sans-serif" w:cs="sans-serif"/>
                <w:color w:val="000000"/>
                <w:sz w:val="20"/>
                <w:szCs w:val="20"/>
              </w:rPr>
              <w:t>1,574 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AF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AF3"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AF4"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AF5" w14:textId="77777777" w:rsidR="00F20ABF" w:rsidRDefault="00CA4D2F">
            <w:pPr>
              <w:jc w:val="right"/>
              <w:textAlignment w:val="bottom"/>
            </w:pPr>
            <w:r>
              <w:rPr>
                <w:rFonts w:ascii="sans-serif" w:eastAsia="sans-serif" w:hAnsi="sans-serif" w:cs="sans-serif"/>
                <w:color w:val="000000"/>
                <w:sz w:val="20"/>
                <w:szCs w:val="20"/>
              </w:rPr>
              <w:t>1,097 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AF6" w14:textId="77777777" w:rsidR="00F20ABF" w:rsidRDefault="00F20ABF">
            <w:pPr>
              <w:jc w:val="right"/>
              <w:rPr>
                <w:rFonts w:ascii="宋体"/>
              </w:rPr>
            </w:pPr>
          </w:p>
        </w:tc>
      </w:tr>
    </w:tbl>
    <w:p w14:paraId="1E804AF8" w14:textId="77777777" w:rsidR="00F20ABF" w:rsidRDefault="00CA4D2F">
      <w:pPr>
        <w:spacing w:after="60"/>
        <w:ind w:hanging="360"/>
        <w:jc w:val="both"/>
      </w:pPr>
      <w:r>
        <w:rPr>
          <w:rFonts w:ascii="sans-serif" w:eastAsia="sans-serif" w:hAnsi="sans-serif" w:cs="sans-serif"/>
          <w:color w:val="000000"/>
          <w:sz w:val="16"/>
          <w:szCs w:val="16"/>
        </w:rPr>
        <w:t xml:space="preserve">(1)    Deferred revenue primarily includes customer advances and deferrals related to license and development arrangements and post contract customer support, or PCS. </w:t>
      </w:r>
    </w:p>
    <w:tbl>
      <w:tblPr>
        <w:tblW w:w="4993" w:type="pct"/>
        <w:tblCellMar>
          <w:top w:w="15" w:type="dxa"/>
          <w:left w:w="15" w:type="dxa"/>
          <w:bottom w:w="15" w:type="dxa"/>
          <w:right w:w="15" w:type="dxa"/>
        </w:tblCellMar>
        <w:tblLook w:val="04A0" w:firstRow="1" w:lastRow="0" w:firstColumn="1" w:lastColumn="0" w:noHBand="0" w:noVBand="1"/>
      </w:tblPr>
      <w:tblGrid>
        <w:gridCol w:w="39"/>
        <w:gridCol w:w="5910"/>
        <w:gridCol w:w="37"/>
        <w:gridCol w:w="123"/>
        <w:gridCol w:w="974"/>
        <w:gridCol w:w="36"/>
        <w:gridCol w:w="36"/>
        <w:gridCol w:w="36"/>
        <w:gridCol w:w="36"/>
        <w:gridCol w:w="123"/>
        <w:gridCol w:w="938"/>
        <w:gridCol w:w="36"/>
      </w:tblGrid>
      <w:tr w:rsidR="00F20ABF" w14:paraId="1E804B05" w14:textId="77777777">
        <w:tc>
          <w:tcPr>
            <w:tcW w:w="50" w:type="pct"/>
            <w:shd w:val="clear" w:color="auto" w:fill="auto"/>
          </w:tcPr>
          <w:p w14:paraId="1E804AF9" w14:textId="77777777" w:rsidR="00F20ABF" w:rsidRDefault="00F20ABF">
            <w:pPr>
              <w:rPr>
                <w:rFonts w:ascii="宋体"/>
              </w:rPr>
            </w:pPr>
          </w:p>
        </w:tc>
        <w:tc>
          <w:tcPr>
            <w:tcW w:w="3575" w:type="pct"/>
            <w:shd w:val="clear" w:color="auto" w:fill="auto"/>
          </w:tcPr>
          <w:p w14:paraId="1E804AFA" w14:textId="77777777" w:rsidR="00F20ABF" w:rsidRDefault="00F20ABF">
            <w:pPr>
              <w:rPr>
                <w:rFonts w:ascii="宋体"/>
              </w:rPr>
            </w:pPr>
          </w:p>
        </w:tc>
        <w:tc>
          <w:tcPr>
            <w:tcW w:w="5" w:type="pct"/>
            <w:shd w:val="clear" w:color="auto" w:fill="auto"/>
          </w:tcPr>
          <w:p w14:paraId="1E804AFB" w14:textId="77777777" w:rsidR="00F20ABF" w:rsidRDefault="00F20ABF">
            <w:pPr>
              <w:rPr>
                <w:rFonts w:ascii="宋体"/>
              </w:rPr>
            </w:pPr>
          </w:p>
        </w:tc>
        <w:tc>
          <w:tcPr>
            <w:tcW w:w="50" w:type="pct"/>
            <w:shd w:val="clear" w:color="auto" w:fill="auto"/>
          </w:tcPr>
          <w:p w14:paraId="1E804AFC" w14:textId="77777777" w:rsidR="00F20ABF" w:rsidRDefault="00F20ABF">
            <w:pPr>
              <w:rPr>
                <w:rFonts w:ascii="宋体"/>
              </w:rPr>
            </w:pPr>
          </w:p>
        </w:tc>
        <w:tc>
          <w:tcPr>
            <w:tcW w:w="611" w:type="pct"/>
            <w:shd w:val="clear" w:color="auto" w:fill="auto"/>
          </w:tcPr>
          <w:p w14:paraId="1E804AFD" w14:textId="77777777" w:rsidR="00F20ABF" w:rsidRDefault="00F20ABF">
            <w:pPr>
              <w:rPr>
                <w:rFonts w:ascii="宋体"/>
              </w:rPr>
            </w:pPr>
          </w:p>
        </w:tc>
        <w:tc>
          <w:tcPr>
            <w:tcW w:w="5" w:type="pct"/>
            <w:shd w:val="clear" w:color="auto" w:fill="auto"/>
          </w:tcPr>
          <w:p w14:paraId="1E804AFE" w14:textId="77777777" w:rsidR="00F20ABF" w:rsidRDefault="00F20ABF">
            <w:pPr>
              <w:rPr>
                <w:rFonts w:ascii="宋体"/>
              </w:rPr>
            </w:pPr>
          </w:p>
        </w:tc>
        <w:tc>
          <w:tcPr>
            <w:tcW w:w="5" w:type="pct"/>
            <w:shd w:val="clear" w:color="auto" w:fill="auto"/>
          </w:tcPr>
          <w:p w14:paraId="1E804AFF" w14:textId="77777777" w:rsidR="00F20ABF" w:rsidRDefault="00F20ABF">
            <w:pPr>
              <w:rPr>
                <w:rFonts w:ascii="宋体"/>
              </w:rPr>
            </w:pPr>
          </w:p>
        </w:tc>
        <w:tc>
          <w:tcPr>
            <w:tcW w:w="26" w:type="pct"/>
            <w:shd w:val="clear" w:color="auto" w:fill="auto"/>
          </w:tcPr>
          <w:p w14:paraId="1E804B00" w14:textId="77777777" w:rsidR="00F20ABF" w:rsidRDefault="00F20ABF">
            <w:pPr>
              <w:rPr>
                <w:rFonts w:ascii="宋体"/>
              </w:rPr>
            </w:pPr>
          </w:p>
        </w:tc>
        <w:tc>
          <w:tcPr>
            <w:tcW w:w="5" w:type="pct"/>
            <w:shd w:val="clear" w:color="auto" w:fill="auto"/>
          </w:tcPr>
          <w:p w14:paraId="1E804B01" w14:textId="77777777" w:rsidR="00F20ABF" w:rsidRDefault="00F20ABF">
            <w:pPr>
              <w:rPr>
                <w:rFonts w:ascii="宋体"/>
              </w:rPr>
            </w:pPr>
          </w:p>
        </w:tc>
        <w:tc>
          <w:tcPr>
            <w:tcW w:w="50" w:type="pct"/>
            <w:shd w:val="clear" w:color="auto" w:fill="auto"/>
          </w:tcPr>
          <w:p w14:paraId="1E804B02" w14:textId="77777777" w:rsidR="00F20ABF" w:rsidRDefault="00F20ABF">
            <w:pPr>
              <w:rPr>
                <w:rFonts w:ascii="宋体"/>
              </w:rPr>
            </w:pPr>
          </w:p>
        </w:tc>
        <w:tc>
          <w:tcPr>
            <w:tcW w:w="611" w:type="pct"/>
            <w:shd w:val="clear" w:color="auto" w:fill="auto"/>
          </w:tcPr>
          <w:p w14:paraId="1E804B03" w14:textId="77777777" w:rsidR="00F20ABF" w:rsidRDefault="00F20ABF">
            <w:pPr>
              <w:rPr>
                <w:rFonts w:ascii="宋体"/>
              </w:rPr>
            </w:pPr>
          </w:p>
        </w:tc>
        <w:tc>
          <w:tcPr>
            <w:tcW w:w="5" w:type="pct"/>
            <w:shd w:val="clear" w:color="auto" w:fill="auto"/>
          </w:tcPr>
          <w:p w14:paraId="1E804B04" w14:textId="77777777" w:rsidR="00F20ABF" w:rsidRDefault="00F20ABF">
            <w:pPr>
              <w:rPr>
                <w:rFonts w:ascii="宋体"/>
              </w:rPr>
            </w:pPr>
          </w:p>
        </w:tc>
      </w:tr>
      <w:tr w:rsidR="00F20ABF" w14:paraId="1E804B0A" w14:textId="77777777">
        <w:tc>
          <w:tcPr>
            <w:tcW w:w="0" w:type="auto"/>
            <w:gridSpan w:val="3"/>
            <w:shd w:val="clear" w:color="auto" w:fill="auto"/>
            <w:tcMar>
              <w:top w:w="0" w:type="dxa"/>
              <w:left w:w="20" w:type="dxa"/>
              <w:bottom w:w="0" w:type="dxa"/>
              <w:right w:w="20" w:type="dxa"/>
            </w:tcMar>
          </w:tcPr>
          <w:p w14:paraId="1E804B06"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B07" w14:textId="77777777" w:rsidR="00F20ABF" w:rsidRDefault="00CA4D2F">
            <w:pPr>
              <w:jc w:val="center"/>
              <w:textAlignment w:val="bottom"/>
            </w:pPr>
            <w:r>
              <w:rPr>
                <w:rFonts w:ascii="sans-serif" w:eastAsia="sans-serif" w:hAnsi="sans-serif" w:cs="sans-serif"/>
                <w:b/>
                <w:bCs/>
                <w:color w:val="000000"/>
                <w:sz w:val="20"/>
                <w:szCs w:val="20"/>
              </w:rPr>
              <w:t>October 25,</w:t>
            </w:r>
          </w:p>
        </w:tc>
        <w:tc>
          <w:tcPr>
            <w:tcW w:w="0" w:type="auto"/>
            <w:gridSpan w:val="3"/>
            <w:shd w:val="clear" w:color="auto" w:fill="auto"/>
            <w:tcMar>
              <w:top w:w="0" w:type="dxa"/>
              <w:left w:w="20" w:type="dxa"/>
              <w:bottom w:w="0" w:type="dxa"/>
              <w:right w:w="20" w:type="dxa"/>
            </w:tcMar>
          </w:tcPr>
          <w:p w14:paraId="1E804B08"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B09" w14:textId="77777777" w:rsidR="00F20ABF" w:rsidRDefault="00CA4D2F">
            <w:pPr>
              <w:jc w:val="center"/>
              <w:textAlignment w:val="bottom"/>
            </w:pPr>
            <w:r>
              <w:rPr>
                <w:rFonts w:ascii="sans-serif" w:eastAsia="sans-serif" w:hAnsi="sans-serif" w:cs="sans-serif"/>
                <w:b/>
                <w:bCs/>
                <w:color w:val="000000"/>
                <w:sz w:val="20"/>
                <w:szCs w:val="20"/>
              </w:rPr>
              <w:t>January 26,</w:t>
            </w:r>
          </w:p>
        </w:tc>
      </w:tr>
      <w:tr w:rsidR="00F20ABF" w14:paraId="1E804B0F" w14:textId="77777777">
        <w:tc>
          <w:tcPr>
            <w:tcW w:w="0" w:type="auto"/>
            <w:gridSpan w:val="3"/>
            <w:shd w:val="clear" w:color="auto" w:fill="auto"/>
            <w:tcMar>
              <w:top w:w="40" w:type="dxa"/>
              <w:left w:w="20" w:type="dxa"/>
              <w:bottom w:w="40" w:type="dxa"/>
              <w:right w:w="20" w:type="dxa"/>
            </w:tcMar>
            <w:vAlign w:val="bottom"/>
          </w:tcPr>
          <w:p w14:paraId="1E804B0B"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4B0C" w14:textId="77777777" w:rsidR="00F20ABF" w:rsidRDefault="00CA4D2F">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tcPr>
          <w:p w14:paraId="1E804B0D"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B0E" w14:textId="77777777" w:rsidR="00F20ABF" w:rsidRDefault="00CA4D2F">
            <w:pPr>
              <w:jc w:val="center"/>
              <w:textAlignment w:val="bottom"/>
            </w:pPr>
            <w:r>
              <w:rPr>
                <w:rFonts w:ascii="sans-serif" w:eastAsia="sans-serif" w:hAnsi="sans-serif" w:cs="sans-serif"/>
                <w:b/>
                <w:bCs/>
                <w:color w:val="000000"/>
                <w:sz w:val="20"/>
                <w:szCs w:val="20"/>
              </w:rPr>
              <w:t>2020</w:t>
            </w:r>
          </w:p>
        </w:tc>
      </w:tr>
      <w:tr w:rsidR="00F20ABF" w14:paraId="1E804B14" w14:textId="77777777">
        <w:trPr>
          <w:trHeight w:val="60"/>
        </w:trPr>
        <w:tc>
          <w:tcPr>
            <w:tcW w:w="0" w:type="auto"/>
            <w:gridSpan w:val="3"/>
            <w:shd w:val="clear" w:color="auto" w:fill="auto"/>
            <w:tcMar>
              <w:top w:w="0" w:type="dxa"/>
              <w:left w:w="20" w:type="dxa"/>
              <w:bottom w:w="0" w:type="dxa"/>
              <w:right w:w="20" w:type="dxa"/>
            </w:tcMar>
          </w:tcPr>
          <w:p w14:paraId="1E804B10"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B11"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B12"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B13" w14:textId="77777777" w:rsidR="00F20ABF" w:rsidRDefault="00F20ABF">
            <w:pPr>
              <w:rPr>
                <w:rFonts w:ascii="宋体"/>
              </w:rPr>
            </w:pPr>
          </w:p>
        </w:tc>
      </w:tr>
      <w:tr w:rsidR="00F20ABF" w14:paraId="1E804B17" w14:textId="77777777">
        <w:tc>
          <w:tcPr>
            <w:tcW w:w="0" w:type="auto"/>
            <w:gridSpan w:val="3"/>
            <w:shd w:val="clear" w:color="auto" w:fill="auto"/>
            <w:tcMar>
              <w:top w:w="40" w:type="dxa"/>
              <w:left w:w="20" w:type="dxa"/>
              <w:bottom w:w="40" w:type="dxa"/>
              <w:right w:w="20" w:type="dxa"/>
            </w:tcMar>
            <w:vAlign w:val="bottom"/>
          </w:tcPr>
          <w:p w14:paraId="1E804B15" w14:textId="77777777" w:rsidR="00F20ABF" w:rsidRDefault="00CA4D2F">
            <w:pPr>
              <w:textAlignment w:val="bottom"/>
            </w:pPr>
            <w:r>
              <w:rPr>
                <w:rFonts w:ascii="sans-serif" w:eastAsia="sans-serif" w:hAnsi="sans-serif" w:cs="sans-serif"/>
                <w:b/>
                <w:bCs/>
                <w:color w:val="000000"/>
                <w:sz w:val="20"/>
                <w:szCs w:val="20"/>
              </w:rPr>
              <w:t xml:space="preserve">Other Long-Term </w:t>
            </w:r>
            <w:r>
              <w:rPr>
                <w:rFonts w:ascii="sans-serif" w:eastAsia="sans-serif" w:hAnsi="sans-serif" w:cs="sans-serif"/>
                <w:b/>
                <w:bCs/>
                <w:color w:val="000000"/>
                <w:sz w:val="20"/>
                <w:szCs w:val="20"/>
              </w:rPr>
              <w:t>Liabilities:</w:t>
            </w:r>
          </w:p>
        </w:tc>
        <w:tc>
          <w:tcPr>
            <w:tcW w:w="0" w:type="auto"/>
            <w:gridSpan w:val="9"/>
            <w:shd w:val="clear" w:color="auto" w:fill="auto"/>
            <w:tcMar>
              <w:top w:w="40" w:type="dxa"/>
              <w:left w:w="20" w:type="dxa"/>
              <w:bottom w:w="40" w:type="dxa"/>
              <w:right w:w="20" w:type="dxa"/>
            </w:tcMar>
            <w:vAlign w:val="bottom"/>
          </w:tcPr>
          <w:p w14:paraId="1E804B16"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B20" w14:textId="77777777">
        <w:tc>
          <w:tcPr>
            <w:tcW w:w="0" w:type="auto"/>
            <w:gridSpan w:val="3"/>
            <w:shd w:val="clear" w:color="auto" w:fill="E2EFD9"/>
            <w:tcMar>
              <w:top w:w="40" w:type="dxa"/>
              <w:left w:w="20" w:type="dxa"/>
              <w:bottom w:w="40" w:type="dxa"/>
              <w:right w:w="20" w:type="dxa"/>
            </w:tcMar>
            <w:vAlign w:val="bottom"/>
          </w:tcPr>
          <w:p w14:paraId="1E804B18" w14:textId="77777777" w:rsidR="00F20ABF" w:rsidRDefault="00CA4D2F">
            <w:pPr>
              <w:textAlignment w:val="bottom"/>
            </w:pPr>
            <w:r>
              <w:rPr>
                <w:rFonts w:ascii="sans-serif" w:eastAsia="sans-serif" w:hAnsi="sans-serif" w:cs="sans-serif"/>
                <w:color w:val="000000"/>
                <w:sz w:val="20"/>
                <w:szCs w:val="20"/>
              </w:rPr>
              <w:t>Income tax payable (1)</w:t>
            </w:r>
          </w:p>
        </w:tc>
        <w:tc>
          <w:tcPr>
            <w:tcW w:w="0" w:type="auto"/>
            <w:shd w:val="clear" w:color="auto" w:fill="E2EFD9"/>
            <w:tcMar>
              <w:top w:w="40" w:type="dxa"/>
              <w:left w:w="20" w:type="dxa"/>
              <w:bottom w:w="40" w:type="dxa"/>
              <w:right w:w="0" w:type="dxa"/>
            </w:tcMar>
            <w:vAlign w:val="bottom"/>
          </w:tcPr>
          <w:p w14:paraId="1E804B19"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B1A" w14:textId="77777777" w:rsidR="00F20ABF" w:rsidRDefault="00CA4D2F">
            <w:pPr>
              <w:jc w:val="right"/>
              <w:textAlignment w:val="bottom"/>
            </w:pPr>
            <w:r>
              <w:rPr>
                <w:rFonts w:ascii="sans-serif" w:eastAsia="sans-serif" w:hAnsi="sans-serif" w:cs="sans-serif"/>
                <w:color w:val="000000"/>
                <w:sz w:val="20"/>
                <w:szCs w:val="20"/>
              </w:rPr>
              <w:t>747 </w:t>
            </w:r>
          </w:p>
        </w:tc>
        <w:tc>
          <w:tcPr>
            <w:tcW w:w="0" w:type="auto"/>
            <w:shd w:val="clear" w:color="auto" w:fill="E2EFD9"/>
            <w:tcMar>
              <w:top w:w="40" w:type="dxa"/>
              <w:left w:w="0" w:type="dxa"/>
              <w:bottom w:w="40" w:type="dxa"/>
              <w:right w:w="20" w:type="dxa"/>
            </w:tcMar>
            <w:vAlign w:val="bottom"/>
          </w:tcPr>
          <w:p w14:paraId="1E804B1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B1C"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B1D"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B1E" w14:textId="77777777" w:rsidR="00F20ABF" w:rsidRDefault="00CA4D2F">
            <w:pPr>
              <w:jc w:val="right"/>
              <w:textAlignment w:val="bottom"/>
            </w:pPr>
            <w:r>
              <w:rPr>
                <w:rFonts w:ascii="sans-serif" w:eastAsia="sans-serif" w:hAnsi="sans-serif" w:cs="sans-serif"/>
                <w:color w:val="000000"/>
                <w:sz w:val="20"/>
                <w:szCs w:val="20"/>
              </w:rPr>
              <w:t>528 </w:t>
            </w:r>
          </w:p>
        </w:tc>
        <w:tc>
          <w:tcPr>
            <w:tcW w:w="0" w:type="auto"/>
            <w:shd w:val="clear" w:color="auto" w:fill="E2EFD9"/>
            <w:tcMar>
              <w:top w:w="40" w:type="dxa"/>
              <w:left w:w="0" w:type="dxa"/>
              <w:bottom w:w="40" w:type="dxa"/>
              <w:right w:w="20" w:type="dxa"/>
            </w:tcMar>
            <w:vAlign w:val="bottom"/>
          </w:tcPr>
          <w:p w14:paraId="1E804B1F" w14:textId="77777777" w:rsidR="00F20ABF" w:rsidRDefault="00F20ABF">
            <w:pPr>
              <w:jc w:val="right"/>
              <w:rPr>
                <w:rFonts w:ascii="宋体"/>
              </w:rPr>
            </w:pPr>
          </w:p>
        </w:tc>
      </w:tr>
      <w:tr w:rsidR="00F20ABF" w14:paraId="1E804B27" w14:textId="77777777">
        <w:tc>
          <w:tcPr>
            <w:tcW w:w="0" w:type="auto"/>
            <w:gridSpan w:val="3"/>
            <w:shd w:val="clear" w:color="auto" w:fill="FFFFFF"/>
            <w:tcMar>
              <w:top w:w="40" w:type="dxa"/>
              <w:left w:w="20" w:type="dxa"/>
              <w:bottom w:w="40" w:type="dxa"/>
              <w:right w:w="20" w:type="dxa"/>
            </w:tcMar>
            <w:vAlign w:val="bottom"/>
          </w:tcPr>
          <w:p w14:paraId="1E804B21" w14:textId="77777777" w:rsidR="00F20ABF" w:rsidRDefault="00CA4D2F">
            <w:pPr>
              <w:textAlignment w:val="bottom"/>
            </w:pPr>
            <w:r>
              <w:rPr>
                <w:rFonts w:ascii="sans-serif" w:eastAsia="sans-serif" w:hAnsi="sans-serif" w:cs="sans-serif"/>
                <w:color w:val="000000"/>
                <w:sz w:val="20"/>
                <w:szCs w:val="20"/>
              </w:rPr>
              <w:t>Deferred income tax (2)</w:t>
            </w:r>
          </w:p>
        </w:tc>
        <w:tc>
          <w:tcPr>
            <w:tcW w:w="0" w:type="auto"/>
            <w:gridSpan w:val="2"/>
            <w:shd w:val="clear" w:color="auto" w:fill="FFFFFF"/>
            <w:tcMar>
              <w:top w:w="40" w:type="dxa"/>
              <w:left w:w="20" w:type="dxa"/>
              <w:bottom w:w="40" w:type="dxa"/>
              <w:right w:w="0" w:type="dxa"/>
            </w:tcMar>
            <w:vAlign w:val="bottom"/>
          </w:tcPr>
          <w:p w14:paraId="1E804B22" w14:textId="77777777" w:rsidR="00F20ABF" w:rsidRDefault="00CA4D2F">
            <w:pPr>
              <w:jc w:val="right"/>
              <w:textAlignment w:val="bottom"/>
            </w:pPr>
            <w:r>
              <w:rPr>
                <w:rFonts w:ascii="sans-serif" w:eastAsia="sans-serif" w:hAnsi="sans-serif" w:cs="sans-serif"/>
                <w:color w:val="000000"/>
                <w:sz w:val="20"/>
                <w:szCs w:val="20"/>
              </w:rPr>
              <w:t>258 </w:t>
            </w:r>
          </w:p>
        </w:tc>
        <w:tc>
          <w:tcPr>
            <w:tcW w:w="0" w:type="auto"/>
            <w:shd w:val="clear" w:color="auto" w:fill="FFFFFF"/>
            <w:tcMar>
              <w:top w:w="40" w:type="dxa"/>
              <w:left w:w="0" w:type="dxa"/>
              <w:bottom w:w="40" w:type="dxa"/>
              <w:right w:w="20" w:type="dxa"/>
            </w:tcMar>
            <w:vAlign w:val="bottom"/>
          </w:tcPr>
          <w:p w14:paraId="1E804B23"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B24"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B25" w14:textId="77777777" w:rsidR="00F20ABF" w:rsidRDefault="00CA4D2F">
            <w:pPr>
              <w:jc w:val="right"/>
              <w:textAlignment w:val="bottom"/>
            </w:pPr>
            <w:r>
              <w:rPr>
                <w:rFonts w:ascii="sans-serif" w:eastAsia="sans-serif" w:hAnsi="sans-serif" w:cs="sans-serif"/>
                <w:color w:val="000000"/>
                <w:sz w:val="20"/>
                <w:szCs w:val="20"/>
              </w:rPr>
              <w:t>29 </w:t>
            </w:r>
          </w:p>
        </w:tc>
        <w:tc>
          <w:tcPr>
            <w:tcW w:w="0" w:type="auto"/>
            <w:shd w:val="clear" w:color="auto" w:fill="FFFFFF"/>
            <w:tcMar>
              <w:top w:w="40" w:type="dxa"/>
              <w:left w:w="0" w:type="dxa"/>
              <w:bottom w:w="40" w:type="dxa"/>
              <w:right w:w="20" w:type="dxa"/>
            </w:tcMar>
            <w:vAlign w:val="bottom"/>
          </w:tcPr>
          <w:p w14:paraId="1E804B26" w14:textId="77777777" w:rsidR="00F20ABF" w:rsidRDefault="00F20ABF">
            <w:pPr>
              <w:jc w:val="right"/>
              <w:rPr>
                <w:rFonts w:ascii="宋体"/>
              </w:rPr>
            </w:pPr>
          </w:p>
        </w:tc>
      </w:tr>
      <w:tr w:rsidR="00F20ABF" w14:paraId="1E804B2E" w14:textId="77777777">
        <w:tc>
          <w:tcPr>
            <w:tcW w:w="0" w:type="auto"/>
            <w:gridSpan w:val="3"/>
            <w:shd w:val="clear" w:color="auto" w:fill="E2EFD9"/>
            <w:tcMar>
              <w:top w:w="40" w:type="dxa"/>
              <w:left w:w="20" w:type="dxa"/>
              <w:bottom w:w="40" w:type="dxa"/>
              <w:right w:w="20" w:type="dxa"/>
            </w:tcMar>
            <w:vAlign w:val="bottom"/>
          </w:tcPr>
          <w:p w14:paraId="1E804B28" w14:textId="77777777" w:rsidR="00F20ABF" w:rsidRDefault="00CA4D2F">
            <w:pPr>
              <w:textAlignment w:val="bottom"/>
            </w:pPr>
            <w:r>
              <w:rPr>
                <w:rFonts w:ascii="sans-serif" w:eastAsia="sans-serif" w:hAnsi="sans-serif" w:cs="sans-serif"/>
                <w:color w:val="000000"/>
                <w:sz w:val="20"/>
                <w:szCs w:val="20"/>
              </w:rPr>
              <w:t>Deferred revenue (3)</w:t>
            </w:r>
          </w:p>
        </w:tc>
        <w:tc>
          <w:tcPr>
            <w:tcW w:w="0" w:type="auto"/>
            <w:gridSpan w:val="2"/>
            <w:shd w:val="clear" w:color="auto" w:fill="E2EFD9"/>
            <w:tcMar>
              <w:top w:w="40" w:type="dxa"/>
              <w:left w:w="20" w:type="dxa"/>
              <w:bottom w:w="40" w:type="dxa"/>
              <w:right w:w="0" w:type="dxa"/>
            </w:tcMar>
            <w:vAlign w:val="bottom"/>
          </w:tcPr>
          <w:p w14:paraId="1E804B29" w14:textId="77777777" w:rsidR="00F20ABF" w:rsidRDefault="00CA4D2F">
            <w:pPr>
              <w:jc w:val="right"/>
              <w:textAlignment w:val="bottom"/>
            </w:pPr>
            <w:r>
              <w:rPr>
                <w:rFonts w:ascii="sans-serif" w:eastAsia="sans-serif" w:hAnsi="sans-serif" w:cs="sans-serif"/>
                <w:color w:val="000000"/>
                <w:sz w:val="20"/>
                <w:szCs w:val="20"/>
              </w:rPr>
              <w:t>147 </w:t>
            </w:r>
          </w:p>
        </w:tc>
        <w:tc>
          <w:tcPr>
            <w:tcW w:w="0" w:type="auto"/>
            <w:shd w:val="clear" w:color="auto" w:fill="E2EFD9"/>
            <w:tcMar>
              <w:top w:w="40" w:type="dxa"/>
              <w:left w:w="0" w:type="dxa"/>
              <w:bottom w:w="40" w:type="dxa"/>
              <w:right w:w="20" w:type="dxa"/>
            </w:tcMar>
            <w:vAlign w:val="bottom"/>
          </w:tcPr>
          <w:p w14:paraId="1E804B2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B2B"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B2C" w14:textId="77777777" w:rsidR="00F20ABF" w:rsidRDefault="00CA4D2F">
            <w:pPr>
              <w:jc w:val="right"/>
              <w:textAlignment w:val="bottom"/>
            </w:pPr>
            <w:r>
              <w:rPr>
                <w:rFonts w:ascii="sans-serif" w:eastAsia="sans-serif" w:hAnsi="sans-serif" w:cs="sans-serif"/>
                <w:color w:val="000000"/>
                <w:sz w:val="20"/>
                <w:szCs w:val="20"/>
              </w:rPr>
              <w:t>60 </w:t>
            </w:r>
          </w:p>
        </w:tc>
        <w:tc>
          <w:tcPr>
            <w:tcW w:w="0" w:type="auto"/>
            <w:shd w:val="clear" w:color="auto" w:fill="E2EFD9"/>
            <w:tcMar>
              <w:top w:w="40" w:type="dxa"/>
              <w:left w:w="0" w:type="dxa"/>
              <w:bottom w:w="40" w:type="dxa"/>
              <w:right w:w="20" w:type="dxa"/>
            </w:tcMar>
            <w:vAlign w:val="bottom"/>
          </w:tcPr>
          <w:p w14:paraId="1E804B2D" w14:textId="77777777" w:rsidR="00F20ABF" w:rsidRDefault="00F20ABF">
            <w:pPr>
              <w:jc w:val="right"/>
              <w:rPr>
                <w:rFonts w:ascii="宋体"/>
              </w:rPr>
            </w:pPr>
          </w:p>
        </w:tc>
      </w:tr>
      <w:tr w:rsidR="00F20ABF" w14:paraId="1E804B35" w14:textId="77777777">
        <w:tc>
          <w:tcPr>
            <w:tcW w:w="0" w:type="auto"/>
            <w:gridSpan w:val="3"/>
            <w:shd w:val="clear" w:color="auto" w:fill="FFFFFF"/>
            <w:tcMar>
              <w:top w:w="40" w:type="dxa"/>
              <w:left w:w="20" w:type="dxa"/>
              <w:bottom w:w="40" w:type="dxa"/>
              <w:right w:w="20" w:type="dxa"/>
            </w:tcMar>
            <w:vAlign w:val="bottom"/>
          </w:tcPr>
          <w:p w14:paraId="1E804B2F" w14:textId="77777777" w:rsidR="00F20ABF" w:rsidRDefault="00CA4D2F">
            <w:pPr>
              <w:textAlignment w:val="bottom"/>
            </w:pPr>
            <w:r>
              <w:rPr>
                <w:rFonts w:ascii="sans-serif" w:eastAsia="sans-serif" w:hAnsi="sans-serif" w:cs="sans-serif"/>
                <w:color w:val="000000"/>
                <w:sz w:val="20"/>
                <w:szCs w:val="20"/>
              </w:rPr>
              <w:t>Licenses payable</w:t>
            </w:r>
          </w:p>
        </w:tc>
        <w:tc>
          <w:tcPr>
            <w:tcW w:w="0" w:type="auto"/>
            <w:gridSpan w:val="2"/>
            <w:shd w:val="clear" w:color="auto" w:fill="FFFFFF"/>
            <w:tcMar>
              <w:top w:w="40" w:type="dxa"/>
              <w:left w:w="20" w:type="dxa"/>
              <w:bottom w:w="40" w:type="dxa"/>
              <w:right w:w="0" w:type="dxa"/>
            </w:tcMar>
            <w:vAlign w:val="bottom"/>
          </w:tcPr>
          <w:p w14:paraId="1E804B30" w14:textId="77777777" w:rsidR="00F20ABF" w:rsidRDefault="00CA4D2F">
            <w:pPr>
              <w:jc w:val="right"/>
              <w:textAlignment w:val="bottom"/>
            </w:pPr>
            <w:r>
              <w:rPr>
                <w:rFonts w:ascii="sans-serif" w:eastAsia="sans-serif" w:hAnsi="sans-serif" w:cs="sans-serif"/>
                <w:color w:val="000000"/>
                <w:sz w:val="20"/>
                <w:szCs w:val="20"/>
              </w:rPr>
              <w:t>71 </w:t>
            </w:r>
          </w:p>
        </w:tc>
        <w:tc>
          <w:tcPr>
            <w:tcW w:w="0" w:type="auto"/>
            <w:shd w:val="clear" w:color="auto" w:fill="FFFFFF"/>
            <w:tcMar>
              <w:top w:w="40" w:type="dxa"/>
              <w:left w:w="0" w:type="dxa"/>
              <w:bottom w:w="40" w:type="dxa"/>
              <w:right w:w="20" w:type="dxa"/>
            </w:tcMar>
            <w:vAlign w:val="bottom"/>
          </w:tcPr>
          <w:p w14:paraId="1E804B3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B32"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B33" w14:textId="77777777" w:rsidR="00F20ABF" w:rsidRDefault="00CA4D2F">
            <w:pPr>
              <w:jc w:val="right"/>
              <w:textAlignment w:val="bottom"/>
            </w:pPr>
            <w:r>
              <w:rPr>
                <w:rFonts w:ascii="sans-serif" w:eastAsia="sans-serif" w:hAnsi="sans-serif" w:cs="sans-serif"/>
                <w:color w:val="000000"/>
                <w:sz w:val="20"/>
                <w:szCs w:val="20"/>
              </w:rPr>
              <w:t>110 </w:t>
            </w:r>
          </w:p>
        </w:tc>
        <w:tc>
          <w:tcPr>
            <w:tcW w:w="0" w:type="auto"/>
            <w:shd w:val="clear" w:color="auto" w:fill="FFFFFF"/>
            <w:tcMar>
              <w:top w:w="40" w:type="dxa"/>
              <w:left w:w="0" w:type="dxa"/>
              <w:bottom w:w="40" w:type="dxa"/>
              <w:right w:w="20" w:type="dxa"/>
            </w:tcMar>
            <w:vAlign w:val="bottom"/>
          </w:tcPr>
          <w:p w14:paraId="1E804B34" w14:textId="77777777" w:rsidR="00F20ABF" w:rsidRDefault="00F20ABF">
            <w:pPr>
              <w:jc w:val="right"/>
              <w:rPr>
                <w:rFonts w:ascii="宋体"/>
              </w:rPr>
            </w:pPr>
          </w:p>
        </w:tc>
      </w:tr>
      <w:tr w:rsidR="00F20ABF" w14:paraId="1E804B3C" w14:textId="77777777">
        <w:tc>
          <w:tcPr>
            <w:tcW w:w="0" w:type="auto"/>
            <w:gridSpan w:val="3"/>
            <w:shd w:val="clear" w:color="auto" w:fill="E2EFD9"/>
            <w:tcMar>
              <w:top w:w="40" w:type="dxa"/>
              <w:left w:w="20" w:type="dxa"/>
              <w:bottom w:w="40" w:type="dxa"/>
              <w:right w:w="20" w:type="dxa"/>
            </w:tcMar>
            <w:vAlign w:val="bottom"/>
          </w:tcPr>
          <w:p w14:paraId="1E804B36" w14:textId="77777777" w:rsidR="00F20ABF" w:rsidRDefault="00CA4D2F">
            <w:pPr>
              <w:textAlignment w:val="bottom"/>
            </w:pPr>
            <w:r>
              <w:rPr>
                <w:rFonts w:ascii="sans-serif" w:eastAsia="sans-serif" w:hAnsi="sans-serif" w:cs="sans-serif"/>
                <w:color w:val="000000"/>
                <w:sz w:val="20"/>
                <w:szCs w:val="20"/>
              </w:rPr>
              <w:t>Employee benefits</w:t>
            </w:r>
          </w:p>
        </w:tc>
        <w:tc>
          <w:tcPr>
            <w:tcW w:w="0" w:type="auto"/>
            <w:gridSpan w:val="2"/>
            <w:shd w:val="clear" w:color="auto" w:fill="E2EFD9"/>
            <w:tcMar>
              <w:top w:w="40" w:type="dxa"/>
              <w:left w:w="20" w:type="dxa"/>
              <w:bottom w:w="40" w:type="dxa"/>
              <w:right w:w="0" w:type="dxa"/>
            </w:tcMar>
            <w:vAlign w:val="bottom"/>
          </w:tcPr>
          <w:p w14:paraId="1E804B37" w14:textId="77777777" w:rsidR="00F20ABF" w:rsidRDefault="00CA4D2F">
            <w:pPr>
              <w:jc w:val="right"/>
              <w:textAlignment w:val="bottom"/>
            </w:pPr>
            <w:r>
              <w:rPr>
                <w:rFonts w:ascii="sans-serif" w:eastAsia="sans-serif" w:hAnsi="sans-serif" w:cs="sans-serif"/>
                <w:color w:val="000000"/>
                <w:sz w:val="20"/>
                <w:szCs w:val="20"/>
              </w:rPr>
              <w:t>40 </w:t>
            </w:r>
          </w:p>
        </w:tc>
        <w:tc>
          <w:tcPr>
            <w:tcW w:w="0" w:type="auto"/>
            <w:shd w:val="clear" w:color="auto" w:fill="E2EFD9"/>
            <w:tcMar>
              <w:top w:w="40" w:type="dxa"/>
              <w:left w:w="0" w:type="dxa"/>
              <w:bottom w:w="40" w:type="dxa"/>
              <w:right w:w="20" w:type="dxa"/>
            </w:tcMar>
            <w:vAlign w:val="bottom"/>
          </w:tcPr>
          <w:p w14:paraId="1E804B3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B3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B3A" w14:textId="77777777" w:rsidR="00F20ABF" w:rsidRDefault="00CA4D2F">
            <w:pPr>
              <w:jc w:val="right"/>
              <w:textAlignment w:val="bottom"/>
            </w:pPr>
            <w:r>
              <w:rPr>
                <w:rFonts w:ascii="sans-serif" w:eastAsia="sans-serif" w:hAnsi="sans-serif" w:cs="sans-serif"/>
                <w:color w:val="000000"/>
                <w:sz w:val="20"/>
                <w:szCs w:val="20"/>
              </w:rPr>
              <w:t>22 </w:t>
            </w:r>
          </w:p>
        </w:tc>
        <w:tc>
          <w:tcPr>
            <w:tcW w:w="0" w:type="auto"/>
            <w:shd w:val="clear" w:color="auto" w:fill="E2EFD9"/>
            <w:tcMar>
              <w:top w:w="40" w:type="dxa"/>
              <w:left w:w="0" w:type="dxa"/>
              <w:bottom w:w="40" w:type="dxa"/>
              <w:right w:w="20" w:type="dxa"/>
            </w:tcMar>
            <w:vAlign w:val="bottom"/>
          </w:tcPr>
          <w:p w14:paraId="1E804B3B" w14:textId="77777777" w:rsidR="00F20ABF" w:rsidRDefault="00F20ABF">
            <w:pPr>
              <w:jc w:val="right"/>
              <w:rPr>
                <w:rFonts w:ascii="宋体"/>
              </w:rPr>
            </w:pPr>
          </w:p>
        </w:tc>
      </w:tr>
      <w:tr w:rsidR="00F20ABF" w14:paraId="1E804B41" w14:textId="77777777">
        <w:trPr>
          <w:hidden/>
        </w:trPr>
        <w:tc>
          <w:tcPr>
            <w:tcW w:w="0" w:type="auto"/>
            <w:gridSpan w:val="3"/>
            <w:shd w:val="clear" w:color="auto" w:fill="auto"/>
          </w:tcPr>
          <w:p w14:paraId="1E804B3D" w14:textId="77777777" w:rsidR="00F20ABF" w:rsidRDefault="00F20ABF">
            <w:pPr>
              <w:rPr>
                <w:rFonts w:ascii="宋体"/>
                <w:vanish/>
              </w:rPr>
            </w:pPr>
          </w:p>
        </w:tc>
        <w:tc>
          <w:tcPr>
            <w:tcW w:w="0" w:type="auto"/>
            <w:gridSpan w:val="3"/>
            <w:shd w:val="clear" w:color="auto" w:fill="auto"/>
          </w:tcPr>
          <w:p w14:paraId="1E804B3E" w14:textId="77777777" w:rsidR="00F20ABF" w:rsidRDefault="00F20ABF">
            <w:pPr>
              <w:rPr>
                <w:rFonts w:ascii="宋体"/>
                <w:vanish/>
              </w:rPr>
            </w:pPr>
          </w:p>
        </w:tc>
        <w:tc>
          <w:tcPr>
            <w:tcW w:w="0" w:type="auto"/>
            <w:gridSpan w:val="3"/>
            <w:shd w:val="clear" w:color="auto" w:fill="auto"/>
          </w:tcPr>
          <w:p w14:paraId="1E804B3F" w14:textId="77777777" w:rsidR="00F20ABF" w:rsidRDefault="00F20ABF">
            <w:pPr>
              <w:rPr>
                <w:rFonts w:ascii="宋体"/>
                <w:vanish/>
              </w:rPr>
            </w:pPr>
          </w:p>
        </w:tc>
        <w:tc>
          <w:tcPr>
            <w:tcW w:w="0" w:type="auto"/>
            <w:gridSpan w:val="3"/>
            <w:shd w:val="clear" w:color="auto" w:fill="auto"/>
          </w:tcPr>
          <w:p w14:paraId="1E804B40" w14:textId="77777777" w:rsidR="00F20ABF" w:rsidRDefault="00F20ABF">
            <w:pPr>
              <w:rPr>
                <w:rFonts w:ascii="宋体"/>
                <w:vanish/>
              </w:rPr>
            </w:pPr>
          </w:p>
        </w:tc>
      </w:tr>
      <w:tr w:rsidR="00F20ABF" w14:paraId="1E804B48" w14:textId="77777777">
        <w:tc>
          <w:tcPr>
            <w:tcW w:w="0" w:type="auto"/>
            <w:gridSpan w:val="3"/>
            <w:shd w:val="clear" w:color="auto" w:fill="FFFFFF"/>
            <w:tcMar>
              <w:top w:w="40" w:type="dxa"/>
              <w:left w:w="20" w:type="dxa"/>
              <w:bottom w:w="40" w:type="dxa"/>
              <w:right w:w="20" w:type="dxa"/>
            </w:tcMar>
            <w:vAlign w:val="bottom"/>
          </w:tcPr>
          <w:p w14:paraId="1E804B42" w14:textId="77777777" w:rsidR="00F20ABF" w:rsidRDefault="00CA4D2F">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E804B43" w14:textId="77777777" w:rsidR="00F20ABF" w:rsidRDefault="00CA4D2F">
            <w:pPr>
              <w:jc w:val="right"/>
              <w:textAlignment w:val="bottom"/>
            </w:pPr>
            <w:r>
              <w:rPr>
                <w:rFonts w:ascii="sans-serif" w:eastAsia="sans-serif" w:hAnsi="sans-serif" w:cs="sans-serif"/>
                <w:color w:val="000000"/>
                <w:sz w:val="20"/>
                <w:szCs w:val="20"/>
              </w:rPr>
              <w:t>48 </w:t>
            </w:r>
          </w:p>
        </w:tc>
        <w:tc>
          <w:tcPr>
            <w:tcW w:w="0" w:type="auto"/>
            <w:shd w:val="clear" w:color="auto" w:fill="FFFFFF"/>
            <w:tcMar>
              <w:top w:w="40" w:type="dxa"/>
              <w:left w:w="0" w:type="dxa"/>
              <w:bottom w:w="40" w:type="dxa"/>
              <w:right w:w="20" w:type="dxa"/>
            </w:tcMar>
            <w:vAlign w:val="bottom"/>
          </w:tcPr>
          <w:p w14:paraId="1E804B44"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B45"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B46" w14:textId="77777777" w:rsidR="00F20ABF" w:rsidRDefault="00CA4D2F">
            <w:pPr>
              <w:jc w:val="right"/>
              <w:textAlignment w:val="bottom"/>
            </w:pPr>
            <w:r>
              <w:rPr>
                <w:rFonts w:ascii="sans-serif" w:eastAsia="sans-serif" w:hAnsi="sans-serif" w:cs="sans-serif"/>
                <w:color w:val="000000"/>
                <w:sz w:val="20"/>
                <w:szCs w:val="20"/>
              </w:rPr>
              <w:t>26 </w:t>
            </w:r>
          </w:p>
        </w:tc>
        <w:tc>
          <w:tcPr>
            <w:tcW w:w="0" w:type="auto"/>
            <w:shd w:val="clear" w:color="auto" w:fill="FFFFFF"/>
            <w:tcMar>
              <w:top w:w="40" w:type="dxa"/>
              <w:left w:w="0" w:type="dxa"/>
              <w:bottom w:w="40" w:type="dxa"/>
              <w:right w:w="20" w:type="dxa"/>
            </w:tcMar>
            <w:vAlign w:val="bottom"/>
          </w:tcPr>
          <w:p w14:paraId="1E804B47" w14:textId="77777777" w:rsidR="00F20ABF" w:rsidRDefault="00F20ABF">
            <w:pPr>
              <w:jc w:val="right"/>
              <w:rPr>
                <w:rFonts w:ascii="宋体"/>
              </w:rPr>
            </w:pPr>
          </w:p>
        </w:tc>
      </w:tr>
      <w:tr w:rsidR="00F20ABF" w14:paraId="1E804B51" w14:textId="77777777">
        <w:tc>
          <w:tcPr>
            <w:tcW w:w="0" w:type="auto"/>
            <w:gridSpan w:val="3"/>
            <w:shd w:val="clear" w:color="auto" w:fill="E2EFD9"/>
            <w:tcMar>
              <w:top w:w="40" w:type="dxa"/>
              <w:left w:w="380" w:type="dxa"/>
              <w:bottom w:w="40" w:type="dxa"/>
              <w:right w:w="20" w:type="dxa"/>
            </w:tcMar>
            <w:vAlign w:val="bottom"/>
          </w:tcPr>
          <w:p w14:paraId="1E804B49" w14:textId="77777777" w:rsidR="00F20ABF" w:rsidRDefault="00CA4D2F">
            <w:pPr>
              <w:textAlignment w:val="bottom"/>
            </w:pPr>
            <w:r>
              <w:rPr>
                <w:rFonts w:ascii="sans-serif" w:eastAsia="sans-serif" w:hAnsi="sans-serif" w:cs="sans-serif"/>
                <w:color w:val="000000"/>
                <w:sz w:val="20"/>
                <w:szCs w:val="20"/>
              </w:rPr>
              <w:t xml:space="preserve">Total other long-term </w:t>
            </w:r>
            <w:r>
              <w:rPr>
                <w:rFonts w:ascii="sans-serif" w:eastAsia="sans-serif" w:hAnsi="sans-serif" w:cs="sans-serif"/>
                <w:color w:val="000000"/>
                <w:sz w:val="20"/>
                <w:szCs w:val="20"/>
              </w:rPr>
              <w:t>liabilities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B4A"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B4B" w14:textId="77777777" w:rsidR="00F20ABF" w:rsidRDefault="00CA4D2F">
            <w:pPr>
              <w:jc w:val="right"/>
              <w:textAlignment w:val="bottom"/>
            </w:pPr>
            <w:r>
              <w:rPr>
                <w:rFonts w:ascii="sans-serif" w:eastAsia="sans-serif" w:hAnsi="sans-serif" w:cs="sans-serif"/>
                <w:color w:val="000000"/>
                <w:sz w:val="20"/>
                <w:szCs w:val="20"/>
              </w:rPr>
              <w:t>1,311 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B4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B4D"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B4E"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B4F" w14:textId="77777777" w:rsidR="00F20ABF" w:rsidRDefault="00CA4D2F">
            <w:pPr>
              <w:jc w:val="right"/>
              <w:textAlignment w:val="bottom"/>
            </w:pPr>
            <w:r>
              <w:rPr>
                <w:rFonts w:ascii="sans-serif" w:eastAsia="sans-serif" w:hAnsi="sans-serif" w:cs="sans-serif"/>
                <w:color w:val="000000"/>
                <w:sz w:val="20"/>
                <w:szCs w:val="20"/>
              </w:rPr>
              <w:t>775 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B50" w14:textId="77777777" w:rsidR="00F20ABF" w:rsidRDefault="00F20ABF">
            <w:pPr>
              <w:jc w:val="right"/>
              <w:rPr>
                <w:rFonts w:ascii="宋体"/>
              </w:rPr>
            </w:pPr>
          </w:p>
        </w:tc>
      </w:tr>
    </w:tbl>
    <w:p w14:paraId="1E804B52" w14:textId="77777777" w:rsidR="00F20ABF" w:rsidRDefault="00CA4D2F">
      <w:pPr>
        <w:spacing w:after="60"/>
        <w:ind w:hanging="360"/>
        <w:jc w:val="both"/>
      </w:pPr>
      <w:r>
        <w:rPr>
          <w:rFonts w:ascii="sans-serif" w:eastAsia="sans-serif" w:hAnsi="sans-serif" w:cs="sans-serif"/>
          <w:color w:val="000000"/>
          <w:sz w:val="16"/>
          <w:szCs w:val="16"/>
        </w:rPr>
        <w:t>(1)    As of October 25, 2020, income tax payable represents the long-term portion of the one-time transition tax payable of $284 million, unrecognized tax benefits of $264 million, related interest and penalties of $46 million, and other foreign long-term</w:t>
      </w:r>
      <w:r>
        <w:rPr>
          <w:rFonts w:ascii="sans-serif" w:eastAsia="sans-serif" w:hAnsi="sans-serif" w:cs="sans-serif"/>
          <w:color w:val="000000"/>
          <w:sz w:val="16"/>
          <w:szCs w:val="16"/>
        </w:rPr>
        <w:t xml:space="preserve"> tax payable of $153 million. </w:t>
      </w:r>
    </w:p>
    <w:p w14:paraId="1E804B53" w14:textId="77777777" w:rsidR="00F20ABF" w:rsidRDefault="00CA4D2F">
      <w:pPr>
        <w:spacing w:after="60"/>
        <w:ind w:hanging="360"/>
        <w:jc w:val="both"/>
      </w:pPr>
      <w:r>
        <w:rPr>
          <w:rFonts w:ascii="sans-serif" w:eastAsia="sans-serif" w:hAnsi="sans-serif" w:cs="sans-serif"/>
          <w:color w:val="000000"/>
          <w:sz w:val="16"/>
          <w:szCs w:val="16"/>
        </w:rPr>
        <w:t xml:space="preserve">(2)    Deferred income tax primarily relates to acquired intangible assets. </w:t>
      </w:r>
    </w:p>
    <w:p w14:paraId="1E804B54" w14:textId="77777777" w:rsidR="00F20ABF" w:rsidRDefault="00CA4D2F">
      <w:pPr>
        <w:spacing w:after="60"/>
        <w:ind w:hanging="360"/>
        <w:jc w:val="both"/>
      </w:pPr>
      <w:r>
        <w:rPr>
          <w:rFonts w:ascii="sans-serif" w:eastAsia="sans-serif" w:hAnsi="sans-serif" w:cs="sans-serif"/>
          <w:color w:val="000000"/>
          <w:sz w:val="16"/>
          <w:szCs w:val="16"/>
        </w:rPr>
        <w:t>(3)    Deferred revenue primarily includes deferrals related to PCS.</w:t>
      </w:r>
    </w:p>
    <w:p w14:paraId="1E804B55" w14:textId="77777777" w:rsidR="00F20ABF" w:rsidRDefault="00CA4D2F">
      <w:pPr>
        <w:spacing w:before="240" w:after="60"/>
        <w:jc w:val="both"/>
      </w:pPr>
      <w:r>
        <w:rPr>
          <w:rFonts w:ascii="sans-serif" w:eastAsia="sans-serif" w:hAnsi="sans-serif" w:cs="sans-serif"/>
          <w:b/>
          <w:bCs/>
          <w:color w:val="76B900"/>
          <w:sz w:val="20"/>
          <w:szCs w:val="20"/>
        </w:rPr>
        <w:t xml:space="preserve">Deferred Revenue </w:t>
      </w:r>
    </w:p>
    <w:p w14:paraId="1E804B56" w14:textId="77777777" w:rsidR="00F20ABF" w:rsidRDefault="00CA4D2F">
      <w:pPr>
        <w:spacing w:after="60"/>
      </w:pPr>
      <w:r>
        <w:rPr>
          <w:rFonts w:ascii="sans-serif" w:eastAsia="sans-serif" w:hAnsi="sans-serif" w:cs="sans-serif"/>
          <w:color w:val="000000"/>
          <w:sz w:val="20"/>
          <w:szCs w:val="20"/>
        </w:rPr>
        <w:t>The following table shows the changes in deferred revenue dur</w:t>
      </w:r>
      <w:r>
        <w:rPr>
          <w:rFonts w:ascii="sans-serif" w:eastAsia="sans-serif" w:hAnsi="sans-serif" w:cs="sans-serif"/>
          <w:color w:val="000000"/>
          <w:sz w:val="20"/>
          <w:szCs w:val="20"/>
        </w:rPr>
        <w:t>ing the first nine months of fiscal years 2021 and 2020:</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5910"/>
        <w:gridCol w:w="37"/>
        <w:gridCol w:w="123"/>
        <w:gridCol w:w="974"/>
        <w:gridCol w:w="36"/>
        <w:gridCol w:w="36"/>
        <w:gridCol w:w="36"/>
        <w:gridCol w:w="36"/>
        <w:gridCol w:w="123"/>
        <w:gridCol w:w="938"/>
        <w:gridCol w:w="36"/>
      </w:tblGrid>
      <w:tr w:rsidR="00F20ABF" w14:paraId="1E804B63" w14:textId="77777777">
        <w:trPr>
          <w:jc w:val="center"/>
        </w:trPr>
        <w:tc>
          <w:tcPr>
            <w:tcW w:w="50" w:type="pct"/>
            <w:shd w:val="clear" w:color="auto" w:fill="auto"/>
          </w:tcPr>
          <w:p w14:paraId="1E804B57" w14:textId="77777777" w:rsidR="00F20ABF" w:rsidRDefault="00F20ABF">
            <w:pPr>
              <w:rPr>
                <w:rFonts w:ascii="宋体"/>
              </w:rPr>
            </w:pPr>
          </w:p>
        </w:tc>
        <w:tc>
          <w:tcPr>
            <w:tcW w:w="3575" w:type="pct"/>
            <w:shd w:val="clear" w:color="auto" w:fill="auto"/>
          </w:tcPr>
          <w:p w14:paraId="1E804B58" w14:textId="77777777" w:rsidR="00F20ABF" w:rsidRDefault="00F20ABF">
            <w:pPr>
              <w:rPr>
                <w:rFonts w:ascii="宋体"/>
              </w:rPr>
            </w:pPr>
          </w:p>
        </w:tc>
        <w:tc>
          <w:tcPr>
            <w:tcW w:w="5" w:type="pct"/>
            <w:shd w:val="clear" w:color="auto" w:fill="auto"/>
          </w:tcPr>
          <w:p w14:paraId="1E804B59" w14:textId="77777777" w:rsidR="00F20ABF" w:rsidRDefault="00F20ABF">
            <w:pPr>
              <w:rPr>
                <w:rFonts w:ascii="宋体"/>
              </w:rPr>
            </w:pPr>
          </w:p>
        </w:tc>
        <w:tc>
          <w:tcPr>
            <w:tcW w:w="50" w:type="pct"/>
            <w:shd w:val="clear" w:color="auto" w:fill="auto"/>
          </w:tcPr>
          <w:p w14:paraId="1E804B5A" w14:textId="77777777" w:rsidR="00F20ABF" w:rsidRDefault="00F20ABF">
            <w:pPr>
              <w:rPr>
                <w:rFonts w:ascii="宋体"/>
              </w:rPr>
            </w:pPr>
          </w:p>
        </w:tc>
        <w:tc>
          <w:tcPr>
            <w:tcW w:w="611" w:type="pct"/>
            <w:shd w:val="clear" w:color="auto" w:fill="auto"/>
          </w:tcPr>
          <w:p w14:paraId="1E804B5B" w14:textId="77777777" w:rsidR="00F20ABF" w:rsidRDefault="00F20ABF">
            <w:pPr>
              <w:rPr>
                <w:rFonts w:ascii="宋体"/>
              </w:rPr>
            </w:pPr>
          </w:p>
        </w:tc>
        <w:tc>
          <w:tcPr>
            <w:tcW w:w="5" w:type="pct"/>
            <w:shd w:val="clear" w:color="auto" w:fill="auto"/>
          </w:tcPr>
          <w:p w14:paraId="1E804B5C" w14:textId="77777777" w:rsidR="00F20ABF" w:rsidRDefault="00F20ABF">
            <w:pPr>
              <w:rPr>
                <w:rFonts w:ascii="宋体"/>
              </w:rPr>
            </w:pPr>
          </w:p>
        </w:tc>
        <w:tc>
          <w:tcPr>
            <w:tcW w:w="5" w:type="pct"/>
            <w:shd w:val="clear" w:color="auto" w:fill="auto"/>
          </w:tcPr>
          <w:p w14:paraId="1E804B5D" w14:textId="77777777" w:rsidR="00F20ABF" w:rsidRDefault="00F20ABF">
            <w:pPr>
              <w:rPr>
                <w:rFonts w:ascii="宋体"/>
              </w:rPr>
            </w:pPr>
          </w:p>
        </w:tc>
        <w:tc>
          <w:tcPr>
            <w:tcW w:w="26" w:type="pct"/>
            <w:shd w:val="clear" w:color="auto" w:fill="auto"/>
          </w:tcPr>
          <w:p w14:paraId="1E804B5E" w14:textId="77777777" w:rsidR="00F20ABF" w:rsidRDefault="00F20ABF">
            <w:pPr>
              <w:rPr>
                <w:rFonts w:ascii="宋体"/>
              </w:rPr>
            </w:pPr>
          </w:p>
        </w:tc>
        <w:tc>
          <w:tcPr>
            <w:tcW w:w="5" w:type="pct"/>
            <w:shd w:val="clear" w:color="auto" w:fill="auto"/>
          </w:tcPr>
          <w:p w14:paraId="1E804B5F" w14:textId="77777777" w:rsidR="00F20ABF" w:rsidRDefault="00F20ABF">
            <w:pPr>
              <w:rPr>
                <w:rFonts w:ascii="宋体"/>
              </w:rPr>
            </w:pPr>
          </w:p>
        </w:tc>
        <w:tc>
          <w:tcPr>
            <w:tcW w:w="50" w:type="pct"/>
            <w:shd w:val="clear" w:color="auto" w:fill="auto"/>
          </w:tcPr>
          <w:p w14:paraId="1E804B60" w14:textId="77777777" w:rsidR="00F20ABF" w:rsidRDefault="00F20ABF">
            <w:pPr>
              <w:rPr>
                <w:rFonts w:ascii="宋体"/>
              </w:rPr>
            </w:pPr>
          </w:p>
        </w:tc>
        <w:tc>
          <w:tcPr>
            <w:tcW w:w="611" w:type="pct"/>
            <w:shd w:val="clear" w:color="auto" w:fill="auto"/>
          </w:tcPr>
          <w:p w14:paraId="1E804B61" w14:textId="77777777" w:rsidR="00F20ABF" w:rsidRDefault="00F20ABF">
            <w:pPr>
              <w:rPr>
                <w:rFonts w:ascii="宋体"/>
              </w:rPr>
            </w:pPr>
          </w:p>
        </w:tc>
        <w:tc>
          <w:tcPr>
            <w:tcW w:w="5" w:type="pct"/>
            <w:shd w:val="clear" w:color="auto" w:fill="auto"/>
          </w:tcPr>
          <w:p w14:paraId="1E804B62" w14:textId="77777777" w:rsidR="00F20ABF" w:rsidRDefault="00F20ABF">
            <w:pPr>
              <w:rPr>
                <w:rFonts w:ascii="宋体"/>
              </w:rPr>
            </w:pPr>
          </w:p>
        </w:tc>
      </w:tr>
      <w:tr w:rsidR="00F20ABF" w14:paraId="1E804B68" w14:textId="77777777">
        <w:trPr>
          <w:jc w:val="center"/>
        </w:trPr>
        <w:tc>
          <w:tcPr>
            <w:tcW w:w="0" w:type="auto"/>
            <w:gridSpan w:val="3"/>
            <w:shd w:val="clear" w:color="auto" w:fill="auto"/>
            <w:tcMar>
              <w:top w:w="0" w:type="dxa"/>
              <w:left w:w="20" w:type="dxa"/>
              <w:bottom w:w="0" w:type="dxa"/>
              <w:right w:w="20" w:type="dxa"/>
            </w:tcMar>
          </w:tcPr>
          <w:p w14:paraId="1E804B64"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B65" w14:textId="77777777" w:rsidR="00F20ABF" w:rsidRDefault="00CA4D2F">
            <w:pPr>
              <w:jc w:val="center"/>
              <w:textAlignment w:val="bottom"/>
            </w:pPr>
            <w:r>
              <w:rPr>
                <w:rFonts w:ascii="sans-serif" w:eastAsia="sans-serif" w:hAnsi="sans-serif" w:cs="sans-serif"/>
                <w:b/>
                <w:bCs/>
                <w:color w:val="000000"/>
                <w:sz w:val="20"/>
                <w:szCs w:val="20"/>
              </w:rPr>
              <w:t>October 25,</w:t>
            </w:r>
          </w:p>
        </w:tc>
        <w:tc>
          <w:tcPr>
            <w:tcW w:w="0" w:type="auto"/>
            <w:gridSpan w:val="3"/>
            <w:shd w:val="clear" w:color="auto" w:fill="auto"/>
            <w:tcMar>
              <w:top w:w="0" w:type="dxa"/>
              <w:left w:w="20" w:type="dxa"/>
              <w:bottom w:w="0" w:type="dxa"/>
              <w:right w:w="20" w:type="dxa"/>
            </w:tcMar>
          </w:tcPr>
          <w:p w14:paraId="1E804B66"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B67" w14:textId="77777777" w:rsidR="00F20ABF" w:rsidRDefault="00CA4D2F">
            <w:pPr>
              <w:jc w:val="center"/>
              <w:textAlignment w:val="bottom"/>
            </w:pPr>
            <w:r>
              <w:rPr>
                <w:rFonts w:ascii="sans-serif" w:eastAsia="sans-serif" w:hAnsi="sans-serif" w:cs="sans-serif"/>
                <w:b/>
                <w:bCs/>
                <w:color w:val="000000"/>
                <w:sz w:val="20"/>
                <w:szCs w:val="20"/>
              </w:rPr>
              <w:t>October 27,</w:t>
            </w:r>
          </w:p>
        </w:tc>
      </w:tr>
      <w:tr w:rsidR="00F20ABF" w14:paraId="1E804B6D" w14:textId="77777777">
        <w:trPr>
          <w:jc w:val="center"/>
        </w:trPr>
        <w:tc>
          <w:tcPr>
            <w:tcW w:w="0" w:type="auto"/>
            <w:gridSpan w:val="3"/>
            <w:shd w:val="clear" w:color="auto" w:fill="auto"/>
            <w:tcMar>
              <w:top w:w="40" w:type="dxa"/>
              <w:left w:w="20" w:type="dxa"/>
              <w:bottom w:w="40" w:type="dxa"/>
              <w:right w:w="20" w:type="dxa"/>
            </w:tcMar>
            <w:vAlign w:val="bottom"/>
          </w:tcPr>
          <w:p w14:paraId="1E804B69"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4B6A" w14:textId="77777777" w:rsidR="00F20ABF" w:rsidRDefault="00CA4D2F">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tcPr>
          <w:p w14:paraId="1E804B6B"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B6C" w14:textId="77777777" w:rsidR="00F20ABF" w:rsidRDefault="00CA4D2F">
            <w:pPr>
              <w:jc w:val="center"/>
              <w:textAlignment w:val="bottom"/>
            </w:pPr>
            <w:r>
              <w:rPr>
                <w:rFonts w:ascii="sans-serif" w:eastAsia="sans-serif" w:hAnsi="sans-serif" w:cs="sans-serif"/>
                <w:b/>
                <w:bCs/>
                <w:color w:val="000000"/>
                <w:sz w:val="20"/>
                <w:szCs w:val="20"/>
              </w:rPr>
              <w:t>2019</w:t>
            </w:r>
          </w:p>
        </w:tc>
      </w:tr>
      <w:tr w:rsidR="00F20ABF" w14:paraId="1E804B72" w14:textId="77777777">
        <w:trPr>
          <w:trHeight w:val="60"/>
          <w:jc w:val="center"/>
        </w:trPr>
        <w:tc>
          <w:tcPr>
            <w:tcW w:w="0" w:type="auto"/>
            <w:gridSpan w:val="3"/>
            <w:shd w:val="clear" w:color="auto" w:fill="auto"/>
            <w:tcMar>
              <w:top w:w="0" w:type="dxa"/>
              <w:left w:w="20" w:type="dxa"/>
              <w:bottom w:w="0" w:type="dxa"/>
              <w:right w:w="20" w:type="dxa"/>
            </w:tcMar>
          </w:tcPr>
          <w:p w14:paraId="1E804B6E"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B6F"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B70"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B71" w14:textId="77777777" w:rsidR="00F20ABF" w:rsidRDefault="00F20ABF">
            <w:pPr>
              <w:rPr>
                <w:rFonts w:ascii="宋体"/>
              </w:rPr>
            </w:pPr>
          </w:p>
        </w:tc>
      </w:tr>
      <w:tr w:rsidR="00F20ABF" w14:paraId="1E804B75" w14:textId="77777777">
        <w:trPr>
          <w:jc w:val="center"/>
        </w:trPr>
        <w:tc>
          <w:tcPr>
            <w:tcW w:w="0" w:type="auto"/>
            <w:gridSpan w:val="3"/>
            <w:shd w:val="clear" w:color="auto" w:fill="auto"/>
            <w:tcMar>
              <w:top w:w="0" w:type="dxa"/>
              <w:left w:w="20" w:type="dxa"/>
              <w:bottom w:w="0" w:type="dxa"/>
              <w:right w:w="20" w:type="dxa"/>
            </w:tcMar>
          </w:tcPr>
          <w:p w14:paraId="1E804B73"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4B74"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B7E" w14:textId="77777777">
        <w:trPr>
          <w:jc w:val="center"/>
        </w:trPr>
        <w:tc>
          <w:tcPr>
            <w:tcW w:w="0" w:type="auto"/>
            <w:gridSpan w:val="3"/>
            <w:shd w:val="clear" w:color="auto" w:fill="E2EFD9"/>
            <w:tcMar>
              <w:top w:w="40" w:type="dxa"/>
              <w:left w:w="20" w:type="dxa"/>
              <w:bottom w:w="40" w:type="dxa"/>
              <w:right w:w="20" w:type="dxa"/>
            </w:tcMar>
            <w:vAlign w:val="bottom"/>
          </w:tcPr>
          <w:p w14:paraId="1E804B76" w14:textId="77777777" w:rsidR="00F20ABF" w:rsidRDefault="00CA4D2F">
            <w:pPr>
              <w:textAlignment w:val="bottom"/>
            </w:pPr>
            <w:r>
              <w:rPr>
                <w:rFonts w:ascii="sans-serif" w:eastAsia="sans-serif" w:hAnsi="sans-serif" w:cs="sans-serif"/>
                <w:color w:val="000000"/>
                <w:sz w:val="20"/>
                <w:szCs w:val="20"/>
              </w:rPr>
              <w:t>Balance at beginning of period</w:t>
            </w:r>
          </w:p>
        </w:tc>
        <w:tc>
          <w:tcPr>
            <w:tcW w:w="0" w:type="auto"/>
            <w:shd w:val="clear" w:color="auto" w:fill="E2EFD9"/>
            <w:tcMar>
              <w:top w:w="40" w:type="dxa"/>
              <w:left w:w="20" w:type="dxa"/>
              <w:bottom w:w="40" w:type="dxa"/>
              <w:right w:w="0" w:type="dxa"/>
            </w:tcMar>
            <w:vAlign w:val="bottom"/>
          </w:tcPr>
          <w:p w14:paraId="1E804B77"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B78" w14:textId="77777777" w:rsidR="00F20ABF" w:rsidRDefault="00CA4D2F">
            <w:pPr>
              <w:jc w:val="right"/>
              <w:textAlignment w:val="bottom"/>
            </w:pPr>
            <w:r>
              <w:rPr>
                <w:rFonts w:ascii="sans-serif" w:eastAsia="sans-serif" w:hAnsi="sans-serif" w:cs="sans-serif"/>
                <w:color w:val="000000"/>
                <w:sz w:val="20"/>
                <w:szCs w:val="20"/>
              </w:rPr>
              <w:t>201 </w:t>
            </w:r>
          </w:p>
        </w:tc>
        <w:tc>
          <w:tcPr>
            <w:tcW w:w="0" w:type="auto"/>
            <w:shd w:val="clear" w:color="auto" w:fill="E2EFD9"/>
            <w:tcMar>
              <w:top w:w="40" w:type="dxa"/>
              <w:left w:w="0" w:type="dxa"/>
              <w:bottom w:w="40" w:type="dxa"/>
              <w:right w:w="20" w:type="dxa"/>
            </w:tcMar>
            <w:vAlign w:val="bottom"/>
          </w:tcPr>
          <w:p w14:paraId="1E804B7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B7A"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B7B"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B7C" w14:textId="77777777" w:rsidR="00F20ABF" w:rsidRDefault="00CA4D2F">
            <w:pPr>
              <w:jc w:val="right"/>
              <w:textAlignment w:val="bottom"/>
            </w:pPr>
            <w:r>
              <w:rPr>
                <w:rFonts w:ascii="sans-serif" w:eastAsia="sans-serif" w:hAnsi="sans-serif" w:cs="sans-serif"/>
                <w:color w:val="000000"/>
                <w:sz w:val="20"/>
                <w:szCs w:val="20"/>
              </w:rPr>
              <w:t>138 </w:t>
            </w:r>
          </w:p>
        </w:tc>
        <w:tc>
          <w:tcPr>
            <w:tcW w:w="0" w:type="auto"/>
            <w:shd w:val="clear" w:color="auto" w:fill="E2EFD9"/>
            <w:tcMar>
              <w:top w:w="40" w:type="dxa"/>
              <w:left w:w="0" w:type="dxa"/>
              <w:bottom w:w="40" w:type="dxa"/>
              <w:right w:w="20" w:type="dxa"/>
            </w:tcMar>
            <w:vAlign w:val="bottom"/>
          </w:tcPr>
          <w:p w14:paraId="1E804B7D" w14:textId="77777777" w:rsidR="00F20ABF" w:rsidRDefault="00F20ABF">
            <w:pPr>
              <w:jc w:val="right"/>
              <w:rPr>
                <w:rFonts w:ascii="宋体"/>
              </w:rPr>
            </w:pPr>
          </w:p>
        </w:tc>
      </w:tr>
      <w:tr w:rsidR="00F20ABF" w14:paraId="1E804B85" w14:textId="77777777">
        <w:trPr>
          <w:jc w:val="center"/>
        </w:trPr>
        <w:tc>
          <w:tcPr>
            <w:tcW w:w="0" w:type="auto"/>
            <w:gridSpan w:val="3"/>
            <w:shd w:val="clear" w:color="auto" w:fill="FFFFFF"/>
            <w:tcMar>
              <w:top w:w="40" w:type="dxa"/>
              <w:left w:w="20" w:type="dxa"/>
              <w:bottom w:w="40" w:type="dxa"/>
              <w:right w:w="20" w:type="dxa"/>
            </w:tcMar>
            <w:vAlign w:val="bottom"/>
          </w:tcPr>
          <w:p w14:paraId="1E804B7F" w14:textId="77777777" w:rsidR="00F20ABF" w:rsidRDefault="00CA4D2F">
            <w:pPr>
              <w:textAlignment w:val="bottom"/>
            </w:pPr>
            <w:r>
              <w:rPr>
                <w:rFonts w:ascii="sans-serif" w:eastAsia="sans-serif" w:hAnsi="sans-serif" w:cs="sans-serif"/>
                <w:color w:val="000000"/>
                <w:sz w:val="20"/>
                <w:szCs w:val="20"/>
              </w:rPr>
              <w:t>Deferred revenue added during the period</w:t>
            </w:r>
          </w:p>
        </w:tc>
        <w:tc>
          <w:tcPr>
            <w:tcW w:w="0" w:type="auto"/>
            <w:gridSpan w:val="2"/>
            <w:shd w:val="clear" w:color="auto" w:fill="FFFFFF"/>
            <w:tcMar>
              <w:top w:w="40" w:type="dxa"/>
              <w:left w:w="20" w:type="dxa"/>
              <w:bottom w:w="40" w:type="dxa"/>
              <w:right w:w="0" w:type="dxa"/>
            </w:tcMar>
            <w:vAlign w:val="bottom"/>
          </w:tcPr>
          <w:p w14:paraId="1E804B80" w14:textId="77777777" w:rsidR="00F20ABF" w:rsidRDefault="00CA4D2F">
            <w:pPr>
              <w:jc w:val="right"/>
              <w:textAlignment w:val="bottom"/>
            </w:pPr>
            <w:r>
              <w:rPr>
                <w:rFonts w:ascii="sans-serif" w:eastAsia="sans-serif" w:hAnsi="sans-serif" w:cs="sans-serif"/>
                <w:color w:val="000000"/>
                <w:sz w:val="20"/>
                <w:szCs w:val="20"/>
              </w:rPr>
              <w:t>361 </w:t>
            </w:r>
          </w:p>
        </w:tc>
        <w:tc>
          <w:tcPr>
            <w:tcW w:w="0" w:type="auto"/>
            <w:shd w:val="clear" w:color="auto" w:fill="FFFFFF"/>
            <w:tcMar>
              <w:top w:w="40" w:type="dxa"/>
              <w:left w:w="0" w:type="dxa"/>
              <w:bottom w:w="40" w:type="dxa"/>
              <w:right w:w="20" w:type="dxa"/>
            </w:tcMar>
            <w:vAlign w:val="bottom"/>
          </w:tcPr>
          <w:p w14:paraId="1E804B8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B82"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B83" w14:textId="77777777" w:rsidR="00F20ABF" w:rsidRDefault="00CA4D2F">
            <w:pPr>
              <w:jc w:val="right"/>
              <w:textAlignment w:val="bottom"/>
            </w:pPr>
            <w:r>
              <w:rPr>
                <w:rFonts w:ascii="sans-serif" w:eastAsia="sans-serif" w:hAnsi="sans-serif" w:cs="sans-serif"/>
                <w:color w:val="000000"/>
                <w:sz w:val="20"/>
                <w:szCs w:val="20"/>
              </w:rPr>
              <w:t>237 </w:t>
            </w:r>
          </w:p>
        </w:tc>
        <w:tc>
          <w:tcPr>
            <w:tcW w:w="0" w:type="auto"/>
            <w:shd w:val="clear" w:color="auto" w:fill="FFFFFF"/>
            <w:tcMar>
              <w:top w:w="40" w:type="dxa"/>
              <w:left w:w="0" w:type="dxa"/>
              <w:bottom w:w="40" w:type="dxa"/>
              <w:right w:w="20" w:type="dxa"/>
            </w:tcMar>
            <w:vAlign w:val="bottom"/>
          </w:tcPr>
          <w:p w14:paraId="1E804B84" w14:textId="77777777" w:rsidR="00F20ABF" w:rsidRDefault="00F20ABF">
            <w:pPr>
              <w:jc w:val="right"/>
              <w:rPr>
                <w:rFonts w:ascii="宋体"/>
              </w:rPr>
            </w:pPr>
          </w:p>
        </w:tc>
      </w:tr>
      <w:tr w:rsidR="00F20ABF" w14:paraId="1E804B8C" w14:textId="77777777">
        <w:trPr>
          <w:jc w:val="center"/>
        </w:trPr>
        <w:tc>
          <w:tcPr>
            <w:tcW w:w="0" w:type="auto"/>
            <w:gridSpan w:val="3"/>
            <w:shd w:val="clear" w:color="auto" w:fill="E2EFD9"/>
            <w:tcMar>
              <w:top w:w="40" w:type="dxa"/>
              <w:left w:w="20" w:type="dxa"/>
              <w:bottom w:w="40" w:type="dxa"/>
              <w:right w:w="20" w:type="dxa"/>
            </w:tcMar>
            <w:vAlign w:val="bottom"/>
          </w:tcPr>
          <w:p w14:paraId="1E804B86" w14:textId="77777777" w:rsidR="00F20ABF" w:rsidRDefault="00CA4D2F">
            <w:pPr>
              <w:textAlignment w:val="bottom"/>
            </w:pPr>
            <w:r>
              <w:rPr>
                <w:rFonts w:ascii="sans-serif" w:eastAsia="sans-serif" w:hAnsi="sans-serif" w:cs="sans-serif"/>
                <w:color w:val="000000"/>
                <w:sz w:val="20"/>
                <w:szCs w:val="20"/>
              </w:rPr>
              <w:t xml:space="preserve">Addition due to </w:t>
            </w:r>
            <w:r>
              <w:rPr>
                <w:rFonts w:ascii="sans-serif" w:eastAsia="sans-serif" w:hAnsi="sans-serif" w:cs="sans-serif"/>
                <w:color w:val="000000"/>
                <w:sz w:val="20"/>
                <w:szCs w:val="20"/>
              </w:rPr>
              <w:t>business combinations</w:t>
            </w:r>
          </w:p>
        </w:tc>
        <w:tc>
          <w:tcPr>
            <w:tcW w:w="0" w:type="auto"/>
            <w:gridSpan w:val="2"/>
            <w:shd w:val="clear" w:color="auto" w:fill="E2EFD9"/>
            <w:tcMar>
              <w:top w:w="40" w:type="dxa"/>
              <w:left w:w="20" w:type="dxa"/>
              <w:bottom w:w="40" w:type="dxa"/>
              <w:right w:w="0" w:type="dxa"/>
            </w:tcMar>
            <w:vAlign w:val="bottom"/>
          </w:tcPr>
          <w:p w14:paraId="1E804B87" w14:textId="77777777" w:rsidR="00F20ABF" w:rsidRDefault="00CA4D2F">
            <w:pPr>
              <w:jc w:val="right"/>
              <w:textAlignment w:val="bottom"/>
            </w:pPr>
            <w:r>
              <w:rPr>
                <w:rFonts w:ascii="sans-serif" w:eastAsia="sans-serif" w:hAnsi="sans-serif" w:cs="sans-serif"/>
                <w:color w:val="000000"/>
                <w:sz w:val="20"/>
                <w:szCs w:val="20"/>
              </w:rPr>
              <w:t>75 </w:t>
            </w:r>
          </w:p>
        </w:tc>
        <w:tc>
          <w:tcPr>
            <w:tcW w:w="0" w:type="auto"/>
            <w:shd w:val="clear" w:color="auto" w:fill="E2EFD9"/>
            <w:tcMar>
              <w:top w:w="40" w:type="dxa"/>
              <w:left w:w="0" w:type="dxa"/>
              <w:bottom w:w="40" w:type="dxa"/>
              <w:right w:w="20" w:type="dxa"/>
            </w:tcMar>
            <w:vAlign w:val="bottom"/>
          </w:tcPr>
          <w:p w14:paraId="1E804B8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B8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B8A"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B8B" w14:textId="77777777" w:rsidR="00F20ABF" w:rsidRDefault="00F20ABF">
            <w:pPr>
              <w:jc w:val="right"/>
              <w:rPr>
                <w:rFonts w:ascii="宋体"/>
              </w:rPr>
            </w:pPr>
          </w:p>
        </w:tc>
      </w:tr>
      <w:tr w:rsidR="00F20ABF" w14:paraId="1E804B93" w14:textId="77777777">
        <w:trPr>
          <w:jc w:val="center"/>
        </w:trPr>
        <w:tc>
          <w:tcPr>
            <w:tcW w:w="0" w:type="auto"/>
            <w:gridSpan w:val="3"/>
            <w:shd w:val="clear" w:color="auto" w:fill="FFFFFF"/>
            <w:tcMar>
              <w:top w:w="40" w:type="dxa"/>
              <w:left w:w="20" w:type="dxa"/>
              <w:bottom w:w="40" w:type="dxa"/>
              <w:right w:w="20" w:type="dxa"/>
            </w:tcMar>
            <w:vAlign w:val="bottom"/>
          </w:tcPr>
          <w:p w14:paraId="1E804B8D" w14:textId="77777777" w:rsidR="00F20ABF" w:rsidRDefault="00CA4D2F">
            <w:pPr>
              <w:textAlignment w:val="bottom"/>
            </w:pPr>
            <w:r>
              <w:rPr>
                <w:rFonts w:ascii="sans-serif" w:eastAsia="sans-serif" w:hAnsi="sans-serif" w:cs="sans-serif"/>
                <w:color w:val="000000"/>
                <w:sz w:val="20"/>
                <w:szCs w:val="20"/>
              </w:rPr>
              <w:t>Revenue recognized during the period</w:t>
            </w:r>
          </w:p>
        </w:tc>
        <w:tc>
          <w:tcPr>
            <w:tcW w:w="0" w:type="auto"/>
            <w:gridSpan w:val="2"/>
            <w:shd w:val="clear" w:color="auto" w:fill="FFFFFF"/>
            <w:tcMar>
              <w:top w:w="40" w:type="dxa"/>
              <w:left w:w="20" w:type="dxa"/>
              <w:bottom w:w="40" w:type="dxa"/>
              <w:right w:w="0" w:type="dxa"/>
            </w:tcMar>
            <w:vAlign w:val="bottom"/>
          </w:tcPr>
          <w:p w14:paraId="1E804B8E" w14:textId="77777777" w:rsidR="00F20ABF" w:rsidRDefault="00CA4D2F">
            <w:pPr>
              <w:jc w:val="right"/>
              <w:textAlignment w:val="bottom"/>
            </w:pPr>
            <w:r>
              <w:rPr>
                <w:rFonts w:ascii="sans-serif" w:eastAsia="sans-serif" w:hAnsi="sans-serif" w:cs="sans-serif"/>
                <w:color w:val="000000"/>
                <w:sz w:val="20"/>
                <w:szCs w:val="20"/>
              </w:rPr>
              <w:t>(255)</w:t>
            </w:r>
          </w:p>
        </w:tc>
        <w:tc>
          <w:tcPr>
            <w:tcW w:w="0" w:type="auto"/>
            <w:shd w:val="clear" w:color="auto" w:fill="FFFFFF"/>
            <w:tcMar>
              <w:top w:w="40" w:type="dxa"/>
              <w:left w:w="0" w:type="dxa"/>
              <w:bottom w:w="40" w:type="dxa"/>
              <w:right w:w="20" w:type="dxa"/>
            </w:tcMar>
            <w:vAlign w:val="bottom"/>
          </w:tcPr>
          <w:p w14:paraId="1E804B8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B90"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B91" w14:textId="77777777" w:rsidR="00F20ABF" w:rsidRDefault="00CA4D2F">
            <w:pPr>
              <w:jc w:val="right"/>
              <w:textAlignment w:val="bottom"/>
            </w:pPr>
            <w:r>
              <w:rPr>
                <w:rFonts w:ascii="sans-serif" w:eastAsia="sans-serif" w:hAnsi="sans-serif" w:cs="sans-serif"/>
                <w:color w:val="000000"/>
                <w:sz w:val="20"/>
                <w:szCs w:val="20"/>
              </w:rPr>
              <w:t>(199)</w:t>
            </w:r>
          </w:p>
        </w:tc>
        <w:tc>
          <w:tcPr>
            <w:tcW w:w="0" w:type="auto"/>
            <w:shd w:val="clear" w:color="auto" w:fill="FFFFFF"/>
            <w:tcMar>
              <w:top w:w="40" w:type="dxa"/>
              <w:left w:w="0" w:type="dxa"/>
              <w:bottom w:w="40" w:type="dxa"/>
              <w:right w:w="20" w:type="dxa"/>
            </w:tcMar>
            <w:vAlign w:val="bottom"/>
          </w:tcPr>
          <w:p w14:paraId="1E804B92" w14:textId="77777777" w:rsidR="00F20ABF" w:rsidRDefault="00F20ABF">
            <w:pPr>
              <w:jc w:val="right"/>
              <w:rPr>
                <w:rFonts w:ascii="宋体"/>
              </w:rPr>
            </w:pPr>
          </w:p>
        </w:tc>
      </w:tr>
      <w:tr w:rsidR="00F20ABF" w14:paraId="1E804B9C" w14:textId="77777777">
        <w:trPr>
          <w:jc w:val="center"/>
        </w:trPr>
        <w:tc>
          <w:tcPr>
            <w:tcW w:w="0" w:type="auto"/>
            <w:gridSpan w:val="3"/>
            <w:shd w:val="clear" w:color="auto" w:fill="E2EFD9"/>
            <w:tcMar>
              <w:top w:w="40" w:type="dxa"/>
              <w:left w:w="20" w:type="dxa"/>
              <w:bottom w:w="40" w:type="dxa"/>
              <w:right w:w="20" w:type="dxa"/>
            </w:tcMar>
            <w:vAlign w:val="bottom"/>
          </w:tcPr>
          <w:p w14:paraId="1E804B94" w14:textId="77777777" w:rsidR="00F20ABF" w:rsidRDefault="00CA4D2F">
            <w:pPr>
              <w:textAlignment w:val="bottom"/>
            </w:pPr>
            <w:r>
              <w:rPr>
                <w:rFonts w:ascii="sans-serif" w:eastAsia="sans-serif" w:hAnsi="sans-serif" w:cs="sans-serif"/>
                <w:color w:val="000000"/>
                <w:sz w:val="20"/>
                <w:szCs w:val="20"/>
              </w:rPr>
              <w:t>Balance at end of period</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B95"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B96" w14:textId="77777777" w:rsidR="00F20ABF" w:rsidRDefault="00CA4D2F">
            <w:pPr>
              <w:jc w:val="right"/>
              <w:textAlignment w:val="bottom"/>
            </w:pPr>
            <w:r>
              <w:rPr>
                <w:rFonts w:ascii="sans-serif" w:eastAsia="sans-serif" w:hAnsi="sans-serif" w:cs="sans-serif"/>
                <w:color w:val="000000"/>
                <w:sz w:val="20"/>
                <w:szCs w:val="20"/>
              </w:rPr>
              <w:t>382 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B9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B98"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B99"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B9A" w14:textId="77777777" w:rsidR="00F20ABF" w:rsidRDefault="00CA4D2F">
            <w:pPr>
              <w:jc w:val="right"/>
              <w:textAlignment w:val="bottom"/>
            </w:pPr>
            <w:r>
              <w:rPr>
                <w:rFonts w:ascii="sans-serif" w:eastAsia="sans-serif" w:hAnsi="sans-serif" w:cs="sans-serif"/>
                <w:color w:val="000000"/>
                <w:sz w:val="20"/>
                <w:szCs w:val="20"/>
              </w:rPr>
              <w:t>176 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B9B" w14:textId="77777777" w:rsidR="00F20ABF" w:rsidRDefault="00F20ABF">
            <w:pPr>
              <w:jc w:val="right"/>
              <w:rPr>
                <w:rFonts w:ascii="宋体"/>
              </w:rPr>
            </w:pPr>
          </w:p>
        </w:tc>
      </w:tr>
    </w:tbl>
    <w:p w14:paraId="1E804B9D" w14:textId="77777777" w:rsidR="00F20ABF" w:rsidRDefault="00F20ABF">
      <w:pPr>
        <w:spacing w:after="60"/>
      </w:pPr>
    </w:p>
    <w:p w14:paraId="1E804B9E" w14:textId="77777777" w:rsidR="00F20ABF" w:rsidRDefault="00CA4D2F">
      <w:pPr>
        <w:spacing w:after="180"/>
        <w:jc w:val="center"/>
      </w:pPr>
      <w:r>
        <w:rPr>
          <w:rFonts w:ascii="sans-serif" w:eastAsia="sans-serif" w:hAnsi="sans-serif" w:cs="sans-serif"/>
          <w:color w:val="000000"/>
          <w:sz w:val="20"/>
          <w:szCs w:val="20"/>
        </w:rPr>
        <w:t>19</w:t>
      </w:r>
    </w:p>
    <w:p w14:paraId="1E804B9F" w14:textId="77777777" w:rsidR="00F20ABF" w:rsidRDefault="00CA4D2F">
      <w:r>
        <w:pict w14:anchorId="1E80558E">
          <v:rect id="_x0000_i1043" style="width:415.3pt;height:1.5pt" o:hralign="center" o:hrstd="t" o:hr="t" fillcolor="#a0a0a0" stroked="f"/>
        </w:pict>
      </w:r>
    </w:p>
    <w:p w14:paraId="1E804BA0" w14:textId="77777777" w:rsidR="00F20ABF" w:rsidRDefault="00CA4D2F">
      <w:pPr>
        <w:jc w:val="center"/>
      </w:pPr>
      <w:r>
        <w:rPr>
          <w:rFonts w:ascii="sans-serif" w:eastAsia="sans-serif" w:hAnsi="sans-serif" w:cs="sans-serif"/>
          <w:b/>
          <w:bCs/>
          <w:color w:val="000000"/>
          <w:sz w:val="20"/>
          <w:szCs w:val="20"/>
        </w:rPr>
        <w:t>NVIDIA CORPORATION AND SUBSIDIARIES</w:t>
      </w:r>
    </w:p>
    <w:p w14:paraId="1E804BA1" w14:textId="77777777" w:rsidR="00F20ABF" w:rsidRDefault="00CA4D2F">
      <w:pPr>
        <w:jc w:val="center"/>
      </w:pPr>
      <w:r>
        <w:rPr>
          <w:rFonts w:ascii="sans-serif" w:eastAsia="sans-serif" w:hAnsi="sans-serif" w:cs="sans-serif"/>
          <w:b/>
          <w:bCs/>
          <w:color w:val="000000"/>
          <w:sz w:val="20"/>
          <w:szCs w:val="20"/>
        </w:rPr>
        <w:t>NOTES TO CONDENSED CONSOLIDATED FINANCIAL STATEMENTS (Continued)</w:t>
      </w:r>
    </w:p>
    <w:p w14:paraId="1E804BA2" w14:textId="77777777" w:rsidR="00F20ABF" w:rsidRDefault="00CA4D2F">
      <w:pPr>
        <w:jc w:val="center"/>
      </w:pPr>
      <w:r>
        <w:rPr>
          <w:rFonts w:ascii="sans-serif" w:eastAsia="sans-serif" w:hAnsi="sans-serif" w:cs="sans-serif"/>
          <w:b/>
          <w:bCs/>
          <w:color w:val="000000"/>
          <w:sz w:val="20"/>
          <w:szCs w:val="20"/>
        </w:rPr>
        <w:t>(Unaudited)</w:t>
      </w:r>
    </w:p>
    <w:p w14:paraId="1E804BA3" w14:textId="77777777" w:rsidR="00F20ABF" w:rsidRDefault="00F20ABF">
      <w:pPr>
        <w:spacing w:after="180"/>
        <w:jc w:val="both"/>
      </w:pPr>
    </w:p>
    <w:p w14:paraId="1E804BA4" w14:textId="77777777" w:rsidR="00F20ABF" w:rsidRDefault="00F20ABF">
      <w:pPr>
        <w:spacing w:after="180"/>
        <w:jc w:val="both"/>
      </w:pPr>
    </w:p>
    <w:p w14:paraId="1E804BA5" w14:textId="77777777" w:rsidR="00F20ABF" w:rsidRDefault="00CA4D2F">
      <w:pPr>
        <w:spacing w:after="60"/>
        <w:jc w:val="both"/>
      </w:pPr>
      <w:r>
        <w:rPr>
          <w:rFonts w:ascii="sans-serif" w:eastAsia="sans-serif" w:hAnsi="sans-serif" w:cs="sans-serif"/>
          <w:color w:val="000000"/>
          <w:sz w:val="20"/>
          <w:szCs w:val="20"/>
        </w:rPr>
        <w:t>Revenue related to remaining performance obligations represents the remaining contracted license, development arrangements and PCS that has not been recognized. This includes related deferred revenue currently recorded and amounts that will b</w:t>
      </w:r>
      <w:r>
        <w:rPr>
          <w:rFonts w:ascii="sans-serif" w:eastAsia="sans-serif" w:hAnsi="sans-serif" w:cs="sans-serif"/>
          <w:color w:val="000000"/>
          <w:sz w:val="20"/>
          <w:szCs w:val="20"/>
        </w:rPr>
        <w:t>e invoiced in future periods. As of October 25, 2020, the amount of our remaining performance obligations that has not been recognized as revenue was $679 million, of which we expect to recognize approximately 41% as revenue over the next twelve months and</w:t>
      </w:r>
      <w:r>
        <w:rPr>
          <w:rFonts w:ascii="sans-serif" w:eastAsia="sans-serif" w:hAnsi="sans-serif" w:cs="sans-serif"/>
          <w:color w:val="000000"/>
          <w:sz w:val="20"/>
          <w:szCs w:val="20"/>
        </w:rPr>
        <w:t xml:space="preserve"> the remainder thereafter. This amount excludes the value of remaining performance obligations for contracts with an original expected length of one year or less.</w:t>
      </w:r>
    </w:p>
    <w:p w14:paraId="1E804BA6" w14:textId="77777777" w:rsidR="00F20ABF" w:rsidRDefault="00CA4D2F">
      <w:pPr>
        <w:spacing w:before="240" w:after="120"/>
        <w:jc w:val="both"/>
      </w:pPr>
      <w:r>
        <w:rPr>
          <w:rFonts w:ascii="sans-serif" w:eastAsia="sans-serif" w:hAnsi="sans-serif" w:cs="sans-serif"/>
          <w:b/>
          <w:bCs/>
          <w:color w:val="76B900"/>
          <w:sz w:val="22"/>
          <w:szCs w:val="22"/>
        </w:rPr>
        <w:t>Note 11 - Derivative Financial Instruments</w:t>
      </w:r>
    </w:p>
    <w:p w14:paraId="1E804BA7" w14:textId="77777777" w:rsidR="00F20ABF" w:rsidRDefault="00CA4D2F">
      <w:pPr>
        <w:spacing w:after="180"/>
        <w:jc w:val="both"/>
      </w:pPr>
      <w:r>
        <w:rPr>
          <w:rFonts w:ascii="sans-serif" w:eastAsia="sans-serif" w:hAnsi="sans-serif" w:cs="sans-serif"/>
          <w:color w:val="000000"/>
          <w:sz w:val="20"/>
          <w:szCs w:val="20"/>
        </w:rPr>
        <w:t>We enter into foreign currency forward contracts t</w:t>
      </w:r>
      <w:r>
        <w:rPr>
          <w:rFonts w:ascii="sans-serif" w:eastAsia="sans-serif" w:hAnsi="sans-serif" w:cs="sans-serif"/>
          <w:color w:val="000000"/>
          <w:sz w:val="20"/>
          <w:szCs w:val="20"/>
        </w:rPr>
        <w:t>o mitigate the impact of foreign currency exchange rate movements on our operating expenses. These contracts are designated as cash flow hedges for hedge accounting treatment. Gains or losses on the contracts are recorded in accumulated other comprehensive</w:t>
      </w:r>
      <w:r>
        <w:rPr>
          <w:rFonts w:ascii="sans-serif" w:eastAsia="sans-serif" w:hAnsi="sans-serif" w:cs="sans-serif"/>
          <w:color w:val="000000"/>
          <w:sz w:val="20"/>
          <w:szCs w:val="20"/>
        </w:rPr>
        <w:t xml:space="preserve"> income or loss and reclassified to operating expense when the related operating expenses are recognized in earnings or ineffectiveness should occur. The fair value of the contracts was not significant as of October 25, 2020 and January 26, 2020.</w:t>
      </w:r>
    </w:p>
    <w:p w14:paraId="1E804BA8" w14:textId="77777777" w:rsidR="00F20ABF" w:rsidRDefault="00CA4D2F">
      <w:pPr>
        <w:jc w:val="both"/>
      </w:pPr>
      <w:r>
        <w:rPr>
          <w:rFonts w:ascii="sans-serif" w:eastAsia="sans-serif" w:hAnsi="sans-serif" w:cs="sans-serif"/>
          <w:color w:val="000000"/>
          <w:sz w:val="20"/>
          <w:szCs w:val="20"/>
        </w:rPr>
        <w:t>We also e</w:t>
      </w:r>
      <w:r>
        <w:rPr>
          <w:rFonts w:ascii="sans-serif" w:eastAsia="sans-serif" w:hAnsi="sans-serif" w:cs="sans-serif"/>
          <w:color w:val="000000"/>
          <w:sz w:val="20"/>
          <w:szCs w:val="20"/>
        </w:rPr>
        <w:t xml:space="preserve">nter into foreign currency forward contracts to mitigate the impact of foreign currency movements on monetary assets and liabilities that are denominated in currencies other than the U.S. dollar, including intercompany hedging instruments, or intercompany </w:t>
      </w:r>
      <w:r>
        <w:rPr>
          <w:rFonts w:ascii="sans-serif" w:eastAsia="sans-serif" w:hAnsi="sans-serif" w:cs="sans-serif"/>
          <w:color w:val="000000"/>
          <w:sz w:val="20"/>
          <w:szCs w:val="20"/>
        </w:rPr>
        <w:t xml:space="preserve">derivatives, with wholly-owned subsidiaries in order to hedge certain forecasted expenses denominated in currencies other than the U.S. dollar. These forward contracts were not designated for hedge accounting treatment. Therefore, the change in fair value </w:t>
      </w:r>
      <w:r>
        <w:rPr>
          <w:rFonts w:ascii="sans-serif" w:eastAsia="sans-serif" w:hAnsi="sans-serif" w:cs="sans-serif"/>
          <w:color w:val="000000"/>
          <w:sz w:val="20"/>
          <w:szCs w:val="20"/>
        </w:rPr>
        <w:t xml:space="preserve">of these contracts is recorded in other income or expense and offsets the change in fair value of the hedged foreign currency denominated monetary assets and liabilities, which is also recorded in other income or expense. </w:t>
      </w:r>
    </w:p>
    <w:p w14:paraId="1E804BA9" w14:textId="77777777" w:rsidR="00F20ABF" w:rsidRDefault="00F20ABF"/>
    <w:p w14:paraId="1E804BAA" w14:textId="77777777" w:rsidR="00F20ABF" w:rsidRDefault="00CA4D2F">
      <w:pPr>
        <w:spacing w:after="180"/>
        <w:jc w:val="both"/>
      </w:pPr>
      <w:r>
        <w:rPr>
          <w:rFonts w:ascii="sans-serif" w:eastAsia="sans-serif" w:hAnsi="sans-serif" w:cs="sans-serif"/>
          <w:color w:val="000000"/>
          <w:sz w:val="20"/>
          <w:szCs w:val="20"/>
        </w:rPr>
        <w:t>The table below presents the not</w:t>
      </w:r>
      <w:r>
        <w:rPr>
          <w:rFonts w:ascii="sans-serif" w:eastAsia="sans-serif" w:hAnsi="sans-serif" w:cs="sans-serif"/>
          <w:color w:val="000000"/>
          <w:sz w:val="20"/>
          <w:szCs w:val="20"/>
        </w:rPr>
        <w:t>ional value of our foreign currency forward contracts outstanding as of October 25, 2020 and January 26, 2020:</w:t>
      </w:r>
    </w:p>
    <w:tbl>
      <w:tblPr>
        <w:tblW w:w="5000" w:type="pct"/>
        <w:tblCellMar>
          <w:top w:w="15" w:type="dxa"/>
          <w:left w:w="15" w:type="dxa"/>
          <w:bottom w:w="15" w:type="dxa"/>
          <w:right w:w="15" w:type="dxa"/>
        </w:tblCellMar>
        <w:tblLook w:val="04A0" w:firstRow="1" w:lastRow="0" w:firstColumn="1" w:lastColumn="0" w:noHBand="0" w:noVBand="1"/>
      </w:tblPr>
      <w:tblGrid>
        <w:gridCol w:w="40"/>
        <w:gridCol w:w="5655"/>
        <w:gridCol w:w="36"/>
        <w:gridCol w:w="123"/>
        <w:gridCol w:w="1082"/>
        <w:gridCol w:w="36"/>
        <w:gridCol w:w="36"/>
        <w:gridCol w:w="49"/>
        <w:gridCol w:w="36"/>
        <w:gridCol w:w="123"/>
        <w:gridCol w:w="1084"/>
        <w:gridCol w:w="36"/>
      </w:tblGrid>
      <w:tr w:rsidR="00F20ABF" w14:paraId="1E804BB7" w14:textId="77777777">
        <w:tc>
          <w:tcPr>
            <w:tcW w:w="50" w:type="pct"/>
            <w:shd w:val="clear" w:color="auto" w:fill="auto"/>
          </w:tcPr>
          <w:p w14:paraId="1E804BAB" w14:textId="77777777" w:rsidR="00F20ABF" w:rsidRDefault="00F20ABF">
            <w:pPr>
              <w:rPr>
                <w:rFonts w:ascii="宋体"/>
              </w:rPr>
            </w:pPr>
          </w:p>
        </w:tc>
        <w:tc>
          <w:tcPr>
            <w:tcW w:w="3417" w:type="pct"/>
            <w:shd w:val="clear" w:color="auto" w:fill="auto"/>
          </w:tcPr>
          <w:p w14:paraId="1E804BAC" w14:textId="77777777" w:rsidR="00F20ABF" w:rsidRDefault="00F20ABF">
            <w:pPr>
              <w:rPr>
                <w:rFonts w:ascii="宋体"/>
              </w:rPr>
            </w:pPr>
          </w:p>
        </w:tc>
        <w:tc>
          <w:tcPr>
            <w:tcW w:w="5" w:type="pct"/>
            <w:shd w:val="clear" w:color="auto" w:fill="auto"/>
          </w:tcPr>
          <w:p w14:paraId="1E804BAD" w14:textId="77777777" w:rsidR="00F20ABF" w:rsidRDefault="00F20ABF">
            <w:pPr>
              <w:rPr>
                <w:rFonts w:ascii="宋体"/>
              </w:rPr>
            </w:pPr>
          </w:p>
        </w:tc>
        <w:tc>
          <w:tcPr>
            <w:tcW w:w="50" w:type="pct"/>
            <w:shd w:val="clear" w:color="auto" w:fill="auto"/>
          </w:tcPr>
          <w:p w14:paraId="1E804BAE" w14:textId="77777777" w:rsidR="00F20ABF" w:rsidRDefault="00F20ABF">
            <w:pPr>
              <w:rPr>
                <w:rFonts w:ascii="宋体"/>
              </w:rPr>
            </w:pPr>
          </w:p>
        </w:tc>
        <w:tc>
          <w:tcPr>
            <w:tcW w:w="675" w:type="pct"/>
            <w:shd w:val="clear" w:color="auto" w:fill="auto"/>
          </w:tcPr>
          <w:p w14:paraId="1E804BAF" w14:textId="77777777" w:rsidR="00F20ABF" w:rsidRDefault="00F20ABF">
            <w:pPr>
              <w:rPr>
                <w:rFonts w:ascii="宋体"/>
              </w:rPr>
            </w:pPr>
          </w:p>
        </w:tc>
        <w:tc>
          <w:tcPr>
            <w:tcW w:w="5" w:type="pct"/>
            <w:shd w:val="clear" w:color="auto" w:fill="auto"/>
          </w:tcPr>
          <w:p w14:paraId="1E804BB0" w14:textId="77777777" w:rsidR="00F20ABF" w:rsidRDefault="00F20ABF">
            <w:pPr>
              <w:rPr>
                <w:rFonts w:ascii="宋体"/>
              </w:rPr>
            </w:pPr>
          </w:p>
        </w:tc>
        <w:tc>
          <w:tcPr>
            <w:tcW w:w="5" w:type="pct"/>
            <w:shd w:val="clear" w:color="auto" w:fill="auto"/>
          </w:tcPr>
          <w:p w14:paraId="1E804BB1" w14:textId="77777777" w:rsidR="00F20ABF" w:rsidRDefault="00F20ABF">
            <w:pPr>
              <w:rPr>
                <w:rFonts w:ascii="宋体"/>
              </w:rPr>
            </w:pPr>
          </w:p>
        </w:tc>
        <w:tc>
          <w:tcPr>
            <w:tcW w:w="55" w:type="pct"/>
            <w:shd w:val="clear" w:color="auto" w:fill="auto"/>
          </w:tcPr>
          <w:p w14:paraId="1E804BB2" w14:textId="77777777" w:rsidR="00F20ABF" w:rsidRDefault="00F20ABF">
            <w:pPr>
              <w:rPr>
                <w:rFonts w:ascii="宋体"/>
              </w:rPr>
            </w:pPr>
          </w:p>
        </w:tc>
        <w:tc>
          <w:tcPr>
            <w:tcW w:w="5" w:type="pct"/>
            <w:shd w:val="clear" w:color="auto" w:fill="auto"/>
          </w:tcPr>
          <w:p w14:paraId="1E804BB3" w14:textId="77777777" w:rsidR="00F20ABF" w:rsidRDefault="00F20ABF">
            <w:pPr>
              <w:rPr>
                <w:rFonts w:ascii="宋体"/>
              </w:rPr>
            </w:pPr>
          </w:p>
        </w:tc>
        <w:tc>
          <w:tcPr>
            <w:tcW w:w="50" w:type="pct"/>
            <w:shd w:val="clear" w:color="auto" w:fill="auto"/>
          </w:tcPr>
          <w:p w14:paraId="1E804BB4" w14:textId="77777777" w:rsidR="00F20ABF" w:rsidRDefault="00F20ABF">
            <w:pPr>
              <w:rPr>
                <w:rFonts w:ascii="宋体"/>
              </w:rPr>
            </w:pPr>
          </w:p>
        </w:tc>
        <w:tc>
          <w:tcPr>
            <w:tcW w:w="676" w:type="pct"/>
            <w:shd w:val="clear" w:color="auto" w:fill="auto"/>
          </w:tcPr>
          <w:p w14:paraId="1E804BB5" w14:textId="77777777" w:rsidR="00F20ABF" w:rsidRDefault="00F20ABF">
            <w:pPr>
              <w:rPr>
                <w:rFonts w:ascii="宋体"/>
              </w:rPr>
            </w:pPr>
          </w:p>
        </w:tc>
        <w:tc>
          <w:tcPr>
            <w:tcW w:w="5" w:type="pct"/>
            <w:shd w:val="clear" w:color="auto" w:fill="auto"/>
          </w:tcPr>
          <w:p w14:paraId="1E804BB6" w14:textId="77777777" w:rsidR="00F20ABF" w:rsidRDefault="00F20ABF">
            <w:pPr>
              <w:rPr>
                <w:rFonts w:ascii="宋体"/>
              </w:rPr>
            </w:pPr>
          </w:p>
        </w:tc>
      </w:tr>
      <w:tr w:rsidR="00F20ABF" w14:paraId="1E804BBC" w14:textId="77777777">
        <w:tc>
          <w:tcPr>
            <w:tcW w:w="0" w:type="auto"/>
            <w:gridSpan w:val="3"/>
            <w:shd w:val="clear" w:color="auto" w:fill="auto"/>
            <w:tcMar>
              <w:top w:w="40" w:type="dxa"/>
              <w:left w:w="20" w:type="dxa"/>
              <w:bottom w:w="40" w:type="dxa"/>
              <w:right w:w="20" w:type="dxa"/>
            </w:tcMar>
            <w:vAlign w:val="bottom"/>
          </w:tcPr>
          <w:p w14:paraId="1E804BB8"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4BB9" w14:textId="77777777" w:rsidR="00F20ABF" w:rsidRDefault="00CA4D2F">
            <w:pPr>
              <w:jc w:val="center"/>
              <w:textAlignment w:val="bottom"/>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shd w:val="clear" w:color="auto" w:fill="auto"/>
            <w:tcMar>
              <w:top w:w="0" w:type="dxa"/>
              <w:left w:w="20" w:type="dxa"/>
              <w:bottom w:w="0" w:type="dxa"/>
              <w:right w:w="20" w:type="dxa"/>
            </w:tcMar>
          </w:tcPr>
          <w:p w14:paraId="1E804BBA"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BBB" w14:textId="77777777" w:rsidR="00F20ABF" w:rsidRDefault="00CA4D2F">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F20ABF" w14:paraId="1E804BC1" w14:textId="77777777">
        <w:trPr>
          <w:trHeight w:val="60"/>
        </w:trPr>
        <w:tc>
          <w:tcPr>
            <w:tcW w:w="0" w:type="auto"/>
            <w:gridSpan w:val="3"/>
            <w:shd w:val="clear" w:color="auto" w:fill="auto"/>
            <w:tcMar>
              <w:top w:w="0" w:type="dxa"/>
              <w:left w:w="20" w:type="dxa"/>
              <w:bottom w:w="0" w:type="dxa"/>
              <w:right w:w="20" w:type="dxa"/>
            </w:tcMar>
          </w:tcPr>
          <w:p w14:paraId="1E804BBD"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BBE"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BBF"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BC0" w14:textId="77777777" w:rsidR="00F20ABF" w:rsidRDefault="00F20ABF">
            <w:pPr>
              <w:rPr>
                <w:rFonts w:ascii="宋体"/>
              </w:rPr>
            </w:pPr>
          </w:p>
        </w:tc>
      </w:tr>
      <w:tr w:rsidR="00F20ABF" w14:paraId="1E804BC4" w14:textId="77777777">
        <w:tc>
          <w:tcPr>
            <w:tcW w:w="0" w:type="auto"/>
            <w:gridSpan w:val="3"/>
            <w:shd w:val="clear" w:color="auto" w:fill="auto"/>
            <w:tcMar>
              <w:top w:w="0" w:type="dxa"/>
              <w:left w:w="20" w:type="dxa"/>
              <w:bottom w:w="0" w:type="dxa"/>
              <w:right w:w="20" w:type="dxa"/>
            </w:tcMar>
          </w:tcPr>
          <w:p w14:paraId="1E804BC2"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4BC3"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BCD" w14:textId="77777777">
        <w:tc>
          <w:tcPr>
            <w:tcW w:w="0" w:type="auto"/>
            <w:gridSpan w:val="3"/>
            <w:shd w:val="clear" w:color="auto" w:fill="E2EFD9"/>
            <w:tcMar>
              <w:top w:w="40" w:type="dxa"/>
              <w:left w:w="20" w:type="dxa"/>
              <w:bottom w:w="40" w:type="dxa"/>
              <w:right w:w="20" w:type="dxa"/>
            </w:tcMar>
            <w:vAlign w:val="bottom"/>
          </w:tcPr>
          <w:p w14:paraId="1E804BC5" w14:textId="77777777" w:rsidR="00F20ABF" w:rsidRDefault="00CA4D2F">
            <w:pPr>
              <w:textAlignment w:val="bottom"/>
            </w:pPr>
            <w:r>
              <w:rPr>
                <w:rFonts w:ascii="sans-serif" w:eastAsia="sans-serif" w:hAnsi="sans-serif" w:cs="sans-serif"/>
                <w:color w:val="000000"/>
                <w:sz w:val="20"/>
                <w:szCs w:val="20"/>
              </w:rPr>
              <w:t>Designated as cash flow hedges</w:t>
            </w:r>
          </w:p>
        </w:tc>
        <w:tc>
          <w:tcPr>
            <w:tcW w:w="0" w:type="auto"/>
            <w:shd w:val="clear" w:color="auto" w:fill="E2EFD9"/>
            <w:tcMar>
              <w:top w:w="40" w:type="dxa"/>
              <w:left w:w="20" w:type="dxa"/>
              <w:bottom w:w="40" w:type="dxa"/>
              <w:right w:w="0" w:type="dxa"/>
            </w:tcMar>
            <w:vAlign w:val="bottom"/>
          </w:tcPr>
          <w:p w14:paraId="1E804BC6"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BC7" w14:textId="77777777" w:rsidR="00F20ABF" w:rsidRDefault="00CA4D2F">
            <w:pPr>
              <w:jc w:val="right"/>
              <w:textAlignment w:val="bottom"/>
            </w:pPr>
            <w:r>
              <w:rPr>
                <w:rFonts w:ascii="sans-serif" w:eastAsia="sans-serif" w:hAnsi="sans-serif" w:cs="sans-serif"/>
                <w:color w:val="000000"/>
                <w:sz w:val="20"/>
                <w:szCs w:val="20"/>
              </w:rPr>
              <w:t>744 </w:t>
            </w:r>
          </w:p>
        </w:tc>
        <w:tc>
          <w:tcPr>
            <w:tcW w:w="0" w:type="auto"/>
            <w:shd w:val="clear" w:color="auto" w:fill="E2EFD9"/>
            <w:tcMar>
              <w:top w:w="40" w:type="dxa"/>
              <w:left w:w="0" w:type="dxa"/>
              <w:bottom w:w="40" w:type="dxa"/>
              <w:right w:w="20" w:type="dxa"/>
            </w:tcMar>
            <w:vAlign w:val="bottom"/>
          </w:tcPr>
          <w:p w14:paraId="1E804BC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BC9"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BCA"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BCB" w14:textId="77777777" w:rsidR="00F20ABF" w:rsidRDefault="00CA4D2F">
            <w:pPr>
              <w:jc w:val="right"/>
              <w:textAlignment w:val="bottom"/>
            </w:pPr>
            <w:r>
              <w:rPr>
                <w:rFonts w:ascii="sans-serif" w:eastAsia="sans-serif" w:hAnsi="sans-serif" w:cs="sans-serif"/>
                <w:color w:val="000000"/>
                <w:sz w:val="20"/>
                <w:szCs w:val="20"/>
              </w:rPr>
              <w:t>428 </w:t>
            </w:r>
          </w:p>
        </w:tc>
        <w:tc>
          <w:tcPr>
            <w:tcW w:w="0" w:type="auto"/>
            <w:shd w:val="clear" w:color="auto" w:fill="E2EFD9"/>
            <w:tcMar>
              <w:top w:w="40" w:type="dxa"/>
              <w:left w:w="0" w:type="dxa"/>
              <w:bottom w:w="40" w:type="dxa"/>
              <w:right w:w="20" w:type="dxa"/>
            </w:tcMar>
            <w:vAlign w:val="bottom"/>
          </w:tcPr>
          <w:p w14:paraId="1E804BCC" w14:textId="77777777" w:rsidR="00F20ABF" w:rsidRDefault="00F20ABF">
            <w:pPr>
              <w:jc w:val="right"/>
              <w:rPr>
                <w:rFonts w:ascii="宋体"/>
              </w:rPr>
            </w:pPr>
          </w:p>
        </w:tc>
      </w:tr>
      <w:tr w:rsidR="00F20ABF" w14:paraId="1E804BD6" w14:textId="77777777">
        <w:tc>
          <w:tcPr>
            <w:tcW w:w="0" w:type="auto"/>
            <w:gridSpan w:val="3"/>
            <w:shd w:val="clear" w:color="auto" w:fill="FFFFFF"/>
            <w:tcMar>
              <w:top w:w="40" w:type="dxa"/>
              <w:left w:w="20" w:type="dxa"/>
              <w:bottom w:w="40" w:type="dxa"/>
              <w:right w:w="20" w:type="dxa"/>
            </w:tcMar>
            <w:vAlign w:val="bottom"/>
          </w:tcPr>
          <w:p w14:paraId="1E804BCE" w14:textId="77777777" w:rsidR="00F20ABF" w:rsidRDefault="00CA4D2F">
            <w:pPr>
              <w:textAlignment w:val="bottom"/>
            </w:pPr>
            <w:r>
              <w:rPr>
                <w:rFonts w:ascii="sans-serif" w:eastAsia="sans-serif" w:hAnsi="sans-serif" w:cs="sans-serif"/>
                <w:color w:val="000000"/>
                <w:sz w:val="20"/>
                <w:szCs w:val="20"/>
              </w:rPr>
              <w:t xml:space="preserve">Not designated for </w:t>
            </w:r>
            <w:r>
              <w:rPr>
                <w:rFonts w:ascii="sans-serif" w:eastAsia="sans-serif" w:hAnsi="sans-serif" w:cs="sans-serif"/>
                <w:color w:val="000000"/>
                <w:sz w:val="20"/>
                <w:szCs w:val="20"/>
              </w:rPr>
              <w:t>hedge accounting</w:t>
            </w:r>
          </w:p>
        </w:tc>
        <w:tc>
          <w:tcPr>
            <w:tcW w:w="0" w:type="auto"/>
            <w:shd w:val="clear" w:color="auto" w:fill="FFFFFF"/>
            <w:tcMar>
              <w:top w:w="40" w:type="dxa"/>
              <w:left w:w="20" w:type="dxa"/>
              <w:bottom w:w="40" w:type="dxa"/>
              <w:right w:w="0" w:type="dxa"/>
            </w:tcMar>
            <w:vAlign w:val="bottom"/>
          </w:tcPr>
          <w:p w14:paraId="1E804BCF"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BD0" w14:textId="77777777" w:rsidR="00F20ABF" w:rsidRDefault="00CA4D2F">
            <w:pPr>
              <w:jc w:val="right"/>
              <w:textAlignment w:val="bottom"/>
            </w:pPr>
            <w:r>
              <w:rPr>
                <w:rFonts w:ascii="sans-serif" w:eastAsia="sans-serif" w:hAnsi="sans-serif" w:cs="sans-serif"/>
                <w:color w:val="000000"/>
                <w:sz w:val="20"/>
                <w:szCs w:val="20"/>
              </w:rPr>
              <w:t>352 </w:t>
            </w:r>
          </w:p>
        </w:tc>
        <w:tc>
          <w:tcPr>
            <w:tcW w:w="0" w:type="auto"/>
            <w:shd w:val="clear" w:color="auto" w:fill="FFFFFF"/>
            <w:tcMar>
              <w:top w:w="40" w:type="dxa"/>
              <w:left w:w="0" w:type="dxa"/>
              <w:bottom w:w="40" w:type="dxa"/>
              <w:right w:w="20" w:type="dxa"/>
            </w:tcMar>
            <w:vAlign w:val="bottom"/>
          </w:tcPr>
          <w:p w14:paraId="1E804BD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BD2"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BD3"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BD4" w14:textId="77777777" w:rsidR="00F20ABF" w:rsidRDefault="00CA4D2F">
            <w:pPr>
              <w:jc w:val="right"/>
              <w:textAlignment w:val="bottom"/>
            </w:pPr>
            <w:r>
              <w:rPr>
                <w:rFonts w:ascii="sans-serif" w:eastAsia="sans-serif" w:hAnsi="sans-serif" w:cs="sans-serif"/>
                <w:color w:val="000000"/>
                <w:sz w:val="20"/>
                <w:szCs w:val="20"/>
              </w:rPr>
              <w:t>287 </w:t>
            </w:r>
          </w:p>
        </w:tc>
        <w:tc>
          <w:tcPr>
            <w:tcW w:w="0" w:type="auto"/>
            <w:shd w:val="clear" w:color="auto" w:fill="FFFFFF"/>
            <w:tcMar>
              <w:top w:w="40" w:type="dxa"/>
              <w:left w:w="0" w:type="dxa"/>
              <w:bottom w:w="40" w:type="dxa"/>
              <w:right w:w="20" w:type="dxa"/>
            </w:tcMar>
            <w:vAlign w:val="bottom"/>
          </w:tcPr>
          <w:p w14:paraId="1E804BD5" w14:textId="77777777" w:rsidR="00F20ABF" w:rsidRDefault="00F20ABF">
            <w:pPr>
              <w:jc w:val="right"/>
              <w:rPr>
                <w:rFonts w:ascii="宋体"/>
              </w:rPr>
            </w:pPr>
          </w:p>
        </w:tc>
      </w:tr>
    </w:tbl>
    <w:p w14:paraId="1E804BD7" w14:textId="77777777" w:rsidR="00F20ABF" w:rsidRDefault="00CA4D2F">
      <w:pPr>
        <w:spacing w:before="180" w:after="180"/>
        <w:jc w:val="both"/>
      </w:pPr>
      <w:r>
        <w:rPr>
          <w:rFonts w:ascii="sans-serif" w:eastAsia="sans-serif" w:hAnsi="sans-serif" w:cs="sans-serif"/>
          <w:color w:val="000000"/>
          <w:sz w:val="20"/>
          <w:szCs w:val="20"/>
        </w:rPr>
        <w:t xml:space="preserve">As of October 25, 2020, all designated foreign currency forward contracts mature within eighteen months. The expected realized gains and losses deferred into accumulated other comprehensive income or loss related to </w:t>
      </w:r>
      <w:r>
        <w:rPr>
          <w:rFonts w:ascii="sans-serif" w:eastAsia="sans-serif" w:hAnsi="sans-serif" w:cs="sans-serif"/>
          <w:color w:val="000000"/>
          <w:sz w:val="20"/>
          <w:szCs w:val="20"/>
        </w:rPr>
        <w:t>foreign currency forward contracts within the next twelve months was not significant.</w:t>
      </w:r>
    </w:p>
    <w:p w14:paraId="1E804BD8" w14:textId="77777777" w:rsidR="00F20ABF" w:rsidRDefault="00CA4D2F">
      <w:pPr>
        <w:spacing w:after="180"/>
        <w:jc w:val="both"/>
      </w:pPr>
      <w:r>
        <w:rPr>
          <w:rFonts w:ascii="sans-serif" w:eastAsia="sans-serif" w:hAnsi="sans-serif" w:cs="sans-serif"/>
          <w:color w:val="000000"/>
          <w:sz w:val="20"/>
          <w:szCs w:val="20"/>
        </w:rPr>
        <w:t>During the first nine months of fiscal years 2021 and 2020, the impact of derivative financial instruments designated for hedge accounting treatment on other comprehensiv</w:t>
      </w:r>
      <w:r>
        <w:rPr>
          <w:rFonts w:ascii="sans-serif" w:eastAsia="sans-serif" w:hAnsi="sans-serif" w:cs="sans-serif"/>
          <w:color w:val="000000"/>
          <w:sz w:val="20"/>
          <w:szCs w:val="20"/>
        </w:rPr>
        <w:t>e income or loss was not significant and all such instruments were determined to be highly effective. Therefore, there were no gains or losses associated with ineffectiveness.</w:t>
      </w:r>
    </w:p>
    <w:p w14:paraId="1E804BD9" w14:textId="77777777" w:rsidR="00F20ABF" w:rsidRDefault="00CA4D2F">
      <w:pPr>
        <w:spacing w:before="240" w:after="120"/>
        <w:jc w:val="both"/>
      </w:pPr>
      <w:r>
        <w:rPr>
          <w:rFonts w:ascii="sans-serif" w:eastAsia="sans-serif" w:hAnsi="sans-serif" w:cs="sans-serif"/>
          <w:b/>
          <w:bCs/>
          <w:color w:val="76B900"/>
          <w:sz w:val="22"/>
          <w:szCs w:val="22"/>
        </w:rPr>
        <w:t>Note 12 - Debt</w:t>
      </w:r>
    </w:p>
    <w:p w14:paraId="1E804BDA" w14:textId="77777777" w:rsidR="00F20ABF" w:rsidRDefault="00CA4D2F">
      <w:pPr>
        <w:spacing w:before="240" w:after="60"/>
        <w:jc w:val="both"/>
      </w:pPr>
      <w:r>
        <w:rPr>
          <w:rFonts w:ascii="sans-serif" w:eastAsia="sans-serif" w:hAnsi="sans-serif" w:cs="sans-serif"/>
          <w:b/>
          <w:bCs/>
          <w:color w:val="76B900"/>
          <w:sz w:val="20"/>
          <w:szCs w:val="20"/>
        </w:rPr>
        <w:t>Long-Term Debt</w:t>
      </w:r>
    </w:p>
    <w:p w14:paraId="1E804BDB" w14:textId="77777777" w:rsidR="00F20ABF" w:rsidRDefault="00CA4D2F">
      <w:pPr>
        <w:spacing w:before="120" w:after="120"/>
        <w:jc w:val="both"/>
      </w:pPr>
      <w:r>
        <w:rPr>
          <w:rFonts w:ascii="sans-serif" w:eastAsia="sans-serif" w:hAnsi="sans-serif" w:cs="sans-serif"/>
          <w:color w:val="000000"/>
          <w:sz w:val="20"/>
          <w:szCs w:val="20"/>
        </w:rPr>
        <w:t xml:space="preserve">In March 2020, we issued </w:t>
      </w:r>
      <w:r>
        <w:rPr>
          <w:rFonts w:ascii="sans-serif" w:eastAsia="sans-serif" w:hAnsi="sans-serif" w:cs="sans-serif"/>
          <w:color w:val="000000"/>
          <w:sz w:val="20"/>
          <w:szCs w:val="20"/>
        </w:rPr>
        <w:t>$1.50 billion of the 2.85% Notes Due 2030, $1.00 billion of the 3.50% Notes Due 2040, $2.00 billion of the 3.50% Notes Due 2050, and $500 million of the 3.70% Notes Due 2060, or collectively, the March 2020 Notes. Interest on the March 2020 Notes is payabl</w:t>
      </w:r>
      <w:r>
        <w:rPr>
          <w:rFonts w:ascii="sans-serif" w:eastAsia="sans-serif" w:hAnsi="sans-serif" w:cs="sans-serif"/>
          <w:color w:val="000000"/>
          <w:sz w:val="20"/>
          <w:szCs w:val="20"/>
        </w:rPr>
        <w:t>e on April 1 and October 1 of each year, beginning on October 1, 2020. Upon 30 days' notice to holders of the Notes, we may redeem the Notes for cash prior to maturity, at redemption prices that include accrued and unpaid interest, if any, and a make-whole</w:t>
      </w:r>
      <w:r>
        <w:rPr>
          <w:rFonts w:ascii="sans-serif" w:eastAsia="sans-serif" w:hAnsi="sans-serif" w:cs="sans-serif"/>
          <w:color w:val="000000"/>
          <w:sz w:val="20"/>
          <w:szCs w:val="20"/>
        </w:rPr>
        <w:t xml:space="preserve"> premium. However, no make-whole premium will be paid for redemptions of the Notes Due 2030 on or after January 1, 2030, the Notes Due 2040 on or after October 1, 2039, the Notes Due 2050 on or after October 1, 2049, or the Notes Due 2060 on or after Octob</w:t>
      </w:r>
      <w:r>
        <w:rPr>
          <w:rFonts w:ascii="sans-serif" w:eastAsia="sans-serif" w:hAnsi="sans-serif" w:cs="sans-serif"/>
          <w:color w:val="000000"/>
          <w:sz w:val="20"/>
          <w:szCs w:val="20"/>
        </w:rPr>
        <w:t>er 1, 2059. The net proceeds from the March 2020 Notes were $4.97 billion, after deducting debt discount and issuance costs.</w:t>
      </w:r>
    </w:p>
    <w:p w14:paraId="1E804BDC" w14:textId="77777777" w:rsidR="00F20ABF" w:rsidRDefault="00CA4D2F">
      <w:pPr>
        <w:spacing w:before="120" w:after="120"/>
        <w:jc w:val="both"/>
      </w:pPr>
      <w:r>
        <w:rPr>
          <w:rFonts w:ascii="sans-serif" w:eastAsia="sans-serif" w:hAnsi="sans-serif" w:cs="sans-serif"/>
          <w:color w:val="000000"/>
          <w:sz w:val="20"/>
          <w:szCs w:val="20"/>
        </w:rPr>
        <w:t>In September 2016, we issued $1.00 billion of the 2.20% Notes Due 2021 and $1.00 billion of the 3.20% Notes Due 2026, or collective</w:t>
      </w:r>
      <w:r>
        <w:rPr>
          <w:rFonts w:ascii="sans-serif" w:eastAsia="sans-serif" w:hAnsi="sans-serif" w:cs="sans-serif"/>
          <w:color w:val="000000"/>
          <w:sz w:val="20"/>
          <w:szCs w:val="20"/>
        </w:rPr>
        <w:t>ly, the September 2016 Notes. Interest on the September 2016 Notes is payable on March 16 and September 16 of each year. Upon 30 days' notice to holders of the Notes, we may redeem the Notes for cash prior to maturity, at redemption prices that include acc</w:t>
      </w:r>
      <w:r>
        <w:rPr>
          <w:rFonts w:ascii="sans-serif" w:eastAsia="sans-serif" w:hAnsi="sans-serif" w:cs="sans-serif"/>
          <w:color w:val="000000"/>
          <w:sz w:val="20"/>
          <w:szCs w:val="20"/>
        </w:rPr>
        <w:t>rued and unpaid interest, if any, and a make-whole premium. However, no make-</w:t>
      </w:r>
    </w:p>
    <w:p w14:paraId="1E804BDD" w14:textId="77777777" w:rsidR="00F20ABF" w:rsidRDefault="00CA4D2F">
      <w:pPr>
        <w:spacing w:after="180"/>
        <w:jc w:val="center"/>
      </w:pPr>
      <w:r>
        <w:rPr>
          <w:rFonts w:ascii="sans-serif" w:eastAsia="sans-serif" w:hAnsi="sans-serif" w:cs="sans-serif"/>
          <w:color w:val="000000"/>
          <w:sz w:val="20"/>
          <w:szCs w:val="20"/>
        </w:rPr>
        <w:t>20</w:t>
      </w:r>
    </w:p>
    <w:p w14:paraId="1E804BDE" w14:textId="77777777" w:rsidR="00F20ABF" w:rsidRDefault="00CA4D2F">
      <w:r>
        <w:pict w14:anchorId="1E80558F">
          <v:rect id="_x0000_i1044" style="width:415.3pt;height:1.5pt" o:hralign="center" o:hrstd="t" o:hr="t" fillcolor="#a0a0a0" stroked="f"/>
        </w:pict>
      </w:r>
    </w:p>
    <w:p w14:paraId="1E804BDF" w14:textId="77777777" w:rsidR="00F20ABF" w:rsidRDefault="00CA4D2F">
      <w:pPr>
        <w:jc w:val="center"/>
      </w:pPr>
      <w:r>
        <w:rPr>
          <w:rFonts w:ascii="sans-serif" w:eastAsia="sans-serif" w:hAnsi="sans-serif" w:cs="sans-serif"/>
          <w:b/>
          <w:bCs/>
          <w:color w:val="000000"/>
          <w:sz w:val="20"/>
          <w:szCs w:val="20"/>
        </w:rPr>
        <w:t>NVIDIA CORPORATION AND SUBSIDIARIES</w:t>
      </w:r>
    </w:p>
    <w:p w14:paraId="1E804BE0" w14:textId="77777777" w:rsidR="00F20ABF" w:rsidRDefault="00CA4D2F">
      <w:pPr>
        <w:jc w:val="center"/>
      </w:pPr>
      <w:r>
        <w:rPr>
          <w:rFonts w:ascii="sans-serif" w:eastAsia="sans-serif" w:hAnsi="sans-serif" w:cs="sans-serif"/>
          <w:b/>
          <w:bCs/>
          <w:color w:val="000000"/>
          <w:sz w:val="20"/>
          <w:szCs w:val="20"/>
        </w:rPr>
        <w:t>NOTES TO CONDENSED CONSOLIDATED FINANCIAL STATEMENTS (Continued)</w:t>
      </w:r>
    </w:p>
    <w:p w14:paraId="1E804BE1" w14:textId="77777777" w:rsidR="00F20ABF" w:rsidRDefault="00CA4D2F">
      <w:pPr>
        <w:jc w:val="center"/>
      </w:pPr>
      <w:r>
        <w:rPr>
          <w:rFonts w:ascii="sans-serif" w:eastAsia="sans-serif" w:hAnsi="sans-serif" w:cs="sans-serif"/>
          <w:b/>
          <w:bCs/>
          <w:color w:val="000000"/>
          <w:sz w:val="20"/>
          <w:szCs w:val="20"/>
        </w:rPr>
        <w:t>(Unaudited)</w:t>
      </w:r>
    </w:p>
    <w:p w14:paraId="1E804BE2" w14:textId="77777777" w:rsidR="00F20ABF" w:rsidRDefault="00F20ABF">
      <w:pPr>
        <w:spacing w:after="180"/>
        <w:jc w:val="both"/>
      </w:pPr>
    </w:p>
    <w:p w14:paraId="1E804BE3" w14:textId="77777777" w:rsidR="00F20ABF" w:rsidRDefault="00F20ABF">
      <w:pPr>
        <w:spacing w:after="180"/>
        <w:jc w:val="both"/>
      </w:pPr>
    </w:p>
    <w:p w14:paraId="1E804BE4" w14:textId="77777777" w:rsidR="00F20ABF" w:rsidRDefault="00CA4D2F">
      <w:pPr>
        <w:spacing w:before="120" w:after="120"/>
        <w:jc w:val="both"/>
      </w:pPr>
      <w:r>
        <w:rPr>
          <w:rFonts w:ascii="sans-serif" w:eastAsia="sans-serif" w:hAnsi="sans-serif" w:cs="sans-serif"/>
          <w:color w:val="000000"/>
          <w:sz w:val="20"/>
          <w:szCs w:val="20"/>
        </w:rPr>
        <w:t xml:space="preserve">whole premium will be paid for redemptions of the </w:t>
      </w:r>
      <w:r>
        <w:rPr>
          <w:rFonts w:ascii="sans-serif" w:eastAsia="sans-serif" w:hAnsi="sans-serif" w:cs="sans-serif"/>
          <w:color w:val="000000"/>
          <w:sz w:val="20"/>
          <w:szCs w:val="20"/>
        </w:rPr>
        <w:t>Notes Due 2021 on or after August 16, 2021, or for redemptions of the Notes Due 2026 on or after June 16, 2026. The net proceeds from the September 2016 Notes were $1.98 billion, after deducting debt discount and issuance costs.</w:t>
      </w:r>
    </w:p>
    <w:p w14:paraId="1E804BE5" w14:textId="77777777" w:rsidR="00F20ABF" w:rsidRDefault="00CA4D2F">
      <w:pPr>
        <w:spacing w:before="120" w:after="120"/>
        <w:jc w:val="both"/>
      </w:pPr>
      <w:r>
        <w:rPr>
          <w:rFonts w:ascii="sans-serif" w:eastAsia="sans-serif" w:hAnsi="sans-serif" w:cs="sans-serif"/>
          <w:color w:val="000000"/>
          <w:sz w:val="20"/>
          <w:szCs w:val="20"/>
        </w:rPr>
        <w:t>Both the September 2016 Not</w:t>
      </w:r>
      <w:r>
        <w:rPr>
          <w:rFonts w:ascii="sans-serif" w:eastAsia="sans-serif" w:hAnsi="sans-serif" w:cs="sans-serif"/>
          <w:color w:val="000000"/>
          <w:sz w:val="20"/>
          <w:szCs w:val="20"/>
        </w:rPr>
        <w:t>es and the March 2020 Notes, or collectively, the Notes, are our unsecured senior obligations and rank equally in right of payment with all existing and future unsecured and unsubordinated indebtedness. The Notes are structurally subordinated to the liabil</w:t>
      </w:r>
      <w:r>
        <w:rPr>
          <w:rFonts w:ascii="sans-serif" w:eastAsia="sans-serif" w:hAnsi="sans-serif" w:cs="sans-serif"/>
          <w:color w:val="000000"/>
          <w:sz w:val="20"/>
          <w:szCs w:val="20"/>
        </w:rPr>
        <w:t>ities of our subsidiaries and are effectively subordinated to any secured indebtedness to the extent of the value of the assets securing such indebtedness. All existing and future liabilities of our subsidiaries will be effectively senior to the Notes.</w:t>
      </w:r>
    </w:p>
    <w:p w14:paraId="1E804BE6" w14:textId="77777777" w:rsidR="00F20ABF" w:rsidRDefault="00CA4D2F">
      <w:pPr>
        <w:spacing w:after="180"/>
        <w:jc w:val="both"/>
      </w:pPr>
      <w:r>
        <w:rPr>
          <w:rFonts w:ascii="sans-serif" w:eastAsia="sans-serif" w:hAnsi="sans-serif" w:cs="sans-serif"/>
          <w:color w:val="000000"/>
          <w:sz w:val="20"/>
          <w:szCs w:val="20"/>
        </w:rPr>
        <w:t>The</w:t>
      </w:r>
      <w:r>
        <w:rPr>
          <w:rFonts w:ascii="sans-serif" w:eastAsia="sans-serif" w:hAnsi="sans-serif" w:cs="sans-serif"/>
          <w:color w:val="000000"/>
          <w:sz w:val="20"/>
          <w:szCs w:val="20"/>
        </w:rPr>
        <w:t xml:space="preserve"> carrying value of the Notes and the associated interest rates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3711"/>
        <w:gridCol w:w="37"/>
        <w:gridCol w:w="36"/>
        <w:gridCol w:w="36"/>
        <w:gridCol w:w="36"/>
        <w:gridCol w:w="66"/>
        <w:gridCol w:w="993"/>
        <w:gridCol w:w="36"/>
        <w:gridCol w:w="36"/>
        <w:gridCol w:w="36"/>
        <w:gridCol w:w="36"/>
        <w:gridCol w:w="62"/>
        <w:gridCol w:w="889"/>
        <w:gridCol w:w="36"/>
        <w:gridCol w:w="36"/>
        <w:gridCol w:w="36"/>
        <w:gridCol w:w="36"/>
        <w:gridCol w:w="123"/>
        <w:gridCol w:w="855"/>
        <w:gridCol w:w="36"/>
        <w:gridCol w:w="36"/>
        <w:gridCol w:w="36"/>
        <w:gridCol w:w="36"/>
        <w:gridCol w:w="123"/>
        <w:gridCol w:w="855"/>
        <w:gridCol w:w="36"/>
      </w:tblGrid>
      <w:tr w:rsidR="00F20ABF" w14:paraId="1E804C02" w14:textId="77777777">
        <w:trPr>
          <w:jc w:val="center"/>
        </w:trPr>
        <w:tc>
          <w:tcPr>
            <w:tcW w:w="50" w:type="pct"/>
            <w:shd w:val="clear" w:color="auto" w:fill="auto"/>
          </w:tcPr>
          <w:p w14:paraId="1E804BE7" w14:textId="77777777" w:rsidR="00F20ABF" w:rsidRDefault="00F20ABF">
            <w:pPr>
              <w:rPr>
                <w:rFonts w:ascii="宋体"/>
              </w:rPr>
            </w:pPr>
          </w:p>
        </w:tc>
        <w:tc>
          <w:tcPr>
            <w:tcW w:w="2247" w:type="pct"/>
            <w:shd w:val="clear" w:color="auto" w:fill="auto"/>
          </w:tcPr>
          <w:p w14:paraId="1E804BE8" w14:textId="77777777" w:rsidR="00F20ABF" w:rsidRDefault="00F20ABF">
            <w:pPr>
              <w:rPr>
                <w:rFonts w:ascii="宋体"/>
              </w:rPr>
            </w:pPr>
          </w:p>
        </w:tc>
        <w:tc>
          <w:tcPr>
            <w:tcW w:w="5" w:type="pct"/>
            <w:shd w:val="clear" w:color="auto" w:fill="auto"/>
          </w:tcPr>
          <w:p w14:paraId="1E804BE9" w14:textId="77777777" w:rsidR="00F20ABF" w:rsidRDefault="00F20ABF">
            <w:pPr>
              <w:rPr>
                <w:rFonts w:ascii="宋体"/>
              </w:rPr>
            </w:pPr>
          </w:p>
        </w:tc>
        <w:tc>
          <w:tcPr>
            <w:tcW w:w="5" w:type="pct"/>
            <w:shd w:val="clear" w:color="auto" w:fill="auto"/>
          </w:tcPr>
          <w:p w14:paraId="1E804BEA" w14:textId="77777777" w:rsidR="00F20ABF" w:rsidRDefault="00F20ABF">
            <w:pPr>
              <w:rPr>
                <w:rFonts w:ascii="宋体"/>
              </w:rPr>
            </w:pPr>
          </w:p>
        </w:tc>
        <w:tc>
          <w:tcPr>
            <w:tcW w:w="26" w:type="pct"/>
            <w:shd w:val="clear" w:color="auto" w:fill="auto"/>
          </w:tcPr>
          <w:p w14:paraId="1E804BEB" w14:textId="77777777" w:rsidR="00F20ABF" w:rsidRDefault="00F20ABF">
            <w:pPr>
              <w:rPr>
                <w:rFonts w:ascii="宋体"/>
              </w:rPr>
            </w:pPr>
          </w:p>
        </w:tc>
        <w:tc>
          <w:tcPr>
            <w:tcW w:w="5" w:type="pct"/>
            <w:shd w:val="clear" w:color="auto" w:fill="auto"/>
          </w:tcPr>
          <w:p w14:paraId="1E804BEC" w14:textId="77777777" w:rsidR="00F20ABF" w:rsidRDefault="00F20ABF">
            <w:pPr>
              <w:rPr>
                <w:rFonts w:ascii="宋体"/>
              </w:rPr>
            </w:pPr>
          </w:p>
        </w:tc>
        <w:tc>
          <w:tcPr>
            <w:tcW w:w="50" w:type="pct"/>
            <w:shd w:val="clear" w:color="auto" w:fill="auto"/>
          </w:tcPr>
          <w:p w14:paraId="1E804BED" w14:textId="77777777" w:rsidR="00F20ABF" w:rsidRDefault="00F20ABF">
            <w:pPr>
              <w:rPr>
                <w:rFonts w:ascii="宋体"/>
              </w:rPr>
            </w:pPr>
          </w:p>
        </w:tc>
        <w:tc>
          <w:tcPr>
            <w:tcW w:w="646" w:type="pct"/>
            <w:shd w:val="clear" w:color="auto" w:fill="auto"/>
          </w:tcPr>
          <w:p w14:paraId="1E804BEE" w14:textId="77777777" w:rsidR="00F20ABF" w:rsidRDefault="00F20ABF">
            <w:pPr>
              <w:rPr>
                <w:rFonts w:ascii="宋体"/>
              </w:rPr>
            </w:pPr>
          </w:p>
        </w:tc>
        <w:tc>
          <w:tcPr>
            <w:tcW w:w="5" w:type="pct"/>
            <w:shd w:val="clear" w:color="auto" w:fill="auto"/>
          </w:tcPr>
          <w:p w14:paraId="1E804BEF" w14:textId="77777777" w:rsidR="00F20ABF" w:rsidRDefault="00F20ABF">
            <w:pPr>
              <w:rPr>
                <w:rFonts w:ascii="宋体"/>
              </w:rPr>
            </w:pPr>
          </w:p>
        </w:tc>
        <w:tc>
          <w:tcPr>
            <w:tcW w:w="5" w:type="pct"/>
            <w:shd w:val="clear" w:color="auto" w:fill="auto"/>
          </w:tcPr>
          <w:p w14:paraId="1E804BF0" w14:textId="77777777" w:rsidR="00F20ABF" w:rsidRDefault="00F20ABF">
            <w:pPr>
              <w:rPr>
                <w:rFonts w:ascii="宋体"/>
              </w:rPr>
            </w:pPr>
          </w:p>
        </w:tc>
        <w:tc>
          <w:tcPr>
            <w:tcW w:w="41" w:type="pct"/>
            <w:shd w:val="clear" w:color="auto" w:fill="auto"/>
          </w:tcPr>
          <w:p w14:paraId="1E804BF1" w14:textId="77777777" w:rsidR="00F20ABF" w:rsidRDefault="00F20ABF">
            <w:pPr>
              <w:rPr>
                <w:rFonts w:ascii="宋体"/>
              </w:rPr>
            </w:pPr>
          </w:p>
        </w:tc>
        <w:tc>
          <w:tcPr>
            <w:tcW w:w="5" w:type="pct"/>
            <w:shd w:val="clear" w:color="auto" w:fill="auto"/>
          </w:tcPr>
          <w:p w14:paraId="1E804BF2" w14:textId="77777777" w:rsidR="00F20ABF" w:rsidRDefault="00F20ABF">
            <w:pPr>
              <w:rPr>
                <w:rFonts w:ascii="宋体"/>
              </w:rPr>
            </w:pPr>
          </w:p>
        </w:tc>
        <w:tc>
          <w:tcPr>
            <w:tcW w:w="50" w:type="pct"/>
            <w:shd w:val="clear" w:color="auto" w:fill="auto"/>
          </w:tcPr>
          <w:p w14:paraId="1E804BF3" w14:textId="77777777" w:rsidR="00F20ABF" w:rsidRDefault="00F20ABF">
            <w:pPr>
              <w:rPr>
                <w:rFonts w:ascii="宋体"/>
              </w:rPr>
            </w:pPr>
          </w:p>
        </w:tc>
        <w:tc>
          <w:tcPr>
            <w:tcW w:w="566" w:type="pct"/>
            <w:shd w:val="clear" w:color="auto" w:fill="auto"/>
          </w:tcPr>
          <w:p w14:paraId="1E804BF4" w14:textId="77777777" w:rsidR="00F20ABF" w:rsidRDefault="00F20ABF">
            <w:pPr>
              <w:rPr>
                <w:rFonts w:ascii="宋体"/>
              </w:rPr>
            </w:pPr>
          </w:p>
        </w:tc>
        <w:tc>
          <w:tcPr>
            <w:tcW w:w="5" w:type="pct"/>
            <w:shd w:val="clear" w:color="auto" w:fill="auto"/>
          </w:tcPr>
          <w:p w14:paraId="1E804BF5" w14:textId="77777777" w:rsidR="00F20ABF" w:rsidRDefault="00F20ABF">
            <w:pPr>
              <w:rPr>
                <w:rFonts w:ascii="宋体"/>
              </w:rPr>
            </w:pPr>
          </w:p>
        </w:tc>
        <w:tc>
          <w:tcPr>
            <w:tcW w:w="5" w:type="pct"/>
            <w:shd w:val="clear" w:color="auto" w:fill="auto"/>
          </w:tcPr>
          <w:p w14:paraId="1E804BF6" w14:textId="77777777" w:rsidR="00F20ABF" w:rsidRDefault="00F20ABF">
            <w:pPr>
              <w:rPr>
                <w:rFonts w:ascii="宋体"/>
              </w:rPr>
            </w:pPr>
          </w:p>
        </w:tc>
        <w:tc>
          <w:tcPr>
            <w:tcW w:w="41" w:type="pct"/>
            <w:shd w:val="clear" w:color="auto" w:fill="auto"/>
          </w:tcPr>
          <w:p w14:paraId="1E804BF7" w14:textId="77777777" w:rsidR="00F20ABF" w:rsidRDefault="00F20ABF">
            <w:pPr>
              <w:rPr>
                <w:rFonts w:ascii="宋体"/>
              </w:rPr>
            </w:pPr>
          </w:p>
        </w:tc>
        <w:tc>
          <w:tcPr>
            <w:tcW w:w="5" w:type="pct"/>
            <w:shd w:val="clear" w:color="auto" w:fill="auto"/>
          </w:tcPr>
          <w:p w14:paraId="1E804BF8" w14:textId="77777777" w:rsidR="00F20ABF" w:rsidRDefault="00F20ABF">
            <w:pPr>
              <w:rPr>
                <w:rFonts w:ascii="宋体"/>
              </w:rPr>
            </w:pPr>
          </w:p>
        </w:tc>
        <w:tc>
          <w:tcPr>
            <w:tcW w:w="50" w:type="pct"/>
            <w:shd w:val="clear" w:color="auto" w:fill="auto"/>
          </w:tcPr>
          <w:p w14:paraId="1E804BF9" w14:textId="77777777" w:rsidR="00F20ABF" w:rsidRDefault="00F20ABF">
            <w:pPr>
              <w:rPr>
                <w:rFonts w:ascii="宋体"/>
              </w:rPr>
            </w:pPr>
          </w:p>
        </w:tc>
        <w:tc>
          <w:tcPr>
            <w:tcW w:w="537" w:type="pct"/>
            <w:shd w:val="clear" w:color="auto" w:fill="auto"/>
          </w:tcPr>
          <w:p w14:paraId="1E804BFA" w14:textId="77777777" w:rsidR="00F20ABF" w:rsidRDefault="00F20ABF">
            <w:pPr>
              <w:rPr>
                <w:rFonts w:ascii="宋体"/>
              </w:rPr>
            </w:pPr>
          </w:p>
        </w:tc>
        <w:tc>
          <w:tcPr>
            <w:tcW w:w="5" w:type="pct"/>
            <w:shd w:val="clear" w:color="auto" w:fill="auto"/>
          </w:tcPr>
          <w:p w14:paraId="1E804BFB" w14:textId="77777777" w:rsidR="00F20ABF" w:rsidRDefault="00F20ABF">
            <w:pPr>
              <w:rPr>
                <w:rFonts w:ascii="宋体"/>
              </w:rPr>
            </w:pPr>
          </w:p>
        </w:tc>
        <w:tc>
          <w:tcPr>
            <w:tcW w:w="5" w:type="pct"/>
            <w:shd w:val="clear" w:color="auto" w:fill="auto"/>
          </w:tcPr>
          <w:p w14:paraId="1E804BFC" w14:textId="77777777" w:rsidR="00F20ABF" w:rsidRDefault="00F20ABF">
            <w:pPr>
              <w:rPr>
                <w:rFonts w:ascii="宋体"/>
              </w:rPr>
            </w:pPr>
          </w:p>
        </w:tc>
        <w:tc>
          <w:tcPr>
            <w:tcW w:w="41" w:type="pct"/>
            <w:shd w:val="clear" w:color="auto" w:fill="auto"/>
          </w:tcPr>
          <w:p w14:paraId="1E804BFD" w14:textId="77777777" w:rsidR="00F20ABF" w:rsidRDefault="00F20ABF">
            <w:pPr>
              <w:rPr>
                <w:rFonts w:ascii="宋体"/>
              </w:rPr>
            </w:pPr>
          </w:p>
        </w:tc>
        <w:tc>
          <w:tcPr>
            <w:tcW w:w="5" w:type="pct"/>
            <w:shd w:val="clear" w:color="auto" w:fill="auto"/>
          </w:tcPr>
          <w:p w14:paraId="1E804BFE" w14:textId="77777777" w:rsidR="00F20ABF" w:rsidRDefault="00F20ABF">
            <w:pPr>
              <w:rPr>
                <w:rFonts w:ascii="宋体"/>
              </w:rPr>
            </w:pPr>
          </w:p>
        </w:tc>
        <w:tc>
          <w:tcPr>
            <w:tcW w:w="50" w:type="pct"/>
            <w:shd w:val="clear" w:color="auto" w:fill="auto"/>
          </w:tcPr>
          <w:p w14:paraId="1E804BFF" w14:textId="77777777" w:rsidR="00F20ABF" w:rsidRDefault="00F20ABF">
            <w:pPr>
              <w:rPr>
                <w:rFonts w:ascii="宋体"/>
              </w:rPr>
            </w:pPr>
          </w:p>
        </w:tc>
        <w:tc>
          <w:tcPr>
            <w:tcW w:w="537" w:type="pct"/>
            <w:shd w:val="clear" w:color="auto" w:fill="auto"/>
          </w:tcPr>
          <w:p w14:paraId="1E804C00" w14:textId="77777777" w:rsidR="00F20ABF" w:rsidRDefault="00F20ABF">
            <w:pPr>
              <w:rPr>
                <w:rFonts w:ascii="宋体"/>
              </w:rPr>
            </w:pPr>
          </w:p>
        </w:tc>
        <w:tc>
          <w:tcPr>
            <w:tcW w:w="5" w:type="pct"/>
            <w:shd w:val="clear" w:color="auto" w:fill="auto"/>
          </w:tcPr>
          <w:p w14:paraId="1E804C01" w14:textId="77777777" w:rsidR="00F20ABF" w:rsidRDefault="00F20ABF">
            <w:pPr>
              <w:rPr>
                <w:rFonts w:ascii="宋体"/>
              </w:rPr>
            </w:pPr>
          </w:p>
        </w:tc>
      </w:tr>
      <w:tr w:rsidR="00F20ABF" w14:paraId="1E804C0D" w14:textId="77777777">
        <w:trPr>
          <w:jc w:val="center"/>
        </w:trPr>
        <w:tc>
          <w:tcPr>
            <w:tcW w:w="0" w:type="auto"/>
            <w:gridSpan w:val="3"/>
            <w:shd w:val="clear" w:color="auto" w:fill="auto"/>
            <w:tcMar>
              <w:top w:w="0" w:type="dxa"/>
              <w:left w:w="20" w:type="dxa"/>
              <w:bottom w:w="0" w:type="dxa"/>
              <w:right w:w="20" w:type="dxa"/>
            </w:tcMar>
          </w:tcPr>
          <w:p w14:paraId="1E804C03"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C04"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C05" w14:textId="77777777" w:rsidR="00F20ABF" w:rsidRDefault="00CA4D2F">
            <w:pPr>
              <w:jc w:val="center"/>
              <w:textAlignment w:val="bottom"/>
            </w:pPr>
            <w:r>
              <w:rPr>
                <w:rFonts w:ascii="sans-serif" w:eastAsia="sans-serif" w:hAnsi="sans-serif" w:cs="sans-serif"/>
                <w:b/>
                <w:bCs/>
                <w:color w:val="000000"/>
                <w:sz w:val="20"/>
                <w:szCs w:val="20"/>
              </w:rPr>
              <w:t>Expected</w:t>
            </w:r>
          </w:p>
          <w:p w14:paraId="1E804C06" w14:textId="77777777" w:rsidR="00F20ABF" w:rsidRDefault="00CA4D2F">
            <w:pPr>
              <w:jc w:val="center"/>
              <w:textAlignment w:val="bottom"/>
            </w:pPr>
            <w:r>
              <w:rPr>
                <w:rFonts w:ascii="sans-serif" w:eastAsia="sans-serif" w:hAnsi="sans-serif" w:cs="sans-serif"/>
                <w:b/>
                <w:bCs/>
                <w:color w:val="000000"/>
                <w:sz w:val="20"/>
                <w:szCs w:val="20"/>
              </w:rPr>
              <w:t>Remaining Term (years)</w:t>
            </w:r>
          </w:p>
        </w:tc>
        <w:tc>
          <w:tcPr>
            <w:tcW w:w="0" w:type="auto"/>
            <w:gridSpan w:val="3"/>
            <w:shd w:val="clear" w:color="auto" w:fill="auto"/>
            <w:tcMar>
              <w:top w:w="0" w:type="dxa"/>
              <w:left w:w="20" w:type="dxa"/>
              <w:bottom w:w="0" w:type="dxa"/>
              <w:right w:w="20" w:type="dxa"/>
            </w:tcMar>
          </w:tcPr>
          <w:p w14:paraId="1E804C07"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C08" w14:textId="77777777" w:rsidR="00F20ABF" w:rsidRDefault="00CA4D2F">
            <w:pPr>
              <w:jc w:val="center"/>
              <w:textAlignment w:val="bottom"/>
            </w:pPr>
            <w:r>
              <w:rPr>
                <w:rFonts w:ascii="sans-serif" w:eastAsia="sans-serif" w:hAnsi="sans-serif" w:cs="sans-serif"/>
                <w:b/>
                <w:bCs/>
                <w:color w:val="000000"/>
                <w:sz w:val="20"/>
                <w:szCs w:val="20"/>
              </w:rPr>
              <w:t>Effective</w:t>
            </w:r>
            <w:r>
              <w:rPr>
                <w:rFonts w:ascii="sans-serif" w:eastAsia="sans-serif" w:hAnsi="sans-serif" w:cs="sans-serif"/>
                <w:b/>
                <w:bCs/>
                <w:color w:val="000000"/>
                <w:sz w:val="20"/>
                <w:szCs w:val="20"/>
              </w:rPr>
              <w:br/>
              <w:t>Interest Rate</w:t>
            </w:r>
          </w:p>
        </w:tc>
        <w:tc>
          <w:tcPr>
            <w:tcW w:w="0" w:type="auto"/>
            <w:gridSpan w:val="3"/>
            <w:shd w:val="clear" w:color="auto" w:fill="auto"/>
            <w:tcMar>
              <w:top w:w="0" w:type="dxa"/>
              <w:left w:w="20" w:type="dxa"/>
              <w:bottom w:w="0" w:type="dxa"/>
              <w:right w:w="20" w:type="dxa"/>
            </w:tcMar>
          </w:tcPr>
          <w:p w14:paraId="1E804C09"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C0A" w14:textId="77777777" w:rsidR="00F20ABF" w:rsidRDefault="00CA4D2F">
            <w:pPr>
              <w:jc w:val="center"/>
              <w:textAlignment w:val="bottom"/>
            </w:pPr>
            <w:r>
              <w:rPr>
                <w:rFonts w:ascii="sans-serif" w:eastAsia="sans-serif" w:hAnsi="sans-serif" w:cs="sans-serif"/>
                <w:b/>
                <w:bCs/>
                <w:color w:val="000000"/>
                <w:sz w:val="20"/>
                <w:szCs w:val="20"/>
              </w:rPr>
              <w:t>October 25, 2020</w:t>
            </w:r>
          </w:p>
        </w:tc>
        <w:tc>
          <w:tcPr>
            <w:tcW w:w="0" w:type="auto"/>
            <w:gridSpan w:val="3"/>
            <w:shd w:val="clear" w:color="auto" w:fill="auto"/>
            <w:tcMar>
              <w:top w:w="0" w:type="dxa"/>
              <w:left w:w="20" w:type="dxa"/>
              <w:bottom w:w="0" w:type="dxa"/>
              <w:right w:w="20" w:type="dxa"/>
            </w:tcMar>
          </w:tcPr>
          <w:p w14:paraId="1E804C0B"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C0C" w14:textId="77777777" w:rsidR="00F20ABF" w:rsidRDefault="00CA4D2F">
            <w:pPr>
              <w:jc w:val="center"/>
              <w:textAlignment w:val="bottom"/>
            </w:pPr>
            <w:r>
              <w:rPr>
                <w:rFonts w:ascii="sans-serif" w:eastAsia="sans-serif" w:hAnsi="sans-serif" w:cs="sans-serif"/>
                <w:b/>
                <w:bCs/>
                <w:color w:val="000000"/>
                <w:sz w:val="20"/>
                <w:szCs w:val="20"/>
              </w:rPr>
              <w:t>January 26, 2020</w:t>
            </w:r>
          </w:p>
        </w:tc>
      </w:tr>
      <w:tr w:rsidR="00F20ABF" w14:paraId="1E804C17" w14:textId="77777777">
        <w:trPr>
          <w:trHeight w:val="60"/>
          <w:jc w:val="center"/>
        </w:trPr>
        <w:tc>
          <w:tcPr>
            <w:tcW w:w="0" w:type="auto"/>
            <w:gridSpan w:val="3"/>
            <w:shd w:val="clear" w:color="auto" w:fill="auto"/>
            <w:tcMar>
              <w:top w:w="0" w:type="dxa"/>
              <w:left w:w="20" w:type="dxa"/>
              <w:bottom w:w="0" w:type="dxa"/>
              <w:right w:w="20" w:type="dxa"/>
            </w:tcMar>
          </w:tcPr>
          <w:p w14:paraId="1E804C0E"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C0F"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C10"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C11"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C12"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C13"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C14"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C15"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C16" w14:textId="77777777" w:rsidR="00F20ABF" w:rsidRDefault="00F20ABF">
            <w:pPr>
              <w:rPr>
                <w:rFonts w:ascii="宋体"/>
              </w:rPr>
            </w:pPr>
          </w:p>
        </w:tc>
      </w:tr>
      <w:tr w:rsidR="00F20ABF" w14:paraId="1E804C1F" w14:textId="77777777">
        <w:trPr>
          <w:jc w:val="center"/>
        </w:trPr>
        <w:tc>
          <w:tcPr>
            <w:tcW w:w="0" w:type="auto"/>
            <w:gridSpan w:val="3"/>
            <w:shd w:val="clear" w:color="auto" w:fill="auto"/>
            <w:tcMar>
              <w:top w:w="0" w:type="dxa"/>
              <w:left w:w="20" w:type="dxa"/>
              <w:bottom w:w="0" w:type="dxa"/>
              <w:right w:w="20" w:type="dxa"/>
            </w:tcMar>
          </w:tcPr>
          <w:p w14:paraId="1E804C18"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C1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C1A"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C1B"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C1C"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C1D"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4C1E"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C2D" w14:textId="77777777">
        <w:trPr>
          <w:jc w:val="center"/>
        </w:trPr>
        <w:tc>
          <w:tcPr>
            <w:tcW w:w="0" w:type="auto"/>
            <w:gridSpan w:val="3"/>
            <w:shd w:val="clear" w:color="auto" w:fill="E2EFD9"/>
            <w:tcMar>
              <w:top w:w="40" w:type="dxa"/>
              <w:left w:w="20" w:type="dxa"/>
              <w:bottom w:w="40" w:type="dxa"/>
              <w:right w:w="20" w:type="dxa"/>
            </w:tcMar>
            <w:vAlign w:val="center"/>
          </w:tcPr>
          <w:p w14:paraId="1E804C20" w14:textId="77777777" w:rsidR="00F20ABF" w:rsidRDefault="00CA4D2F">
            <w:pPr>
              <w:textAlignment w:val="center"/>
            </w:pPr>
            <w:r>
              <w:rPr>
                <w:rFonts w:ascii="sans-serif" w:eastAsia="sans-serif" w:hAnsi="sans-serif" w:cs="sans-serif"/>
                <w:color w:val="000000"/>
                <w:sz w:val="20"/>
                <w:szCs w:val="20"/>
              </w:rPr>
              <w:t>2.20% Notes Due 2021</w:t>
            </w:r>
          </w:p>
        </w:tc>
        <w:tc>
          <w:tcPr>
            <w:tcW w:w="0" w:type="auto"/>
            <w:gridSpan w:val="3"/>
            <w:shd w:val="clear" w:color="auto" w:fill="E2EFD9"/>
            <w:tcMar>
              <w:top w:w="0" w:type="dxa"/>
              <w:left w:w="20" w:type="dxa"/>
              <w:bottom w:w="0" w:type="dxa"/>
              <w:right w:w="20" w:type="dxa"/>
            </w:tcMar>
          </w:tcPr>
          <w:p w14:paraId="1E804C21" w14:textId="77777777" w:rsidR="00F20ABF" w:rsidRDefault="00F20ABF">
            <w:pPr>
              <w:rPr>
                <w:rFonts w:ascii="宋体"/>
              </w:rPr>
            </w:pPr>
          </w:p>
        </w:tc>
        <w:tc>
          <w:tcPr>
            <w:tcW w:w="0" w:type="auto"/>
            <w:gridSpan w:val="3"/>
            <w:shd w:val="clear" w:color="auto" w:fill="E2EFD9"/>
            <w:tcMar>
              <w:top w:w="40" w:type="dxa"/>
              <w:left w:w="20" w:type="dxa"/>
              <w:bottom w:w="40" w:type="dxa"/>
              <w:right w:w="20" w:type="dxa"/>
            </w:tcMar>
            <w:vAlign w:val="bottom"/>
          </w:tcPr>
          <w:p w14:paraId="1E804C22" w14:textId="77777777" w:rsidR="00F20ABF" w:rsidRDefault="00CA4D2F">
            <w:pPr>
              <w:jc w:val="center"/>
              <w:textAlignment w:val="bottom"/>
            </w:pPr>
            <w:r>
              <w:rPr>
                <w:rFonts w:ascii="sans-serif" w:eastAsia="sans-serif" w:hAnsi="sans-serif" w:cs="sans-serif"/>
                <w:color w:val="000000"/>
                <w:sz w:val="20"/>
                <w:szCs w:val="20"/>
              </w:rPr>
              <w:t>0.9</w:t>
            </w:r>
          </w:p>
        </w:tc>
        <w:tc>
          <w:tcPr>
            <w:tcW w:w="0" w:type="auto"/>
            <w:gridSpan w:val="3"/>
            <w:shd w:val="clear" w:color="auto" w:fill="E2EFD9"/>
            <w:tcMar>
              <w:top w:w="0" w:type="dxa"/>
              <w:left w:w="20" w:type="dxa"/>
              <w:bottom w:w="0" w:type="dxa"/>
              <w:right w:w="20" w:type="dxa"/>
            </w:tcMar>
          </w:tcPr>
          <w:p w14:paraId="1E804C23" w14:textId="77777777" w:rsidR="00F20ABF" w:rsidRDefault="00F20ABF">
            <w:pPr>
              <w:rPr>
                <w:rFonts w:ascii="宋体"/>
              </w:rPr>
            </w:pPr>
          </w:p>
        </w:tc>
        <w:tc>
          <w:tcPr>
            <w:tcW w:w="0" w:type="auto"/>
            <w:gridSpan w:val="3"/>
            <w:shd w:val="clear" w:color="auto" w:fill="E2EFD9"/>
            <w:tcMar>
              <w:top w:w="40" w:type="dxa"/>
              <w:left w:w="20" w:type="dxa"/>
              <w:bottom w:w="40" w:type="dxa"/>
              <w:right w:w="20" w:type="dxa"/>
            </w:tcMar>
            <w:vAlign w:val="bottom"/>
          </w:tcPr>
          <w:p w14:paraId="1E804C24" w14:textId="77777777" w:rsidR="00F20ABF" w:rsidRDefault="00CA4D2F">
            <w:pPr>
              <w:jc w:val="center"/>
              <w:textAlignment w:val="bottom"/>
            </w:pPr>
            <w:r>
              <w:rPr>
                <w:rFonts w:ascii="sans-serif" w:eastAsia="sans-serif" w:hAnsi="sans-serif" w:cs="sans-serif"/>
                <w:color w:val="000000"/>
                <w:sz w:val="20"/>
                <w:szCs w:val="20"/>
              </w:rPr>
              <w:t>2.38%</w:t>
            </w:r>
          </w:p>
        </w:tc>
        <w:tc>
          <w:tcPr>
            <w:tcW w:w="0" w:type="auto"/>
            <w:gridSpan w:val="3"/>
            <w:shd w:val="clear" w:color="auto" w:fill="E2EFD9"/>
            <w:tcMar>
              <w:top w:w="0" w:type="dxa"/>
              <w:left w:w="20" w:type="dxa"/>
              <w:bottom w:w="0" w:type="dxa"/>
              <w:right w:w="20" w:type="dxa"/>
            </w:tcMar>
          </w:tcPr>
          <w:p w14:paraId="1E804C25"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C26"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C27" w14:textId="77777777" w:rsidR="00F20ABF" w:rsidRDefault="00CA4D2F">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1E804C2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C29"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C2A"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C2B" w14:textId="77777777" w:rsidR="00F20ABF" w:rsidRDefault="00CA4D2F">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1E804C2C" w14:textId="77777777" w:rsidR="00F20ABF" w:rsidRDefault="00F20ABF">
            <w:pPr>
              <w:jc w:val="right"/>
              <w:rPr>
                <w:rFonts w:ascii="宋体"/>
              </w:rPr>
            </w:pPr>
          </w:p>
        </w:tc>
      </w:tr>
      <w:tr w:rsidR="00F20ABF" w14:paraId="1E804C39" w14:textId="77777777">
        <w:trPr>
          <w:jc w:val="center"/>
        </w:trPr>
        <w:tc>
          <w:tcPr>
            <w:tcW w:w="0" w:type="auto"/>
            <w:gridSpan w:val="3"/>
            <w:shd w:val="clear" w:color="auto" w:fill="FFFFFF"/>
            <w:tcMar>
              <w:top w:w="40" w:type="dxa"/>
              <w:left w:w="20" w:type="dxa"/>
              <w:bottom w:w="40" w:type="dxa"/>
              <w:right w:w="20" w:type="dxa"/>
            </w:tcMar>
            <w:vAlign w:val="center"/>
          </w:tcPr>
          <w:p w14:paraId="1E804C2E" w14:textId="77777777" w:rsidR="00F20ABF" w:rsidRDefault="00CA4D2F">
            <w:pPr>
              <w:textAlignment w:val="center"/>
            </w:pPr>
            <w:r>
              <w:rPr>
                <w:rFonts w:ascii="sans-serif" w:eastAsia="sans-serif" w:hAnsi="sans-serif" w:cs="sans-serif"/>
                <w:color w:val="000000"/>
                <w:sz w:val="20"/>
                <w:szCs w:val="20"/>
              </w:rPr>
              <w:t>3.20% Notes Due 2026</w:t>
            </w:r>
          </w:p>
        </w:tc>
        <w:tc>
          <w:tcPr>
            <w:tcW w:w="0" w:type="auto"/>
            <w:gridSpan w:val="3"/>
            <w:shd w:val="clear" w:color="auto" w:fill="FFFFFF"/>
            <w:tcMar>
              <w:top w:w="0" w:type="dxa"/>
              <w:left w:w="20" w:type="dxa"/>
              <w:bottom w:w="0" w:type="dxa"/>
              <w:right w:w="20" w:type="dxa"/>
            </w:tcMar>
          </w:tcPr>
          <w:p w14:paraId="1E804C2F"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4C30" w14:textId="77777777" w:rsidR="00F20ABF" w:rsidRDefault="00CA4D2F">
            <w:pPr>
              <w:jc w:val="center"/>
              <w:textAlignment w:val="bottom"/>
            </w:pPr>
            <w:r>
              <w:rPr>
                <w:rFonts w:ascii="sans-serif" w:eastAsia="sans-serif" w:hAnsi="sans-serif" w:cs="sans-serif"/>
                <w:color w:val="000000"/>
                <w:sz w:val="20"/>
                <w:szCs w:val="20"/>
              </w:rPr>
              <w:t>5.9</w:t>
            </w:r>
          </w:p>
        </w:tc>
        <w:tc>
          <w:tcPr>
            <w:tcW w:w="0" w:type="auto"/>
            <w:gridSpan w:val="3"/>
            <w:shd w:val="clear" w:color="auto" w:fill="FFFFFF"/>
            <w:tcMar>
              <w:top w:w="0" w:type="dxa"/>
              <w:left w:w="20" w:type="dxa"/>
              <w:bottom w:w="0" w:type="dxa"/>
              <w:right w:w="20" w:type="dxa"/>
            </w:tcMar>
          </w:tcPr>
          <w:p w14:paraId="1E804C31"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4C32" w14:textId="77777777" w:rsidR="00F20ABF" w:rsidRDefault="00CA4D2F">
            <w:pPr>
              <w:jc w:val="center"/>
              <w:textAlignment w:val="bottom"/>
            </w:pPr>
            <w:r>
              <w:rPr>
                <w:rFonts w:ascii="sans-serif" w:eastAsia="sans-serif" w:hAnsi="sans-serif" w:cs="sans-serif"/>
                <w:color w:val="000000"/>
                <w:sz w:val="20"/>
                <w:szCs w:val="20"/>
              </w:rPr>
              <w:t>3.31%</w:t>
            </w:r>
          </w:p>
        </w:tc>
        <w:tc>
          <w:tcPr>
            <w:tcW w:w="0" w:type="auto"/>
            <w:gridSpan w:val="3"/>
            <w:shd w:val="clear" w:color="auto" w:fill="FFFFFF"/>
            <w:tcMar>
              <w:top w:w="0" w:type="dxa"/>
              <w:left w:w="20" w:type="dxa"/>
              <w:bottom w:w="0" w:type="dxa"/>
              <w:right w:w="20" w:type="dxa"/>
            </w:tcMar>
          </w:tcPr>
          <w:p w14:paraId="1E804C3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C34" w14:textId="77777777" w:rsidR="00F20ABF" w:rsidRDefault="00CA4D2F">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1E804C3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C3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C37" w14:textId="77777777" w:rsidR="00F20ABF" w:rsidRDefault="00CA4D2F">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1E804C38" w14:textId="77777777" w:rsidR="00F20ABF" w:rsidRDefault="00F20ABF">
            <w:pPr>
              <w:jc w:val="right"/>
              <w:rPr>
                <w:rFonts w:ascii="宋体"/>
              </w:rPr>
            </w:pPr>
          </w:p>
        </w:tc>
      </w:tr>
      <w:tr w:rsidR="00F20ABF" w14:paraId="1E804C45" w14:textId="77777777">
        <w:trPr>
          <w:jc w:val="center"/>
        </w:trPr>
        <w:tc>
          <w:tcPr>
            <w:tcW w:w="0" w:type="auto"/>
            <w:gridSpan w:val="3"/>
            <w:shd w:val="clear" w:color="auto" w:fill="E2EFD9"/>
            <w:tcMar>
              <w:top w:w="40" w:type="dxa"/>
              <w:left w:w="20" w:type="dxa"/>
              <w:bottom w:w="40" w:type="dxa"/>
              <w:right w:w="20" w:type="dxa"/>
            </w:tcMar>
            <w:vAlign w:val="center"/>
          </w:tcPr>
          <w:p w14:paraId="1E804C3A" w14:textId="77777777" w:rsidR="00F20ABF" w:rsidRDefault="00CA4D2F">
            <w:pPr>
              <w:textAlignment w:val="center"/>
            </w:pPr>
            <w:r>
              <w:rPr>
                <w:rFonts w:ascii="sans-serif" w:eastAsia="sans-serif" w:hAnsi="sans-serif" w:cs="sans-serif"/>
                <w:color w:val="000000"/>
                <w:sz w:val="20"/>
                <w:szCs w:val="20"/>
              </w:rPr>
              <w:t>2.85% Notes Due 2030</w:t>
            </w:r>
          </w:p>
        </w:tc>
        <w:tc>
          <w:tcPr>
            <w:tcW w:w="0" w:type="auto"/>
            <w:gridSpan w:val="3"/>
            <w:shd w:val="clear" w:color="auto" w:fill="E2EFD9"/>
            <w:tcMar>
              <w:top w:w="0" w:type="dxa"/>
              <w:left w:w="20" w:type="dxa"/>
              <w:bottom w:w="0" w:type="dxa"/>
              <w:right w:w="20" w:type="dxa"/>
            </w:tcMar>
          </w:tcPr>
          <w:p w14:paraId="1E804C3B" w14:textId="77777777" w:rsidR="00F20ABF" w:rsidRDefault="00F20ABF">
            <w:pPr>
              <w:rPr>
                <w:rFonts w:ascii="宋体"/>
              </w:rPr>
            </w:pPr>
          </w:p>
        </w:tc>
        <w:tc>
          <w:tcPr>
            <w:tcW w:w="0" w:type="auto"/>
            <w:gridSpan w:val="3"/>
            <w:shd w:val="clear" w:color="auto" w:fill="E2EFD9"/>
            <w:tcMar>
              <w:top w:w="40" w:type="dxa"/>
              <w:left w:w="20" w:type="dxa"/>
              <w:bottom w:w="40" w:type="dxa"/>
              <w:right w:w="20" w:type="dxa"/>
            </w:tcMar>
            <w:vAlign w:val="bottom"/>
          </w:tcPr>
          <w:p w14:paraId="1E804C3C" w14:textId="77777777" w:rsidR="00F20ABF" w:rsidRDefault="00CA4D2F">
            <w:pPr>
              <w:jc w:val="center"/>
              <w:textAlignment w:val="bottom"/>
            </w:pPr>
            <w:r>
              <w:rPr>
                <w:rFonts w:ascii="sans-serif" w:eastAsia="sans-serif" w:hAnsi="sans-serif" w:cs="sans-serif"/>
                <w:color w:val="000000"/>
                <w:sz w:val="20"/>
                <w:szCs w:val="20"/>
              </w:rPr>
              <w:t>9.4</w:t>
            </w:r>
          </w:p>
        </w:tc>
        <w:tc>
          <w:tcPr>
            <w:tcW w:w="0" w:type="auto"/>
            <w:gridSpan w:val="3"/>
            <w:shd w:val="clear" w:color="auto" w:fill="E2EFD9"/>
            <w:tcMar>
              <w:top w:w="0" w:type="dxa"/>
              <w:left w:w="20" w:type="dxa"/>
              <w:bottom w:w="0" w:type="dxa"/>
              <w:right w:w="20" w:type="dxa"/>
            </w:tcMar>
          </w:tcPr>
          <w:p w14:paraId="1E804C3D" w14:textId="77777777" w:rsidR="00F20ABF" w:rsidRDefault="00F20ABF">
            <w:pPr>
              <w:rPr>
                <w:rFonts w:ascii="宋体"/>
              </w:rPr>
            </w:pPr>
          </w:p>
        </w:tc>
        <w:tc>
          <w:tcPr>
            <w:tcW w:w="0" w:type="auto"/>
            <w:gridSpan w:val="3"/>
            <w:shd w:val="clear" w:color="auto" w:fill="E2EFD9"/>
            <w:tcMar>
              <w:top w:w="40" w:type="dxa"/>
              <w:left w:w="20" w:type="dxa"/>
              <w:bottom w:w="40" w:type="dxa"/>
              <w:right w:w="20" w:type="dxa"/>
            </w:tcMar>
            <w:vAlign w:val="bottom"/>
          </w:tcPr>
          <w:p w14:paraId="1E804C3E" w14:textId="77777777" w:rsidR="00F20ABF" w:rsidRDefault="00CA4D2F">
            <w:pPr>
              <w:jc w:val="center"/>
              <w:textAlignment w:val="bottom"/>
            </w:pPr>
            <w:r>
              <w:rPr>
                <w:rFonts w:ascii="sans-serif" w:eastAsia="sans-serif" w:hAnsi="sans-serif" w:cs="sans-serif"/>
                <w:color w:val="000000"/>
                <w:sz w:val="20"/>
                <w:szCs w:val="20"/>
              </w:rPr>
              <w:t>2.93%</w:t>
            </w:r>
          </w:p>
        </w:tc>
        <w:tc>
          <w:tcPr>
            <w:tcW w:w="0" w:type="auto"/>
            <w:gridSpan w:val="3"/>
            <w:shd w:val="clear" w:color="auto" w:fill="E2EFD9"/>
            <w:tcMar>
              <w:top w:w="0" w:type="dxa"/>
              <w:left w:w="20" w:type="dxa"/>
              <w:bottom w:w="0" w:type="dxa"/>
              <w:right w:w="20" w:type="dxa"/>
            </w:tcMar>
          </w:tcPr>
          <w:p w14:paraId="1E804C3F"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C40" w14:textId="77777777" w:rsidR="00F20ABF" w:rsidRDefault="00CA4D2F">
            <w:pPr>
              <w:jc w:val="right"/>
              <w:textAlignment w:val="bottom"/>
            </w:pPr>
            <w:r>
              <w:rPr>
                <w:rFonts w:ascii="sans-serif" w:eastAsia="sans-serif" w:hAnsi="sans-serif" w:cs="sans-serif"/>
                <w:color w:val="000000"/>
                <w:sz w:val="20"/>
                <w:szCs w:val="20"/>
              </w:rPr>
              <w:t>1,500 </w:t>
            </w:r>
          </w:p>
        </w:tc>
        <w:tc>
          <w:tcPr>
            <w:tcW w:w="0" w:type="auto"/>
            <w:shd w:val="clear" w:color="auto" w:fill="E2EFD9"/>
            <w:tcMar>
              <w:top w:w="40" w:type="dxa"/>
              <w:left w:w="0" w:type="dxa"/>
              <w:bottom w:w="40" w:type="dxa"/>
              <w:right w:w="20" w:type="dxa"/>
            </w:tcMar>
            <w:vAlign w:val="bottom"/>
          </w:tcPr>
          <w:p w14:paraId="1E804C4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C42"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C43"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C44" w14:textId="77777777" w:rsidR="00F20ABF" w:rsidRDefault="00F20ABF">
            <w:pPr>
              <w:jc w:val="right"/>
              <w:rPr>
                <w:rFonts w:ascii="宋体"/>
              </w:rPr>
            </w:pPr>
          </w:p>
        </w:tc>
      </w:tr>
      <w:tr w:rsidR="00F20ABF" w14:paraId="1E804C51" w14:textId="77777777">
        <w:trPr>
          <w:jc w:val="center"/>
        </w:trPr>
        <w:tc>
          <w:tcPr>
            <w:tcW w:w="0" w:type="auto"/>
            <w:gridSpan w:val="3"/>
            <w:shd w:val="clear" w:color="auto" w:fill="FFFFFF"/>
            <w:tcMar>
              <w:top w:w="40" w:type="dxa"/>
              <w:left w:w="20" w:type="dxa"/>
              <w:bottom w:w="40" w:type="dxa"/>
              <w:right w:w="20" w:type="dxa"/>
            </w:tcMar>
            <w:vAlign w:val="center"/>
          </w:tcPr>
          <w:p w14:paraId="1E804C46" w14:textId="77777777" w:rsidR="00F20ABF" w:rsidRDefault="00CA4D2F">
            <w:pPr>
              <w:textAlignment w:val="center"/>
            </w:pPr>
            <w:r>
              <w:rPr>
                <w:rFonts w:ascii="sans-serif" w:eastAsia="sans-serif" w:hAnsi="sans-serif" w:cs="sans-serif"/>
                <w:color w:val="000000"/>
                <w:sz w:val="20"/>
                <w:szCs w:val="20"/>
              </w:rPr>
              <w:t>3.50% Notes Due 2040</w:t>
            </w:r>
          </w:p>
        </w:tc>
        <w:tc>
          <w:tcPr>
            <w:tcW w:w="0" w:type="auto"/>
            <w:gridSpan w:val="3"/>
            <w:shd w:val="clear" w:color="auto" w:fill="FFFFFF"/>
            <w:tcMar>
              <w:top w:w="0" w:type="dxa"/>
              <w:left w:w="20" w:type="dxa"/>
              <w:bottom w:w="0" w:type="dxa"/>
              <w:right w:w="20" w:type="dxa"/>
            </w:tcMar>
          </w:tcPr>
          <w:p w14:paraId="1E804C47"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4C48" w14:textId="77777777" w:rsidR="00F20ABF" w:rsidRDefault="00CA4D2F">
            <w:pPr>
              <w:jc w:val="center"/>
              <w:textAlignment w:val="bottom"/>
            </w:pPr>
            <w:r>
              <w:rPr>
                <w:rFonts w:ascii="sans-serif" w:eastAsia="sans-serif" w:hAnsi="sans-serif" w:cs="sans-serif"/>
                <w:color w:val="000000"/>
                <w:sz w:val="20"/>
                <w:szCs w:val="20"/>
              </w:rPr>
              <w:t>19.4</w:t>
            </w:r>
          </w:p>
        </w:tc>
        <w:tc>
          <w:tcPr>
            <w:tcW w:w="0" w:type="auto"/>
            <w:gridSpan w:val="3"/>
            <w:shd w:val="clear" w:color="auto" w:fill="FFFFFF"/>
            <w:tcMar>
              <w:top w:w="0" w:type="dxa"/>
              <w:left w:w="20" w:type="dxa"/>
              <w:bottom w:w="0" w:type="dxa"/>
              <w:right w:w="20" w:type="dxa"/>
            </w:tcMar>
          </w:tcPr>
          <w:p w14:paraId="1E804C49"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4C4A" w14:textId="77777777" w:rsidR="00F20ABF" w:rsidRDefault="00CA4D2F">
            <w:pPr>
              <w:jc w:val="center"/>
              <w:textAlignment w:val="bottom"/>
            </w:pPr>
            <w:r>
              <w:rPr>
                <w:rFonts w:ascii="sans-serif" w:eastAsia="sans-serif" w:hAnsi="sans-serif" w:cs="sans-serif"/>
                <w:color w:val="000000"/>
                <w:sz w:val="20"/>
                <w:szCs w:val="20"/>
              </w:rPr>
              <w:t>3.54%</w:t>
            </w:r>
          </w:p>
        </w:tc>
        <w:tc>
          <w:tcPr>
            <w:tcW w:w="0" w:type="auto"/>
            <w:gridSpan w:val="3"/>
            <w:shd w:val="clear" w:color="auto" w:fill="FFFFFF"/>
            <w:tcMar>
              <w:top w:w="0" w:type="dxa"/>
              <w:left w:w="20" w:type="dxa"/>
              <w:bottom w:w="0" w:type="dxa"/>
              <w:right w:w="20" w:type="dxa"/>
            </w:tcMar>
          </w:tcPr>
          <w:p w14:paraId="1E804C4B"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C4C" w14:textId="77777777" w:rsidR="00F20ABF" w:rsidRDefault="00CA4D2F">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1E804C4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C4E"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C4F"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C50" w14:textId="77777777" w:rsidR="00F20ABF" w:rsidRDefault="00F20ABF">
            <w:pPr>
              <w:jc w:val="right"/>
              <w:rPr>
                <w:rFonts w:ascii="宋体"/>
              </w:rPr>
            </w:pPr>
          </w:p>
        </w:tc>
      </w:tr>
      <w:tr w:rsidR="00F20ABF" w14:paraId="1E804C5D" w14:textId="77777777">
        <w:trPr>
          <w:jc w:val="center"/>
        </w:trPr>
        <w:tc>
          <w:tcPr>
            <w:tcW w:w="0" w:type="auto"/>
            <w:gridSpan w:val="3"/>
            <w:shd w:val="clear" w:color="auto" w:fill="E2EFD9"/>
            <w:tcMar>
              <w:top w:w="40" w:type="dxa"/>
              <w:left w:w="20" w:type="dxa"/>
              <w:bottom w:w="40" w:type="dxa"/>
              <w:right w:w="20" w:type="dxa"/>
            </w:tcMar>
            <w:vAlign w:val="center"/>
          </w:tcPr>
          <w:p w14:paraId="1E804C52" w14:textId="77777777" w:rsidR="00F20ABF" w:rsidRDefault="00CA4D2F">
            <w:pPr>
              <w:textAlignment w:val="center"/>
            </w:pPr>
            <w:r>
              <w:rPr>
                <w:rFonts w:ascii="sans-serif" w:eastAsia="sans-serif" w:hAnsi="sans-serif" w:cs="sans-serif"/>
                <w:color w:val="000000"/>
                <w:sz w:val="20"/>
                <w:szCs w:val="20"/>
              </w:rPr>
              <w:t>3.50% Notes Due 2050</w:t>
            </w:r>
          </w:p>
        </w:tc>
        <w:tc>
          <w:tcPr>
            <w:tcW w:w="0" w:type="auto"/>
            <w:gridSpan w:val="3"/>
            <w:shd w:val="clear" w:color="auto" w:fill="E2EFD9"/>
            <w:tcMar>
              <w:top w:w="0" w:type="dxa"/>
              <w:left w:w="20" w:type="dxa"/>
              <w:bottom w:w="0" w:type="dxa"/>
              <w:right w:w="20" w:type="dxa"/>
            </w:tcMar>
          </w:tcPr>
          <w:p w14:paraId="1E804C53" w14:textId="77777777" w:rsidR="00F20ABF" w:rsidRDefault="00F20ABF">
            <w:pPr>
              <w:rPr>
                <w:rFonts w:ascii="宋体"/>
              </w:rPr>
            </w:pPr>
          </w:p>
        </w:tc>
        <w:tc>
          <w:tcPr>
            <w:tcW w:w="0" w:type="auto"/>
            <w:gridSpan w:val="3"/>
            <w:shd w:val="clear" w:color="auto" w:fill="E2EFD9"/>
            <w:tcMar>
              <w:top w:w="40" w:type="dxa"/>
              <w:left w:w="20" w:type="dxa"/>
              <w:bottom w:w="40" w:type="dxa"/>
              <w:right w:w="20" w:type="dxa"/>
            </w:tcMar>
            <w:vAlign w:val="bottom"/>
          </w:tcPr>
          <w:p w14:paraId="1E804C54" w14:textId="77777777" w:rsidR="00F20ABF" w:rsidRDefault="00CA4D2F">
            <w:pPr>
              <w:jc w:val="center"/>
              <w:textAlignment w:val="bottom"/>
            </w:pPr>
            <w:r>
              <w:rPr>
                <w:rFonts w:ascii="sans-serif" w:eastAsia="sans-serif" w:hAnsi="sans-serif" w:cs="sans-serif"/>
                <w:color w:val="000000"/>
                <w:sz w:val="20"/>
                <w:szCs w:val="20"/>
              </w:rPr>
              <w:t>29.5</w:t>
            </w:r>
          </w:p>
        </w:tc>
        <w:tc>
          <w:tcPr>
            <w:tcW w:w="0" w:type="auto"/>
            <w:gridSpan w:val="3"/>
            <w:shd w:val="clear" w:color="auto" w:fill="E2EFD9"/>
            <w:tcMar>
              <w:top w:w="0" w:type="dxa"/>
              <w:left w:w="20" w:type="dxa"/>
              <w:bottom w:w="0" w:type="dxa"/>
              <w:right w:w="20" w:type="dxa"/>
            </w:tcMar>
          </w:tcPr>
          <w:p w14:paraId="1E804C55" w14:textId="77777777" w:rsidR="00F20ABF" w:rsidRDefault="00F20ABF">
            <w:pPr>
              <w:rPr>
                <w:rFonts w:ascii="宋体"/>
              </w:rPr>
            </w:pPr>
          </w:p>
        </w:tc>
        <w:tc>
          <w:tcPr>
            <w:tcW w:w="0" w:type="auto"/>
            <w:gridSpan w:val="3"/>
            <w:shd w:val="clear" w:color="auto" w:fill="E2EFD9"/>
            <w:tcMar>
              <w:top w:w="40" w:type="dxa"/>
              <w:left w:w="20" w:type="dxa"/>
              <w:bottom w:w="40" w:type="dxa"/>
              <w:right w:w="20" w:type="dxa"/>
            </w:tcMar>
            <w:vAlign w:val="bottom"/>
          </w:tcPr>
          <w:p w14:paraId="1E804C56" w14:textId="77777777" w:rsidR="00F20ABF" w:rsidRDefault="00CA4D2F">
            <w:pPr>
              <w:jc w:val="center"/>
              <w:textAlignment w:val="bottom"/>
            </w:pPr>
            <w:r>
              <w:rPr>
                <w:rFonts w:ascii="sans-serif" w:eastAsia="sans-serif" w:hAnsi="sans-serif" w:cs="sans-serif"/>
                <w:color w:val="000000"/>
                <w:sz w:val="20"/>
                <w:szCs w:val="20"/>
              </w:rPr>
              <w:t>3.54%</w:t>
            </w:r>
          </w:p>
        </w:tc>
        <w:tc>
          <w:tcPr>
            <w:tcW w:w="0" w:type="auto"/>
            <w:gridSpan w:val="3"/>
            <w:shd w:val="clear" w:color="auto" w:fill="E2EFD9"/>
            <w:tcMar>
              <w:top w:w="0" w:type="dxa"/>
              <w:left w:w="20" w:type="dxa"/>
              <w:bottom w:w="0" w:type="dxa"/>
              <w:right w:w="20" w:type="dxa"/>
            </w:tcMar>
          </w:tcPr>
          <w:p w14:paraId="1E804C57"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C58" w14:textId="77777777" w:rsidR="00F20ABF" w:rsidRDefault="00CA4D2F">
            <w:pPr>
              <w:jc w:val="right"/>
              <w:textAlignment w:val="bottom"/>
            </w:pPr>
            <w:r>
              <w:rPr>
                <w:rFonts w:ascii="sans-serif" w:eastAsia="sans-serif" w:hAnsi="sans-serif" w:cs="sans-serif"/>
                <w:color w:val="000000"/>
                <w:sz w:val="20"/>
                <w:szCs w:val="20"/>
              </w:rPr>
              <w:t>2,000 </w:t>
            </w:r>
          </w:p>
        </w:tc>
        <w:tc>
          <w:tcPr>
            <w:tcW w:w="0" w:type="auto"/>
            <w:shd w:val="clear" w:color="auto" w:fill="E2EFD9"/>
            <w:tcMar>
              <w:top w:w="40" w:type="dxa"/>
              <w:left w:w="0" w:type="dxa"/>
              <w:bottom w:w="40" w:type="dxa"/>
              <w:right w:w="20" w:type="dxa"/>
            </w:tcMar>
            <w:vAlign w:val="bottom"/>
          </w:tcPr>
          <w:p w14:paraId="1E804C5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C5A"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C5B"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4C5C" w14:textId="77777777" w:rsidR="00F20ABF" w:rsidRDefault="00F20ABF">
            <w:pPr>
              <w:jc w:val="right"/>
              <w:rPr>
                <w:rFonts w:ascii="宋体"/>
              </w:rPr>
            </w:pPr>
          </w:p>
        </w:tc>
      </w:tr>
      <w:tr w:rsidR="00F20ABF" w14:paraId="1E804C69" w14:textId="77777777">
        <w:trPr>
          <w:jc w:val="center"/>
        </w:trPr>
        <w:tc>
          <w:tcPr>
            <w:tcW w:w="0" w:type="auto"/>
            <w:gridSpan w:val="3"/>
            <w:shd w:val="clear" w:color="auto" w:fill="FFFFFF"/>
            <w:tcMar>
              <w:top w:w="40" w:type="dxa"/>
              <w:left w:w="20" w:type="dxa"/>
              <w:bottom w:w="40" w:type="dxa"/>
              <w:right w:w="20" w:type="dxa"/>
            </w:tcMar>
            <w:vAlign w:val="center"/>
          </w:tcPr>
          <w:p w14:paraId="1E804C5E" w14:textId="77777777" w:rsidR="00F20ABF" w:rsidRDefault="00CA4D2F">
            <w:pPr>
              <w:textAlignment w:val="center"/>
            </w:pPr>
            <w:r>
              <w:rPr>
                <w:rFonts w:ascii="sans-serif" w:eastAsia="sans-serif" w:hAnsi="sans-serif" w:cs="sans-serif"/>
                <w:color w:val="000000"/>
                <w:sz w:val="20"/>
                <w:szCs w:val="20"/>
              </w:rPr>
              <w:t>3.70% Notes Due 2060</w:t>
            </w:r>
          </w:p>
        </w:tc>
        <w:tc>
          <w:tcPr>
            <w:tcW w:w="0" w:type="auto"/>
            <w:gridSpan w:val="3"/>
            <w:shd w:val="clear" w:color="auto" w:fill="FFFFFF"/>
            <w:tcMar>
              <w:top w:w="0" w:type="dxa"/>
              <w:left w:w="20" w:type="dxa"/>
              <w:bottom w:w="0" w:type="dxa"/>
              <w:right w:w="20" w:type="dxa"/>
            </w:tcMar>
          </w:tcPr>
          <w:p w14:paraId="1E804C5F"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4C60" w14:textId="77777777" w:rsidR="00F20ABF" w:rsidRDefault="00CA4D2F">
            <w:pPr>
              <w:jc w:val="center"/>
              <w:textAlignment w:val="bottom"/>
            </w:pPr>
            <w:r>
              <w:rPr>
                <w:rFonts w:ascii="sans-serif" w:eastAsia="sans-serif" w:hAnsi="sans-serif" w:cs="sans-serif"/>
                <w:color w:val="000000"/>
                <w:sz w:val="20"/>
                <w:szCs w:val="20"/>
              </w:rPr>
              <w:t>39.5</w:t>
            </w:r>
          </w:p>
        </w:tc>
        <w:tc>
          <w:tcPr>
            <w:tcW w:w="0" w:type="auto"/>
            <w:gridSpan w:val="3"/>
            <w:shd w:val="clear" w:color="auto" w:fill="FFFFFF"/>
            <w:tcMar>
              <w:top w:w="0" w:type="dxa"/>
              <w:left w:w="20" w:type="dxa"/>
              <w:bottom w:w="0" w:type="dxa"/>
              <w:right w:w="20" w:type="dxa"/>
            </w:tcMar>
          </w:tcPr>
          <w:p w14:paraId="1E804C61"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4C62" w14:textId="77777777" w:rsidR="00F20ABF" w:rsidRDefault="00CA4D2F">
            <w:pPr>
              <w:jc w:val="center"/>
              <w:textAlignment w:val="bottom"/>
            </w:pPr>
            <w:r>
              <w:rPr>
                <w:rFonts w:ascii="sans-serif" w:eastAsia="sans-serif" w:hAnsi="sans-serif" w:cs="sans-serif"/>
                <w:color w:val="000000"/>
                <w:sz w:val="20"/>
                <w:szCs w:val="20"/>
              </w:rPr>
              <w:t>3.73%</w:t>
            </w:r>
          </w:p>
        </w:tc>
        <w:tc>
          <w:tcPr>
            <w:tcW w:w="0" w:type="auto"/>
            <w:gridSpan w:val="3"/>
            <w:shd w:val="clear" w:color="auto" w:fill="FFFFFF"/>
            <w:tcMar>
              <w:top w:w="0" w:type="dxa"/>
              <w:left w:w="20" w:type="dxa"/>
              <w:bottom w:w="0" w:type="dxa"/>
              <w:right w:w="20" w:type="dxa"/>
            </w:tcMar>
          </w:tcPr>
          <w:p w14:paraId="1E804C6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C64" w14:textId="77777777" w:rsidR="00F20ABF" w:rsidRDefault="00CA4D2F">
            <w:pPr>
              <w:jc w:val="right"/>
              <w:textAlignment w:val="bottom"/>
            </w:pPr>
            <w:r>
              <w:rPr>
                <w:rFonts w:ascii="sans-serif" w:eastAsia="sans-serif" w:hAnsi="sans-serif" w:cs="sans-serif"/>
                <w:color w:val="000000"/>
                <w:sz w:val="20"/>
                <w:szCs w:val="20"/>
              </w:rPr>
              <w:t>500 </w:t>
            </w:r>
          </w:p>
        </w:tc>
        <w:tc>
          <w:tcPr>
            <w:tcW w:w="0" w:type="auto"/>
            <w:shd w:val="clear" w:color="auto" w:fill="FFFFFF"/>
            <w:tcMar>
              <w:top w:w="40" w:type="dxa"/>
              <w:left w:w="0" w:type="dxa"/>
              <w:bottom w:w="40" w:type="dxa"/>
              <w:right w:w="20" w:type="dxa"/>
            </w:tcMar>
            <w:vAlign w:val="bottom"/>
          </w:tcPr>
          <w:p w14:paraId="1E804C6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C6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C67"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C68" w14:textId="77777777" w:rsidR="00F20ABF" w:rsidRDefault="00F20ABF">
            <w:pPr>
              <w:jc w:val="right"/>
              <w:rPr>
                <w:rFonts w:ascii="宋体"/>
              </w:rPr>
            </w:pPr>
          </w:p>
        </w:tc>
      </w:tr>
      <w:tr w:rsidR="00F20ABF" w14:paraId="1E804C75" w14:textId="77777777">
        <w:trPr>
          <w:jc w:val="center"/>
        </w:trPr>
        <w:tc>
          <w:tcPr>
            <w:tcW w:w="0" w:type="auto"/>
            <w:gridSpan w:val="3"/>
            <w:shd w:val="clear" w:color="auto" w:fill="E2EFD9"/>
            <w:tcMar>
              <w:top w:w="40" w:type="dxa"/>
              <w:left w:w="20" w:type="dxa"/>
              <w:bottom w:w="40" w:type="dxa"/>
              <w:right w:w="20" w:type="dxa"/>
            </w:tcMar>
            <w:vAlign w:val="center"/>
          </w:tcPr>
          <w:p w14:paraId="1E804C6A" w14:textId="77777777" w:rsidR="00F20ABF" w:rsidRDefault="00CA4D2F">
            <w:pPr>
              <w:textAlignment w:val="center"/>
            </w:pPr>
            <w:r>
              <w:rPr>
                <w:rFonts w:ascii="sans-serif" w:eastAsia="sans-serif" w:hAnsi="sans-serif" w:cs="sans-serif"/>
                <w:color w:val="000000"/>
                <w:sz w:val="20"/>
                <w:szCs w:val="20"/>
              </w:rPr>
              <w:t>Unamortized debt discount and issuance costs</w:t>
            </w:r>
          </w:p>
        </w:tc>
        <w:tc>
          <w:tcPr>
            <w:tcW w:w="0" w:type="auto"/>
            <w:gridSpan w:val="3"/>
            <w:shd w:val="clear" w:color="auto" w:fill="E2EFD9"/>
            <w:tcMar>
              <w:top w:w="0" w:type="dxa"/>
              <w:left w:w="20" w:type="dxa"/>
              <w:bottom w:w="0" w:type="dxa"/>
              <w:right w:w="20" w:type="dxa"/>
            </w:tcMar>
          </w:tcPr>
          <w:p w14:paraId="1E804C6B"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C6C"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C6D"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C6E"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C6F"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C70" w14:textId="77777777" w:rsidR="00F20ABF" w:rsidRDefault="00CA4D2F">
            <w:pPr>
              <w:jc w:val="right"/>
              <w:textAlignment w:val="bottom"/>
            </w:pPr>
            <w:r>
              <w:rPr>
                <w:rFonts w:ascii="sans-serif" w:eastAsia="sans-serif" w:hAnsi="sans-serif" w:cs="sans-serif"/>
                <w:color w:val="000000"/>
                <w:sz w:val="20"/>
                <w:szCs w:val="20"/>
              </w:rPr>
              <w:t>(39)</w:t>
            </w:r>
          </w:p>
        </w:tc>
        <w:tc>
          <w:tcPr>
            <w:tcW w:w="0" w:type="auto"/>
            <w:shd w:val="clear" w:color="auto" w:fill="E2EFD9"/>
            <w:tcMar>
              <w:top w:w="40" w:type="dxa"/>
              <w:left w:w="0" w:type="dxa"/>
              <w:bottom w:w="40" w:type="dxa"/>
              <w:right w:w="20" w:type="dxa"/>
            </w:tcMar>
            <w:vAlign w:val="bottom"/>
          </w:tcPr>
          <w:p w14:paraId="1E804C7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C72"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C73" w14:textId="77777777" w:rsidR="00F20ABF" w:rsidRDefault="00CA4D2F">
            <w:pPr>
              <w:jc w:val="right"/>
              <w:textAlignment w:val="bottom"/>
            </w:pPr>
            <w:r>
              <w:rPr>
                <w:rFonts w:ascii="sans-serif" w:eastAsia="sans-serif" w:hAnsi="sans-serif" w:cs="sans-serif"/>
                <w:color w:val="000000"/>
                <w:sz w:val="20"/>
                <w:szCs w:val="20"/>
              </w:rPr>
              <w:t>(9)</w:t>
            </w:r>
          </w:p>
        </w:tc>
        <w:tc>
          <w:tcPr>
            <w:tcW w:w="0" w:type="auto"/>
            <w:shd w:val="clear" w:color="auto" w:fill="E2EFD9"/>
            <w:tcMar>
              <w:top w:w="40" w:type="dxa"/>
              <w:left w:w="0" w:type="dxa"/>
              <w:bottom w:w="40" w:type="dxa"/>
              <w:right w:w="20" w:type="dxa"/>
            </w:tcMar>
            <w:vAlign w:val="bottom"/>
          </w:tcPr>
          <w:p w14:paraId="1E804C74" w14:textId="77777777" w:rsidR="00F20ABF" w:rsidRDefault="00F20ABF">
            <w:pPr>
              <w:jc w:val="right"/>
              <w:rPr>
                <w:rFonts w:ascii="宋体"/>
              </w:rPr>
            </w:pPr>
          </w:p>
        </w:tc>
      </w:tr>
      <w:tr w:rsidR="00F20ABF" w14:paraId="1E804C83" w14:textId="77777777">
        <w:trPr>
          <w:jc w:val="center"/>
        </w:trPr>
        <w:tc>
          <w:tcPr>
            <w:tcW w:w="0" w:type="auto"/>
            <w:gridSpan w:val="3"/>
            <w:shd w:val="clear" w:color="auto" w:fill="FFFFFF"/>
            <w:tcMar>
              <w:top w:w="40" w:type="dxa"/>
              <w:left w:w="20" w:type="dxa"/>
              <w:bottom w:w="40" w:type="dxa"/>
              <w:right w:w="20" w:type="dxa"/>
            </w:tcMar>
            <w:vAlign w:val="center"/>
          </w:tcPr>
          <w:p w14:paraId="1E804C76" w14:textId="77777777" w:rsidR="00F20ABF" w:rsidRDefault="00CA4D2F">
            <w:pPr>
              <w:textAlignment w:val="center"/>
            </w:pPr>
            <w:r>
              <w:rPr>
                <w:rFonts w:ascii="sans-serif" w:eastAsia="sans-serif" w:hAnsi="sans-serif" w:cs="sans-serif"/>
                <w:color w:val="000000"/>
                <w:sz w:val="20"/>
                <w:szCs w:val="20"/>
              </w:rPr>
              <w:t>Net carrying amount</w:t>
            </w:r>
          </w:p>
        </w:tc>
        <w:tc>
          <w:tcPr>
            <w:tcW w:w="0" w:type="auto"/>
            <w:gridSpan w:val="3"/>
            <w:shd w:val="clear" w:color="auto" w:fill="FFFFFF"/>
            <w:tcMar>
              <w:top w:w="0" w:type="dxa"/>
              <w:left w:w="20" w:type="dxa"/>
              <w:bottom w:w="0" w:type="dxa"/>
              <w:right w:w="20" w:type="dxa"/>
            </w:tcMar>
          </w:tcPr>
          <w:p w14:paraId="1E804C77"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C78"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C79"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C7A"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C7B"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C7C"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C7D" w14:textId="77777777" w:rsidR="00F20ABF" w:rsidRDefault="00CA4D2F">
            <w:pPr>
              <w:jc w:val="right"/>
              <w:textAlignment w:val="bottom"/>
            </w:pPr>
            <w:r>
              <w:rPr>
                <w:rFonts w:ascii="sans-serif" w:eastAsia="sans-serif" w:hAnsi="sans-serif" w:cs="sans-serif"/>
                <w:color w:val="000000"/>
                <w:sz w:val="20"/>
                <w:szCs w:val="20"/>
              </w:rPr>
              <w:t>6,961 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C7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C7F"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C80"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C81" w14:textId="77777777" w:rsidR="00F20ABF" w:rsidRDefault="00CA4D2F">
            <w:pPr>
              <w:jc w:val="right"/>
              <w:textAlignment w:val="bottom"/>
            </w:pPr>
            <w:r>
              <w:rPr>
                <w:rFonts w:ascii="sans-serif" w:eastAsia="sans-serif" w:hAnsi="sans-serif" w:cs="sans-serif"/>
                <w:color w:val="000000"/>
                <w:sz w:val="20"/>
                <w:szCs w:val="20"/>
              </w:rPr>
              <w:t>1,991 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C82" w14:textId="77777777" w:rsidR="00F20ABF" w:rsidRDefault="00F20ABF">
            <w:pPr>
              <w:jc w:val="right"/>
              <w:rPr>
                <w:rFonts w:ascii="宋体"/>
              </w:rPr>
            </w:pPr>
          </w:p>
        </w:tc>
      </w:tr>
    </w:tbl>
    <w:p w14:paraId="1E804C84" w14:textId="77777777" w:rsidR="00F20ABF" w:rsidRDefault="00F20ABF">
      <w:pPr>
        <w:jc w:val="both"/>
      </w:pPr>
    </w:p>
    <w:p w14:paraId="1E804C85" w14:textId="77777777" w:rsidR="00F20ABF" w:rsidRDefault="00CA4D2F">
      <w:r>
        <w:rPr>
          <w:rFonts w:ascii="sans-serif" w:eastAsia="sans-serif" w:hAnsi="sans-serif" w:cs="sans-serif"/>
          <w:color w:val="000000"/>
          <w:sz w:val="20"/>
          <w:szCs w:val="20"/>
        </w:rPr>
        <w:t xml:space="preserve">As of October 25, 2020, we were in compliance with the required covenants under the Notes. </w:t>
      </w:r>
    </w:p>
    <w:p w14:paraId="1E804C86" w14:textId="77777777" w:rsidR="00F20ABF" w:rsidRDefault="00CA4D2F">
      <w:pPr>
        <w:spacing w:before="240" w:after="60"/>
        <w:jc w:val="both"/>
      </w:pPr>
      <w:r>
        <w:rPr>
          <w:rFonts w:ascii="sans-serif" w:eastAsia="sans-serif" w:hAnsi="sans-serif" w:cs="sans-serif"/>
          <w:b/>
          <w:bCs/>
          <w:color w:val="76B900"/>
          <w:sz w:val="20"/>
          <w:szCs w:val="20"/>
        </w:rPr>
        <w:t>Revolving Credit Facility</w:t>
      </w:r>
    </w:p>
    <w:p w14:paraId="1E804C87" w14:textId="77777777" w:rsidR="00F20ABF" w:rsidRDefault="00CA4D2F">
      <w:pPr>
        <w:jc w:val="both"/>
      </w:pPr>
      <w:r>
        <w:rPr>
          <w:rFonts w:ascii="sans-serif" w:eastAsia="sans-serif" w:hAnsi="sans-serif" w:cs="sans-serif"/>
          <w:color w:val="000000"/>
          <w:sz w:val="20"/>
          <w:szCs w:val="20"/>
        </w:rPr>
        <w:t>We have a Credit Agreement under which we may borrow up to $575 million for general corporate purposes and can obtain</w:t>
      </w:r>
      <w:r>
        <w:rPr>
          <w:rFonts w:ascii="sans-serif" w:eastAsia="sans-serif" w:hAnsi="sans-serif" w:cs="sans-serif"/>
          <w:color w:val="000000"/>
          <w:sz w:val="20"/>
          <w:szCs w:val="20"/>
        </w:rPr>
        <w:t xml:space="preserve"> revolving loan commitments up to $425 million. As of October 25, 2020, we had not borrowed any amounts and were in compliance with the required covenants under this agreement.</w:t>
      </w:r>
    </w:p>
    <w:p w14:paraId="1E804C88" w14:textId="77777777" w:rsidR="00F20ABF" w:rsidRDefault="00CA4D2F">
      <w:pPr>
        <w:spacing w:before="240" w:after="60"/>
        <w:jc w:val="both"/>
      </w:pPr>
      <w:r>
        <w:rPr>
          <w:rFonts w:ascii="sans-serif" w:eastAsia="sans-serif" w:hAnsi="sans-serif" w:cs="sans-serif"/>
          <w:b/>
          <w:bCs/>
          <w:color w:val="76B900"/>
          <w:sz w:val="20"/>
          <w:szCs w:val="20"/>
        </w:rPr>
        <w:t>Commercial Paper</w:t>
      </w:r>
    </w:p>
    <w:p w14:paraId="1E804C89" w14:textId="77777777" w:rsidR="00F20ABF" w:rsidRDefault="00CA4D2F">
      <w:pPr>
        <w:spacing w:after="180"/>
        <w:jc w:val="both"/>
      </w:pPr>
      <w:r>
        <w:rPr>
          <w:rFonts w:ascii="sans-serif" w:eastAsia="sans-serif" w:hAnsi="sans-serif" w:cs="sans-serif"/>
          <w:color w:val="000000"/>
          <w:sz w:val="20"/>
          <w:szCs w:val="20"/>
        </w:rPr>
        <w:t xml:space="preserve">We have a $575 million commercial paper program to </w:t>
      </w:r>
      <w:r>
        <w:rPr>
          <w:rFonts w:ascii="sans-serif" w:eastAsia="sans-serif" w:hAnsi="sans-serif" w:cs="sans-serif"/>
          <w:color w:val="000000"/>
          <w:sz w:val="20"/>
          <w:szCs w:val="20"/>
        </w:rPr>
        <w:t>support general corporate purposes. As of October 25, 2020, we had not issued any commercial paper.</w:t>
      </w:r>
    </w:p>
    <w:p w14:paraId="1E804C8A" w14:textId="77777777" w:rsidR="00F20ABF" w:rsidRDefault="00CA4D2F">
      <w:pPr>
        <w:spacing w:before="240" w:after="120"/>
        <w:jc w:val="both"/>
      </w:pPr>
      <w:r>
        <w:rPr>
          <w:rFonts w:ascii="sans-serif" w:eastAsia="sans-serif" w:hAnsi="sans-serif" w:cs="sans-serif"/>
          <w:b/>
          <w:bCs/>
          <w:color w:val="76B900"/>
          <w:sz w:val="22"/>
          <w:szCs w:val="22"/>
        </w:rPr>
        <w:t>Note 13 - Commitments and Contingencies</w:t>
      </w:r>
    </w:p>
    <w:p w14:paraId="1E804C8B" w14:textId="77777777" w:rsidR="00F20ABF" w:rsidRDefault="00CA4D2F">
      <w:pPr>
        <w:spacing w:before="240" w:after="60"/>
        <w:jc w:val="both"/>
      </w:pPr>
      <w:r>
        <w:rPr>
          <w:rFonts w:ascii="sans-serif" w:eastAsia="sans-serif" w:hAnsi="sans-serif" w:cs="sans-serif"/>
          <w:b/>
          <w:bCs/>
          <w:color w:val="76B900"/>
          <w:sz w:val="20"/>
          <w:szCs w:val="20"/>
        </w:rPr>
        <w:t>Purchase Obligations</w:t>
      </w:r>
    </w:p>
    <w:p w14:paraId="1E804C8C" w14:textId="77777777" w:rsidR="00F20ABF" w:rsidRDefault="00CA4D2F">
      <w:pPr>
        <w:spacing w:after="120"/>
        <w:jc w:val="both"/>
      </w:pPr>
      <w:r>
        <w:rPr>
          <w:rFonts w:ascii="sans-serif" w:eastAsia="sans-serif" w:hAnsi="sans-serif" w:cs="sans-serif"/>
          <w:color w:val="000000"/>
          <w:sz w:val="20"/>
          <w:szCs w:val="20"/>
        </w:rPr>
        <w:t xml:space="preserve">As of October 25, 2020, we had outstanding inventory purchase obligations totaling $2.57 </w:t>
      </w:r>
      <w:r>
        <w:rPr>
          <w:rFonts w:ascii="sans-serif" w:eastAsia="sans-serif" w:hAnsi="sans-serif" w:cs="sans-serif"/>
          <w:color w:val="000000"/>
          <w:sz w:val="20"/>
          <w:szCs w:val="20"/>
        </w:rPr>
        <w:t>billion and other purchase obligations totaling $398 million.</w:t>
      </w:r>
    </w:p>
    <w:p w14:paraId="1E804C8D" w14:textId="77777777" w:rsidR="00F20ABF" w:rsidRDefault="00CA4D2F">
      <w:pPr>
        <w:spacing w:before="240" w:after="60"/>
        <w:jc w:val="both"/>
      </w:pPr>
      <w:r>
        <w:rPr>
          <w:rFonts w:ascii="sans-serif" w:eastAsia="sans-serif" w:hAnsi="sans-serif" w:cs="sans-serif"/>
          <w:b/>
          <w:bCs/>
          <w:color w:val="76B900"/>
          <w:sz w:val="20"/>
          <w:szCs w:val="20"/>
        </w:rPr>
        <w:t>Accrual for Product Warranty Liabilities</w:t>
      </w:r>
    </w:p>
    <w:p w14:paraId="1E804C8E" w14:textId="77777777" w:rsidR="00F20ABF" w:rsidRDefault="00CA4D2F">
      <w:pPr>
        <w:spacing w:after="180"/>
        <w:jc w:val="both"/>
      </w:pPr>
      <w:r>
        <w:rPr>
          <w:rFonts w:ascii="sans-serif" w:eastAsia="sans-serif" w:hAnsi="sans-serif" w:cs="sans-serif"/>
          <w:color w:val="000000"/>
          <w:sz w:val="20"/>
          <w:szCs w:val="20"/>
        </w:rPr>
        <w:t>The estimated amount of product returns and warranty liabilities was $19 million and $15 million as of October 25, 2020 and January 26, 2020, respectivel</w:t>
      </w:r>
      <w:r>
        <w:rPr>
          <w:rFonts w:ascii="sans-serif" w:eastAsia="sans-serif" w:hAnsi="sans-serif" w:cs="sans-serif"/>
          <w:color w:val="000000"/>
          <w:sz w:val="20"/>
          <w:szCs w:val="20"/>
        </w:rPr>
        <w:t>y, and the activities related to the warranty liabilities were not significant.</w:t>
      </w:r>
    </w:p>
    <w:p w14:paraId="1E804C8F" w14:textId="77777777" w:rsidR="00F20ABF" w:rsidRDefault="00CA4D2F">
      <w:pPr>
        <w:jc w:val="both"/>
      </w:pPr>
      <w:r>
        <w:rPr>
          <w:rFonts w:ascii="sans-serif" w:eastAsia="sans-serif" w:hAnsi="sans-serif" w:cs="sans-serif"/>
          <w:color w:val="000000"/>
          <w:sz w:val="20"/>
          <w:szCs w:val="20"/>
        </w:rPr>
        <w:t>In connection with certain agreements that we have entered in the past, we have provided indemnities to cover the indemnified party for matters such as tax, product, and employ</w:t>
      </w:r>
      <w:r>
        <w:rPr>
          <w:rFonts w:ascii="sans-serif" w:eastAsia="sans-serif" w:hAnsi="sans-serif" w:cs="sans-serif"/>
          <w:color w:val="000000"/>
          <w:sz w:val="20"/>
          <w:szCs w:val="20"/>
        </w:rPr>
        <w:t>ee liabilities. We have included intellectual property indemnification provisions in our technology related agreements with third parties. Maximum potential future payments cannot be estimated because many of these agreements do not have a maximum stated l</w:t>
      </w:r>
      <w:r>
        <w:rPr>
          <w:rFonts w:ascii="sans-serif" w:eastAsia="sans-serif" w:hAnsi="sans-serif" w:cs="sans-serif"/>
          <w:color w:val="000000"/>
          <w:sz w:val="20"/>
          <w:szCs w:val="20"/>
        </w:rPr>
        <w:t>iability. We have not recorded any liability in our Condensed Consolidated Financial Statements for such indemnifications.</w:t>
      </w:r>
    </w:p>
    <w:p w14:paraId="1E804C90" w14:textId="77777777" w:rsidR="00F20ABF" w:rsidRDefault="00F20ABF">
      <w:pPr>
        <w:spacing w:after="180"/>
        <w:jc w:val="both"/>
      </w:pPr>
    </w:p>
    <w:p w14:paraId="1E804C91" w14:textId="77777777" w:rsidR="00F20ABF" w:rsidRDefault="00CA4D2F">
      <w:pPr>
        <w:spacing w:after="180"/>
        <w:jc w:val="center"/>
      </w:pPr>
      <w:r>
        <w:rPr>
          <w:rFonts w:ascii="sans-serif" w:eastAsia="sans-serif" w:hAnsi="sans-serif" w:cs="sans-serif"/>
          <w:color w:val="000000"/>
          <w:sz w:val="20"/>
          <w:szCs w:val="20"/>
        </w:rPr>
        <w:t>21</w:t>
      </w:r>
    </w:p>
    <w:p w14:paraId="1E804C92" w14:textId="77777777" w:rsidR="00F20ABF" w:rsidRDefault="00CA4D2F">
      <w:r>
        <w:pict w14:anchorId="1E805590">
          <v:rect id="_x0000_i1045" style="width:415.3pt;height:1.5pt" o:hralign="center" o:hrstd="t" o:hr="t" fillcolor="#a0a0a0" stroked="f"/>
        </w:pict>
      </w:r>
    </w:p>
    <w:p w14:paraId="1E804C93" w14:textId="77777777" w:rsidR="00F20ABF" w:rsidRDefault="00CA4D2F">
      <w:pPr>
        <w:jc w:val="center"/>
      </w:pPr>
      <w:r>
        <w:rPr>
          <w:rFonts w:ascii="sans-serif" w:eastAsia="sans-serif" w:hAnsi="sans-serif" w:cs="sans-serif"/>
          <w:b/>
          <w:bCs/>
          <w:color w:val="000000"/>
          <w:sz w:val="20"/>
          <w:szCs w:val="20"/>
        </w:rPr>
        <w:t>NVIDIA CORPORATION AND SUBSIDIARIES</w:t>
      </w:r>
    </w:p>
    <w:p w14:paraId="1E804C94" w14:textId="77777777" w:rsidR="00F20ABF" w:rsidRDefault="00CA4D2F">
      <w:pPr>
        <w:jc w:val="center"/>
      </w:pPr>
      <w:r>
        <w:rPr>
          <w:rFonts w:ascii="sans-serif" w:eastAsia="sans-serif" w:hAnsi="sans-serif" w:cs="sans-serif"/>
          <w:b/>
          <w:bCs/>
          <w:color w:val="000000"/>
          <w:sz w:val="20"/>
          <w:szCs w:val="20"/>
        </w:rPr>
        <w:t>NOTES TO CONDENSED CONSOLIDATED FINANCIAL STATEMENTS (Continued)</w:t>
      </w:r>
    </w:p>
    <w:p w14:paraId="1E804C95" w14:textId="77777777" w:rsidR="00F20ABF" w:rsidRDefault="00CA4D2F">
      <w:pPr>
        <w:jc w:val="center"/>
      </w:pPr>
      <w:r>
        <w:rPr>
          <w:rFonts w:ascii="sans-serif" w:eastAsia="sans-serif" w:hAnsi="sans-serif" w:cs="sans-serif"/>
          <w:b/>
          <w:bCs/>
          <w:color w:val="000000"/>
          <w:sz w:val="20"/>
          <w:szCs w:val="20"/>
        </w:rPr>
        <w:t>(Unaudited)</w:t>
      </w:r>
    </w:p>
    <w:p w14:paraId="1E804C96" w14:textId="77777777" w:rsidR="00F20ABF" w:rsidRDefault="00F20ABF">
      <w:pPr>
        <w:spacing w:after="180"/>
        <w:jc w:val="both"/>
      </w:pPr>
    </w:p>
    <w:p w14:paraId="1E804C97" w14:textId="77777777" w:rsidR="00F20ABF" w:rsidRDefault="00F20ABF">
      <w:pPr>
        <w:spacing w:after="180"/>
        <w:jc w:val="both"/>
      </w:pPr>
    </w:p>
    <w:p w14:paraId="1E804C98" w14:textId="77777777" w:rsidR="00F20ABF" w:rsidRDefault="00CA4D2F">
      <w:pPr>
        <w:spacing w:before="240" w:after="60"/>
        <w:jc w:val="both"/>
      </w:pPr>
      <w:r>
        <w:rPr>
          <w:rFonts w:ascii="sans-serif" w:eastAsia="sans-serif" w:hAnsi="sans-serif" w:cs="sans-serif"/>
          <w:b/>
          <w:bCs/>
          <w:color w:val="76B900"/>
          <w:sz w:val="20"/>
          <w:szCs w:val="20"/>
        </w:rPr>
        <w:t>Litigation</w:t>
      </w:r>
    </w:p>
    <w:p w14:paraId="1E804C99" w14:textId="77777777" w:rsidR="00F20ABF" w:rsidRDefault="00CA4D2F">
      <w:pPr>
        <w:spacing w:before="120" w:after="120"/>
        <w:jc w:val="both"/>
      </w:pPr>
      <w:r>
        <w:rPr>
          <w:rFonts w:ascii="sans-serif" w:eastAsia="sans-serif" w:hAnsi="sans-serif" w:cs="sans-serif"/>
          <w:b/>
          <w:bCs/>
          <w:color w:val="000000"/>
          <w:sz w:val="20"/>
          <w:szCs w:val="20"/>
        </w:rPr>
        <w:t>S</w:t>
      </w:r>
      <w:r>
        <w:rPr>
          <w:rFonts w:ascii="sans-serif" w:eastAsia="sans-serif" w:hAnsi="sans-serif" w:cs="sans-serif"/>
          <w:b/>
          <w:bCs/>
          <w:color w:val="000000"/>
          <w:sz w:val="20"/>
          <w:szCs w:val="20"/>
        </w:rPr>
        <w:t>ecurities Class Action and Derivative Lawsuits</w:t>
      </w:r>
    </w:p>
    <w:p w14:paraId="1E804C9A" w14:textId="77777777" w:rsidR="00F20ABF" w:rsidRDefault="00CA4D2F">
      <w:pPr>
        <w:spacing w:after="180"/>
        <w:jc w:val="both"/>
      </w:pPr>
      <w:r>
        <w:rPr>
          <w:rFonts w:ascii="sans-serif" w:eastAsia="sans-serif" w:hAnsi="sans-serif" w:cs="sans-serif"/>
          <w:color w:val="000000"/>
          <w:sz w:val="20"/>
          <w:szCs w:val="20"/>
        </w:rPr>
        <w:t>The plaintiffs in the putative securities class action lawsuit, captioned 4:18-cv-07669-HSG, initially filed on December 21, 2018, and titled In Re NVIDIA Corporation Securities Litigation, filed an amended co</w:t>
      </w:r>
      <w:r>
        <w:rPr>
          <w:rFonts w:ascii="sans-serif" w:eastAsia="sans-serif" w:hAnsi="sans-serif" w:cs="sans-serif"/>
          <w:color w:val="000000"/>
          <w:sz w:val="20"/>
          <w:szCs w:val="20"/>
        </w:rPr>
        <w:t>mplaint on May 13, 2020. The amended complaint asserts that NVIDIA and certain NVIDIA executives violated Section 10(b) of the Securities Exchange Act of 1934, as amended, or the Exchange Act, and SEC Rule 10b-5, by making materially false or misleading st</w:t>
      </w:r>
      <w:r>
        <w:rPr>
          <w:rFonts w:ascii="sans-serif" w:eastAsia="sans-serif" w:hAnsi="sans-serif" w:cs="sans-serif"/>
          <w:color w:val="000000"/>
          <w:sz w:val="20"/>
          <w:szCs w:val="20"/>
        </w:rPr>
        <w:t>atements related to channel inventory and the impact of cryptocurrency mining on GPU demand between May 10, 2017 and November 14, 2018. Plaintiffs also allege that the NVIDIA executives who they named as defendants violated Section 20(a) of the Exchange Ac</w:t>
      </w:r>
      <w:r>
        <w:rPr>
          <w:rFonts w:ascii="sans-serif" w:eastAsia="sans-serif" w:hAnsi="sans-serif" w:cs="sans-serif"/>
          <w:color w:val="000000"/>
          <w:sz w:val="20"/>
          <w:szCs w:val="20"/>
        </w:rPr>
        <w:t>t. Plaintiffs seek class certification, an award of unspecified compensatory damages, an award of reasonable costs and expenses, including attorneys’ fees and expert fees, and further relief as the Court may deem just and proper. On June 29, 2020, NVIDIA m</w:t>
      </w:r>
      <w:r>
        <w:rPr>
          <w:rFonts w:ascii="sans-serif" w:eastAsia="sans-serif" w:hAnsi="sans-serif" w:cs="sans-serif"/>
          <w:color w:val="000000"/>
          <w:sz w:val="20"/>
          <w:szCs w:val="20"/>
        </w:rPr>
        <w:t>oved to dismiss the amended complaint on the basis that plaintiffs failed to state any claims for violations of the securities laws by NVIDIA or the individual defendants. As of September 14, 2020, the motion was fully briefed but the Court has not yet iss</w:t>
      </w:r>
      <w:r>
        <w:rPr>
          <w:rFonts w:ascii="sans-serif" w:eastAsia="sans-serif" w:hAnsi="sans-serif" w:cs="sans-serif"/>
          <w:color w:val="000000"/>
          <w:sz w:val="20"/>
          <w:szCs w:val="20"/>
        </w:rPr>
        <w:t xml:space="preserve">ued a decision. </w:t>
      </w:r>
    </w:p>
    <w:p w14:paraId="1E804C9B" w14:textId="77777777" w:rsidR="00F20ABF" w:rsidRDefault="00CA4D2F">
      <w:pPr>
        <w:spacing w:after="180"/>
        <w:jc w:val="both"/>
      </w:pPr>
      <w:r>
        <w:rPr>
          <w:rFonts w:ascii="sans-serif" w:eastAsia="sans-serif" w:hAnsi="sans-serif" w:cs="sans-serif"/>
          <w:color w:val="000000"/>
          <w:sz w:val="20"/>
          <w:szCs w:val="20"/>
        </w:rPr>
        <w:t xml:space="preserve">The putative derivative lawsuit pending in the United States District Court for the Northern District of California, captioned 4:19-cv-00341-HSG, initially filed January 18, 2019 and titled In re NVIDIA Corporation Consolidated Derivative </w:t>
      </w:r>
      <w:r>
        <w:rPr>
          <w:rFonts w:ascii="sans-serif" w:eastAsia="sans-serif" w:hAnsi="sans-serif" w:cs="sans-serif"/>
          <w:color w:val="000000"/>
          <w:sz w:val="20"/>
          <w:szCs w:val="20"/>
        </w:rPr>
        <w:t>Litigation, remains stayed pending resolution of NVIDIA’s motion to dismiss the complaint in the In Re NVIDIA Corporation Securities Litigation action. The lawsuit asserts claims for breach of fiduciary duty, unjust enrichment, waste of corporate assets, a</w:t>
      </w:r>
      <w:r>
        <w:rPr>
          <w:rFonts w:ascii="sans-serif" w:eastAsia="sans-serif" w:hAnsi="sans-serif" w:cs="sans-serif"/>
          <w:color w:val="000000"/>
          <w:sz w:val="20"/>
          <w:szCs w:val="20"/>
        </w:rPr>
        <w:t>nd violations of Sections 14(a), 10(b), and 20(a) of the Exchange Act based on the dissemination of allegedly false and misleading statements related to channel inventory and the impact of cryptocurrency mining on GPU demand. The plaintiffs are seeking uns</w:t>
      </w:r>
      <w:r>
        <w:rPr>
          <w:rFonts w:ascii="sans-serif" w:eastAsia="sans-serif" w:hAnsi="sans-serif" w:cs="sans-serif"/>
          <w:color w:val="000000"/>
          <w:sz w:val="20"/>
          <w:szCs w:val="20"/>
        </w:rPr>
        <w:t>pecified damages and other relief, including reforms and improvements to NVIDIA’s corporate governance and internal procedures.</w:t>
      </w:r>
    </w:p>
    <w:p w14:paraId="1E804C9C" w14:textId="77777777" w:rsidR="00F20ABF" w:rsidRDefault="00CA4D2F">
      <w:pPr>
        <w:spacing w:after="180"/>
        <w:jc w:val="both"/>
      </w:pPr>
      <w:r>
        <w:rPr>
          <w:rFonts w:ascii="sans-serif" w:eastAsia="sans-serif" w:hAnsi="sans-serif" w:cs="sans-serif"/>
          <w:color w:val="000000"/>
          <w:sz w:val="20"/>
          <w:szCs w:val="20"/>
        </w:rPr>
        <w:t>The putative derivative actions initially filed September 24, 2019 and pending in the United States District Court for the Distr</w:t>
      </w:r>
      <w:r>
        <w:rPr>
          <w:rFonts w:ascii="sans-serif" w:eastAsia="sans-serif" w:hAnsi="sans-serif" w:cs="sans-serif"/>
          <w:color w:val="000000"/>
          <w:sz w:val="20"/>
          <w:szCs w:val="20"/>
        </w:rPr>
        <w:t>ict of Delaware, Lipchitz v. Huang, et al. (Case No. 1:19-cv-01795-UNA) and Nelson v. Huang, et. al. (Case No. 1:19-cv-01798- UNA), remain stayed pending resolution of NVIDIA’s motion to dismiss the complaint in the In Re NVIDIA Corporation Securities Liti</w:t>
      </w:r>
      <w:r>
        <w:rPr>
          <w:rFonts w:ascii="sans-serif" w:eastAsia="sans-serif" w:hAnsi="sans-serif" w:cs="sans-serif"/>
          <w:color w:val="000000"/>
          <w:sz w:val="20"/>
          <w:szCs w:val="20"/>
        </w:rPr>
        <w:t>gation action. The lawsuits assert claims for breach of fiduciary duty, unjust enrichment, insider trading, misappropriation of information, corporate waste and violations of Sections 14(a), 10(b), and 20(a) of the Exchange Act based on the dissemination o</w:t>
      </w:r>
      <w:r>
        <w:rPr>
          <w:rFonts w:ascii="sans-serif" w:eastAsia="sans-serif" w:hAnsi="sans-serif" w:cs="sans-serif"/>
          <w:color w:val="000000"/>
          <w:sz w:val="20"/>
          <w:szCs w:val="20"/>
        </w:rPr>
        <w:t>f allegedly false, and misleading statements related to channel inventory and the impact of cryptocurrency mining on GPU demand. The plaintiffs seek unspecified damages and other relief, including disgorgement of profits from the sale of NVIDIA stock and u</w:t>
      </w:r>
      <w:r>
        <w:rPr>
          <w:rFonts w:ascii="sans-serif" w:eastAsia="sans-serif" w:hAnsi="sans-serif" w:cs="sans-serif"/>
          <w:color w:val="000000"/>
          <w:sz w:val="20"/>
          <w:szCs w:val="20"/>
        </w:rPr>
        <w:t>nspecified corporate governance measures.</w:t>
      </w:r>
    </w:p>
    <w:p w14:paraId="1E804C9D" w14:textId="77777777" w:rsidR="00F20ABF" w:rsidRDefault="00CA4D2F">
      <w:pPr>
        <w:spacing w:after="180"/>
        <w:jc w:val="both"/>
      </w:pPr>
      <w:r>
        <w:rPr>
          <w:rFonts w:ascii="sans-serif" w:eastAsia="sans-serif" w:hAnsi="sans-serif" w:cs="sans-serif"/>
          <w:color w:val="000000"/>
          <w:sz w:val="20"/>
          <w:szCs w:val="20"/>
        </w:rPr>
        <w:t>It is possible that additional suits will be filed, or allegations received from shareholders, with respect to these same or other matters, naming NVIDIA and/or its officers and directors as defendants.</w:t>
      </w:r>
    </w:p>
    <w:p w14:paraId="1E804C9E" w14:textId="77777777" w:rsidR="00F20ABF" w:rsidRDefault="00CA4D2F">
      <w:pPr>
        <w:spacing w:before="120"/>
      </w:pPr>
      <w:r>
        <w:rPr>
          <w:rFonts w:ascii="sans-serif" w:eastAsia="sans-serif" w:hAnsi="sans-serif" w:cs="sans-serif"/>
          <w:b/>
          <w:bCs/>
          <w:color w:val="000000"/>
          <w:sz w:val="20"/>
          <w:szCs w:val="20"/>
        </w:rPr>
        <w:t xml:space="preserve">Accounting </w:t>
      </w:r>
      <w:r>
        <w:rPr>
          <w:rFonts w:ascii="sans-serif" w:eastAsia="sans-serif" w:hAnsi="sans-serif" w:cs="sans-serif"/>
          <w:b/>
          <w:bCs/>
          <w:color w:val="000000"/>
          <w:sz w:val="20"/>
          <w:szCs w:val="20"/>
        </w:rPr>
        <w:t>for Loss Contingencies</w:t>
      </w:r>
    </w:p>
    <w:p w14:paraId="1E804C9F" w14:textId="77777777" w:rsidR="00F20ABF" w:rsidRDefault="00CA4D2F">
      <w:pPr>
        <w:spacing w:after="180"/>
        <w:jc w:val="both"/>
      </w:pPr>
      <w:r>
        <w:rPr>
          <w:rFonts w:ascii="sans-serif" w:eastAsia="sans-serif" w:hAnsi="sans-serif" w:cs="sans-serif"/>
          <w:color w:val="000000"/>
          <w:sz w:val="20"/>
          <w:szCs w:val="20"/>
        </w:rPr>
        <w:t xml:space="preserve">As of October 25, 2020, we have not recorded any accrual for contingent liabilities associated with the legal proceedings described above based on our belief that liabilities, while possible, are not probable. Further, except as </w:t>
      </w:r>
      <w:r>
        <w:rPr>
          <w:rFonts w:ascii="sans-serif" w:eastAsia="sans-serif" w:hAnsi="sans-serif" w:cs="sans-serif"/>
          <w:color w:val="000000"/>
          <w:sz w:val="20"/>
          <w:szCs w:val="20"/>
        </w:rPr>
        <w:t>specifically described above, any possible loss or range of loss in these matters cannot be reasonably estimated at this time. We are engaged in legal actions not described above arising in the ordinary course of business and, while there can be no assuran</w:t>
      </w:r>
      <w:r>
        <w:rPr>
          <w:rFonts w:ascii="sans-serif" w:eastAsia="sans-serif" w:hAnsi="sans-serif" w:cs="sans-serif"/>
          <w:color w:val="000000"/>
          <w:sz w:val="20"/>
          <w:szCs w:val="20"/>
        </w:rPr>
        <w:t>ce of favorable outcomes, we believe that the ultimate outcome of these actions will not have a material adverse effect on our operating results, liquidity or financial position.</w:t>
      </w:r>
    </w:p>
    <w:p w14:paraId="1E804CA0" w14:textId="77777777" w:rsidR="00F20ABF" w:rsidRDefault="00CA4D2F">
      <w:pPr>
        <w:spacing w:before="240" w:after="120"/>
        <w:jc w:val="both"/>
      </w:pPr>
      <w:r>
        <w:rPr>
          <w:rFonts w:ascii="sans-serif" w:eastAsia="sans-serif" w:hAnsi="sans-serif" w:cs="sans-serif"/>
          <w:b/>
          <w:bCs/>
          <w:color w:val="76B900"/>
          <w:sz w:val="22"/>
          <w:szCs w:val="22"/>
        </w:rPr>
        <w:t>Note 14 - Shareholders’ Equity</w:t>
      </w:r>
      <w:r>
        <w:rPr>
          <w:rFonts w:ascii="sans-serif" w:eastAsia="sans-serif" w:hAnsi="sans-serif" w:cs="sans-serif"/>
          <w:color w:val="000000"/>
          <w:sz w:val="20"/>
          <w:szCs w:val="20"/>
        </w:rPr>
        <w:t> </w:t>
      </w:r>
    </w:p>
    <w:p w14:paraId="1E804CA1" w14:textId="77777777" w:rsidR="00F20ABF" w:rsidRDefault="00CA4D2F">
      <w:pPr>
        <w:spacing w:before="240" w:after="60"/>
        <w:jc w:val="both"/>
      </w:pPr>
      <w:r>
        <w:rPr>
          <w:rFonts w:ascii="sans-serif" w:eastAsia="sans-serif" w:hAnsi="sans-serif" w:cs="sans-serif"/>
          <w:b/>
          <w:bCs/>
          <w:color w:val="76B900"/>
          <w:sz w:val="20"/>
          <w:szCs w:val="20"/>
        </w:rPr>
        <w:t>Capital Return Program </w:t>
      </w:r>
    </w:p>
    <w:p w14:paraId="1E804CA2" w14:textId="77777777" w:rsidR="00F20ABF" w:rsidRDefault="00CA4D2F">
      <w:pPr>
        <w:spacing w:after="180"/>
        <w:jc w:val="both"/>
      </w:pPr>
      <w:r>
        <w:rPr>
          <w:rFonts w:ascii="sans-serif" w:eastAsia="sans-serif" w:hAnsi="sans-serif" w:cs="sans-serif"/>
          <w:color w:val="000000"/>
          <w:sz w:val="20"/>
          <w:szCs w:val="20"/>
        </w:rPr>
        <w:t>Beginning August 2004</w:t>
      </w:r>
      <w:r>
        <w:rPr>
          <w:rFonts w:ascii="sans-serif" w:eastAsia="sans-serif" w:hAnsi="sans-serif" w:cs="sans-serif"/>
          <w:color w:val="000000"/>
          <w:sz w:val="20"/>
          <w:szCs w:val="20"/>
        </w:rPr>
        <w:t>, our Board of Directors authorized us to repurchase our stock.</w:t>
      </w:r>
    </w:p>
    <w:p w14:paraId="1E804CA3" w14:textId="77777777" w:rsidR="00F20ABF" w:rsidRDefault="00CA4D2F">
      <w:pPr>
        <w:spacing w:after="180"/>
        <w:jc w:val="both"/>
      </w:pPr>
      <w:r>
        <w:rPr>
          <w:rFonts w:ascii="sans-serif" w:eastAsia="sans-serif" w:hAnsi="sans-serif" w:cs="sans-serif"/>
          <w:color w:val="000000"/>
          <w:sz w:val="20"/>
          <w:szCs w:val="20"/>
        </w:rPr>
        <w:t>Through October 25, 2020, we have repurchased an aggregate of 260 million shares under our share repurchase program for a total cost of $7.08 billion. All shares delivered from these repurchas</w:t>
      </w:r>
      <w:r>
        <w:rPr>
          <w:rFonts w:ascii="sans-serif" w:eastAsia="sans-serif" w:hAnsi="sans-serif" w:cs="sans-serif"/>
          <w:color w:val="000000"/>
          <w:sz w:val="20"/>
          <w:szCs w:val="20"/>
        </w:rPr>
        <w:t>es have been placed into treasury stock. As of October 25, 2020, we were authorized, subject to certain specifications, to repurchase additional shares of our common stock up to $7.24 billion through December 2022.</w:t>
      </w:r>
    </w:p>
    <w:p w14:paraId="1E804CA4" w14:textId="77777777" w:rsidR="00F20ABF" w:rsidRDefault="00CA4D2F">
      <w:pPr>
        <w:spacing w:after="180"/>
        <w:jc w:val="both"/>
      </w:pPr>
      <w:r>
        <w:rPr>
          <w:rFonts w:ascii="sans-serif" w:eastAsia="sans-serif" w:hAnsi="sans-serif" w:cs="sans-serif"/>
          <w:color w:val="000000"/>
          <w:sz w:val="20"/>
          <w:szCs w:val="20"/>
        </w:rPr>
        <w:t>During the third quarter and first nine m</w:t>
      </w:r>
      <w:r>
        <w:rPr>
          <w:rFonts w:ascii="sans-serif" w:eastAsia="sans-serif" w:hAnsi="sans-serif" w:cs="sans-serif"/>
          <w:color w:val="000000"/>
          <w:sz w:val="20"/>
          <w:szCs w:val="20"/>
        </w:rPr>
        <w:t>onths of fiscal year 2021, we paid $99 million and $296 million in cash dividends to our shareholders, respectively.</w:t>
      </w:r>
    </w:p>
    <w:p w14:paraId="1E804CA5" w14:textId="77777777" w:rsidR="00F20ABF" w:rsidRDefault="00CA4D2F">
      <w:pPr>
        <w:spacing w:after="180"/>
        <w:jc w:val="center"/>
      </w:pPr>
      <w:r>
        <w:rPr>
          <w:rFonts w:ascii="sans-serif" w:eastAsia="sans-serif" w:hAnsi="sans-serif" w:cs="sans-serif"/>
          <w:color w:val="000000"/>
          <w:sz w:val="20"/>
          <w:szCs w:val="20"/>
        </w:rPr>
        <w:t>22</w:t>
      </w:r>
    </w:p>
    <w:p w14:paraId="1E804CA6" w14:textId="77777777" w:rsidR="00F20ABF" w:rsidRDefault="00CA4D2F">
      <w:r>
        <w:pict w14:anchorId="1E805591">
          <v:rect id="_x0000_i1046" style="width:415.3pt;height:1.5pt" o:hralign="center" o:hrstd="t" o:hr="t" fillcolor="#a0a0a0" stroked="f"/>
        </w:pict>
      </w:r>
    </w:p>
    <w:p w14:paraId="1E804CA7" w14:textId="77777777" w:rsidR="00F20ABF" w:rsidRDefault="00CA4D2F">
      <w:pPr>
        <w:jc w:val="center"/>
      </w:pPr>
      <w:r>
        <w:rPr>
          <w:rFonts w:ascii="sans-serif" w:eastAsia="sans-serif" w:hAnsi="sans-serif" w:cs="sans-serif"/>
          <w:b/>
          <w:bCs/>
          <w:color w:val="000000"/>
          <w:sz w:val="20"/>
          <w:szCs w:val="20"/>
        </w:rPr>
        <w:t>NVIDIA CORPORATION AND SUBSIDIARIES</w:t>
      </w:r>
    </w:p>
    <w:p w14:paraId="1E804CA8" w14:textId="77777777" w:rsidR="00F20ABF" w:rsidRDefault="00CA4D2F">
      <w:pPr>
        <w:jc w:val="center"/>
      </w:pPr>
      <w:r>
        <w:rPr>
          <w:rFonts w:ascii="sans-serif" w:eastAsia="sans-serif" w:hAnsi="sans-serif" w:cs="sans-serif"/>
          <w:b/>
          <w:bCs/>
          <w:color w:val="000000"/>
          <w:sz w:val="20"/>
          <w:szCs w:val="20"/>
        </w:rPr>
        <w:t>NOTES TO CONDENSED CONSOLIDATED FINANCIAL STATEMENTS (Continued)</w:t>
      </w:r>
    </w:p>
    <w:p w14:paraId="1E804CA9" w14:textId="77777777" w:rsidR="00F20ABF" w:rsidRDefault="00CA4D2F">
      <w:pPr>
        <w:jc w:val="center"/>
      </w:pPr>
      <w:r>
        <w:rPr>
          <w:rFonts w:ascii="sans-serif" w:eastAsia="sans-serif" w:hAnsi="sans-serif" w:cs="sans-serif"/>
          <w:b/>
          <w:bCs/>
          <w:color w:val="000000"/>
          <w:sz w:val="20"/>
          <w:szCs w:val="20"/>
        </w:rPr>
        <w:t>(Unaudited)</w:t>
      </w:r>
    </w:p>
    <w:p w14:paraId="1E804CAA" w14:textId="77777777" w:rsidR="00F20ABF" w:rsidRDefault="00F20ABF">
      <w:pPr>
        <w:spacing w:after="180"/>
        <w:jc w:val="both"/>
      </w:pPr>
    </w:p>
    <w:p w14:paraId="1E804CAB" w14:textId="77777777" w:rsidR="00F20ABF" w:rsidRDefault="00F20ABF">
      <w:pPr>
        <w:spacing w:after="180"/>
        <w:jc w:val="both"/>
      </w:pPr>
    </w:p>
    <w:p w14:paraId="1E804CAC" w14:textId="77777777" w:rsidR="00F20ABF" w:rsidRDefault="00CA4D2F">
      <w:pPr>
        <w:spacing w:before="240" w:after="120"/>
        <w:jc w:val="both"/>
      </w:pPr>
      <w:r>
        <w:rPr>
          <w:rFonts w:ascii="sans-serif" w:eastAsia="sans-serif" w:hAnsi="sans-serif" w:cs="sans-serif"/>
          <w:b/>
          <w:bCs/>
          <w:color w:val="76B900"/>
          <w:sz w:val="22"/>
          <w:szCs w:val="22"/>
        </w:rPr>
        <w:t>Note 15 - Segment I</w:t>
      </w:r>
      <w:r>
        <w:rPr>
          <w:rFonts w:ascii="sans-serif" w:eastAsia="sans-serif" w:hAnsi="sans-serif" w:cs="sans-serif"/>
          <w:b/>
          <w:bCs/>
          <w:color w:val="76B900"/>
          <w:sz w:val="22"/>
          <w:szCs w:val="22"/>
        </w:rPr>
        <w:t>nformation</w:t>
      </w:r>
    </w:p>
    <w:p w14:paraId="1E804CAD" w14:textId="77777777" w:rsidR="00F20ABF" w:rsidRDefault="00CA4D2F">
      <w:pPr>
        <w:spacing w:after="180"/>
        <w:jc w:val="both"/>
      </w:pPr>
      <w:r>
        <w:rPr>
          <w:rFonts w:ascii="sans-serif" w:eastAsia="sans-serif" w:hAnsi="sans-serif" w:cs="sans-serif"/>
          <w:color w:val="000000"/>
          <w:sz w:val="20"/>
          <w:szCs w:val="20"/>
        </w:rPr>
        <w:t>Our Chief Executive Officer, who is considered to be our chief operating decision maker, or CODM, reviews financial information presented on an operating segment basis for purposes of making decisions and assessing financial performance. In the prior fisca</w:t>
      </w:r>
      <w:r>
        <w:rPr>
          <w:rFonts w:ascii="sans-serif" w:eastAsia="sans-serif" w:hAnsi="sans-serif" w:cs="sans-serif"/>
          <w:color w:val="000000"/>
          <w:sz w:val="20"/>
          <w:szCs w:val="20"/>
        </w:rPr>
        <w:t>l year, we had reported two operating segments: GPU and Tegra Processor. During the first quarter of fiscal year 2021, we changed our operating segments to be consistent with the revised manner in which our CODM reviews our financial performance and alloca</w:t>
      </w:r>
      <w:r>
        <w:rPr>
          <w:rFonts w:ascii="sans-serif" w:eastAsia="sans-serif" w:hAnsi="sans-serif" w:cs="sans-serif"/>
          <w:color w:val="000000"/>
          <w:sz w:val="20"/>
          <w:szCs w:val="20"/>
        </w:rPr>
        <w:t xml:space="preserve">tes resources. The two new operating segments are "Graphics" and "Compute &amp; Networking". Comparative periods presented reflect this change. Our operating segments are equivalent to our reportable segments. </w:t>
      </w:r>
    </w:p>
    <w:p w14:paraId="1E804CAE" w14:textId="77777777" w:rsidR="00F20ABF" w:rsidRDefault="00CA4D2F">
      <w:pPr>
        <w:spacing w:after="180"/>
        <w:jc w:val="both"/>
      </w:pPr>
      <w:r>
        <w:rPr>
          <w:rFonts w:ascii="sans-serif" w:eastAsia="sans-serif" w:hAnsi="sans-serif" w:cs="sans-serif"/>
          <w:color w:val="000000"/>
          <w:sz w:val="20"/>
          <w:szCs w:val="20"/>
        </w:rPr>
        <w:t>Our Graphics segment includes GeForce GPUs for ga</w:t>
      </w:r>
      <w:r>
        <w:rPr>
          <w:rFonts w:ascii="sans-serif" w:eastAsia="sans-serif" w:hAnsi="sans-serif" w:cs="sans-serif"/>
          <w:color w:val="000000"/>
          <w:sz w:val="20"/>
          <w:szCs w:val="20"/>
        </w:rPr>
        <w:t>ming and PCs, the GeForce NOW game streaming service and related infrastructure, and solutions for gaming platforms; Quadro GPUs for enterprise design; GRID software for cloud-based visual and virtual computing; and automotive platforms for infotainment sy</w:t>
      </w:r>
      <w:r>
        <w:rPr>
          <w:rFonts w:ascii="sans-serif" w:eastAsia="sans-serif" w:hAnsi="sans-serif" w:cs="sans-serif"/>
          <w:color w:val="000000"/>
          <w:sz w:val="20"/>
          <w:szCs w:val="20"/>
        </w:rPr>
        <w:t>stems. Our Compute &amp; Networking segment includes Data Center platforms and systems for artificial intelligence, or AI, high performance computing, or HPC, and accelerated computing; Mellanox networking and interconnect solutions; DRIVE for autonomous vehic</w:t>
      </w:r>
      <w:r>
        <w:rPr>
          <w:rFonts w:ascii="sans-serif" w:eastAsia="sans-serif" w:hAnsi="sans-serif" w:cs="sans-serif"/>
          <w:color w:val="000000"/>
          <w:sz w:val="20"/>
          <w:szCs w:val="20"/>
        </w:rPr>
        <w:t xml:space="preserve">les; and Jetson for robotics and other embedded platforms. </w:t>
      </w:r>
    </w:p>
    <w:p w14:paraId="1E804CAF" w14:textId="77777777" w:rsidR="00F20ABF" w:rsidRDefault="00CA4D2F">
      <w:pPr>
        <w:spacing w:after="180"/>
        <w:jc w:val="both"/>
      </w:pPr>
      <w:r>
        <w:rPr>
          <w:rFonts w:ascii="sans-serif" w:eastAsia="sans-serif" w:hAnsi="sans-serif" w:cs="sans-serif"/>
          <w:color w:val="000000"/>
          <w:sz w:val="20"/>
          <w:szCs w:val="20"/>
        </w:rPr>
        <w:t>Operating results by segment include costs or expenses that are directly attributable to each segment, and costs or expenses that are leveraged across our unified architecture and therefore alloca</w:t>
      </w:r>
      <w:r>
        <w:rPr>
          <w:rFonts w:ascii="sans-serif" w:eastAsia="sans-serif" w:hAnsi="sans-serif" w:cs="sans-serif"/>
          <w:color w:val="000000"/>
          <w:sz w:val="20"/>
          <w:szCs w:val="20"/>
        </w:rPr>
        <w:t>ted between our two segments.</w:t>
      </w:r>
    </w:p>
    <w:p w14:paraId="1E804CB0" w14:textId="77777777" w:rsidR="00F20ABF" w:rsidRDefault="00CA4D2F">
      <w:pPr>
        <w:spacing w:after="180"/>
        <w:jc w:val="both"/>
      </w:pPr>
      <w:r>
        <w:rPr>
          <w:rFonts w:ascii="sans-serif" w:eastAsia="sans-serif" w:hAnsi="sans-serif" w:cs="sans-serif"/>
          <w:color w:val="000000"/>
          <w:sz w:val="20"/>
          <w:szCs w:val="20"/>
        </w:rPr>
        <w:t>The “All Other” category includes the expenses that our CODM does not assign to either Graphics or Compute &amp; Networking for purposes of making operating decisions or assessing financial performance. The expenses include stock-</w:t>
      </w:r>
      <w:r>
        <w:rPr>
          <w:rFonts w:ascii="sans-serif" w:eastAsia="sans-serif" w:hAnsi="sans-serif" w:cs="sans-serif"/>
          <w:color w:val="000000"/>
          <w:sz w:val="20"/>
          <w:szCs w:val="20"/>
        </w:rPr>
        <w:t xml:space="preserve">based compensation expense, corporate infrastructure and support costs, acquisition-related costs, legal settlement costs, and other non-recurring charges and benefits that our CODM deems to be enterprise in nature. </w:t>
      </w:r>
    </w:p>
    <w:p w14:paraId="1E804CB1" w14:textId="77777777" w:rsidR="00F20ABF" w:rsidRDefault="00CA4D2F">
      <w:pPr>
        <w:spacing w:after="180"/>
        <w:jc w:val="both"/>
      </w:pPr>
      <w:r>
        <w:rPr>
          <w:rFonts w:ascii="sans-serif" w:eastAsia="sans-serif" w:hAnsi="sans-serif" w:cs="sans-serif"/>
          <w:color w:val="000000"/>
          <w:sz w:val="20"/>
          <w:szCs w:val="20"/>
        </w:rPr>
        <w:t>Our CODM does not review any informatio</w:t>
      </w:r>
      <w:r>
        <w:rPr>
          <w:rFonts w:ascii="sans-serif" w:eastAsia="sans-serif" w:hAnsi="sans-serif" w:cs="sans-serif"/>
          <w:color w:val="000000"/>
          <w:sz w:val="20"/>
          <w:szCs w:val="20"/>
        </w:rPr>
        <w:t>n regarding total assets on a reportable segment basis. Depreciation and amortization expense directly attributable to each reportable segment is included in operating results for each segment. However, the CODM does not evaluate depreciation and amortizat</w:t>
      </w:r>
      <w:r>
        <w:rPr>
          <w:rFonts w:ascii="sans-serif" w:eastAsia="sans-serif" w:hAnsi="sans-serif" w:cs="sans-serif"/>
          <w:color w:val="000000"/>
          <w:sz w:val="20"/>
          <w:szCs w:val="20"/>
        </w:rPr>
        <w:t xml:space="preserve">ion expense by operating segment and, therefore, it is not separately presented. There is no intersegment revenue. The accounting policies for segment reporting are the same as for our consolidated financial statements. The table below presents details of </w:t>
      </w:r>
      <w:r>
        <w:rPr>
          <w:rFonts w:ascii="sans-serif" w:eastAsia="sans-serif" w:hAnsi="sans-serif" w:cs="sans-serif"/>
          <w:color w:val="000000"/>
          <w:sz w:val="20"/>
          <w:szCs w:val="20"/>
        </w:rPr>
        <w:t>our reportable segments and the “All Other” category.</w:t>
      </w:r>
    </w:p>
    <w:tbl>
      <w:tblPr>
        <w:tblW w:w="4993" w:type="pct"/>
        <w:tblCellMar>
          <w:top w:w="15" w:type="dxa"/>
          <w:left w:w="15" w:type="dxa"/>
          <w:bottom w:w="15" w:type="dxa"/>
          <w:right w:w="15" w:type="dxa"/>
        </w:tblCellMar>
        <w:tblLook w:val="04A0" w:firstRow="1" w:lastRow="0" w:firstColumn="1" w:lastColumn="0" w:noHBand="0" w:noVBand="1"/>
      </w:tblPr>
      <w:tblGrid>
        <w:gridCol w:w="38"/>
        <w:gridCol w:w="3704"/>
        <w:gridCol w:w="37"/>
        <w:gridCol w:w="123"/>
        <w:gridCol w:w="884"/>
        <w:gridCol w:w="36"/>
        <w:gridCol w:w="36"/>
        <w:gridCol w:w="36"/>
        <w:gridCol w:w="36"/>
        <w:gridCol w:w="123"/>
        <w:gridCol w:w="930"/>
        <w:gridCol w:w="36"/>
        <w:gridCol w:w="36"/>
        <w:gridCol w:w="36"/>
        <w:gridCol w:w="36"/>
        <w:gridCol w:w="122"/>
        <w:gridCol w:w="739"/>
        <w:gridCol w:w="36"/>
        <w:gridCol w:w="36"/>
        <w:gridCol w:w="36"/>
        <w:gridCol w:w="36"/>
        <w:gridCol w:w="123"/>
        <w:gridCol w:w="1033"/>
        <w:gridCol w:w="36"/>
      </w:tblGrid>
      <w:tr w:rsidR="00F20ABF" w14:paraId="1E804CCA" w14:textId="77777777">
        <w:tc>
          <w:tcPr>
            <w:tcW w:w="50" w:type="pct"/>
            <w:shd w:val="clear" w:color="auto" w:fill="auto"/>
          </w:tcPr>
          <w:p w14:paraId="1E804CB2" w14:textId="77777777" w:rsidR="00F20ABF" w:rsidRDefault="00F20ABF">
            <w:pPr>
              <w:rPr>
                <w:rFonts w:ascii="宋体"/>
              </w:rPr>
            </w:pPr>
          </w:p>
        </w:tc>
        <w:tc>
          <w:tcPr>
            <w:tcW w:w="2287" w:type="pct"/>
            <w:shd w:val="clear" w:color="auto" w:fill="auto"/>
          </w:tcPr>
          <w:p w14:paraId="1E804CB3" w14:textId="77777777" w:rsidR="00F20ABF" w:rsidRDefault="00F20ABF">
            <w:pPr>
              <w:rPr>
                <w:rFonts w:ascii="宋体"/>
              </w:rPr>
            </w:pPr>
          </w:p>
        </w:tc>
        <w:tc>
          <w:tcPr>
            <w:tcW w:w="5" w:type="pct"/>
            <w:shd w:val="clear" w:color="auto" w:fill="auto"/>
          </w:tcPr>
          <w:p w14:paraId="1E804CB4" w14:textId="77777777" w:rsidR="00F20ABF" w:rsidRDefault="00F20ABF">
            <w:pPr>
              <w:rPr>
                <w:rFonts w:ascii="宋体"/>
              </w:rPr>
            </w:pPr>
          </w:p>
        </w:tc>
        <w:tc>
          <w:tcPr>
            <w:tcW w:w="50" w:type="pct"/>
            <w:shd w:val="clear" w:color="auto" w:fill="auto"/>
          </w:tcPr>
          <w:p w14:paraId="1E804CB5" w14:textId="77777777" w:rsidR="00F20ABF" w:rsidRDefault="00F20ABF">
            <w:pPr>
              <w:rPr>
                <w:rFonts w:ascii="宋体"/>
              </w:rPr>
            </w:pPr>
          </w:p>
        </w:tc>
        <w:tc>
          <w:tcPr>
            <w:tcW w:w="581" w:type="pct"/>
            <w:shd w:val="clear" w:color="auto" w:fill="auto"/>
          </w:tcPr>
          <w:p w14:paraId="1E804CB6" w14:textId="77777777" w:rsidR="00F20ABF" w:rsidRDefault="00F20ABF">
            <w:pPr>
              <w:rPr>
                <w:rFonts w:ascii="宋体"/>
              </w:rPr>
            </w:pPr>
          </w:p>
        </w:tc>
        <w:tc>
          <w:tcPr>
            <w:tcW w:w="5" w:type="pct"/>
            <w:shd w:val="clear" w:color="auto" w:fill="auto"/>
          </w:tcPr>
          <w:p w14:paraId="1E804CB7" w14:textId="77777777" w:rsidR="00F20ABF" w:rsidRDefault="00F20ABF">
            <w:pPr>
              <w:rPr>
                <w:rFonts w:ascii="宋体"/>
              </w:rPr>
            </w:pPr>
          </w:p>
        </w:tc>
        <w:tc>
          <w:tcPr>
            <w:tcW w:w="5" w:type="pct"/>
            <w:shd w:val="clear" w:color="auto" w:fill="auto"/>
          </w:tcPr>
          <w:p w14:paraId="1E804CB8" w14:textId="77777777" w:rsidR="00F20ABF" w:rsidRDefault="00F20ABF">
            <w:pPr>
              <w:rPr>
                <w:rFonts w:ascii="宋体"/>
              </w:rPr>
            </w:pPr>
          </w:p>
        </w:tc>
        <w:tc>
          <w:tcPr>
            <w:tcW w:w="26" w:type="pct"/>
            <w:shd w:val="clear" w:color="auto" w:fill="auto"/>
          </w:tcPr>
          <w:p w14:paraId="1E804CB9" w14:textId="77777777" w:rsidR="00F20ABF" w:rsidRDefault="00F20ABF">
            <w:pPr>
              <w:rPr>
                <w:rFonts w:ascii="宋体"/>
              </w:rPr>
            </w:pPr>
          </w:p>
        </w:tc>
        <w:tc>
          <w:tcPr>
            <w:tcW w:w="5" w:type="pct"/>
            <w:shd w:val="clear" w:color="auto" w:fill="auto"/>
          </w:tcPr>
          <w:p w14:paraId="1E804CBA" w14:textId="77777777" w:rsidR="00F20ABF" w:rsidRDefault="00F20ABF">
            <w:pPr>
              <w:rPr>
                <w:rFonts w:ascii="宋体"/>
              </w:rPr>
            </w:pPr>
          </w:p>
        </w:tc>
        <w:tc>
          <w:tcPr>
            <w:tcW w:w="50" w:type="pct"/>
            <w:shd w:val="clear" w:color="auto" w:fill="auto"/>
          </w:tcPr>
          <w:p w14:paraId="1E804CBB" w14:textId="77777777" w:rsidR="00F20ABF" w:rsidRDefault="00F20ABF">
            <w:pPr>
              <w:rPr>
                <w:rFonts w:ascii="宋体"/>
              </w:rPr>
            </w:pPr>
          </w:p>
        </w:tc>
        <w:tc>
          <w:tcPr>
            <w:tcW w:w="581" w:type="pct"/>
            <w:shd w:val="clear" w:color="auto" w:fill="auto"/>
          </w:tcPr>
          <w:p w14:paraId="1E804CBC" w14:textId="77777777" w:rsidR="00F20ABF" w:rsidRDefault="00F20ABF">
            <w:pPr>
              <w:rPr>
                <w:rFonts w:ascii="宋体"/>
              </w:rPr>
            </w:pPr>
          </w:p>
        </w:tc>
        <w:tc>
          <w:tcPr>
            <w:tcW w:w="5" w:type="pct"/>
            <w:shd w:val="clear" w:color="auto" w:fill="auto"/>
          </w:tcPr>
          <w:p w14:paraId="1E804CBD" w14:textId="77777777" w:rsidR="00F20ABF" w:rsidRDefault="00F20ABF">
            <w:pPr>
              <w:rPr>
                <w:rFonts w:ascii="宋体"/>
              </w:rPr>
            </w:pPr>
          </w:p>
        </w:tc>
        <w:tc>
          <w:tcPr>
            <w:tcW w:w="5" w:type="pct"/>
            <w:shd w:val="clear" w:color="auto" w:fill="auto"/>
          </w:tcPr>
          <w:p w14:paraId="1E804CBE" w14:textId="77777777" w:rsidR="00F20ABF" w:rsidRDefault="00F20ABF">
            <w:pPr>
              <w:rPr>
                <w:rFonts w:ascii="宋体"/>
              </w:rPr>
            </w:pPr>
          </w:p>
        </w:tc>
        <w:tc>
          <w:tcPr>
            <w:tcW w:w="26" w:type="pct"/>
            <w:shd w:val="clear" w:color="auto" w:fill="auto"/>
          </w:tcPr>
          <w:p w14:paraId="1E804CBF" w14:textId="77777777" w:rsidR="00F20ABF" w:rsidRDefault="00F20ABF">
            <w:pPr>
              <w:rPr>
                <w:rFonts w:ascii="宋体"/>
              </w:rPr>
            </w:pPr>
          </w:p>
        </w:tc>
        <w:tc>
          <w:tcPr>
            <w:tcW w:w="5" w:type="pct"/>
            <w:shd w:val="clear" w:color="auto" w:fill="auto"/>
          </w:tcPr>
          <w:p w14:paraId="1E804CC0" w14:textId="77777777" w:rsidR="00F20ABF" w:rsidRDefault="00F20ABF">
            <w:pPr>
              <w:rPr>
                <w:rFonts w:ascii="宋体"/>
              </w:rPr>
            </w:pPr>
          </w:p>
        </w:tc>
        <w:tc>
          <w:tcPr>
            <w:tcW w:w="50" w:type="pct"/>
            <w:shd w:val="clear" w:color="auto" w:fill="auto"/>
          </w:tcPr>
          <w:p w14:paraId="1E804CC1" w14:textId="77777777" w:rsidR="00F20ABF" w:rsidRDefault="00F20ABF">
            <w:pPr>
              <w:rPr>
                <w:rFonts w:ascii="宋体"/>
              </w:rPr>
            </w:pPr>
          </w:p>
        </w:tc>
        <w:tc>
          <w:tcPr>
            <w:tcW w:w="581" w:type="pct"/>
            <w:shd w:val="clear" w:color="auto" w:fill="auto"/>
          </w:tcPr>
          <w:p w14:paraId="1E804CC2" w14:textId="77777777" w:rsidR="00F20ABF" w:rsidRDefault="00F20ABF">
            <w:pPr>
              <w:rPr>
                <w:rFonts w:ascii="宋体"/>
              </w:rPr>
            </w:pPr>
          </w:p>
        </w:tc>
        <w:tc>
          <w:tcPr>
            <w:tcW w:w="5" w:type="pct"/>
            <w:shd w:val="clear" w:color="auto" w:fill="auto"/>
          </w:tcPr>
          <w:p w14:paraId="1E804CC3" w14:textId="77777777" w:rsidR="00F20ABF" w:rsidRDefault="00F20ABF">
            <w:pPr>
              <w:rPr>
                <w:rFonts w:ascii="宋体"/>
              </w:rPr>
            </w:pPr>
          </w:p>
        </w:tc>
        <w:tc>
          <w:tcPr>
            <w:tcW w:w="5" w:type="pct"/>
            <w:shd w:val="clear" w:color="auto" w:fill="auto"/>
          </w:tcPr>
          <w:p w14:paraId="1E804CC4" w14:textId="77777777" w:rsidR="00F20ABF" w:rsidRDefault="00F20ABF">
            <w:pPr>
              <w:rPr>
                <w:rFonts w:ascii="宋体"/>
              </w:rPr>
            </w:pPr>
          </w:p>
        </w:tc>
        <w:tc>
          <w:tcPr>
            <w:tcW w:w="26" w:type="pct"/>
            <w:shd w:val="clear" w:color="auto" w:fill="auto"/>
          </w:tcPr>
          <w:p w14:paraId="1E804CC5" w14:textId="77777777" w:rsidR="00F20ABF" w:rsidRDefault="00F20ABF">
            <w:pPr>
              <w:rPr>
                <w:rFonts w:ascii="宋体"/>
              </w:rPr>
            </w:pPr>
          </w:p>
        </w:tc>
        <w:tc>
          <w:tcPr>
            <w:tcW w:w="5" w:type="pct"/>
            <w:shd w:val="clear" w:color="auto" w:fill="auto"/>
          </w:tcPr>
          <w:p w14:paraId="1E804CC6" w14:textId="77777777" w:rsidR="00F20ABF" w:rsidRDefault="00F20ABF">
            <w:pPr>
              <w:rPr>
                <w:rFonts w:ascii="宋体"/>
              </w:rPr>
            </w:pPr>
          </w:p>
        </w:tc>
        <w:tc>
          <w:tcPr>
            <w:tcW w:w="50" w:type="pct"/>
            <w:shd w:val="clear" w:color="auto" w:fill="auto"/>
          </w:tcPr>
          <w:p w14:paraId="1E804CC7" w14:textId="77777777" w:rsidR="00F20ABF" w:rsidRDefault="00F20ABF">
            <w:pPr>
              <w:rPr>
                <w:rFonts w:ascii="宋体"/>
              </w:rPr>
            </w:pPr>
          </w:p>
        </w:tc>
        <w:tc>
          <w:tcPr>
            <w:tcW w:w="582" w:type="pct"/>
            <w:shd w:val="clear" w:color="auto" w:fill="auto"/>
          </w:tcPr>
          <w:p w14:paraId="1E804CC8" w14:textId="77777777" w:rsidR="00F20ABF" w:rsidRDefault="00F20ABF">
            <w:pPr>
              <w:rPr>
                <w:rFonts w:ascii="宋体"/>
              </w:rPr>
            </w:pPr>
          </w:p>
        </w:tc>
        <w:tc>
          <w:tcPr>
            <w:tcW w:w="5" w:type="pct"/>
            <w:shd w:val="clear" w:color="auto" w:fill="auto"/>
          </w:tcPr>
          <w:p w14:paraId="1E804CC9" w14:textId="77777777" w:rsidR="00F20ABF" w:rsidRDefault="00F20ABF">
            <w:pPr>
              <w:rPr>
                <w:rFonts w:ascii="宋体"/>
              </w:rPr>
            </w:pPr>
          </w:p>
        </w:tc>
      </w:tr>
      <w:tr w:rsidR="00F20ABF" w14:paraId="1E804CD3" w14:textId="77777777">
        <w:tc>
          <w:tcPr>
            <w:tcW w:w="0" w:type="auto"/>
            <w:gridSpan w:val="3"/>
            <w:shd w:val="clear" w:color="auto" w:fill="auto"/>
            <w:tcMar>
              <w:top w:w="40" w:type="dxa"/>
              <w:left w:w="20" w:type="dxa"/>
              <w:bottom w:w="40" w:type="dxa"/>
              <w:right w:w="20" w:type="dxa"/>
            </w:tcMar>
            <w:vAlign w:val="bottom"/>
          </w:tcPr>
          <w:p w14:paraId="1E804CCB"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4CCC" w14:textId="77777777" w:rsidR="00F20ABF" w:rsidRDefault="00CA4D2F">
            <w:pPr>
              <w:jc w:val="center"/>
              <w:textAlignment w:val="bottom"/>
            </w:pPr>
            <w:r>
              <w:rPr>
                <w:rFonts w:ascii="sans-serif" w:eastAsia="sans-serif" w:hAnsi="sans-serif" w:cs="sans-serif"/>
                <w:b/>
                <w:bCs/>
                <w:color w:val="000000"/>
                <w:sz w:val="20"/>
                <w:szCs w:val="20"/>
              </w:rPr>
              <w:t>Graphics</w:t>
            </w:r>
          </w:p>
        </w:tc>
        <w:tc>
          <w:tcPr>
            <w:tcW w:w="0" w:type="auto"/>
            <w:gridSpan w:val="3"/>
            <w:shd w:val="clear" w:color="auto" w:fill="auto"/>
            <w:tcMar>
              <w:top w:w="0" w:type="dxa"/>
              <w:left w:w="20" w:type="dxa"/>
              <w:bottom w:w="0" w:type="dxa"/>
              <w:right w:w="20" w:type="dxa"/>
            </w:tcMar>
          </w:tcPr>
          <w:p w14:paraId="1E804CCD"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CCE" w14:textId="77777777" w:rsidR="00F20ABF" w:rsidRDefault="00CA4D2F">
            <w:pPr>
              <w:jc w:val="center"/>
              <w:textAlignment w:val="bottom"/>
            </w:pPr>
            <w:r>
              <w:rPr>
                <w:rFonts w:ascii="sans-serif" w:eastAsia="sans-serif" w:hAnsi="sans-serif" w:cs="sans-serif"/>
                <w:b/>
                <w:bCs/>
                <w:color w:val="000000"/>
                <w:sz w:val="20"/>
                <w:szCs w:val="20"/>
              </w:rPr>
              <w:t>Compute &amp; Networking</w:t>
            </w:r>
          </w:p>
        </w:tc>
        <w:tc>
          <w:tcPr>
            <w:tcW w:w="0" w:type="auto"/>
            <w:gridSpan w:val="3"/>
            <w:shd w:val="clear" w:color="auto" w:fill="auto"/>
            <w:tcMar>
              <w:top w:w="0" w:type="dxa"/>
              <w:left w:w="20" w:type="dxa"/>
              <w:bottom w:w="0" w:type="dxa"/>
              <w:right w:w="20" w:type="dxa"/>
            </w:tcMar>
          </w:tcPr>
          <w:p w14:paraId="1E804CCF"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CD0" w14:textId="77777777" w:rsidR="00F20ABF" w:rsidRDefault="00CA4D2F">
            <w:pPr>
              <w:jc w:val="center"/>
              <w:textAlignment w:val="bottom"/>
            </w:pPr>
            <w:r>
              <w:rPr>
                <w:rFonts w:ascii="sans-serif" w:eastAsia="sans-serif" w:hAnsi="sans-serif" w:cs="sans-serif"/>
                <w:b/>
                <w:bCs/>
                <w:color w:val="000000"/>
                <w:sz w:val="20"/>
                <w:szCs w:val="20"/>
              </w:rPr>
              <w:t>All Other</w:t>
            </w:r>
          </w:p>
        </w:tc>
        <w:tc>
          <w:tcPr>
            <w:tcW w:w="0" w:type="auto"/>
            <w:gridSpan w:val="3"/>
            <w:shd w:val="clear" w:color="auto" w:fill="auto"/>
            <w:tcMar>
              <w:top w:w="0" w:type="dxa"/>
              <w:left w:w="20" w:type="dxa"/>
              <w:bottom w:w="0" w:type="dxa"/>
              <w:right w:w="20" w:type="dxa"/>
            </w:tcMar>
          </w:tcPr>
          <w:p w14:paraId="1E804CD1"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CD2" w14:textId="77777777" w:rsidR="00F20ABF" w:rsidRDefault="00CA4D2F">
            <w:pPr>
              <w:jc w:val="center"/>
              <w:textAlignment w:val="bottom"/>
            </w:pPr>
            <w:r>
              <w:rPr>
                <w:rFonts w:ascii="sans-serif" w:eastAsia="sans-serif" w:hAnsi="sans-serif" w:cs="sans-serif"/>
                <w:b/>
                <w:bCs/>
                <w:color w:val="000000"/>
                <w:sz w:val="20"/>
                <w:szCs w:val="20"/>
              </w:rPr>
              <w:t>Consolidated</w:t>
            </w:r>
          </w:p>
        </w:tc>
      </w:tr>
      <w:tr w:rsidR="00F20ABF" w14:paraId="1E804CDC" w14:textId="77777777">
        <w:trPr>
          <w:trHeight w:val="60"/>
        </w:trPr>
        <w:tc>
          <w:tcPr>
            <w:tcW w:w="0" w:type="auto"/>
            <w:gridSpan w:val="3"/>
            <w:shd w:val="clear" w:color="auto" w:fill="auto"/>
            <w:tcMar>
              <w:top w:w="0" w:type="dxa"/>
              <w:left w:w="20" w:type="dxa"/>
              <w:bottom w:w="0" w:type="dxa"/>
              <w:right w:w="20" w:type="dxa"/>
            </w:tcMar>
          </w:tcPr>
          <w:p w14:paraId="1E804CD4"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CD5"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CD6"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CD7"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CD8"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CD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CDA"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CDB" w14:textId="77777777" w:rsidR="00F20ABF" w:rsidRDefault="00F20ABF">
            <w:pPr>
              <w:rPr>
                <w:rFonts w:ascii="宋体"/>
              </w:rPr>
            </w:pPr>
          </w:p>
        </w:tc>
      </w:tr>
      <w:tr w:rsidR="00F20ABF" w14:paraId="1E804CDF" w14:textId="77777777">
        <w:tc>
          <w:tcPr>
            <w:tcW w:w="0" w:type="auto"/>
            <w:gridSpan w:val="3"/>
            <w:shd w:val="clear" w:color="auto" w:fill="auto"/>
            <w:tcMar>
              <w:top w:w="40" w:type="dxa"/>
              <w:left w:w="20" w:type="dxa"/>
              <w:bottom w:w="40" w:type="dxa"/>
              <w:right w:w="20" w:type="dxa"/>
            </w:tcMar>
            <w:vAlign w:val="bottom"/>
          </w:tcPr>
          <w:p w14:paraId="1E804CDD" w14:textId="77777777" w:rsidR="00F20ABF" w:rsidRDefault="00CA4D2F">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1E804CDE"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CE8" w14:textId="77777777">
        <w:tc>
          <w:tcPr>
            <w:tcW w:w="0" w:type="auto"/>
            <w:gridSpan w:val="3"/>
            <w:shd w:val="clear" w:color="auto" w:fill="E2EFD9"/>
            <w:tcMar>
              <w:top w:w="40" w:type="dxa"/>
              <w:left w:w="20" w:type="dxa"/>
              <w:bottom w:w="40" w:type="dxa"/>
              <w:right w:w="20" w:type="dxa"/>
            </w:tcMar>
            <w:vAlign w:val="bottom"/>
          </w:tcPr>
          <w:p w14:paraId="1E804CE0" w14:textId="77777777" w:rsidR="00F20ABF" w:rsidRDefault="00CA4D2F">
            <w:pPr>
              <w:textAlignment w:val="bottom"/>
            </w:pPr>
            <w:r>
              <w:rPr>
                <w:rFonts w:ascii="sans-serif" w:eastAsia="sans-serif" w:hAnsi="sans-serif" w:cs="sans-serif"/>
                <w:b/>
                <w:bCs/>
                <w:color w:val="000000"/>
                <w:sz w:val="20"/>
                <w:szCs w:val="20"/>
              </w:rPr>
              <w:t>Three Months Ended October 25, 2020</w:t>
            </w:r>
          </w:p>
        </w:tc>
        <w:tc>
          <w:tcPr>
            <w:tcW w:w="0" w:type="auto"/>
            <w:gridSpan w:val="3"/>
            <w:shd w:val="clear" w:color="auto" w:fill="E2EFD9"/>
            <w:tcMar>
              <w:top w:w="40" w:type="dxa"/>
              <w:left w:w="20" w:type="dxa"/>
              <w:bottom w:w="40" w:type="dxa"/>
              <w:right w:w="20" w:type="dxa"/>
            </w:tcMar>
            <w:vAlign w:val="bottom"/>
          </w:tcPr>
          <w:p w14:paraId="1E804CE1"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1E804CE2" w14:textId="77777777" w:rsidR="00F20ABF" w:rsidRDefault="00F20ABF">
            <w:pPr>
              <w:rPr>
                <w:rFonts w:ascii="宋体"/>
              </w:rPr>
            </w:pPr>
          </w:p>
        </w:tc>
        <w:tc>
          <w:tcPr>
            <w:tcW w:w="0" w:type="auto"/>
            <w:gridSpan w:val="3"/>
            <w:shd w:val="clear" w:color="auto" w:fill="E2EFD9"/>
            <w:tcMar>
              <w:top w:w="40" w:type="dxa"/>
              <w:left w:w="20" w:type="dxa"/>
              <w:bottom w:w="40" w:type="dxa"/>
              <w:right w:w="20" w:type="dxa"/>
            </w:tcMar>
            <w:vAlign w:val="bottom"/>
          </w:tcPr>
          <w:p w14:paraId="1E804CE3"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1E804CE4" w14:textId="77777777" w:rsidR="00F20ABF" w:rsidRDefault="00F20ABF">
            <w:pPr>
              <w:rPr>
                <w:rFonts w:ascii="宋体"/>
              </w:rPr>
            </w:pPr>
          </w:p>
        </w:tc>
        <w:tc>
          <w:tcPr>
            <w:tcW w:w="0" w:type="auto"/>
            <w:gridSpan w:val="3"/>
            <w:shd w:val="clear" w:color="auto" w:fill="E2EFD9"/>
            <w:tcMar>
              <w:top w:w="40" w:type="dxa"/>
              <w:left w:w="20" w:type="dxa"/>
              <w:bottom w:w="40" w:type="dxa"/>
              <w:right w:w="20" w:type="dxa"/>
            </w:tcMar>
            <w:vAlign w:val="bottom"/>
          </w:tcPr>
          <w:p w14:paraId="1E804CE5"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1E804CE6" w14:textId="77777777" w:rsidR="00F20ABF" w:rsidRDefault="00F20ABF">
            <w:pPr>
              <w:rPr>
                <w:rFonts w:ascii="宋体"/>
              </w:rPr>
            </w:pPr>
          </w:p>
        </w:tc>
        <w:tc>
          <w:tcPr>
            <w:tcW w:w="0" w:type="auto"/>
            <w:gridSpan w:val="3"/>
            <w:shd w:val="clear" w:color="auto" w:fill="E2EFD9"/>
            <w:tcMar>
              <w:top w:w="40" w:type="dxa"/>
              <w:left w:w="20" w:type="dxa"/>
              <w:bottom w:w="40" w:type="dxa"/>
              <w:right w:w="20" w:type="dxa"/>
            </w:tcMar>
            <w:vAlign w:val="bottom"/>
          </w:tcPr>
          <w:p w14:paraId="1E804CE7" w14:textId="77777777" w:rsidR="00F20ABF" w:rsidRDefault="00CA4D2F">
            <w:pPr>
              <w:textAlignment w:val="bottom"/>
            </w:pPr>
            <w:r>
              <w:rPr>
                <w:rFonts w:ascii="sans-serif" w:eastAsia="sans-serif" w:hAnsi="sans-serif" w:cs="sans-serif"/>
                <w:color w:val="000000"/>
                <w:sz w:val="20"/>
                <w:szCs w:val="20"/>
              </w:rPr>
              <w:t> </w:t>
            </w:r>
          </w:p>
        </w:tc>
      </w:tr>
      <w:tr w:rsidR="00F20ABF" w14:paraId="1E804CF9" w14:textId="77777777">
        <w:tc>
          <w:tcPr>
            <w:tcW w:w="0" w:type="auto"/>
            <w:gridSpan w:val="3"/>
            <w:shd w:val="clear" w:color="auto" w:fill="FFFFFF"/>
            <w:tcMar>
              <w:top w:w="40" w:type="dxa"/>
              <w:left w:w="20" w:type="dxa"/>
              <w:bottom w:w="40" w:type="dxa"/>
              <w:right w:w="20" w:type="dxa"/>
            </w:tcMar>
            <w:vAlign w:val="bottom"/>
          </w:tcPr>
          <w:p w14:paraId="1E804CE9" w14:textId="77777777" w:rsidR="00F20ABF" w:rsidRDefault="00CA4D2F">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1E804CEA"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CEB" w14:textId="77777777" w:rsidR="00F20ABF" w:rsidRDefault="00CA4D2F">
            <w:pPr>
              <w:jc w:val="right"/>
              <w:textAlignment w:val="bottom"/>
            </w:pPr>
            <w:r>
              <w:rPr>
                <w:rFonts w:ascii="sans-serif" w:eastAsia="sans-serif" w:hAnsi="sans-serif" w:cs="sans-serif"/>
                <w:color w:val="000000"/>
                <w:sz w:val="20"/>
                <w:szCs w:val="20"/>
              </w:rPr>
              <w:t>2,787 </w:t>
            </w:r>
          </w:p>
        </w:tc>
        <w:tc>
          <w:tcPr>
            <w:tcW w:w="0" w:type="auto"/>
            <w:shd w:val="clear" w:color="auto" w:fill="FFFFFF"/>
            <w:tcMar>
              <w:top w:w="40" w:type="dxa"/>
              <w:left w:w="0" w:type="dxa"/>
              <w:bottom w:w="40" w:type="dxa"/>
              <w:right w:w="20" w:type="dxa"/>
            </w:tcMar>
            <w:vAlign w:val="bottom"/>
          </w:tcPr>
          <w:p w14:paraId="1E804CE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CED"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CEE"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CEF" w14:textId="77777777" w:rsidR="00F20ABF" w:rsidRDefault="00CA4D2F">
            <w:pPr>
              <w:jc w:val="right"/>
              <w:textAlignment w:val="bottom"/>
            </w:pPr>
            <w:r>
              <w:rPr>
                <w:rFonts w:ascii="sans-serif" w:eastAsia="sans-serif" w:hAnsi="sans-serif" w:cs="sans-serif"/>
                <w:color w:val="000000"/>
                <w:sz w:val="20"/>
                <w:szCs w:val="20"/>
              </w:rPr>
              <w:t>1,939 </w:t>
            </w:r>
          </w:p>
        </w:tc>
        <w:tc>
          <w:tcPr>
            <w:tcW w:w="0" w:type="auto"/>
            <w:shd w:val="clear" w:color="auto" w:fill="FFFFFF"/>
            <w:tcMar>
              <w:top w:w="40" w:type="dxa"/>
              <w:left w:w="0" w:type="dxa"/>
              <w:bottom w:w="40" w:type="dxa"/>
              <w:right w:w="20" w:type="dxa"/>
            </w:tcMar>
            <w:vAlign w:val="bottom"/>
          </w:tcPr>
          <w:p w14:paraId="1E804CF0"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CF1"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CF2"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CF3"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CF4"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CF5"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CF6"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CF7" w14:textId="77777777" w:rsidR="00F20ABF" w:rsidRDefault="00CA4D2F">
            <w:pPr>
              <w:jc w:val="right"/>
              <w:textAlignment w:val="bottom"/>
            </w:pPr>
            <w:r>
              <w:rPr>
                <w:rFonts w:ascii="sans-serif" w:eastAsia="sans-serif" w:hAnsi="sans-serif" w:cs="sans-serif"/>
                <w:color w:val="000000"/>
                <w:sz w:val="20"/>
                <w:szCs w:val="20"/>
              </w:rPr>
              <w:t>4,726 </w:t>
            </w:r>
          </w:p>
        </w:tc>
        <w:tc>
          <w:tcPr>
            <w:tcW w:w="0" w:type="auto"/>
            <w:shd w:val="clear" w:color="auto" w:fill="FFFFFF"/>
            <w:tcMar>
              <w:top w:w="40" w:type="dxa"/>
              <w:left w:w="0" w:type="dxa"/>
              <w:bottom w:w="40" w:type="dxa"/>
              <w:right w:w="20" w:type="dxa"/>
            </w:tcMar>
            <w:vAlign w:val="bottom"/>
          </w:tcPr>
          <w:p w14:paraId="1E804CF8" w14:textId="77777777" w:rsidR="00F20ABF" w:rsidRDefault="00F20ABF">
            <w:pPr>
              <w:jc w:val="right"/>
              <w:rPr>
                <w:rFonts w:ascii="宋体"/>
              </w:rPr>
            </w:pPr>
          </w:p>
        </w:tc>
      </w:tr>
      <w:tr w:rsidR="00F20ABF" w14:paraId="1E804D02" w14:textId="77777777">
        <w:trPr>
          <w:hidden/>
        </w:trPr>
        <w:tc>
          <w:tcPr>
            <w:tcW w:w="0" w:type="auto"/>
            <w:gridSpan w:val="3"/>
            <w:shd w:val="clear" w:color="auto" w:fill="auto"/>
          </w:tcPr>
          <w:p w14:paraId="1E804CFA" w14:textId="77777777" w:rsidR="00F20ABF" w:rsidRDefault="00F20ABF">
            <w:pPr>
              <w:rPr>
                <w:rFonts w:ascii="宋体"/>
                <w:vanish/>
              </w:rPr>
            </w:pPr>
          </w:p>
        </w:tc>
        <w:tc>
          <w:tcPr>
            <w:tcW w:w="0" w:type="auto"/>
            <w:gridSpan w:val="3"/>
            <w:shd w:val="clear" w:color="auto" w:fill="auto"/>
          </w:tcPr>
          <w:p w14:paraId="1E804CFB" w14:textId="77777777" w:rsidR="00F20ABF" w:rsidRDefault="00F20ABF">
            <w:pPr>
              <w:rPr>
                <w:rFonts w:ascii="宋体"/>
                <w:vanish/>
              </w:rPr>
            </w:pPr>
          </w:p>
        </w:tc>
        <w:tc>
          <w:tcPr>
            <w:tcW w:w="0" w:type="auto"/>
            <w:gridSpan w:val="3"/>
            <w:shd w:val="clear" w:color="auto" w:fill="auto"/>
          </w:tcPr>
          <w:p w14:paraId="1E804CFC" w14:textId="77777777" w:rsidR="00F20ABF" w:rsidRDefault="00F20ABF">
            <w:pPr>
              <w:rPr>
                <w:rFonts w:ascii="宋体"/>
                <w:vanish/>
              </w:rPr>
            </w:pPr>
          </w:p>
        </w:tc>
        <w:tc>
          <w:tcPr>
            <w:tcW w:w="0" w:type="auto"/>
            <w:gridSpan w:val="3"/>
            <w:shd w:val="clear" w:color="auto" w:fill="auto"/>
          </w:tcPr>
          <w:p w14:paraId="1E804CFD" w14:textId="77777777" w:rsidR="00F20ABF" w:rsidRDefault="00F20ABF">
            <w:pPr>
              <w:rPr>
                <w:rFonts w:ascii="宋体"/>
                <w:vanish/>
              </w:rPr>
            </w:pPr>
          </w:p>
        </w:tc>
        <w:tc>
          <w:tcPr>
            <w:tcW w:w="0" w:type="auto"/>
            <w:gridSpan w:val="3"/>
            <w:shd w:val="clear" w:color="auto" w:fill="auto"/>
          </w:tcPr>
          <w:p w14:paraId="1E804CFE" w14:textId="77777777" w:rsidR="00F20ABF" w:rsidRDefault="00F20ABF">
            <w:pPr>
              <w:rPr>
                <w:rFonts w:ascii="宋体"/>
                <w:vanish/>
              </w:rPr>
            </w:pPr>
          </w:p>
        </w:tc>
        <w:tc>
          <w:tcPr>
            <w:tcW w:w="0" w:type="auto"/>
            <w:gridSpan w:val="3"/>
            <w:shd w:val="clear" w:color="auto" w:fill="auto"/>
          </w:tcPr>
          <w:p w14:paraId="1E804CFF" w14:textId="77777777" w:rsidR="00F20ABF" w:rsidRDefault="00F20ABF">
            <w:pPr>
              <w:rPr>
                <w:rFonts w:ascii="宋体"/>
                <w:vanish/>
              </w:rPr>
            </w:pPr>
          </w:p>
        </w:tc>
        <w:tc>
          <w:tcPr>
            <w:tcW w:w="0" w:type="auto"/>
            <w:gridSpan w:val="3"/>
            <w:shd w:val="clear" w:color="auto" w:fill="auto"/>
          </w:tcPr>
          <w:p w14:paraId="1E804D00" w14:textId="77777777" w:rsidR="00F20ABF" w:rsidRDefault="00F20ABF">
            <w:pPr>
              <w:rPr>
                <w:rFonts w:ascii="宋体"/>
                <w:vanish/>
              </w:rPr>
            </w:pPr>
          </w:p>
        </w:tc>
        <w:tc>
          <w:tcPr>
            <w:tcW w:w="0" w:type="auto"/>
            <w:gridSpan w:val="3"/>
            <w:shd w:val="clear" w:color="auto" w:fill="auto"/>
          </w:tcPr>
          <w:p w14:paraId="1E804D01" w14:textId="77777777" w:rsidR="00F20ABF" w:rsidRDefault="00F20ABF">
            <w:pPr>
              <w:rPr>
                <w:rFonts w:ascii="宋体"/>
                <w:vanish/>
              </w:rPr>
            </w:pPr>
          </w:p>
        </w:tc>
      </w:tr>
      <w:tr w:rsidR="00F20ABF" w14:paraId="1E804D13" w14:textId="77777777">
        <w:tc>
          <w:tcPr>
            <w:tcW w:w="0" w:type="auto"/>
            <w:gridSpan w:val="3"/>
            <w:shd w:val="clear" w:color="auto" w:fill="E2EFD9"/>
            <w:tcMar>
              <w:top w:w="40" w:type="dxa"/>
              <w:left w:w="20" w:type="dxa"/>
              <w:bottom w:w="40" w:type="dxa"/>
              <w:right w:w="20" w:type="dxa"/>
            </w:tcMar>
            <w:vAlign w:val="bottom"/>
          </w:tcPr>
          <w:p w14:paraId="1E804D03" w14:textId="77777777" w:rsidR="00F20ABF" w:rsidRDefault="00CA4D2F">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1E804D04"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D05" w14:textId="77777777" w:rsidR="00F20ABF" w:rsidRDefault="00CA4D2F">
            <w:pPr>
              <w:jc w:val="right"/>
              <w:textAlignment w:val="bottom"/>
            </w:pPr>
            <w:r>
              <w:rPr>
                <w:rFonts w:ascii="sans-serif" w:eastAsia="sans-serif" w:hAnsi="sans-serif" w:cs="sans-serif"/>
                <w:color w:val="000000"/>
                <w:sz w:val="20"/>
                <w:szCs w:val="20"/>
              </w:rPr>
              <w:t>1,345 </w:t>
            </w:r>
          </w:p>
        </w:tc>
        <w:tc>
          <w:tcPr>
            <w:tcW w:w="0" w:type="auto"/>
            <w:shd w:val="clear" w:color="auto" w:fill="E2EFD9"/>
            <w:tcMar>
              <w:top w:w="40" w:type="dxa"/>
              <w:left w:w="0" w:type="dxa"/>
              <w:bottom w:w="40" w:type="dxa"/>
              <w:right w:w="20" w:type="dxa"/>
            </w:tcMar>
            <w:vAlign w:val="bottom"/>
          </w:tcPr>
          <w:p w14:paraId="1E804D0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D07"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D08"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D09" w14:textId="77777777" w:rsidR="00F20ABF" w:rsidRDefault="00CA4D2F">
            <w:pPr>
              <w:jc w:val="right"/>
              <w:textAlignment w:val="bottom"/>
            </w:pPr>
            <w:r>
              <w:rPr>
                <w:rFonts w:ascii="sans-serif" w:eastAsia="sans-serif" w:hAnsi="sans-serif" w:cs="sans-serif"/>
                <w:color w:val="000000"/>
                <w:sz w:val="20"/>
                <w:szCs w:val="20"/>
              </w:rPr>
              <w:t>738 </w:t>
            </w:r>
          </w:p>
        </w:tc>
        <w:tc>
          <w:tcPr>
            <w:tcW w:w="0" w:type="auto"/>
            <w:shd w:val="clear" w:color="auto" w:fill="E2EFD9"/>
            <w:tcMar>
              <w:top w:w="40" w:type="dxa"/>
              <w:left w:w="0" w:type="dxa"/>
              <w:bottom w:w="40" w:type="dxa"/>
              <w:right w:w="20" w:type="dxa"/>
            </w:tcMar>
            <w:vAlign w:val="bottom"/>
          </w:tcPr>
          <w:p w14:paraId="1E804D0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D0B"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D0C"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D0D" w14:textId="77777777" w:rsidR="00F20ABF" w:rsidRDefault="00CA4D2F">
            <w:pPr>
              <w:jc w:val="right"/>
              <w:textAlignment w:val="bottom"/>
            </w:pPr>
            <w:r>
              <w:rPr>
                <w:rFonts w:ascii="sans-serif" w:eastAsia="sans-serif" w:hAnsi="sans-serif" w:cs="sans-serif"/>
                <w:color w:val="000000"/>
                <w:sz w:val="20"/>
                <w:szCs w:val="20"/>
              </w:rPr>
              <w:t>(685)</w:t>
            </w:r>
          </w:p>
        </w:tc>
        <w:tc>
          <w:tcPr>
            <w:tcW w:w="0" w:type="auto"/>
            <w:shd w:val="clear" w:color="auto" w:fill="E2EFD9"/>
            <w:tcMar>
              <w:top w:w="40" w:type="dxa"/>
              <w:left w:w="0" w:type="dxa"/>
              <w:bottom w:w="40" w:type="dxa"/>
              <w:right w:w="20" w:type="dxa"/>
            </w:tcMar>
            <w:vAlign w:val="bottom"/>
          </w:tcPr>
          <w:p w14:paraId="1E804D0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D0F"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D10"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D11" w14:textId="77777777" w:rsidR="00F20ABF" w:rsidRDefault="00CA4D2F">
            <w:pPr>
              <w:jc w:val="right"/>
              <w:textAlignment w:val="bottom"/>
            </w:pPr>
            <w:r>
              <w:rPr>
                <w:rFonts w:ascii="sans-serif" w:eastAsia="sans-serif" w:hAnsi="sans-serif" w:cs="sans-serif"/>
                <w:color w:val="000000"/>
                <w:sz w:val="20"/>
                <w:szCs w:val="20"/>
              </w:rPr>
              <w:t>1,398 </w:t>
            </w:r>
          </w:p>
        </w:tc>
        <w:tc>
          <w:tcPr>
            <w:tcW w:w="0" w:type="auto"/>
            <w:shd w:val="clear" w:color="auto" w:fill="E2EFD9"/>
            <w:tcMar>
              <w:top w:w="40" w:type="dxa"/>
              <w:left w:w="0" w:type="dxa"/>
              <w:bottom w:w="40" w:type="dxa"/>
              <w:right w:w="20" w:type="dxa"/>
            </w:tcMar>
            <w:vAlign w:val="bottom"/>
          </w:tcPr>
          <w:p w14:paraId="1E804D12" w14:textId="77777777" w:rsidR="00F20ABF" w:rsidRDefault="00F20ABF">
            <w:pPr>
              <w:jc w:val="right"/>
              <w:rPr>
                <w:rFonts w:ascii="宋体"/>
              </w:rPr>
            </w:pPr>
          </w:p>
        </w:tc>
      </w:tr>
      <w:tr w:rsidR="00F20ABF" w14:paraId="1E804D1C" w14:textId="77777777">
        <w:trPr>
          <w:trHeight w:val="300"/>
        </w:trPr>
        <w:tc>
          <w:tcPr>
            <w:tcW w:w="0" w:type="auto"/>
            <w:gridSpan w:val="3"/>
            <w:shd w:val="clear" w:color="auto" w:fill="FFFFFF"/>
            <w:tcMar>
              <w:top w:w="0" w:type="dxa"/>
              <w:left w:w="20" w:type="dxa"/>
              <w:bottom w:w="0" w:type="dxa"/>
              <w:right w:w="20" w:type="dxa"/>
            </w:tcMar>
          </w:tcPr>
          <w:p w14:paraId="1E804D14"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15"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16"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17"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18"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19"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1A"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1B" w14:textId="77777777" w:rsidR="00F20ABF" w:rsidRDefault="00F20ABF">
            <w:pPr>
              <w:rPr>
                <w:rFonts w:ascii="宋体"/>
              </w:rPr>
            </w:pPr>
          </w:p>
        </w:tc>
      </w:tr>
      <w:tr w:rsidR="00F20ABF" w14:paraId="1E804D25" w14:textId="77777777">
        <w:tc>
          <w:tcPr>
            <w:tcW w:w="0" w:type="auto"/>
            <w:gridSpan w:val="3"/>
            <w:shd w:val="clear" w:color="auto" w:fill="E2EFD9"/>
            <w:tcMar>
              <w:top w:w="40" w:type="dxa"/>
              <w:left w:w="20" w:type="dxa"/>
              <w:bottom w:w="40" w:type="dxa"/>
              <w:right w:w="20" w:type="dxa"/>
            </w:tcMar>
            <w:vAlign w:val="bottom"/>
          </w:tcPr>
          <w:p w14:paraId="1E804D1D" w14:textId="77777777" w:rsidR="00F20ABF" w:rsidRDefault="00CA4D2F">
            <w:pPr>
              <w:textAlignment w:val="bottom"/>
            </w:pPr>
            <w:r>
              <w:rPr>
                <w:rFonts w:ascii="sans-serif" w:eastAsia="sans-serif" w:hAnsi="sans-serif" w:cs="sans-serif"/>
                <w:b/>
                <w:bCs/>
                <w:color w:val="000000"/>
                <w:sz w:val="20"/>
                <w:szCs w:val="20"/>
              </w:rPr>
              <w:t>Three Months Ended October 27, 2019</w:t>
            </w:r>
          </w:p>
        </w:tc>
        <w:tc>
          <w:tcPr>
            <w:tcW w:w="0" w:type="auto"/>
            <w:gridSpan w:val="3"/>
            <w:shd w:val="clear" w:color="auto" w:fill="E2EFD9"/>
            <w:tcMar>
              <w:top w:w="40" w:type="dxa"/>
              <w:left w:w="20" w:type="dxa"/>
              <w:bottom w:w="40" w:type="dxa"/>
              <w:right w:w="20" w:type="dxa"/>
            </w:tcMar>
            <w:vAlign w:val="bottom"/>
          </w:tcPr>
          <w:p w14:paraId="1E804D1E" w14:textId="77777777" w:rsidR="00F20ABF" w:rsidRDefault="00CA4D2F">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1E804D1F" w14:textId="77777777" w:rsidR="00F20ABF" w:rsidRDefault="00F20ABF">
            <w:pPr>
              <w:rPr>
                <w:rFonts w:ascii="宋体"/>
              </w:rPr>
            </w:pPr>
          </w:p>
        </w:tc>
        <w:tc>
          <w:tcPr>
            <w:tcW w:w="0" w:type="auto"/>
            <w:gridSpan w:val="3"/>
            <w:shd w:val="clear" w:color="auto" w:fill="E2EFD9"/>
            <w:tcMar>
              <w:top w:w="40" w:type="dxa"/>
              <w:left w:w="20" w:type="dxa"/>
              <w:bottom w:w="40" w:type="dxa"/>
              <w:right w:w="20" w:type="dxa"/>
            </w:tcMar>
            <w:vAlign w:val="bottom"/>
          </w:tcPr>
          <w:p w14:paraId="1E804D20" w14:textId="77777777" w:rsidR="00F20ABF" w:rsidRDefault="00CA4D2F">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1E804D21" w14:textId="77777777" w:rsidR="00F20ABF" w:rsidRDefault="00F20ABF">
            <w:pPr>
              <w:rPr>
                <w:rFonts w:ascii="宋体"/>
              </w:rPr>
            </w:pPr>
          </w:p>
        </w:tc>
        <w:tc>
          <w:tcPr>
            <w:tcW w:w="0" w:type="auto"/>
            <w:gridSpan w:val="3"/>
            <w:shd w:val="clear" w:color="auto" w:fill="E2EFD9"/>
            <w:tcMar>
              <w:top w:w="40" w:type="dxa"/>
              <w:left w:w="20" w:type="dxa"/>
              <w:bottom w:w="40" w:type="dxa"/>
              <w:right w:w="20" w:type="dxa"/>
            </w:tcMar>
            <w:vAlign w:val="bottom"/>
          </w:tcPr>
          <w:p w14:paraId="1E804D22" w14:textId="77777777" w:rsidR="00F20ABF" w:rsidRDefault="00CA4D2F">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1E804D23" w14:textId="77777777" w:rsidR="00F20ABF" w:rsidRDefault="00F20ABF">
            <w:pPr>
              <w:rPr>
                <w:rFonts w:ascii="宋体"/>
              </w:rPr>
            </w:pPr>
          </w:p>
        </w:tc>
        <w:tc>
          <w:tcPr>
            <w:tcW w:w="0" w:type="auto"/>
            <w:gridSpan w:val="3"/>
            <w:shd w:val="clear" w:color="auto" w:fill="E2EFD9"/>
            <w:tcMar>
              <w:top w:w="40" w:type="dxa"/>
              <w:left w:w="20" w:type="dxa"/>
              <w:bottom w:w="40" w:type="dxa"/>
              <w:right w:w="20" w:type="dxa"/>
            </w:tcMar>
            <w:vAlign w:val="bottom"/>
          </w:tcPr>
          <w:p w14:paraId="1E804D24" w14:textId="77777777" w:rsidR="00F20ABF" w:rsidRDefault="00CA4D2F">
            <w:pPr>
              <w:jc w:val="right"/>
              <w:textAlignment w:val="bottom"/>
            </w:pPr>
            <w:r>
              <w:rPr>
                <w:rFonts w:ascii="sans-serif" w:eastAsia="sans-serif" w:hAnsi="sans-serif" w:cs="sans-serif"/>
                <w:color w:val="000000"/>
                <w:sz w:val="20"/>
                <w:szCs w:val="20"/>
              </w:rPr>
              <w:t> </w:t>
            </w:r>
          </w:p>
        </w:tc>
      </w:tr>
      <w:tr w:rsidR="00F20ABF" w14:paraId="1E804D36" w14:textId="77777777">
        <w:tc>
          <w:tcPr>
            <w:tcW w:w="0" w:type="auto"/>
            <w:gridSpan w:val="3"/>
            <w:shd w:val="clear" w:color="auto" w:fill="FFFFFF"/>
            <w:tcMar>
              <w:top w:w="40" w:type="dxa"/>
              <w:left w:w="20" w:type="dxa"/>
              <w:bottom w:w="40" w:type="dxa"/>
              <w:right w:w="20" w:type="dxa"/>
            </w:tcMar>
            <w:vAlign w:val="bottom"/>
          </w:tcPr>
          <w:p w14:paraId="1E804D26" w14:textId="77777777" w:rsidR="00F20ABF" w:rsidRDefault="00CA4D2F">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1E804D27"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D28" w14:textId="77777777" w:rsidR="00F20ABF" w:rsidRDefault="00CA4D2F">
            <w:pPr>
              <w:jc w:val="right"/>
              <w:textAlignment w:val="bottom"/>
            </w:pPr>
            <w:r>
              <w:rPr>
                <w:rFonts w:ascii="sans-serif" w:eastAsia="sans-serif" w:hAnsi="sans-serif" w:cs="sans-serif"/>
                <w:color w:val="000000"/>
                <w:sz w:val="20"/>
                <w:szCs w:val="20"/>
              </w:rPr>
              <w:t>2,226 </w:t>
            </w:r>
          </w:p>
        </w:tc>
        <w:tc>
          <w:tcPr>
            <w:tcW w:w="0" w:type="auto"/>
            <w:shd w:val="clear" w:color="auto" w:fill="FFFFFF"/>
            <w:tcMar>
              <w:top w:w="40" w:type="dxa"/>
              <w:left w:w="0" w:type="dxa"/>
              <w:bottom w:w="40" w:type="dxa"/>
              <w:right w:w="20" w:type="dxa"/>
            </w:tcMar>
            <w:vAlign w:val="bottom"/>
          </w:tcPr>
          <w:p w14:paraId="1E804D2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D2A"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D2B"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D2C" w14:textId="77777777" w:rsidR="00F20ABF" w:rsidRDefault="00CA4D2F">
            <w:pPr>
              <w:jc w:val="right"/>
              <w:textAlignment w:val="bottom"/>
            </w:pPr>
            <w:r>
              <w:rPr>
                <w:rFonts w:ascii="sans-serif" w:eastAsia="sans-serif" w:hAnsi="sans-serif" w:cs="sans-serif"/>
                <w:color w:val="000000"/>
                <w:sz w:val="20"/>
                <w:szCs w:val="20"/>
              </w:rPr>
              <w:t>788 </w:t>
            </w:r>
          </w:p>
        </w:tc>
        <w:tc>
          <w:tcPr>
            <w:tcW w:w="0" w:type="auto"/>
            <w:shd w:val="clear" w:color="auto" w:fill="FFFFFF"/>
            <w:tcMar>
              <w:top w:w="40" w:type="dxa"/>
              <w:left w:w="0" w:type="dxa"/>
              <w:bottom w:w="40" w:type="dxa"/>
              <w:right w:w="20" w:type="dxa"/>
            </w:tcMar>
            <w:vAlign w:val="bottom"/>
          </w:tcPr>
          <w:p w14:paraId="1E804D2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D2E"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D2F"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D30"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D3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D32"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D33"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D34" w14:textId="77777777" w:rsidR="00F20ABF" w:rsidRDefault="00CA4D2F">
            <w:pPr>
              <w:jc w:val="right"/>
              <w:textAlignment w:val="bottom"/>
            </w:pPr>
            <w:r>
              <w:rPr>
                <w:rFonts w:ascii="sans-serif" w:eastAsia="sans-serif" w:hAnsi="sans-serif" w:cs="sans-serif"/>
                <w:color w:val="000000"/>
                <w:sz w:val="20"/>
                <w:szCs w:val="20"/>
              </w:rPr>
              <w:t>3,014 </w:t>
            </w:r>
          </w:p>
        </w:tc>
        <w:tc>
          <w:tcPr>
            <w:tcW w:w="0" w:type="auto"/>
            <w:shd w:val="clear" w:color="auto" w:fill="FFFFFF"/>
            <w:tcMar>
              <w:top w:w="40" w:type="dxa"/>
              <w:left w:w="0" w:type="dxa"/>
              <w:bottom w:w="40" w:type="dxa"/>
              <w:right w:w="20" w:type="dxa"/>
            </w:tcMar>
            <w:vAlign w:val="bottom"/>
          </w:tcPr>
          <w:p w14:paraId="1E804D35" w14:textId="77777777" w:rsidR="00F20ABF" w:rsidRDefault="00F20ABF">
            <w:pPr>
              <w:jc w:val="right"/>
              <w:rPr>
                <w:rFonts w:ascii="宋体"/>
              </w:rPr>
            </w:pPr>
          </w:p>
        </w:tc>
      </w:tr>
      <w:tr w:rsidR="00F20ABF" w14:paraId="1E804D3F" w14:textId="77777777">
        <w:trPr>
          <w:hidden/>
        </w:trPr>
        <w:tc>
          <w:tcPr>
            <w:tcW w:w="0" w:type="auto"/>
            <w:gridSpan w:val="3"/>
            <w:shd w:val="clear" w:color="auto" w:fill="auto"/>
          </w:tcPr>
          <w:p w14:paraId="1E804D37" w14:textId="77777777" w:rsidR="00F20ABF" w:rsidRDefault="00F20ABF">
            <w:pPr>
              <w:rPr>
                <w:rFonts w:ascii="宋体"/>
                <w:vanish/>
              </w:rPr>
            </w:pPr>
          </w:p>
        </w:tc>
        <w:tc>
          <w:tcPr>
            <w:tcW w:w="0" w:type="auto"/>
            <w:gridSpan w:val="3"/>
            <w:shd w:val="clear" w:color="auto" w:fill="auto"/>
          </w:tcPr>
          <w:p w14:paraId="1E804D38" w14:textId="77777777" w:rsidR="00F20ABF" w:rsidRDefault="00F20ABF">
            <w:pPr>
              <w:rPr>
                <w:rFonts w:ascii="宋体"/>
                <w:vanish/>
              </w:rPr>
            </w:pPr>
          </w:p>
        </w:tc>
        <w:tc>
          <w:tcPr>
            <w:tcW w:w="0" w:type="auto"/>
            <w:gridSpan w:val="3"/>
            <w:shd w:val="clear" w:color="auto" w:fill="auto"/>
          </w:tcPr>
          <w:p w14:paraId="1E804D39" w14:textId="77777777" w:rsidR="00F20ABF" w:rsidRDefault="00F20ABF">
            <w:pPr>
              <w:rPr>
                <w:rFonts w:ascii="宋体"/>
                <w:vanish/>
              </w:rPr>
            </w:pPr>
          </w:p>
        </w:tc>
        <w:tc>
          <w:tcPr>
            <w:tcW w:w="0" w:type="auto"/>
            <w:gridSpan w:val="3"/>
            <w:shd w:val="clear" w:color="auto" w:fill="auto"/>
          </w:tcPr>
          <w:p w14:paraId="1E804D3A" w14:textId="77777777" w:rsidR="00F20ABF" w:rsidRDefault="00F20ABF">
            <w:pPr>
              <w:rPr>
                <w:rFonts w:ascii="宋体"/>
                <w:vanish/>
              </w:rPr>
            </w:pPr>
          </w:p>
        </w:tc>
        <w:tc>
          <w:tcPr>
            <w:tcW w:w="0" w:type="auto"/>
            <w:gridSpan w:val="3"/>
            <w:shd w:val="clear" w:color="auto" w:fill="auto"/>
          </w:tcPr>
          <w:p w14:paraId="1E804D3B" w14:textId="77777777" w:rsidR="00F20ABF" w:rsidRDefault="00F20ABF">
            <w:pPr>
              <w:rPr>
                <w:rFonts w:ascii="宋体"/>
                <w:vanish/>
              </w:rPr>
            </w:pPr>
          </w:p>
        </w:tc>
        <w:tc>
          <w:tcPr>
            <w:tcW w:w="0" w:type="auto"/>
            <w:gridSpan w:val="3"/>
            <w:shd w:val="clear" w:color="auto" w:fill="auto"/>
          </w:tcPr>
          <w:p w14:paraId="1E804D3C" w14:textId="77777777" w:rsidR="00F20ABF" w:rsidRDefault="00F20ABF">
            <w:pPr>
              <w:rPr>
                <w:rFonts w:ascii="宋体"/>
                <w:vanish/>
              </w:rPr>
            </w:pPr>
          </w:p>
        </w:tc>
        <w:tc>
          <w:tcPr>
            <w:tcW w:w="0" w:type="auto"/>
            <w:gridSpan w:val="3"/>
            <w:shd w:val="clear" w:color="auto" w:fill="auto"/>
          </w:tcPr>
          <w:p w14:paraId="1E804D3D" w14:textId="77777777" w:rsidR="00F20ABF" w:rsidRDefault="00F20ABF">
            <w:pPr>
              <w:rPr>
                <w:rFonts w:ascii="宋体"/>
                <w:vanish/>
              </w:rPr>
            </w:pPr>
          </w:p>
        </w:tc>
        <w:tc>
          <w:tcPr>
            <w:tcW w:w="0" w:type="auto"/>
            <w:gridSpan w:val="3"/>
            <w:shd w:val="clear" w:color="auto" w:fill="auto"/>
          </w:tcPr>
          <w:p w14:paraId="1E804D3E" w14:textId="77777777" w:rsidR="00F20ABF" w:rsidRDefault="00F20ABF">
            <w:pPr>
              <w:rPr>
                <w:rFonts w:ascii="宋体"/>
                <w:vanish/>
              </w:rPr>
            </w:pPr>
          </w:p>
        </w:tc>
      </w:tr>
      <w:tr w:rsidR="00F20ABF" w14:paraId="1E804D50" w14:textId="77777777">
        <w:tc>
          <w:tcPr>
            <w:tcW w:w="0" w:type="auto"/>
            <w:gridSpan w:val="3"/>
            <w:shd w:val="clear" w:color="auto" w:fill="E2EFD9"/>
            <w:tcMar>
              <w:top w:w="40" w:type="dxa"/>
              <w:left w:w="20" w:type="dxa"/>
              <w:bottom w:w="40" w:type="dxa"/>
              <w:right w:w="20" w:type="dxa"/>
            </w:tcMar>
            <w:vAlign w:val="bottom"/>
          </w:tcPr>
          <w:p w14:paraId="1E804D40" w14:textId="77777777" w:rsidR="00F20ABF" w:rsidRDefault="00CA4D2F">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1E804D41"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D42" w14:textId="77777777" w:rsidR="00F20ABF" w:rsidRDefault="00CA4D2F">
            <w:pPr>
              <w:jc w:val="right"/>
              <w:textAlignment w:val="bottom"/>
            </w:pPr>
            <w:r>
              <w:rPr>
                <w:rFonts w:ascii="sans-serif" w:eastAsia="sans-serif" w:hAnsi="sans-serif" w:cs="sans-serif"/>
                <w:color w:val="000000"/>
                <w:sz w:val="20"/>
                <w:szCs w:val="20"/>
              </w:rPr>
              <w:t>1,068 </w:t>
            </w:r>
          </w:p>
        </w:tc>
        <w:tc>
          <w:tcPr>
            <w:tcW w:w="0" w:type="auto"/>
            <w:shd w:val="clear" w:color="auto" w:fill="E2EFD9"/>
            <w:tcMar>
              <w:top w:w="40" w:type="dxa"/>
              <w:left w:w="0" w:type="dxa"/>
              <w:bottom w:w="40" w:type="dxa"/>
              <w:right w:w="20" w:type="dxa"/>
            </w:tcMar>
            <w:vAlign w:val="bottom"/>
          </w:tcPr>
          <w:p w14:paraId="1E804D4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D44"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D45"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D46" w14:textId="77777777" w:rsidR="00F20ABF" w:rsidRDefault="00CA4D2F">
            <w:pPr>
              <w:jc w:val="right"/>
              <w:textAlignment w:val="bottom"/>
            </w:pPr>
            <w:r>
              <w:rPr>
                <w:rFonts w:ascii="sans-serif" w:eastAsia="sans-serif" w:hAnsi="sans-serif" w:cs="sans-serif"/>
                <w:color w:val="000000"/>
                <w:sz w:val="20"/>
                <w:szCs w:val="20"/>
              </w:rPr>
              <w:t>158 </w:t>
            </w:r>
          </w:p>
        </w:tc>
        <w:tc>
          <w:tcPr>
            <w:tcW w:w="0" w:type="auto"/>
            <w:shd w:val="clear" w:color="auto" w:fill="E2EFD9"/>
            <w:tcMar>
              <w:top w:w="40" w:type="dxa"/>
              <w:left w:w="0" w:type="dxa"/>
              <w:bottom w:w="40" w:type="dxa"/>
              <w:right w:w="20" w:type="dxa"/>
            </w:tcMar>
            <w:vAlign w:val="bottom"/>
          </w:tcPr>
          <w:p w14:paraId="1E804D4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D48"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D49"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D4A" w14:textId="77777777" w:rsidR="00F20ABF" w:rsidRDefault="00CA4D2F">
            <w:pPr>
              <w:jc w:val="right"/>
              <w:textAlignment w:val="bottom"/>
            </w:pPr>
            <w:r>
              <w:rPr>
                <w:rFonts w:ascii="sans-serif" w:eastAsia="sans-serif" w:hAnsi="sans-serif" w:cs="sans-serif"/>
                <w:color w:val="000000"/>
                <w:sz w:val="20"/>
                <w:szCs w:val="20"/>
              </w:rPr>
              <w:t>(299)</w:t>
            </w:r>
          </w:p>
        </w:tc>
        <w:tc>
          <w:tcPr>
            <w:tcW w:w="0" w:type="auto"/>
            <w:shd w:val="clear" w:color="auto" w:fill="E2EFD9"/>
            <w:tcMar>
              <w:top w:w="40" w:type="dxa"/>
              <w:left w:w="0" w:type="dxa"/>
              <w:bottom w:w="40" w:type="dxa"/>
              <w:right w:w="20" w:type="dxa"/>
            </w:tcMar>
            <w:vAlign w:val="bottom"/>
          </w:tcPr>
          <w:p w14:paraId="1E804D4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D4C"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D4D"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D4E" w14:textId="77777777" w:rsidR="00F20ABF" w:rsidRDefault="00CA4D2F">
            <w:pPr>
              <w:jc w:val="right"/>
              <w:textAlignment w:val="bottom"/>
            </w:pPr>
            <w:r>
              <w:rPr>
                <w:rFonts w:ascii="sans-serif" w:eastAsia="sans-serif" w:hAnsi="sans-serif" w:cs="sans-serif"/>
                <w:color w:val="000000"/>
                <w:sz w:val="20"/>
                <w:szCs w:val="20"/>
              </w:rPr>
              <w:t>927 </w:t>
            </w:r>
          </w:p>
        </w:tc>
        <w:tc>
          <w:tcPr>
            <w:tcW w:w="0" w:type="auto"/>
            <w:shd w:val="clear" w:color="auto" w:fill="E2EFD9"/>
            <w:tcMar>
              <w:top w:w="40" w:type="dxa"/>
              <w:left w:w="0" w:type="dxa"/>
              <w:bottom w:w="40" w:type="dxa"/>
              <w:right w:w="20" w:type="dxa"/>
            </w:tcMar>
            <w:vAlign w:val="bottom"/>
          </w:tcPr>
          <w:p w14:paraId="1E804D4F" w14:textId="77777777" w:rsidR="00F20ABF" w:rsidRDefault="00F20ABF">
            <w:pPr>
              <w:jc w:val="right"/>
              <w:rPr>
                <w:rFonts w:ascii="宋体"/>
              </w:rPr>
            </w:pPr>
          </w:p>
        </w:tc>
      </w:tr>
      <w:tr w:rsidR="00F20ABF" w14:paraId="1E804D59" w14:textId="77777777">
        <w:trPr>
          <w:trHeight w:val="300"/>
        </w:trPr>
        <w:tc>
          <w:tcPr>
            <w:tcW w:w="0" w:type="auto"/>
            <w:gridSpan w:val="3"/>
            <w:shd w:val="clear" w:color="auto" w:fill="FFFFFF"/>
            <w:tcMar>
              <w:top w:w="0" w:type="dxa"/>
              <w:left w:w="20" w:type="dxa"/>
              <w:bottom w:w="0" w:type="dxa"/>
              <w:right w:w="20" w:type="dxa"/>
            </w:tcMar>
          </w:tcPr>
          <w:p w14:paraId="1E804D51"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52"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53"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54"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55"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56"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57"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58" w14:textId="77777777" w:rsidR="00F20ABF" w:rsidRDefault="00F20ABF">
            <w:pPr>
              <w:rPr>
                <w:rFonts w:ascii="宋体"/>
              </w:rPr>
            </w:pPr>
          </w:p>
        </w:tc>
      </w:tr>
      <w:tr w:rsidR="00F20ABF" w14:paraId="1E804D62" w14:textId="77777777">
        <w:tc>
          <w:tcPr>
            <w:tcW w:w="0" w:type="auto"/>
            <w:gridSpan w:val="3"/>
            <w:shd w:val="clear" w:color="auto" w:fill="E2EFD9"/>
            <w:tcMar>
              <w:top w:w="40" w:type="dxa"/>
              <w:left w:w="20" w:type="dxa"/>
              <w:bottom w:w="40" w:type="dxa"/>
              <w:right w:w="20" w:type="dxa"/>
            </w:tcMar>
            <w:vAlign w:val="bottom"/>
          </w:tcPr>
          <w:p w14:paraId="1E804D5A" w14:textId="77777777" w:rsidR="00F20ABF" w:rsidRDefault="00CA4D2F">
            <w:pPr>
              <w:textAlignment w:val="bottom"/>
            </w:pPr>
            <w:r>
              <w:rPr>
                <w:rFonts w:ascii="sans-serif" w:eastAsia="sans-serif" w:hAnsi="sans-serif" w:cs="sans-serif"/>
                <w:b/>
                <w:bCs/>
                <w:color w:val="000000"/>
                <w:sz w:val="20"/>
                <w:szCs w:val="20"/>
              </w:rPr>
              <w:t>Nine Months Ended October 25, 2020</w:t>
            </w:r>
          </w:p>
        </w:tc>
        <w:tc>
          <w:tcPr>
            <w:tcW w:w="0" w:type="auto"/>
            <w:gridSpan w:val="3"/>
            <w:shd w:val="clear" w:color="auto" w:fill="E2EFD9"/>
            <w:tcMar>
              <w:top w:w="0" w:type="dxa"/>
              <w:left w:w="20" w:type="dxa"/>
              <w:bottom w:w="0" w:type="dxa"/>
              <w:right w:w="20" w:type="dxa"/>
            </w:tcMar>
          </w:tcPr>
          <w:p w14:paraId="1E804D5B"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D5C"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D5D"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D5E"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D5F"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D60"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D61" w14:textId="77777777" w:rsidR="00F20ABF" w:rsidRDefault="00F20ABF">
            <w:pPr>
              <w:rPr>
                <w:rFonts w:ascii="宋体"/>
              </w:rPr>
            </w:pPr>
          </w:p>
        </w:tc>
      </w:tr>
      <w:tr w:rsidR="00F20ABF" w14:paraId="1E804D73" w14:textId="77777777">
        <w:tc>
          <w:tcPr>
            <w:tcW w:w="0" w:type="auto"/>
            <w:gridSpan w:val="3"/>
            <w:shd w:val="clear" w:color="auto" w:fill="FFFFFF"/>
            <w:tcMar>
              <w:top w:w="40" w:type="dxa"/>
              <w:left w:w="20" w:type="dxa"/>
              <w:bottom w:w="40" w:type="dxa"/>
              <w:right w:w="20" w:type="dxa"/>
            </w:tcMar>
            <w:vAlign w:val="bottom"/>
          </w:tcPr>
          <w:p w14:paraId="1E804D63" w14:textId="77777777" w:rsidR="00F20ABF" w:rsidRDefault="00CA4D2F">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1E804D64"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D65" w14:textId="77777777" w:rsidR="00F20ABF" w:rsidRDefault="00CA4D2F">
            <w:pPr>
              <w:jc w:val="right"/>
              <w:textAlignment w:val="bottom"/>
            </w:pPr>
            <w:r>
              <w:rPr>
                <w:rFonts w:ascii="sans-serif" w:eastAsia="sans-serif" w:hAnsi="sans-serif" w:cs="sans-serif"/>
                <w:color w:val="000000"/>
                <w:sz w:val="20"/>
                <w:szCs w:val="20"/>
              </w:rPr>
              <w:t>6,778 </w:t>
            </w:r>
          </w:p>
        </w:tc>
        <w:tc>
          <w:tcPr>
            <w:tcW w:w="0" w:type="auto"/>
            <w:shd w:val="clear" w:color="auto" w:fill="FFFFFF"/>
            <w:tcMar>
              <w:top w:w="40" w:type="dxa"/>
              <w:left w:w="0" w:type="dxa"/>
              <w:bottom w:w="40" w:type="dxa"/>
              <w:right w:w="20" w:type="dxa"/>
            </w:tcMar>
            <w:vAlign w:val="bottom"/>
          </w:tcPr>
          <w:p w14:paraId="1E804D6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D67"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D68"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D69" w14:textId="77777777" w:rsidR="00F20ABF" w:rsidRDefault="00CA4D2F">
            <w:pPr>
              <w:jc w:val="right"/>
              <w:textAlignment w:val="bottom"/>
            </w:pPr>
            <w:r>
              <w:rPr>
                <w:rFonts w:ascii="sans-serif" w:eastAsia="sans-serif" w:hAnsi="sans-serif" w:cs="sans-serif"/>
                <w:color w:val="000000"/>
                <w:sz w:val="20"/>
                <w:szCs w:val="20"/>
              </w:rPr>
              <w:t>4,894 </w:t>
            </w:r>
          </w:p>
        </w:tc>
        <w:tc>
          <w:tcPr>
            <w:tcW w:w="0" w:type="auto"/>
            <w:shd w:val="clear" w:color="auto" w:fill="FFFFFF"/>
            <w:tcMar>
              <w:top w:w="40" w:type="dxa"/>
              <w:left w:w="0" w:type="dxa"/>
              <w:bottom w:w="40" w:type="dxa"/>
              <w:right w:w="20" w:type="dxa"/>
            </w:tcMar>
            <w:vAlign w:val="bottom"/>
          </w:tcPr>
          <w:p w14:paraId="1E804D6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D6B"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D6C"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D6D"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D6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D6F"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D70"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D71" w14:textId="77777777" w:rsidR="00F20ABF" w:rsidRDefault="00CA4D2F">
            <w:pPr>
              <w:jc w:val="right"/>
              <w:textAlignment w:val="bottom"/>
            </w:pPr>
            <w:r>
              <w:rPr>
                <w:rFonts w:ascii="sans-serif" w:eastAsia="sans-serif" w:hAnsi="sans-serif" w:cs="sans-serif"/>
                <w:color w:val="000000"/>
                <w:sz w:val="20"/>
                <w:szCs w:val="20"/>
              </w:rPr>
              <w:t>11,672 </w:t>
            </w:r>
          </w:p>
        </w:tc>
        <w:tc>
          <w:tcPr>
            <w:tcW w:w="0" w:type="auto"/>
            <w:shd w:val="clear" w:color="auto" w:fill="FFFFFF"/>
            <w:tcMar>
              <w:top w:w="40" w:type="dxa"/>
              <w:left w:w="0" w:type="dxa"/>
              <w:bottom w:w="40" w:type="dxa"/>
              <w:right w:w="20" w:type="dxa"/>
            </w:tcMar>
            <w:vAlign w:val="bottom"/>
          </w:tcPr>
          <w:p w14:paraId="1E804D72" w14:textId="77777777" w:rsidR="00F20ABF" w:rsidRDefault="00F20ABF">
            <w:pPr>
              <w:jc w:val="right"/>
              <w:rPr>
                <w:rFonts w:ascii="宋体"/>
              </w:rPr>
            </w:pPr>
          </w:p>
        </w:tc>
      </w:tr>
      <w:tr w:rsidR="00F20ABF" w14:paraId="1E804D7C" w14:textId="77777777">
        <w:trPr>
          <w:hidden/>
        </w:trPr>
        <w:tc>
          <w:tcPr>
            <w:tcW w:w="0" w:type="auto"/>
            <w:gridSpan w:val="3"/>
            <w:shd w:val="clear" w:color="auto" w:fill="auto"/>
          </w:tcPr>
          <w:p w14:paraId="1E804D74" w14:textId="77777777" w:rsidR="00F20ABF" w:rsidRDefault="00F20ABF">
            <w:pPr>
              <w:rPr>
                <w:rFonts w:ascii="宋体"/>
                <w:vanish/>
              </w:rPr>
            </w:pPr>
          </w:p>
        </w:tc>
        <w:tc>
          <w:tcPr>
            <w:tcW w:w="0" w:type="auto"/>
            <w:gridSpan w:val="3"/>
            <w:shd w:val="clear" w:color="auto" w:fill="auto"/>
          </w:tcPr>
          <w:p w14:paraId="1E804D75" w14:textId="77777777" w:rsidR="00F20ABF" w:rsidRDefault="00F20ABF">
            <w:pPr>
              <w:rPr>
                <w:rFonts w:ascii="宋体"/>
                <w:vanish/>
              </w:rPr>
            </w:pPr>
          </w:p>
        </w:tc>
        <w:tc>
          <w:tcPr>
            <w:tcW w:w="0" w:type="auto"/>
            <w:gridSpan w:val="3"/>
            <w:shd w:val="clear" w:color="auto" w:fill="auto"/>
          </w:tcPr>
          <w:p w14:paraId="1E804D76" w14:textId="77777777" w:rsidR="00F20ABF" w:rsidRDefault="00F20ABF">
            <w:pPr>
              <w:rPr>
                <w:rFonts w:ascii="宋体"/>
                <w:vanish/>
              </w:rPr>
            </w:pPr>
          </w:p>
        </w:tc>
        <w:tc>
          <w:tcPr>
            <w:tcW w:w="0" w:type="auto"/>
            <w:gridSpan w:val="3"/>
            <w:shd w:val="clear" w:color="auto" w:fill="auto"/>
          </w:tcPr>
          <w:p w14:paraId="1E804D77" w14:textId="77777777" w:rsidR="00F20ABF" w:rsidRDefault="00F20ABF">
            <w:pPr>
              <w:rPr>
                <w:rFonts w:ascii="宋体"/>
                <w:vanish/>
              </w:rPr>
            </w:pPr>
          </w:p>
        </w:tc>
        <w:tc>
          <w:tcPr>
            <w:tcW w:w="0" w:type="auto"/>
            <w:gridSpan w:val="3"/>
            <w:shd w:val="clear" w:color="auto" w:fill="auto"/>
          </w:tcPr>
          <w:p w14:paraId="1E804D78" w14:textId="77777777" w:rsidR="00F20ABF" w:rsidRDefault="00F20ABF">
            <w:pPr>
              <w:rPr>
                <w:rFonts w:ascii="宋体"/>
                <w:vanish/>
              </w:rPr>
            </w:pPr>
          </w:p>
        </w:tc>
        <w:tc>
          <w:tcPr>
            <w:tcW w:w="0" w:type="auto"/>
            <w:gridSpan w:val="3"/>
            <w:shd w:val="clear" w:color="auto" w:fill="auto"/>
          </w:tcPr>
          <w:p w14:paraId="1E804D79" w14:textId="77777777" w:rsidR="00F20ABF" w:rsidRDefault="00F20ABF">
            <w:pPr>
              <w:rPr>
                <w:rFonts w:ascii="宋体"/>
                <w:vanish/>
              </w:rPr>
            </w:pPr>
          </w:p>
        </w:tc>
        <w:tc>
          <w:tcPr>
            <w:tcW w:w="0" w:type="auto"/>
            <w:gridSpan w:val="3"/>
            <w:shd w:val="clear" w:color="auto" w:fill="auto"/>
          </w:tcPr>
          <w:p w14:paraId="1E804D7A" w14:textId="77777777" w:rsidR="00F20ABF" w:rsidRDefault="00F20ABF">
            <w:pPr>
              <w:rPr>
                <w:rFonts w:ascii="宋体"/>
                <w:vanish/>
              </w:rPr>
            </w:pPr>
          </w:p>
        </w:tc>
        <w:tc>
          <w:tcPr>
            <w:tcW w:w="0" w:type="auto"/>
            <w:gridSpan w:val="3"/>
            <w:shd w:val="clear" w:color="auto" w:fill="auto"/>
          </w:tcPr>
          <w:p w14:paraId="1E804D7B" w14:textId="77777777" w:rsidR="00F20ABF" w:rsidRDefault="00F20ABF">
            <w:pPr>
              <w:rPr>
                <w:rFonts w:ascii="宋体"/>
                <w:vanish/>
              </w:rPr>
            </w:pPr>
          </w:p>
        </w:tc>
      </w:tr>
      <w:tr w:rsidR="00F20ABF" w14:paraId="1E804D8D" w14:textId="77777777">
        <w:tc>
          <w:tcPr>
            <w:tcW w:w="0" w:type="auto"/>
            <w:gridSpan w:val="3"/>
            <w:shd w:val="clear" w:color="auto" w:fill="E2EFD9"/>
            <w:tcMar>
              <w:top w:w="40" w:type="dxa"/>
              <w:left w:w="20" w:type="dxa"/>
              <w:bottom w:w="40" w:type="dxa"/>
              <w:right w:w="20" w:type="dxa"/>
            </w:tcMar>
            <w:vAlign w:val="bottom"/>
          </w:tcPr>
          <w:p w14:paraId="1E804D7D" w14:textId="77777777" w:rsidR="00F20ABF" w:rsidRDefault="00CA4D2F">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1E804D7E"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D7F" w14:textId="77777777" w:rsidR="00F20ABF" w:rsidRDefault="00CA4D2F">
            <w:pPr>
              <w:jc w:val="right"/>
              <w:textAlignment w:val="bottom"/>
            </w:pPr>
            <w:r>
              <w:rPr>
                <w:rFonts w:ascii="sans-serif" w:eastAsia="sans-serif" w:hAnsi="sans-serif" w:cs="sans-serif"/>
                <w:color w:val="000000"/>
                <w:sz w:val="20"/>
                <w:szCs w:val="20"/>
              </w:rPr>
              <w:t>3,092 </w:t>
            </w:r>
          </w:p>
        </w:tc>
        <w:tc>
          <w:tcPr>
            <w:tcW w:w="0" w:type="auto"/>
            <w:shd w:val="clear" w:color="auto" w:fill="E2EFD9"/>
            <w:tcMar>
              <w:top w:w="40" w:type="dxa"/>
              <w:left w:w="0" w:type="dxa"/>
              <w:bottom w:w="40" w:type="dxa"/>
              <w:right w:w="20" w:type="dxa"/>
            </w:tcMar>
            <w:vAlign w:val="bottom"/>
          </w:tcPr>
          <w:p w14:paraId="1E804D80"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D81"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D82"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D83" w14:textId="77777777" w:rsidR="00F20ABF" w:rsidRDefault="00CA4D2F">
            <w:pPr>
              <w:jc w:val="right"/>
              <w:textAlignment w:val="bottom"/>
            </w:pPr>
            <w:r>
              <w:rPr>
                <w:rFonts w:ascii="sans-serif" w:eastAsia="sans-serif" w:hAnsi="sans-serif" w:cs="sans-serif"/>
                <w:color w:val="000000"/>
                <w:sz w:val="20"/>
                <w:szCs w:val="20"/>
              </w:rPr>
              <w:t>1,880 </w:t>
            </w:r>
          </w:p>
        </w:tc>
        <w:tc>
          <w:tcPr>
            <w:tcW w:w="0" w:type="auto"/>
            <w:shd w:val="clear" w:color="auto" w:fill="E2EFD9"/>
            <w:tcMar>
              <w:top w:w="40" w:type="dxa"/>
              <w:left w:w="0" w:type="dxa"/>
              <w:bottom w:w="40" w:type="dxa"/>
              <w:right w:w="20" w:type="dxa"/>
            </w:tcMar>
            <w:vAlign w:val="bottom"/>
          </w:tcPr>
          <w:p w14:paraId="1E804D8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D85"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D86"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D87" w14:textId="77777777" w:rsidR="00F20ABF" w:rsidRDefault="00CA4D2F">
            <w:pPr>
              <w:jc w:val="right"/>
              <w:textAlignment w:val="bottom"/>
            </w:pPr>
            <w:r>
              <w:rPr>
                <w:rFonts w:ascii="sans-serif" w:eastAsia="sans-serif" w:hAnsi="sans-serif" w:cs="sans-serif"/>
                <w:color w:val="000000"/>
                <w:sz w:val="20"/>
                <w:szCs w:val="20"/>
              </w:rPr>
              <w:t>(1,947)</w:t>
            </w:r>
          </w:p>
        </w:tc>
        <w:tc>
          <w:tcPr>
            <w:tcW w:w="0" w:type="auto"/>
            <w:shd w:val="clear" w:color="auto" w:fill="E2EFD9"/>
            <w:tcMar>
              <w:top w:w="40" w:type="dxa"/>
              <w:left w:w="0" w:type="dxa"/>
              <w:bottom w:w="40" w:type="dxa"/>
              <w:right w:w="20" w:type="dxa"/>
            </w:tcMar>
            <w:vAlign w:val="bottom"/>
          </w:tcPr>
          <w:p w14:paraId="1E804D8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D89"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D8A"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D8B" w14:textId="77777777" w:rsidR="00F20ABF" w:rsidRDefault="00CA4D2F">
            <w:pPr>
              <w:jc w:val="right"/>
              <w:textAlignment w:val="bottom"/>
            </w:pPr>
            <w:r>
              <w:rPr>
                <w:rFonts w:ascii="sans-serif" w:eastAsia="sans-serif" w:hAnsi="sans-serif" w:cs="sans-serif"/>
                <w:color w:val="000000"/>
                <w:sz w:val="20"/>
                <w:szCs w:val="20"/>
              </w:rPr>
              <w:t>3,025 </w:t>
            </w:r>
          </w:p>
        </w:tc>
        <w:tc>
          <w:tcPr>
            <w:tcW w:w="0" w:type="auto"/>
            <w:shd w:val="clear" w:color="auto" w:fill="E2EFD9"/>
            <w:tcMar>
              <w:top w:w="40" w:type="dxa"/>
              <w:left w:w="0" w:type="dxa"/>
              <w:bottom w:w="40" w:type="dxa"/>
              <w:right w:w="20" w:type="dxa"/>
            </w:tcMar>
            <w:vAlign w:val="bottom"/>
          </w:tcPr>
          <w:p w14:paraId="1E804D8C" w14:textId="77777777" w:rsidR="00F20ABF" w:rsidRDefault="00F20ABF">
            <w:pPr>
              <w:jc w:val="right"/>
              <w:rPr>
                <w:rFonts w:ascii="宋体"/>
              </w:rPr>
            </w:pPr>
          </w:p>
        </w:tc>
      </w:tr>
      <w:tr w:rsidR="00F20ABF" w14:paraId="1E804D96" w14:textId="77777777">
        <w:trPr>
          <w:trHeight w:val="300"/>
        </w:trPr>
        <w:tc>
          <w:tcPr>
            <w:tcW w:w="0" w:type="auto"/>
            <w:gridSpan w:val="3"/>
            <w:shd w:val="clear" w:color="auto" w:fill="FFFFFF"/>
            <w:tcMar>
              <w:top w:w="0" w:type="dxa"/>
              <w:left w:w="20" w:type="dxa"/>
              <w:bottom w:w="0" w:type="dxa"/>
              <w:right w:w="20" w:type="dxa"/>
            </w:tcMar>
          </w:tcPr>
          <w:p w14:paraId="1E804D8E"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8F"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90"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91"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92"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93"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94"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4D95" w14:textId="77777777" w:rsidR="00F20ABF" w:rsidRDefault="00F20ABF">
            <w:pPr>
              <w:rPr>
                <w:rFonts w:ascii="宋体"/>
              </w:rPr>
            </w:pPr>
          </w:p>
        </w:tc>
      </w:tr>
      <w:tr w:rsidR="00F20ABF" w14:paraId="1E804D9F" w14:textId="77777777">
        <w:tc>
          <w:tcPr>
            <w:tcW w:w="0" w:type="auto"/>
            <w:gridSpan w:val="3"/>
            <w:shd w:val="clear" w:color="auto" w:fill="E2EFD9"/>
            <w:tcMar>
              <w:top w:w="40" w:type="dxa"/>
              <w:left w:w="20" w:type="dxa"/>
              <w:bottom w:w="40" w:type="dxa"/>
              <w:right w:w="20" w:type="dxa"/>
            </w:tcMar>
            <w:vAlign w:val="bottom"/>
          </w:tcPr>
          <w:p w14:paraId="1E804D97" w14:textId="77777777" w:rsidR="00F20ABF" w:rsidRDefault="00CA4D2F">
            <w:pPr>
              <w:textAlignment w:val="bottom"/>
            </w:pPr>
            <w:r>
              <w:rPr>
                <w:rFonts w:ascii="sans-serif" w:eastAsia="sans-serif" w:hAnsi="sans-serif" w:cs="sans-serif"/>
                <w:b/>
                <w:bCs/>
                <w:color w:val="000000"/>
                <w:sz w:val="20"/>
                <w:szCs w:val="20"/>
              </w:rPr>
              <w:t>Nine Months Ended October 27, 2019</w:t>
            </w:r>
          </w:p>
        </w:tc>
        <w:tc>
          <w:tcPr>
            <w:tcW w:w="0" w:type="auto"/>
            <w:gridSpan w:val="3"/>
            <w:shd w:val="clear" w:color="auto" w:fill="E2EFD9"/>
            <w:tcMar>
              <w:top w:w="0" w:type="dxa"/>
              <w:left w:w="20" w:type="dxa"/>
              <w:bottom w:w="0" w:type="dxa"/>
              <w:right w:w="20" w:type="dxa"/>
            </w:tcMar>
          </w:tcPr>
          <w:p w14:paraId="1E804D98"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D99"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D9A"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D9B"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D9C"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D9D" w14:textId="77777777" w:rsidR="00F20ABF" w:rsidRDefault="00F20ABF">
            <w:pPr>
              <w:rPr>
                <w:rFonts w:ascii="宋体"/>
              </w:rPr>
            </w:pPr>
          </w:p>
        </w:tc>
        <w:tc>
          <w:tcPr>
            <w:tcW w:w="0" w:type="auto"/>
            <w:gridSpan w:val="3"/>
            <w:shd w:val="clear" w:color="auto" w:fill="E2EFD9"/>
            <w:tcMar>
              <w:top w:w="0" w:type="dxa"/>
              <w:left w:w="20" w:type="dxa"/>
              <w:bottom w:w="0" w:type="dxa"/>
              <w:right w:w="20" w:type="dxa"/>
            </w:tcMar>
          </w:tcPr>
          <w:p w14:paraId="1E804D9E" w14:textId="77777777" w:rsidR="00F20ABF" w:rsidRDefault="00F20ABF">
            <w:pPr>
              <w:rPr>
                <w:rFonts w:ascii="宋体"/>
              </w:rPr>
            </w:pPr>
          </w:p>
        </w:tc>
      </w:tr>
      <w:tr w:rsidR="00F20ABF" w14:paraId="1E804DB0" w14:textId="77777777">
        <w:tc>
          <w:tcPr>
            <w:tcW w:w="0" w:type="auto"/>
            <w:gridSpan w:val="3"/>
            <w:shd w:val="clear" w:color="auto" w:fill="FFFFFF"/>
            <w:tcMar>
              <w:top w:w="40" w:type="dxa"/>
              <w:left w:w="20" w:type="dxa"/>
              <w:bottom w:w="40" w:type="dxa"/>
              <w:right w:w="20" w:type="dxa"/>
            </w:tcMar>
            <w:vAlign w:val="bottom"/>
          </w:tcPr>
          <w:p w14:paraId="1E804DA0" w14:textId="77777777" w:rsidR="00F20ABF" w:rsidRDefault="00CA4D2F">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1E804DA1"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DA2" w14:textId="77777777" w:rsidR="00F20ABF" w:rsidRDefault="00CA4D2F">
            <w:pPr>
              <w:jc w:val="right"/>
              <w:textAlignment w:val="bottom"/>
            </w:pPr>
            <w:r>
              <w:rPr>
                <w:rFonts w:ascii="sans-serif" w:eastAsia="sans-serif" w:hAnsi="sans-serif" w:cs="sans-serif"/>
                <w:color w:val="000000"/>
                <w:sz w:val="20"/>
                <w:szCs w:val="20"/>
              </w:rPr>
              <w:t>5,555 </w:t>
            </w:r>
          </w:p>
        </w:tc>
        <w:tc>
          <w:tcPr>
            <w:tcW w:w="0" w:type="auto"/>
            <w:shd w:val="clear" w:color="auto" w:fill="FFFFFF"/>
            <w:tcMar>
              <w:top w:w="40" w:type="dxa"/>
              <w:left w:w="0" w:type="dxa"/>
              <w:bottom w:w="40" w:type="dxa"/>
              <w:right w:w="20" w:type="dxa"/>
            </w:tcMar>
            <w:vAlign w:val="bottom"/>
          </w:tcPr>
          <w:p w14:paraId="1E804DA3"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DA4"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DA5"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DA6" w14:textId="77777777" w:rsidR="00F20ABF" w:rsidRDefault="00CA4D2F">
            <w:pPr>
              <w:jc w:val="right"/>
              <w:textAlignment w:val="bottom"/>
            </w:pPr>
            <w:r>
              <w:rPr>
                <w:rFonts w:ascii="sans-serif" w:eastAsia="sans-serif" w:hAnsi="sans-serif" w:cs="sans-serif"/>
                <w:color w:val="000000"/>
                <w:sz w:val="20"/>
                <w:szCs w:val="20"/>
              </w:rPr>
              <w:t>2,258 </w:t>
            </w:r>
          </w:p>
        </w:tc>
        <w:tc>
          <w:tcPr>
            <w:tcW w:w="0" w:type="auto"/>
            <w:shd w:val="clear" w:color="auto" w:fill="FFFFFF"/>
            <w:tcMar>
              <w:top w:w="40" w:type="dxa"/>
              <w:left w:w="0" w:type="dxa"/>
              <w:bottom w:w="40" w:type="dxa"/>
              <w:right w:w="20" w:type="dxa"/>
            </w:tcMar>
            <w:vAlign w:val="bottom"/>
          </w:tcPr>
          <w:p w14:paraId="1E804DA7"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DA8"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DA9"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DAA"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DA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DAC"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4DAD"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4DAE" w14:textId="77777777" w:rsidR="00F20ABF" w:rsidRDefault="00CA4D2F">
            <w:pPr>
              <w:jc w:val="right"/>
              <w:textAlignment w:val="bottom"/>
            </w:pPr>
            <w:r>
              <w:rPr>
                <w:rFonts w:ascii="sans-serif" w:eastAsia="sans-serif" w:hAnsi="sans-serif" w:cs="sans-serif"/>
                <w:color w:val="000000"/>
                <w:sz w:val="20"/>
                <w:szCs w:val="20"/>
              </w:rPr>
              <w:t>7,813 </w:t>
            </w:r>
          </w:p>
        </w:tc>
        <w:tc>
          <w:tcPr>
            <w:tcW w:w="0" w:type="auto"/>
            <w:shd w:val="clear" w:color="auto" w:fill="FFFFFF"/>
            <w:tcMar>
              <w:top w:w="40" w:type="dxa"/>
              <w:left w:w="0" w:type="dxa"/>
              <w:bottom w:w="40" w:type="dxa"/>
              <w:right w:w="20" w:type="dxa"/>
            </w:tcMar>
            <w:vAlign w:val="bottom"/>
          </w:tcPr>
          <w:p w14:paraId="1E804DAF" w14:textId="77777777" w:rsidR="00F20ABF" w:rsidRDefault="00F20ABF">
            <w:pPr>
              <w:jc w:val="right"/>
              <w:rPr>
                <w:rFonts w:ascii="宋体"/>
              </w:rPr>
            </w:pPr>
          </w:p>
        </w:tc>
      </w:tr>
      <w:tr w:rsidR="00F20ABF" w14:paraId="1E804DB9" w14:textId="77777777">
        <w:trPr>
          <w:hidden/>
        </w:trPr>
        <w:tc>
          <w:tcPr>
            <w:tcW w:w="0" w:type="auto"/>
            <w:gridSpan w:val="3"/>
            <w:shd w:val="clear" w:color="auto" w:fill="auto"/>
          </w:tcPr>
          <w:p w14:paraId="1E804DB1" w14:textId="77777777" w:rsidR="00F20ABF" w:rsidRDefault="00F20ABF">
            <w:pPr>
              <w:rPr>
                <w:rFonts w:ascii="宋体"/>
                <w:vanish/>
              </w:rPr>
            </w:pPr>
          </w:p>
        </w:tc>
        <w:tc>
          <w:tcPr>
            <w:tcW w:w="0" w:type="auto"/>
            <w:gridSpan w:val="3"/>
            <w:shd w:val="clear" w:color="auto" w:fill="auto"/>
          </w:tcPr>
          <w:p w14:paraId="1E804DB2" w14:textId="77777777" w:rsidR="00F20ABF" w:rsidRDefault="00F20ABF">
            <w:pPr>
              <w:rPr>
                <w:rFonts w:ascii="宋体"/>
                <w:vanish/>
              </w:rPr>
            </w:pPr>
          </w:p>
        </w:tc>
        <w:tc>
          <w:tcPr>
            <w:tcW w:w="0" w:type="auto"/>
            <w:gridSpan w:val="3"/>
            <w:shd w:val="clear" w:color="auto" w:fill="auto"/>
          </w:tcPr>
          <w:p w14:paraId="1E804DB3" w14:textId="77777777" w:rsidR="00F20ABF" w:rsidRDefault="00F20ABF">
            <w:pPr>
              <w:rPr>
                <w:rFonts w:ascii="宋体"/>
                <w:vanish/>
              </w:rPr>
            </w:pPr>
          </w:p>
        </w:tc>
        <w:tc>
          <w:tcPr>
            <w:tcW w:w="0" w:type="auto"/>
            <w:gridSpan w:val="3"/>
            <w:shd w:val="clear" w:color="auto" w:fill="auto"/>
          </w:tcPr>
          <w:p w14:paraId="1E804DB4" w14:textId="77777777" w:rsidR="00F20ABF" w:rsidRDefault="00F20ABF">
            <w:pPr>
              <w:rPr>
                <w:rFonts w:ascii="宋体"/>
                <w:vanish/>
              </w:rPr>
            </w:pPr>
          </w:p>
        </w:tc>
        <w:tc>
          <w:tcPr>
            <w:tcW w:w="0" w:type="auto"/>
            <w:gridSpan w:val="3"/>
            <w:shd w:val="clear" w:color="auto" w:fill="auto"/>
          </w:tcPr>
          <w:p w14:paraId="1E804DB5" w14:textId="77777777" w:rsidR="00F20ABF" w:rsidRDefault="00F20ABF">
            <w:pPr>
              <w:rPr>
                <w:rFonts w:ascii="宋体"/>
                <w:vanish/>
              </w:rPr>
            </w:pPr>
          </w:p>
        </w:tc>
        <w:tc>
          <w:tcPr>
            <w:tcW w:w="0" w:type="auto"/>
            <w:gridSpan w:val="3"/>
            <w:shd w:val="clear" w:color="auto" w:fill="auto"/>
          </w:tcPr>
          <w:p w14:paraId="1E804DB6" w14:textId="77777777" w:rsidR="00F20ABF" w:rsidRDefault="00F20ABF">
            <w:pPr>
              <w:rPr>
                <w:rFonts w:ascii="宋体"/>
                <w:vanish/>
              </w:rPr>
            </w:pPr>
          </w:p>
        </w:tc>
        <w:tc>
          <w:tcPr>
            <w:tcW w:w="0" w:type="auto"/>
            <w:gridSpan w:val="3"/>
            <w:shd w:val="clear" w:color="auto" w:fill="auto"/>
          </w:tcPr>
          <w:p w14:paraId="1E804DB7" w14:textId="77777777" w:rsidR="00F20ABF" w:rsidRDefault="00F20ABF">
            <w:pPr>
              <w:rPr>
                <w:rFonts w:ascii="宋体"/>
                <w:vanish/>
              </w:rPr>
            </w:pPr>
          </w:p>
        </w:tc>
        <w:tc>
          <w:tcPr>
            <w:tcW w:w="0" w:type="auto"/>
            <w:gridSpan w:val="3"/>
            <w:shd w:val="clear" w:color="auto" w:fill="auto"/>
          </w:tcPr>
          <w:p w14:paraId="1E804DB8" w14:textId="77777777" w:rsidR="00F20ABF" w:rsidRDefault="00F20ABF">
            <w:pPr>
              <w:rPr>
                <w:rFonts w:ascii="宋体"/>
                <w:vanish/>
              </w:rPr>
            </w:pPr>
          </w:p>
        </w:tc>
      </w:tr>
      <w:tr w:rsidR="00F20ABF" w14:paraId="1E804DCA" w14:textId="77777777">
        <w:tc>
          <w:tcPr>
            <w:tcW w:w="0" w:type="auto"/>
            <w:gridSpan w:val="3"/>
            <w:shd w:val="clear" w:color="auto" w:fill="E2EFD9"/>
            <w:tcMar>
              <w:top w:w="40" w:type="dxa"/>
              <w:left w:w="20" w:type="dxa"/>
              <w:bottom w:w="40" w:type="dxa"/>
              <w:right w:w="20" w:type="dxa"/>
            </w:tcMar>
            <w:vAlign w:val="bottom"/>
          </w:tcPr>
          <w:p w14:paraId="1E804DBA" w14:textId="77777777" w:rsidR="00F20ABF" w:rsidRDefault="00CA4D2F">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1E804DBB"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DBC" w14:textId="77777777" w:rsidR="00F20ABF" w:rsidRDefault="00CA4D2F">
            <w:pPr>
              <w:jc w:val="right"/>
              <w:textAlignment w:val="bottom"/>
            </w:pPr>
            <w:r>
              <w:rPr>
                <w:rFonts w:ascii="sans-serif" w:eastAsia="sans-serif" w:hAnsi="sans-serif" w:cs="sans-serif"/>
                <w:color w:val="000000"/>
                <w:sz w:val="20"/>
                <w:szCs w:val="20"/>
              </w:rPr>
              <w:t>2,307 </w:t>
            </w:r>
          </w:p>
        </w:tc>
        <w:tc>
          <w:tcPr>
            <w:tcW w:w="0" w:type="auto"/>
            <w:shd w:val="clear" w:color="auto" w:fill="E2EFD9"/>
            <w:tcMar>
              <w:top w:w="40" w:type="dxa"/>
              <w:left w:w="0" w:type="dxa"/>
              <w:bottom w:w="40" w:type="dxa"/>
              <w:right w:w="20" w:type="dxa"/>
            </w:tcMar>
            <w:vAlign w:val="bottom"/>
          </w:tcPr>
          <w:p w14:paraId="1E804DB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DBE"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DBF"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DC0" w14:textId="77777777" w:rsidR="00F20ABF" w:rsidRDefault="00CA4D2F">
            <w:pPr>
              <w:jc w:val="right"/>
              <w:textAlignment w:val="bottom"/>
            </w:pPr>
            <w:r>
              <w:rPr>
                <w:rFonts w:ascii="sans-serif" w:eastAsia="sans-serif" w:hAnsi="sans-serif" w:cs="sans-serif"/>
                <w:color w:val="000000"/>
                <w:sz w:val="20"/>
                <w:szCs w:val="20"/>
              </w:rPr>
              <w:t>418 </w:t>
            </w:r>
          </w:p>
        </w:tc>
        <w:tc>
          <w:tcPr>
            <w:tcW w:w="0" w:type="auto"/>
            <w:shd w:val="clear" w:color="auto" w:fill="E2EFD9"/>
            <w:tcMar>
              <w:top w:w="40" w:type="dxa"/>
              <w:left w:w="0" w:type="dxa"/>
              <w:bottom w:w="40" w:type="dxa"/>
              <w:right w:w="20" w:type="dxa"/>
            </w:tcMar>
            <w:vAlign w:val="bottom"/>
          </w:tcPr>
          <w:p w14:paraId="1E804DC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DC2"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DC3"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DC4" w14:textId="77777777" w:rsidR="00F20ABF" w:rsidRDefault="00CA4D2F">
            <w:pPr>
              <w:jc w:val="right"/>
              <w:textAlignment w:val="bottom"/>
            </w:pPr>
            <w:r>
              <w:rPr>
                <w:rFonts w:ascii="sans-serif" w:eastAsia="sans-serif" w:hAnsi="sans-serif" w:cs="sans-serif"/>
                <w:color w:val="000000"/>
                <w:sz w:val="20"/>
                <w:szCs w:val="20"/>
              </w:rPr>
              <w:t>(869)</w:t>
            </w:r>
          </w:p>
        </w:tc>
        <w:tc>
          <w:tcPr>
            <w:tcW w:w="0" w:type="auto"/>
            <w:shd w:val="clear" w:color="auto" w:fill="E2EFD9"/>
            <w:tcMar>
              <w:top w:w="40" w:type="dxa"/>
              <w:left w:w="0" w:type="dxa"/>
              <w:bottom w:w="40" w:type="dxa"/>
              <w:right w:w="20" w:type="dxa"/>
            </w:tcMar>
            <w:vAlign w:val="bottom"/>
          </w:tcPr>
          <w:p w14:paraId="1E804DC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DC6"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DC7"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DC8" w14:textId="77777777" w:rsidR="00F20ABF" w:rsidRDefault="00CA4D2F">
            <w:pPr>
              <w:jc w:val="right"/>
              <w:textAlignment w:val="bottom"/>
            </w:pPr>
            <w:r>
              <w:rPr>
                <w:rFonts w:ascii="sans-serif" w:eastAsia="sans-serif" w:hAnsi="sans-serif" w:cs="sans-serif"/>
                <w:color w:val="000000"/>
                <w:sz w:val="20"/>
                <w:szCs w:val="20"/>
              </w:rPr>
              <w:t>1,856 </w:t>
            </w:r>
          </w:p>
        </w:tc>
        <w:tc>
          <w:tcPr>
            <w:tcW w:w="0" w:type="auto"/>
            <w:shd w:val="clear" w:color="auto" w:fill="E2EFD9"/>
            <w:tcMar>
              <w:top w:w="40" w:type="dxa"/>
              <w:left w:w="0" w:type="dxa"/>
              <w:bottom w:w="40" w:type="dxa"/>
              <w:right w:w="20" w:type="dxa"/>
            </w:tcMar>
            <w:vAlign w:val="bottom"/>
          </w:tcPr>
          <w:p w14:paraId="1E804DC9" w14:textId="77777777" w:rsidR="00F20ABF" w:rsidRDefault="00F20ABF">
            <w:pPr>
              <w:jc w:val="right"/>
              <w:rPr>
                <w:rFonts w:ascii="宋体"/>
              </w:rPr>
            </w:pPr>
          </w:p>
        </w:tc>
      </w:tr>
    </w:tbl>
    <w:p w14:paraId="1E804DCB" w14:textId="77777777" w:rsidR="00F20ABF" w:rsidRDefault="00F20ABF">
      <w:pPr>
        <w:spacing w:before="120" w:after="180"/>
        <w:jc w:val="center"/>
      </w:pPr>
    </w:p>
    <w:p w14:paraId="1E804DCC" w14:textId="77777777" w:rsidR="00F20ABF" w:rsidRDefault="00CA4D2F">
      <w:pPr>
        <w:spacing w:after="180"/>
        <w:jc w:val="center"/>
      </w:pPr>
      <w:r>
        <w:rPr>
          <w:rFonts w:ascii="sans-serif" w:eastAsia="sans-serif" w:hAnsi="sans-serif" w:cs="sans-serif"/>
          <w:color w:val="000000"/>
          <w:sz w:val="20"/>
          <w:szCs w:val="20"/>
        </w:rPr>
        <w:t>23</w:t>
      </w:r>
    </w:p>
    <w:p w14:paraId="1E804DCD" w14:textId="77777777" w:rsidR="00F20ABF" w:rsidRDefault="00CA4D2F">
      <w:r>
        <w:pict w14:anchorId="1E805592">
          <v:rect id="_x0000_i1047" style="width:415.3pt;height:1.5pt" o:hralign="center" o:hrstd="t" o:hr="t" fillcolor="#a0a0a0" stroked="f"/>
        </w:pict>
      </w:r>
    </w:p>
    <w:p w14:paraId="1E804DCE" w14:textId="77777777" w:rsidR="00F20ABF" w:rsidRDefault="00CA4D2F">
      <w:pPr>
        <w:jc w:val="center"/>
      </w:pPr>
      <w:r>
        <w:rPr>
          <w:rFonts w:ascii="sans-serif" w:eastAsia="sans-serif" w:hAnsi="sans-serif" w:cs="sans-serif"/>
          <w:b/>
          <w:bCs/>
          <w:color w:val="000000"/>
          <w:sz w:val="20"/>
          <w:szCs w:val="20"/>
        </w:rPr>
        <w:t>NVIDIA CORPORATION AND SUBSIDIARIES</w:t>
      </w:r>
    </w:p>
    <w:p w14:paraId="1E804DCF" w14:textId="77777777" w:rsidR="00F20ABF" w:rsidRDefault="00CA4D2F">
      <w:pPr>
        <w:jc w:val="center"/>
      </w:pPr>
      <w:r>
        <w:rPr>
          <w:rFonts w:ascii="sans-serif" w:eastAsia="sans-serif" w:hAnsi="sans-serif" w:cs="sans-serif"/>
          <w:b/>
          <w:bCs/>
          <w:color w:val="000000"/>
          <w:sz w:val="20"/>
          <w:szCs w:val="20"/>
        </w:rPr>
        <w:t>NOTES TO CONDENSED CONSOLIDATED FINANCIAL STATEMENTS (Continued)</w:t>
      </w:r>
    </w:p>
    <w:p w14:paraId="1E804DD0" w14:textId="77777777" w:rsidR="00F20ABF" w:rsidRDefault="00CA4D2F">
      <w:pPr>
        <w:jc w:val="center"/>
      </w:pPr>
      <w:r>
        <w:rPr>
          <w:rFonts w:ascii="sans-serif" w:eastAsia="sans-serif" w:hAnsi="sans-serif" w:cs="sans-serif"/>
          <w:b/>
          <w:bCs/>
          <w:color w:val="000000"/>
          <w:sz w:val="20"/>
          <w:szCs w:val="20"/>
        </w:rPr>
        <w:t>(Unaudited)</w:t>
      </w:r>
    </w:p>
    <w:p w14:paraId="1E804DD1" w14:textId="77777777" w:rsidR="00F20ABF" w:rsidRDefault="00F20ABF">
      <w:pPr>
        <w:spacing w:after="180"/>
        <w:jc w:val="both"/>
      </w:pPr>
    </w:p>
    <w:p w14:paraId="1E804DD2" w14:textId="77777777" w:rsidR="00F20ABF" w:rsidRDefault="00F20ABF">
      <w:pPr>
        <w:spacing w:after="180"/>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566"/>
        <w:gridCol w:w="38"/>
        <w:gridCol w:w="123"/>
        <w:gridCol w:w="966"/>
        <w:gridCol w:w="37"/>
        <w:gridCol w:w="36"/>
        <w:gridCol w:w="36"/>
        <w:gridCol w:w="36"/>
        <w:gridCol w:w="123"/>
        <w:gridCol w:w="922"/>
        <w:gridCol w:w="37"/>
        <w:gridCol w:w="36"/>
        <w:gridCol w:w="36"/>
        <w:gridCol w:w="36"/>
        <w:gridCol w:w="122"/>
        <w:gridCol w:w="922"/>
        <w:gridCol w:w="36"/>
        <w:gridCol w:w="36"/>
        <w:gridCol w:w="36"/>
        <w:gridCol w:w="36"/>
        <w:gridCol w:w="123"/>
        <w:gridCol w:w="922"/>
        <w:gridCol w:w="36"/>
      </w:tblGrid>
      <w:tr w:rsidR="00F20ABF" w14:paraId="1E804DEB" w14:textId="77777777">
        <w:trPr>
          <w:jc w:val="center"/>
        </w:trPr>
        <w:tc>
          <w:tcPr>
            <w:tcW w:w="50" w:type="pct"/>
            <w:shd w:val="clear" w:color="auto" w:fill="auto"/>
          </w:tcPr>
          <w:p w14:paraId="1E804DD3" w14:textId="77777777" w:rsidR="00F20ABF" w:rsidRDefault="00F20ABF">
            <w:pPr>
              <w:rPr>
                <w:rFonts w:ascii="宋体"/>
              </w:rPr>
            </w:pPr>
          </w:p>
        </w:tc>
        <w:tc>
          <w:tcPr>
            <w:tcW w:w="2174" w:type="pct"/>
            <w:shd w:val="clear" w:color="auto" w:fill="auto"/>
          </w:tcPr>
          <w:p w14:paraId="1E804DD4" w14:textId="77777777" w:rsidR="00F20ABF" w:rsidRDefault="00F20ABF">
            <w:pPr>
              <w:rPr>
                <w:rFonts w:ascii="宋体"/>
              </w:rPr>
            </w:pPr>
          </w:p>
        </w:tc>
        <w:tc>
          <w:tcPr>
            <w:tcW w:w="5" w:type="pct"/>
            <w:shd w:val="clear" w:color="auto" w:fill="auto"/>
          </w:tcPr>
          <w:p w14:paraId="1E804DD5" w14:textId="77777777" w:rsidR="00F20ABF" w:rsidRDefault="00F20ABF">
            <w:pPr>
              <w:rPr>
                <w:rFonts w:ascii="宋体"/>
              </w:rPr>
            </w:pPr>
          </w:p>
        </w:tc>
        <w:tc>
          <w:tcPr>
            <w:tcW w:w="50" w:type="pct"/>
            <w:shd w:val="clear" w:color="auto" w:fill="auto"/>
          </w:tcPr>
          <w:p w14:paraId="1E804DD6" w14:textId="77777777" w:rsidR="00F20ABF" w:rsidRDefault="00F20ABF">
            <w:pPr>
              <w:rPr>
                <w:rFonts w:ascii="宋体"/>
              </w:rPr>
            </w:pPr>
          </w:p>
        </w:tc>
        <w:tc>
          <w:tcPr>
            <w:tcW w:w="610" w:type="pct"/>
            <w:shd w:val="clear" w:color="auto" w:fill="auto"/>
          </w:tcPr>
          <w:p w14:paraId="1E804DD7" w14:textId="77777777" w:rsidR="00F20ABF" w:rsidRDefault="00F20ABF">
            <w:pPr>
              <w:rPr>
                <w:rFonts w:ascii="宋体"/>
              </w:rPr>
            </w:pPr>
          </w:p>
        </w:tc>
        <w:tc>
          <w:tcPr>
            <w:tcW w:w="5" w:type="pct"/>
            <w:shd w:val="clear" w:color="auto" w:fill="auto"/>
          </w:tcPr>
          <w:p w14:paraId="1E804DD8" w14:textId="77777777" w:rsidR="00F20ABF" w:rsidRDefault="00F20ABF">
            <w:pPr>
              <w:rPr>
                <w:rFonts w:ascii="宋体"/>
              </w:rPr>
            </w:pPr>
          </w:p>
        </w:tc>
        <w:tc>
          <w:tcPr>
            <w:tcW w:w="5" w:type="pct"/>
            <w:shd w:val="clear" w:color="auto" w:fill="auto"/>
          </w:tcPr>
          <w:p w14:paraId="1E804DD9" w14:textId="77777777" w:rsidR="00F20ABF" w:rsidRDefault="00F20ABF">
            <w:pPr>
              <w:rPr>
                <w:rFonts w:ascii="宋体"/>
              </w:rPr>
            </w:pPr>
          </w:p>
        </w:tc>
        <w:tc>
          <w:tcPr>
            <w:tcW w:w="26" w:type="pct"/>
            <w:shd w:val="clear" w:color="auto" w:fill="auto"/>
          </w:tcPr>
          <w:p w14:paraId="1E804DDA" w14:textId="77777777" w:rsidR="00F20ABF" w:rsidRDefault="00F20ABF">
            <w:pPr>
              <w:rPr>
                <w:rFonts w:ascii="宋体"/>
              </w:rPr>
            </w:pPr>
          </w:p>
        </w:tc>
        <w:tc>
          <w:tcPr>
            <w:tcW w:w="5" w:type="pct"/>
            <w:shd w:val="clear" w:color="auto" w:fill="auto"/>
          </w:tcPr>
          <w:p w14:paraId="1E804DDB" w14:textId="77777777" w:rsidR="00F20ABF" w:rsidRDefault="00F20ABF">
            <w:pPr>
              <w:rPr>
                <w:rFonts w:ascii="宋体"/>
              </w:rPr>
            </w:pPr>
          </w:p>
        </w:tc>
        <w:tc>
          <w:tcPr>
            <w:tcW w:w="50" w:type="pct"/>
            <w:shd w:val="clear" w:color="auto" w:fill="auto"/>
          </w:tcPr>
          <w:p w14:paraId="1E804DDC" w14:textId="77777777" w:rsidR="00F20ABF" w:rsidRDefault="00F20ABF">
            <w:pPr>
              <w:rPr>
                <w:rFonts w:ascii="宋体"/>
              </w:rPr>
            </w:pPr>
          </w:p>
        </w:tc>
        <w:tc>
          <w:tcPr>
            <w:tcW w:w="610" w:type="pct"/>
            <w:shd w:val="clear" w:color="auto" w:fill="auto"/>
          </w:tcPr>
          <w:p w14:paraId="1E804DDD" w14:textId="77777777" w:rsidR="00F20ABF" w:rsidRDefault="00F20ABF">
            <w:pPr>
              <w:rPr>
                <w:rFonts w:ascii="宋体"/>
              </w:rPr>
            </w:pPr>
          </w:p>
        </w:tc>
        <w:tc>
          <w:tcPr>
            <w:tcW w:w="5" w:type="pct"/>
            <w:shd w:val="clear" w:color="auto" w:fill="auto"/>
          </w:tcPr>
          <w:p w14:paraId="1E804DDE" w14:textId="77777777" w:rsidR="00F20ABF" w:rsidRDefault="00F20ABF">
            <w:pPr>
              <w:rPr>
                <w:rFonts w:ascii="宋体"/>
              </w:rPr>
            </w:pPr>
          </w:p>
        </w:tc>
        <w:tc>
          <w:tcPr>
            <w:tcW w:w="5" w:type="pct"/>
            <w:shd w:val="clear" w:color="auto" w:fill="auto"/>
          </w:tcPr>
          <w:p w14:paraId="1E804DDF" w14:textId="77777777" w:rsidR="00F20ABF" w:rsidRDefault="00F20ABF">
            <w:pPr>
              <w:rPr>
                <w:rFonts w:ascii="宋体"/>
              </w:rPr>
            </w:pPr>
          </w:p>
        </w:tc>
        <w:tc>
          <w:tcPr>
            <w:tcW w:w="26" w:type="pct"/>
            <w:shd w:val="clear" w:color="auto" w:fill="auto"/>
          </w:tcPr>
          <w:p w14:paraId="1E804DE0" w14:textId="77777777" w:rsidR="00F20ABF" w:rsidRDefault="00F20ABF">
            <w:pPr>
              <w:rPr>
                <w:rFonts w:ascii="宋体"/>
              </w:rPr>
            </w:pPr>
          </w:p>
        </w:tc>
        <w:tc>
          <w:tcPr>
            <w:tcW w:w="5" w:type="pct"/>
            <w:shd w:val="clear" w:color="auto" w:fill="auto"/>
          </w:tcPr>
          <w:p w14:paraId="1E804DE1" w14:textId="77777777" w:rsidR="00F20ABF" w:rsidRDefault="00F20ABF">
            <w:pPr>
              <w:rPr>
                <w:rFonts w:ascii="宋体"/>
              </w:rPr>
            </w:pPr>
          </w:p>
        </w:tc>
        <w:tc>
          <w:tcPr>
            <w:tcW w:w="50" w:type="pct"/>
            <w:shd w:val="clear" w:color="auto" w:fill="auto"/>
          </w:tcPr>
          <w:p w14:paraId="1E804DE2" w14:textId="77777777" w:rsidR="00F20ABF" w:rsidRDefault="00F20ABF">
            <w:pPr>
              <w:rPr>
                <w:rFonts w:ascii="宋体"/>
              </w:rPr>
            </w:pPr>
          </w:p>
        </w:tc>
        <w:tc>
          <w:tcPr>
            <w:tcW w:w="610" w:type="pct"/>
            <w:shd w:val="clear" w:color="auto" w:fill="auto"/>
          </w:tcPr>
          <w:p w14:paraId="1E804DE3" w14:textId="77777777" w:rsidR="00F20ABF" w:rsidRDefault="00F20ABF">
            <w:pPr>
              <w:rPr>
                <w:rFonts w:ascii="宋体"/>
              </w:rPr>
            </w:pPr>
          </w:p>
        </w:tc>
        <w:tc>
          <w:tcPr>
            <w:tcW w:w="5" w:type="pct"/>
            <w:shd w:val="clear" w:color="auto" w:fill="auto"/>
          </w:tcPr>
          <w:p w14:paraId="1E804DE4" w14:textId="77777777" w:rsidR="00F20ABF" w:rsidRDefault="00F20ABF">
            <w:pPr>
              <w:rPr>
                <w:rFonts w:ascii="宋体"/>
              </w:rPr>
            </w:pPr>
          </w:p>
        </w:tc>
        <w:tc>
          <w:tcPr>
            <w:tcW w:w="5" w:type="pct"/>
            <w:shd w:val="clear" w:color="auto" w:fill="auto"/>
          </w:tcPr>
          <w:p w14:paraId="1E804DE5" w14:textId="77777777" w:rsidR="00F20ABF" w:rsidRDefault="00F20ABF">
            <w:pPr>
              <w:rPr>
                <w:rFonts w:ascii="宋体"/>
              </w:rPr>
            </w:pPr>
          </w:p>
        </w:tc>
        <w:tc>
          <w:tcPr>
            <w:tcW w:w="26" w:type="pct"/>
            <w:shd w:val="clear" w:color="auto" w:fill="auto"/>
          </w:tcPr>
          <w:p w14:paraId="1E804DE6" w14:textId="77777777" w:rsidR="00F20ABF" w:rsidRDefault="00F20ABF">
            <w:pPr>
              <w:rPr>
                <w:rFonts w:ascii="宋体"/>
              </w:rPr>
            </w:pPr>
          </w:p>
        </w:tc>
        <w:tc>
          <w:tcPr>
            <w:tcW w:w="5" w:type="pct"/>
            <w:shd w:val="clear" w:color="auto" w:fill="auto"/>
          </w:tcPr>
          <w:p w14:paraId="1E804DE7" w14:textId="77777777" w:rsidR="00F20ABF" w:rsidRDefault="00F20ABF">
            <w:pPr>
              <w:rPr>
                <w:rFonts w:ascii="宋体"/>
              </w:rPr>
            </w:pPr>
          </w:p>
        </w:tc>
        <w:tc>
          <w:tcPr>
            <w:tcW w:w="50" w:type="pct"/>
            <w:shd w:val="clear" w:color="auto" w:fill="auto"/>
          </w:tcPr>
          <w:p w14:paraId="1E804DE8" w14:textId="77777777" w:rsidR="00F20ABF" w:rsidRDefault="00F20ABF">
            <w:pPr>
              <w:rPr>
                <w:rFonts w:ascii="宋体"/>
              </w:rPr>
            </w:pPr>
          </w:p>
        </w:tc>
        <w:tc>
          <w:tcPr>
            <w:tcW w:w="610" w:type="pct"/>
            <w:shd w:val="clear" w:color="auto" w:fill="auto"/>
          </w:tcPr>
          <w:p w14:paraId="1E804DE9" w14:textId="77777777" w:rsidR="00F20ABF" w:rsidRDefault="00F20ABF">
            <w:pPr>
              <w:rPr>
                <w:rFonts w:ascii="宋体"/>
              </w:rPr>
            </w:pPr>
          </w:p>
        </w:tc>
        <w:tc>
          <w:tcPr>
            <w:tcW w:w="5" w:type="pct"/>
            <w:shd w:val="clear" w:color="auto" w:fill="auto"/>
          </w:tcPr>
          <w:p w14:paraId="1E804DEA" w14:textId="77777777" w:rsidR="00F20ABF" w:rsidRDefault="00F20ABF">
            <w:pPr>
              <w:rPr>
                <w:rFonts w:ascii="宋体"/>
              </w:rPr>
            </w:pPr>
          </w:p>
        </w:tc>
      </w:tr>
      <w:tr w:rsidR="00F20ABF" w14:paraId="1E804DF0" w14:textId="77777777">
        <w:trPr>
          <w:jc w:val="center"/>
        </w:trPr>
        <w:tc>
          <w:tcPr>
            <w:tcW w:w="0" w:type="auto"/>
            <w:gridSpan w:val="3"/>
            <w:shd w:val="clear" w:color="auto" w:fill="auto"/>
            <w:tcMar>
              <w:top w:w="0" w:type="dxa"/>
              <w:left w:w="20" w:type="dxa"/>
              <w:bottom w:w="0" w:type="dxa"/>
              <w:right w:w="20" w:type="dxa"/>
            </w:tcMar>
          </w:tcPr>
          <w:p w14:paraId="1E804DEC"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4DED" w14:textId="77777777" w:rsidR="00F20ABF" w:rsidRDefault="00CA4D2F">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1E804DEE"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4DEF" w14:textId="77777777" w:rsidR="00F20ABF" w:rsidRDefault="00CA4D2F">
            <w:pPr>
              <w:jc w:val="center"/>
              <w:textAlignment w:val="bottom"/>
            </w:pPr>
            <w:r>
              <w:rPr>
                <w:rFonts w:ascii="sans-serif" w:eastAsia="sans-serif" w:hAnsi="sans-serif" w:cs="sans-serif"/>
                <w:b/>
                <w:bCs/>
                <w:color w:val="000000"/>
                <w:sz w:val="20"/>
                <w:szCs w:val="20"/>
              </w:rPr>
              <w:t>Nine Months Ended</w:t>
            </w:r>
          </w:p>
        </w:tc>
      </w:tr>
      <w:tr w:rsidR="00F20ABF" w14:paraId="1E804DF9" w14:textId="77777777">
        <w:trPr>
          <w:jc w:val="center"/>
        </w:trPr>
        <w:tc>
          <w:tcPr>
            <w:tcW w:w="0" w:type="auto"/>
            <w:gridSpan w:val="3"/>
            <w:shd w:val="clear" w:color="auto" w:fill="auto"/>
            <w:tcMar>
              <w:top w:w="0" w:type="dxa"/>
              <w:left w:w="20" w:type="dxa"/>
              <w:bottom w:w="0" w:type="dxa"/>
              <w:right w:w="20" w:type="dxa"/>
            </w:tcMar>
          </w:tcPr>
          <w:p w14:paraId="1E804DF1"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DF2" w14:textId="77777777" w:rsidR="00F20ABF" w:rsidRDefault="00CA4D2F">
            <w:pPr>
              <w:jc w:val="center"/>
              <w:textAlignment w:val="bottom"/>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1E804DF3"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DF4" w14:textId="77777777" w:rsidR="00F20ABF" w:rsidRDefault="00CA4D2F">
            <w:pPr>
              <w:jc w:val="center"/>
              <w:textAlignment w:val="bottom"/>
            </w:pPr>
            <w:r>
              <w:rPr>
                <w:rFonts w:ascii="sans-serif" w:eastAsia="sans-serif" w:hAnsi="sans-serif" w:cs="sans-serif"/>
                <w:b/>
                <w:bCs/>
                <w:color w:val="000000"/>
                <w:sz w:val="20"/>
                <w:szCs w:val="20"/>
              </w:rPr>
              <w:t>October 27,</w:t>
            </w:r>
            <w:r>
              <w:rPr>
                <w:rFonts w:ascii="sans-serif" w:eastAsia="sans-serif" w:hAnsi="sans-serif" w:cs="sans-serif"/>
                <w:b/>
                <w:bCs/>
                <w:color w:val="000000"/>
                <w:sz w:val="20"/>
                <w:szCs w:val="20"/>
              </w:rPr>
              <w:br/>
              <w:t>2019</w:t>
            </w:r>
          </w:p>
        </w:tc>
        <w:tc>
          <w:tcPr>
            <w:tcW w:w="0" w:type="auto"/>
            <w:gridSpan w:val="3"/>
            <w:shd w:val="clear" w:color="auto" w:fill="auto"/>
            <w:tcMar>
              <w:top w:w="0" w:type="dxa"/>
              <w:left w:w="20" w:type="dxa"/>
              <w:bottom w:w="0" w:type="dxa"/>
              <w:right w:w="20" w:type="dxa"/>
            </w:tcMar>
          </w:tcPr>
          <w:p w14:paraId="1E804DF5"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DF6" w14:textId="77777777" w:rsidR="00F20ABF" w:rsidRDefault="00CA4D2F">
            <w:pPr>
              <w:jc w:val="center"/>
              <w:textAlignment w:val="bottom"/>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1E804DF7"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DF8" w14:textId="77777777" w:rsidR="00F20ABF" w:rsidRDefault="00CA4D2F">
            <w:pPr>
              <w:jc w:val="center"/>
              <w:textAlignment w:val="bottom"/>
            </w:pPr>
            <w:r>
              <w:rPr>
                <w:rFonts w:ascii="sans-serif" w:eastAsia="sans-serif" w:hAnsi="sans-serif" w:cs="sans-serif"/>
                <w:b/>
                <w:bCs/>
                <w:color w:val="000000"/>
                <w:sz w:val="20"/>
                <w:szCs w:val="20"/>
              </w:rPr>
              <w:t>October 27,</w:t>
            </w:r>
            <w:r>
              <w:rPr>
                <w:rFonts w:ascii="sans-serif" w:eastAsia="sans-serif" w:hAnsi="sans-serif" w:cs="sans-serif"/>
                <w:b/>
                <w:bCs/>
                <w:color w:val="000000"/>
                <w:sz w:val="20"/>
                <w:szCs w:val="20"/>
              </w:rPr>
              <w:br/>
              <w:t>2019</w:t>
            </w:r>
          </w:p>
        </w:tc>
      </w:tr>
      <w:tr w:rsidR="00F20ABF" w14:paraId="1E804E02" w14:textId="77777777">
        <w:trPr>
          <w:trHeight w:val="60"/>
          <w:jc w:val="center"/>
        </w:trPr>
        <w:tc>
          <w:tcPr>
            <w:tcW w:w="0" w:type="auto"/>
            <w:gridSpan w:val="3"/>
            <w:shd w:val="clear" w:color="auto" w:fill="auto"/>
            <w:tcMar>
              <w:top w:w="0" w:type="dxa"/>
              <w:left w:w="20" w:type="dxa"/>
              <w:bottom w:w="0" w:type="dxa"/>
              <w:right w:w="20" w:type="dxa"/>
            </w:tcMar>
          </w:tcPr>
          <w:p w14:paraId="1E804DFA"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DFB"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DFC"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DFD"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DFE"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DFF"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E00"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E01" w14:textId="77777777" w:rsidR="00F20ABF" w:rsidRDefault="00F20ABF">
            <w:pPr>
              <w:rPr>
                <w:rFonts w:ascii="宋体"/>
              </w:rPr>
            </w:pPr>
          </w:p>
        </w:tc>
      </w:tr>
      <w:tr w:rsidR="00F20ABF" w14:paraId="1E804E05" w14:textId="77777777">
        <w:trPr>
          <w:jc w:val="center"/>
        </w:trPr>
        <w:tc>
          <w:tcPr>
            <w:tcW w:w="0" w:type="auto"/>
            <w:gridSpan w:val="3"/>
            <w:shd w:val="clear" w:color="auto" w:fill="auto"/>
            <w:tcMar>
              <w:top w:w="0" w:type="dxa"/>
              <w:left w:w="20" w:type="dxa"/>
              <w:bottom w:w="0" w:type="dxa"/>
              <w:right w:w="20" w:type="dxa"/>
            </w:tcMar>
          </w:tcPr>
          <w:p w14:paraId="1E804E03" w14:textId="77777777" w:rsidR="00F20ABF" w:rsidRDefault="00F20ABF">
            <w:pPr>
              <w:rPr>
                <w:rFonts w:ascii="宋体"/>
              </w:rPr>
            </w:pPr>
          </w:p>
        </w:tc>
        <w:tc>
          <w:tcPr>
            <w:tcW w:w="0" w:type="auto"/>
            <w:gridSpan w:val="21"/>
            <w:shd w:val="clear" w:color="auto" w:fill="auto"/>
            <w:tcMar>
              <w:top w:w="40" w:type="dxa"/>
              <w:left w:w="20" w:type="dxa"/>
              <w:bottom w:w="40" w:type="dxa"/>
              <w:right w:w="20" w:type="dxa"/>
            </w:tcMar>
            <w:vAlign w:val="bottom"/>
          </w:tcPr>
          <w:p w14:paraId="1E804E04"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E0E" w14:textId="77777777">
        <w:trPr>
          <w:jc w:val="center"/>
        </w:trPr>
        <w:tc>
          <w:tcPr>
            <w:tcW w:w="0" w:type="auto"/>
            <w:gridSpan w:val="3"/>
            <w:shd w:val="clear" w:color="auto" w:fill="auto"/>
            <w:tcMar>
              <w:top w:w="40" w:type="dxa"/>
              <w:left w:w="20" w:type="dxa"/>
              <w:bottom w:w="40" w:type="dxa"/>
              <w:right w:w="20" w:type="dxa"/>
            </w:tcMar>
            <w:vAlign w:val="bottom"/>
          </w:tcPr>
          <w:p w14:paraId="1E804E06" w14:textId="77777777" w:rsidR="00F20ABF" w:rsidRDefault="00CA4D2F">
            <w:pPr>
              <w:textAlignment w:val="bottom"/>
            </w:pPr>
            <w:r>
              <w:rPr>
                <w:rFonts w:ascii="sans-serif" w:eastAsia="sans-serif" w:hAnsi="sans-serif" w:cs="sans-serif"/>
                <w:b/>
                <w:bCs/>
                <w:color w:val="000000"/>
                <w:sz w:val="20"/>
                <w:szCs w:val="20"/>
              </w:rPr>
              <w:t>Reconciling items included in "All Other" category:</w:t>
            </w:r>
          </w:p>
        </w:tc>
        <w:tc>
          <w:tcPr>
            <w:tcW w:w="0" w:type="auto"/>
            <w:gridSpan w:val="3"/>
            <w:shd w:val="clear" w:color="auto" w:fill="auto"/>
            <w:tcMar>
              <w:top w:w="0" w:type="dxa"/>
              <w:left w:w="20" w:type="dxa"/>
              <w:bottom w:w="0" w:type="dxa"/>
              <w:right w:w="20" w:type="dxa"/>
            </w:tcMar>
          </w:tcPr>
          <w:p w14:paraId="1E804E07"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E08"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E0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E0A"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E0B"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E0C"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E0D" w14:textId="77777777" w:rsidR="00F20ABF" w:rsidRDefault="00F20ABF">
            <w:pPr>
              <w:rPr>
                <w:rFonts w:ascii="宋体"/>
              </w:rPr>
            </w:pPr>
          </w:p>
        </w:tc>
      </w:tr>
      <w:tr w:rsidR="00F20ABF" w14:paraId="1E804E17" w14:textId="77777777">
        <w:trPr>
          <w:jc w:val="center"/>
          <w:hidden/>
        </w:trPr>
        <w:tc>
          <w:tcPr>
            <w:tcW w:w="0" w:type="auto"/>
            <w:gridSpan w:val="3"/>
            <w:shd w:val="clear" w:color="auto" w:fill="auto"/>
          </w:tcPr>
          <w:p w14:paraId="1E804E0F" w14:textId="77777777" w:rsidR="00F20ABF" w:rsidRDefault="00F20ABF">
            <w:pPr>
              <w:rPr>
                <w:rFonts w:ascii="宋体"/>
                <w:vanish/>
              </w:rPr>
            </w:pPr>
          </w:p>
        </w:tc>
        <w:tc>
          <w:tcPr>
            <w:tcW w:w="0" w:type="auto"/>
            <w:gridSpan w:val="3"/>
            <w:shd w:val="clear" w:color="auto" w:fill="auto"/>
          </w:tcPr>
          <w:p w14:paraId="1E804E10" w14:textId="77777777" w:rsidR="00F20ABF" w:rsidRDefault="00F20ABF">
            <w:pPr>
              <w:rPr>
                <w:rFonts w:ascii="宋体"/>
                <w:vanish/>
              </w:rPr>
            </w:pPr>
          </w:p>
        </w:tc>
        <w:tc>
          <w:tcPr>
            <w:tcW w:w="0" w:type="auto"/>
            <w:gridSpan w:val="3"/>
            <w:shd w:val="clear" w:color="auto" w:fill="auto"/>
          </w:tcPr>
          <w:p w14:paraId="1E804E11" w14:textId="77777777" w:rsidR="00F20ABF" w:rsidRDefault="00F20ABF">
            <w:pPr>
              <w:rPr>
                <w:rFonts w:ascii="宋体"/>
                <w:vanish/>
              </w:rPr>
            </w:pPr>
          </w:p>
        </w:tc>
        <w:tc>
          <w:tcPr>
            <w:tcW w:w="0" w:type="auto"/>
            <w:gridSpan w:val="3"/>
            <w:shd w:val="clear" w:color="auto" w:fill="auto"/>
          </w:tcPr>
          <w:p w14:paraId="1E804E12" w14:textId="77777777" w:rsidR="00F20ABF" w:rsidRDefault="00F20ABF">
            <w:pPr>
              <w:rPr>
                <w:rFonts w:ascii="宋体"/>
                <w:vanish/>
              </w:rPr>
            </w:pPr>
          </w:p>
        </w:tc>
        <w:tc>
          <w:tcPr>
            <w:tcW w:w="0" w:type="auto"/>
            <w:gridSpan w:val="3"/>
            <w:shd w:val="clear" w:color="auto" w:fill="auto"/>
          </w:tcPr>
          <w:p w14:paraId="1E804E13" w14:textId="77777777" w:rsidR="00F20ABF" w:rsidRDefault="00F20ABF">
            <w:pPr>
              <w:rPr>
                <w:rFonts w:ascii="宋体"/>
                <w:vanish/>
              </w:rPr>
            </w:pPr>
          </w:p>
        </w:tc>
        <w:tc>
          <w:tcPr>
            <w:tcW w:w="0" w:type="auto"/>
            <w:gridSpan w:val="3"/>
            <w:shd w:val="clear" w:color="auto" w:fill="auto"/>
          </w:tcPr>
          <w:p w14:paraId="1E804E14" w14:textId="77777777" w:rsidR="00F20ABF" w:rsidRDefault="00F20ABF">
            <w:pPr>
              <w:rPr>
                <w:rFonts w:ascii="宋体"/>
                <w:vanish/>
              </w:rPr>
            </w:pPr>
          </w:p>
        </w:tc>
        <w:tc>
          <w:tcPr>
            <w:tcW w:w="0" w:type="auto"/>
            <w:gridSpan w:val="3"/>
            <w:shd w:val="clear" w:color="auto" w:fill="auto"/>
          </w:tcPr>
          <w:p w14:paraId="1E804E15" w14:textId="77777777" w:rsidR="00F20ABF" w:rsidRDefault="00F20ABF">
            <w:pPr>
              <w:rPr>
                <w:rFonts w:ascii="宋体"/>
                <w:vanish/>
              </w:rPr>
            </w:pPr>
          </w:p>
        </w:tc>
        <w:tc>
          <w:tcPr>
            <w:tcW w:w="0" w:type="auto"/>
            <w:gridSpan w:val="3"/>
            <w:shd w:val="clear" w:color="auto" w:fill="auto"/>
          </w:tcPr>
          <w:p w14:paraId="1E804E16" w14:textId="77777777" w:rsidR="00F20ABF" w:rsidRDefault="00F20ABF">
            <w:pPr>
              <w:rPr>
                <w:rFonts w:ascii="宋体"/>
                <w:vanish/>
              </w:rPr>
            </w:pPr>
          </w:p>
        </w:tc>
      </w:tr>
      <w:tr w:rsidR="00F20ABF" w14:paraId="1E804E28" w14:textId="77777777">
        <w:trPr>
          <w:jc w:val="center"/>
        </w:trPr>
        <w:tc>
          <w:tcPr>
            <w:tcW w:w="0" w:type="auto"/>
            <w:gridSpan w:val="3"/>
            <w:shd w:val="clear" w:color="auto" w:fill="E2EFD9"/>
            <w:tcMar>
              <w:top w:w="40" w:type="dxa"/>
              <w:left w:w="20" w:type="dxa"/>
              <w:bottom w:w="40" w:type="dxa"/>
              <w:right w:w="20" w:type="dxa"/>
            </w:tcMar>
            <w:vAlign w:val="bottom"/>
          </w:tcPr>
          <w:p w14:paraId="1E804E18" w14:textId="77777777" w:rsidR="00F20ABF" w:rsidRDefault="00CA4D2F">
            <w:pPr>
              <w:textAlignment w:val="bottom"/>
            </w:pPr>
            <w:r>
              <w:rPr>
                <w:rFonts w:ascii="sans-serif" w:eastAsia="sans-serif" w:hAnsi="sans-serif" w:cs="sans-serif"/>
                <w:color w:val="000000"/>
                <w:sz w:val="20"/>
                <w:szCs w:val="20"/>
              </w:rPr>
              <w:t xml:space="preserve">Stock-based </w:t>
            </w:r>
            <w:r>
              <w:rPr>
                <w:rFonts w:ascii="sans-serif" w:eastAsia="sans-serif" w:hAnsi="sans-serif" w:cs="sans-serif"/>
                <w:color w:val="000000"/>
                <w:sz w:val="20"/>
                <w:szCs w:val="20"/>
              </w:rPr>
              <w:t>compensation expense</w:t>
            </w:r>
          </w:p>
        </w:tc>
        <w:tc>
          <w:tcPr>
            <w:tcW w:w="0" w:type="auto"/>
            <w:shd w:val="clear" w:color="auto" w:fill="E2EFD9"/>
            <w:tcMar>
              <w:top w:w="40" w:type="dxa"/>
              <w:left w:w="20" w:type="dxa"/>
              <w:bottom w:w="40" w:type="dxa"/>
              <w:right w:w="0" w:type="dxa"/>
            </w:tcMar>
            <w:vAlign w:val="bottom"/>
          </w:tcPr>
          <w:p w14:paraId="1E804E19"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E1A" w14:textId="77777777" w:rsidR="00F20ABF" w:rsidRDefault="00CA4D2F">
            <w:pPr>
              <w:jc w:val="right"/>
              <w:textAlignment w:val="bottom"/>
            </w:pPr>
            <w:r>
              <w:rPr>
                <w:rFonts w:ascii="sans-serif" w:eastAsia="sans-serif" w:hAnsi="sans-serif" w:cs="sans-serif"/>
                <w:color w:val="000000"/>
                <w:sz w:val="20"/>
                <w:szCs w:val="20"/>
              </w:rPr>
              <w:t>(383)</w:t>
            </w:r>
          </w:p>
        </w:tc>
        <w:tc>
          <w:tcPr>
            <w:tcW w:w="0" w:type="auto"/>
            <w:shd w:val="clear" w:color="auto" w:fill="E2EFD9"/>
            <w:tcMar>
              <w:top w:w="40" w:type="dxa"/>
              <w:left w:w="0" w:type="dxa"/>
              <w:bottom w:w="40" w:type="dxa"/>
              <w:right w:w="20" w:type="dxa"/>
            </w:tcMar>
            <w:vAlign w:val="bottom"/>
          </w:tcPr>
          <w:p w14:paraId="1E804E1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1C"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E1D"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E1E" w14:textId="77777777" w:rsidR="00F20ABF" w:rsidRDefault="00CA4D2F">
            <w:pPr>
              <w:jc w:val="right"/>
              <w:textAlignment w:val="bottom"/>
            </w:pPr>
            <w:r>
              <w:rPr>
                <w:rFonts w:ascii="sans-serif" w:eastAsia="sans-serif" w:hAnsi="sans-serif" w:cs="sans-serif"/>
                <w:color w:val="000000"/>
                <w:sz w:val="20"/>
                <w:szCs w:val="20"/>
              </w:rPr>
              <w:t>(223)</w:t>
            </w:r>
          </w:p>
        </w:tc>
        <w:tc>
          <w:tcPr>
            <w:tcW w:w="0" w:type="auto"/>
            <w:shd w:val="clear" w:color="auto" w:fill="E2EFD9"/>
            <w:tcMar>
              <w:top w:w="40" w:type="dxa"/>
              <w:left w:w="0" w:type="dxa"/>
              <w:bottom w:w="40" w:type="dxa"/>
              <w:right w:w="20" w:type="dxa"/>
            </w:tcMar>
            <w:vAlign w:val="bottom"/>
          </w:tcPr>
          <w:p w14:paraId="1E804E1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20"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E21"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E22" w14:textId="77777777" w:rsidR="00F20ABF" w:rsidRDefault="00CA4D2F">
            <w:pPr>
              <w:jc w:val="right"/>
              <w:textAlignment w:val="bottom"/>
            </w:pPr>
            <w:r>
              <w:rPr>
                <w:rFonts w:ascii="sans-serif" w:eastAsia="sans-serif" w:hAnsi="sans-serif" w:cs="sans-serif"/>
                <w:color w:val="000000"/>
                <w:sz w:val="20"/>
                <w:szCs w:val="20"/>
              </w:rPr>
              <w:t>(981)</w:t>
            </w:r>
          </w:p>
        </w:tc>
        <w:tc>
          <w:tcPr>
            <w:tcW w:w="0" w:type="auto"/>
            <w:shd w:val="clear" w:color="auto" w:fill="E2EFD9"/>
            <w:tcMar>
              <w:top w:w="40" w:type="dxa"/>
              <w:left w:w="0" w:type="dxa"/>
              <w:bottom w:w="40" w:type="dxa"/>
              <w:right w:w="20" w:type="dxa"/>
            </w:tcMar>
            <w:vAlign w:val="bottom"/>
          </w:tcPr>
          <w:p w14:paraId="1E804E2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24"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E25"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E26" w14:textId="77777777" w:rsidR="00F20ABF" w:rsidRDefault="00CA4D2F">
            <w:pPr>
              <w:jc w:val="right"/>
              <w:textAlignment w:val="bottom"/>
            </w:pPr>
            <w:r>
              <w:rPr>
                <w:rFonts w:ascii="sans-serif" w:eastAsia="sans-serif" w:hAnsi="sans-serif" w:cs="sans-serif"/>
                <w:color w:val="000000"/>
                <w:sz w:val="20"/>
                <w:szCs w:val="20"/>
              </w:rPr>
              <w:t>(624)</w:t>
            </w:r>
          </w:p>
        </w:tc>
        <w:tc>
          <w:tcPr>
            <w:tcW w:w="0" w:type="auto"/>
            <w:shd w:val="clear" w:color="auto" w:fill="E2EFD9"/>
            <w:tcMar>
              <w:top w:w="40" w:type="dxa"/>
              <w:left w:w="0" w:type="dxa"/>
              <w:bottom w:w="40" w:type="dxa"/>
              <w:right w:w="20" w:type="dxa"/>
            </w:tcMar>
            <w:vAlign w:val="bottom"/>
          </w:tcPr>
          <w:p w14:paraId="1E804E27" w14:textId="77777777" w:rsidR="00F20ABF" w:rsidRDefault="00F20ABF">
            <w:pPr>
              <w:jc w:val="right"/>
              <w:rPr>
                <w:rFonts w:ascii="宋体"/>
              </w:rPr>
            </w:pPr>
          </w:p>
        </w:tc>
      </w:tr>
      <w:tr w:rsidR="00F20ABF" w14:paraId="1E804E35" w14:textId="77777777">
        <w:trPr>
          <w:jc w:val="center"/>
        </w:trPr>
        <w:tc>
          <w:tcPr>
            <w:tcW w:w="0" w:type="auto"/>
            <w:gridSpan w:val="3"/>
            <w:shd w:val="clear" w:color="auto" w:fill="FFFFFF"/>
            <w:tcMar>
              <w:top w:w="40" w:type="dxa"/>
              <w:left w:w="20" w:type="dxa"/>
              <w:bottom w:w="40" w:type="dxa"/>
              <w:right w:w="20" w:type="dxa"/>
            </w:tcMar>
            <w:vAlign w:val="bottom"/>
          </w:tcPr>
          <w:p w14:paraId="1E804E29" w14:textId="77777777" w:rsidR="00F20ABF" w:rsidRDefault="00CA4D2F">
            <w:pPr>
              <w:textAlignment w:val="bottom"/>
            </w:pPr>
            <w:r>
              <w:rPr>
                <w:rFonts w:ascii="sans-serif" w:eastAsia="sans-serif" w:hAnsi="sans-serif" w:cs="sans-serif"/>
                <w:color w:val="000000"/>
                <w:sz w:val="20"/>
                <w:szCs w:val="20"/>
              </w:rPr>
              <w:t>Acquisition-related and other costs</w:t>
            </w:r>
          </w:p>
        </w:tc>
        <w:tc>
          <w:tcPr>
            <w:tcW w:w="0" w:type="auto"/>
            <w:gridSpan w:val="2"/>
            <w:shd w:val="clear" w:color="auto" w:fill="FFFFFF"/>
            <w:tcMar>
              <w:top w:w="40" w:type="dxa"/>
              <w:left w:w="20" w:type="dxa"/>
              <w:bottom w:w="40" w:type="dxa"/>
              <w:right w:w="0" w:type="dxa"/>
            </w:tcMar>
            <w:vAlign w:val="bottom"/>
          </w:tcPr>
          <w:p w14:paraId="1E804E2A" w14:textId="77777777" w:rsidR="00F20ABF" w:rsidRDefault="00CA4D2F">
            <w:pPr>
              <w:jc w:val="right"/>
              <w:textAlignment w:val="bottom"/>
            </w:pPr>
            <w:r>
              <w:rPr>
                <w:rFonts w:ascii="sans-serif" w:eastAsia="sans-serif" w:hAnsi="sans-serif" w:cs="sans-serif"/>
                <w:color w:val="000000"/>
                <w:sz w:val="20"/>
                <w:szCs w:val="20"/>
              </w:rPr>
              <w:t>(192)</w:t>
            </w:r>
          </w:p>
        </w:tc>
        <w:tc>
          <w:tcPr>
            <w:tcW w:w="0" w:type="auto"/>
            <w:shd w:val="clear" w:color="auto" w:fill="FFFFFF"/>
            <w:tcMar>
              <w:top w:w="40" w:type="dxa"/>
              <w:left w:w="0" w:type="dxa"/>
              <w:bottom w:w="40" w:type="dxa"/>
              <w:right w:w="20" w:type="dxa"/>
            </w:tcMar>
            <w:vAlign w:val="bottom"/>
          </w:tcPr>
          <w:p w14:paraId="1E804E2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E2C"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E2D" w14:textId="77777777" w:rsidR="00F20ABF" w:rsidRDefault="00CA4D2F">
            <w:pPr>
              <w:jc w:val="right"/>
              <w:textAlignment w:val="bottom"/>
            </w:pPr>
            <w:r>
              <w:rPr>
                <w:rFonts w:ascii="sans-serif" w:eastAsia="sans-serif" w:hAnsi="sans-serif" w:cs="sans-serif"/>
                <w:color w:val="000000"/>
                <w:sz w:val="20"/>
                <w:szCs w:val="20"/>
              </w:rPr>
              <w:t>(7)</w:t>
            </w:r>
          </w:p>
        </w:tc>
        <w:tc>
          <w:tcPr>
            <w:tcW w:w="0" w:type="auto"/>
            <w:shd w:val="clear" w:color="auto" w:fill="FFFFFF"/>
            <w:tcMar>
              <w:top w:w="40" w:type="dxa"/>
              <w:left w:w="0" w:type="dxa"/>
              <w:bottom w:w="40" w:type="dxa"/>
              <w:right w:w="20" w:type="dxa"/>
            </w:tcMar>
            <w:vAlign w:val="bottom"/>
          </w:tcPr>
          <w:p w14:paraId="1E804E2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E2F"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E30" w14:textId="77777777" w:rsidR="00F20ABF" w:rsidRDefault="00CA4D2F">
            <w:pPr>
              <w:jc w:val="right"/>
              <w:textAlignment w:val="bottom"/>
            </w:pPr>
            <w:r>
              <w:rPr>
                <w:rFonts w:ascii="sans-serif" w:eastAsia="sans-serif" w:hAnsi="sans-serif" w:cs="sans-serif"/>
                <w:color w:val="000000"/>
                <w:sz w:val="20"/>
                <w:szCs w:val="20"/>
              </w:rPr>
              <w:t>(669)</w:t>
            </w:r>
          </w:p>
        </w:tc>
        <w:tc>
          <w:tcPr>
            <w:tcW w:w="0" w:type="auto"/>
            <w:shd w:val="clear" w:color="auto" w:fill="FFFFFF"/>
            <w:tcMar>
              <w:top w:w="40" w:type="dxa"/>
              <w:left w:w="0" w:type="dxa"/>
              <w:bottom w:w="40" w:type="dxa"/>
              <w:right w:w="20" w:type="dxa"/>
            </w:tcMar>
            <w:vAlign w:val="bottom"/>
          </w:tcPr>
          <w:p w14:paraId="1E804E3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E32"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E33" w14:textId="77777777" w:rsidR="00F20ABF" w:rsidRDefault="00CA4D2F">
            <w:pPr>
              <w:jc w:val="right"/>
              <w:textAlignment w:val="bottom"/>
            </w:pPr>
            <w:r>
              <w:rPr>
                <w:rFonts w:ascii="sans-serif" w:eastAsia="sans-serif" w:hAnsi="sans-serif" w:cs="sans-serif"/>
                <w:color w:val="000000"/>
                <w:sz w:val="20"/>
                <w:szCs w:val="20"/>
              </w:rPr>
              <w:t>(22)</w:t>
            </w:r>
          </w:p>
        </w:tc>
        <w:tc>
          <w:tcPr>
            <w:tcW w:w="0" w:type="auto"/>
            <w:shd w:val="clear" w:color="auto" w:fill="FFFFFF"/>
            <w:tcMar>
              <w:top w:w="40" w:type="dxa"/>
              <w:left w:w="0" w:type="dxa"/>
              <w:bottom w:w="40" w:type="dxa"/>
              <w:right w:w="20" w:type="dxa"/>
            </w:tcMar>
            <w:vAlign w:val="bottom"/>
          </w:tcPr>
          <w:p w14:paraId="1E804E34" w14:textId="77777777" w:rsidR="00F20ABF" w:rsidRDefault="00F20ABF">
            <w:pPr>
              <w:jc w:val="right"/>
              <w:rPr>
                <w:rFonts w:ascii="宋体"/>
              </w:rPr>
            </w:pPr>
          </w:p>
        </w:tc>
      </w:tr>
      <w:tr w:rsidR="00F20ABF" w14:paraId="1E804E42" w14:textId="77777777">
        <w:trPr>
          <w:jc w:val="center"/>
        </w:trPr>
        <w:tc>
          <w:tcPr>
            <w:tcW w:w="0" w:type="auto"/>
            <w:gridSpan w:val="3"/>
            <w:shd w:val="clear" w:color="auto" w:fill="E2EFD9"/>
            <w:tcMar>
              <w:top w:w="40" w:type="dxa"/>
              <w:left w:w="20" w:type="dxa"/>
              <w:bottom w:w="40" w:type="dxa"/>
              <w:right w:w="20" w:type="dxa"/>
            </w:tcMar>
            <w:vAlign w:val="bottom"/>
          </w:tcPr>
          <w:p w14:paraId="1E804E36" w14:textId="77777777" w:rsidR="00F20ABF" w:rsidRDefault="00CA4D2F">
            <w:pPr>
              <w:textAlignment w:val="bottom"/>
            </w:pPr>
            <w:r>
              <w:rPr>
                <w:rFonts w:ascii="sans-serif" w:eastAsia="sans-serif" w:hAnsi="sans-serif" w:cs="sans-serif"/>
                <w:color w:val="000000"/>
                <w:sz w:val="20"/>
                <w:szCs w:val="20"/>
              </w:rPr>
              <w:t xml:space="preserve">Unallocated cost of revenue and operating expenses </w:t>
            </w:r>
          </w:p>
        </w:tc>
        <w:tc>
          <w:tcPr>
            <w:tcW w:w="0" w:type="auto"/>
            <w:gridSpan w:val="2"/>
            <w:shd w:val="clear" w:color="auto" w:fill="E2EFD9"/>
            <w:tcMar>
              <w:top w:w="40" w:type="dxa"/>
              <w:left w:w="20" w:type="dxa"/>
              <w:bottom w:w="40" w:type="dxa"/>
              <w:right w:w="0" w:type="dxa"/>
            </w:tcMar>
            <w:vAlign w:val="bottom"/>
          </w:tcPr>
          <w:p w14:paraId="1E804E37" w14:textId="77777777" w:rsidR="00F20ABF" w:rsidRDefault="00CA4D2F">
            <w:pPr>
              <w:jc w:val="right"/>
              <w:textAlignment w:val="bottom"/>
            </w:pPr>
            <w:r>
              <w:rPr>
                <w:rFonts w:ascii="sans-serif" w:eastAsia="sans-serif" w:hAnsi="sans-serif" w:cs="sans-serif"/>
                <w:color w:val="000000"/>
                <w:sz w:val="20"/>
                <w:szCs w:val="20"/>
              </w:rPr>
              <w:t>(89)</w:t>
            </w:r>
          </w:p>
        </w:tc>
        <w:tc>
          <w:tcPr>
            <w:tcW w:w="0" w:type="auto"/>
            <w:shd w:val="clear" w:color="auto" w:fill="E2EFD9"/>
            <w:tcMar>
              <w:top w:w="40" w:type="dxa"/>
              <w:left w:w="0" w:type="dxa"/>
              <w:bottom w:w="40" w:type="dxa"/>
              <w:right w:w="20" w:type="dxa"/>
            </w:tcMar>
            <w:vAlign w:val="bottom"/>
          </w:tcPr>
          <w:p w14:paraId="1E804E3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3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E3A" w14:textId="77777777" w:rsidR="00F20ABF" w:rsidRDefault="00CA4D2F">
            <w:pPr>
              <w:jc w:val="right"/>
              <w:textAlignment w:val="bottom"/>
            </w:pPr>
            <w:r>
              <w:rPr>
                <w:rFonts w:ascii="sans-serif" w:eastAsia="sans-serif" w:hAnsi="sans-serif" w:cs="sans-serif"/>
                <w:color w:val="000000"/>
                <w:sz w:val="20"/>
                <w:szCs w:val="20"/>
              </w:rPr>
              <w:t>(69)</w:t>
            </w:r>
          </w:p>
        </w:tc>
        <w:tc>
          <w:tcPr>
            <w:tcW w:w="0" w:type="auto"/>
            <w:shd w:val="clear" w:color="auto" w:fill="E2EFD9"/>
            <w:tcMar>
              <w:top w:w="40" w:type="dxa"/>
              <w:left w:w="0" w:type="dxa"/>
              <w:bottom w:w="40" w:type="dxa"/>
              <w:right w:w="20" w:type="dxa"/>
            </w:tcMar>
            <w:vAlign w:val="bottom"/>
          </w:tcPr>
          <w:p w14:paraId="1E804E3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3C"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E3D" w14:textId="77777777" w:rsidR="00F20ABF" w:rsidRDefault="00CA4D2F">
            <w:pPr>
              <w:jc w:val="right"/>
              <w:textAlignment w:val="bottom"/>
            </w:pPr>
            <w:r>
              <w:rPr>
                <w:rFonts w:ascii="sans-serif" w:eastAsia="sans-serif" w:hAnsi="sans-serif" w:cs="sans-serif"/>
                <w:color w:val="000000"/>
                <w:sz w:val="20"/>
                <w:szCs w:val="20"/>
              </w:rPr>
              <w:t>(259)</w:t>
            </w:r>
          </w:p>
        </w:tc>
        <w:tc>
          <w:tcPr>
            <w:tcW w:w="0" w:type="auto"/>
            <w:shd w:val="clear" w:color="auto" w:fill="E2EFD9"/>
            <w:tcMar>
              <w:top w:w="40" w:type="dxa"/>
              <w:left w:w="0" w:type="dxa"/>
              <w:bottom w:w="40" w:type="dxa"/>
              <w:right w:w="20" w:type="dxa"/>
            </w:tcMar>
            <w:vAlign w:val="bottom"/>
          </w:tcPr>
          <w:p w14:paraId="1E804E3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3F"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E40" w14:textId="77777777" w:rsidR="00F20ABF" w:rsidRDefault="00CA4D2F">
            <w:pPr>
              <w:jc w:val="right"/>
              <w:textAlignment w:val="bottom"/>
            </w:pPr>
            <w:r>
              <w:rPr>
                <w:rFonts w:ascii="sans-serif" w:eastAsia="sans-serif" w:hAnsi="sans-serif" w:cs="sans-serif"/>
                <w:color w:val="000000"/>
                <w:sz w:val="20"/>
                <w:szCs w:val="20"/>
              </w:rPr>
              <w:t>(210)</w:t>
            </w:r>
          </w:p>
        </w:tc>
        <w:tc>
          <w:tcPr>
            <w:tcW w:w="0" w:type="auto"/>
            <w:shd w:val="clear" w:color="auto" w:fill="E2EFD9"/>
            <w:tcMar>
              <w:top w:w="40" w:type="dxa"/>
              <w:left w:w="0" w:type="dxa"/>
              <w:bottom w:w="40" w:type="dxa"/>
              <w:right w:w="20" w:type="dxa"/>
            </w:tcMar>
            <w:vAlign w:val="bottom"/>
          </w:tcPr>
          <w:p w14:paraId="1E804E41" w14:textId="77777777" w:rsidR="00F20ABF" w:rsidRDefault="00F20ABF">
            <w:pPr>
              <w:jc w:val="right"/>
              <w:rPr>
                <w:rFonts w:ascii="宋体"/>
              </w:rPr>
            </w:pPr>
          </w:p>
        </w:tc>
      </w:tr>
      <w:tr w:rsidR="00F20ABF" w14:paraId="1E804E4F" w14:textId="77777777">
        <w:trPr>
          <w:jc w:val="center"/>
        </w:trPr>
        <w:tc>
          <w:tcPr>
            <w:tcW w:w="0" w:type="auto"/>
            <w:gridSpan w:val="3"/>
            <w:shd w:val="clear" w:color="auto" w:fill="FFFFFF"/>
            <w:tcMar>
              <w:top w:w="40" w:type="dxa"/>
              <w:left w:w="20" w:type="dxa"/>
              <w:bottom w:w="40" w:type="dxa"/>
              <w:right w:w="20" w:type="dxa"/>
            </w:tcMar>
            <w:vAlign w:val="bottom"/>
          </w:tcPr>
          <w:p w14:paraId="1E804E43" w14:textId="77777777" w:rsidR="00F20ABF" w:rsidRDefault="00CA4D2F">
            <w:pPr>
              <w:textAlignment w:val="bottom"/>
            </w:pPr>
            <w:r>
              <w:rPr>
                <w:rFonts w:ascii="sans-serif" w:eastAsia="sans-serif" w:hAnsi="sans-serif" w:cs="sans-serif"/>
                <w:color w:val="000000"/>
                <w:sz w:val="20"/>
                <w:szCs w:val="20"/>
              </w:rPr>
              <w:t>Legal settlement costs</w:t>
            </w:r>
          </w:p>
        </w:tc>
        <w:tc>
          <w:tcPr>
            <w:tcW w:w="0" w:type="auto"/>
            <w:gridSpan w:val="2"/>
            <w:shd w:val="clear" w:color="auto" w:fill="FFFFFF"/>
            <w:tcMar>
              <w:top w:w="40" w:type="dxa"/>
              <w:left w:w="20" w:type="dxa"/>
              <w:bottom w:w="40" w:type="dxa"/>
              <w:right w:w="0" w:type="dxa"/>
            </w:tcMar>
            <w:vAlign w:val="bottom"/>
          </w:tcPr>
          <w:p w14:paraId="1E804E44" w14:textId="77777777" w:rsidR="00F20ABF" w:rsidRDefault="00CA4D2F">
            <w:pPr>
              <w:jc w:val="right"/>
              <w:textAlignment w:val="bottom"/>
            </w:pPr>
            <w:r>
              <w:rPr>
                <w:rFonts w:ascii="sans-serif" w:eastAsia="sans-serif" w:hAnsi="sans-serif" w:cs="sans-serif"/>
                <w:color w:val="000000"/>
                <w:sz w:val="20"/>
                <w:szCs w:val="20"/>
              </w:rPr>
              <w:t>(21)</w:t>
            </w:r>
          </w:p>
        </w:tc>
        <w:tc>
          <w:tcPr>
            <w:tcW w:w="0" w:type="auto"/>
            <w:shd w:val="clear" w:color="auto" w:fill="FFFFFF"/>
            <w:tcMar>
              <w:top w:w="40" w:type="dxa"/>
              <w:left w:w="0" w:type="dxa"/>
              <w:bottom w:w="40" w:type="dxa"/>
              <w:right w:w="20" w:type="dxa"/>
            </w:tcMar>
            <w:vAlign w:val="bottom"/>
          </w:tcPr>
          <w:p w14:paraId="1E804E4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E4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E47"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E804E4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E49"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E4A" w14:textId="77777777" w:rsidR="00F20ABF" w:rsidRDefault="00CA4D2F">
            <w:pPr>
              <w:jc w:val="right"/>
              <w:textAlignment w:val="bottom"/>
            </w:pPr>
            <w:r>
              <w:rPr>
                <w:rFonts w:ascii="sans-serif" w:eastAsia="sans-serif" w:hAnsi="sans-serif" w:cs="sans-serif"/>
                <w:color w:val="000000"/>
                <w:sz w:val="20"/>
                <w:szCs w:val="20"/>
              </w:rPr>
              <w:t>(38)</w:t>
            </w:r>
          </w:p>
        </w:tc>
        <w:tc>
          <w:tcPr>
            <w:tcW w:w="0" w:type="auto"/>
            <w:shd w:val="clear" w:color="auto" w:fill="FFFFFF"/>
            <w:tcMar>
              <w:top w:w="40" w:type="dxa"/>
              <w:left w:w="0" w:type="dxa"/>
              <w:bottom w:w="40" w:type="dxa"/>
              <w:right w:w="20" w:type="dxa"/>
            </w:tcMar>
            <w:vAlign w:val="bottom"/>
          </w:tcPr>
          <w:p w14:paraId="1E804E4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E4C"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E4D" w14:textId="77777777" w:rsidR="00F20ABF" w:rsidRDefault="00CA4D2F">
            <w:pPr>
              <w:jc w:val="right"/>
              <w:textAlignment w:val="bottom"/>
            </w:pPr>
            <w:r>
              <w:rPr>
                <w:rFonts w:ascii="sans-serif" w:eastAsia="sans-serif" w:hAnsi="sans-serif" w:cs="sans-serif"/>
                <w:color w:val="000000"/>
                <w:sz w:val="20"/>
                <w:szCs w:val="20"/>
              </w:rPr>
              <w:t>(13)</w:t>
            </w:r>
          </w:p>
        </w:tc>
        <w:tc>
          <w:tcPr>
            <w:tcW w:w="0" w:type="auto"/>
            <w:shd w:val="clear" w:color="auto" w:fill="FFFFFF"/>
            <w:tcMar>
              <w:top w:w="40" w:type="dxa"/>
              <w:left w:w="0" w:type="dxa"/>
              <w:bottom w:w="40" w:type="dxa"/>
              <w:right w:w="20" w:type="dxa"/>
            </w:tcMar>
            <w:vAlign w:val="bottom"/>
          </w:tcPr>
          <w:p w14:paraId="1E804E4E" w14:textId="77777777" w:rsidR="00F20ABF" w:rsidRDefault="00F20ABF">
            <w:pPr>
              <w:jc w:val="right"/>
              <w:rPr>
                <w:rFonts w:ascii="宋体"/>
              </w:rPr>
            </w:pPr>
          </w:p>
        </w:tc>
      </w:tr>
      <w:tr w:rsidR="00F20ABF" w14:paraId="1E804E58" w14:textId="77777777">
        <w:trPr>
          <w:jc w:val="center"/>
          <w:hidden/>
        </w:trPr>
        <w:tc>
          <w:tcPr>
            <w:tcW w:w="0" w:type="auto"/>
            <w:gridSpan w:val="3"/>
            <w:shd w:val="clear" w:color="auto" w:fill="auto"/>
          </w:tcPr>
          <w:p w14:paraId="1E804E50" w14:textId="77777777" w:rsidR="00F20ABF" w:rsidRDefault="00F20ABF">
            <w:pPr>
              <w:rPr>
                <w:rFonts w:ascii="宋体"/>
                <w:vanish/>
              </w:rPr>
            </w:pPr>
          </w:p>
        </w:tc>
        <w:tc>
          <w:tcPr>
            <w:tcW w:w="0" w:type="auto"/>
            <w:gridSpan w:val="3"/>
            <w:shd w:val="clear" w:color="auto" w:fill="auto"/>
          </w:tcPr>
          <w:p w14:paraId="1E804E51" w14:textId="77777777" w:rsidR="00F20ABF" w:rsidRDefault="00F20ABF">
            <w:pPr>
              <w:rPr>
                <w:rFonts w:ascii="宋体"/>
                <w:vanish/>
              </w:rPr>
            </w:pPr>
          </w:p>
        </w:tc>
        <w:tc>
          <w:tcPr>
            <w:tcW w:w="0" w:type="auto"/>
            <w:gridSpan w:val="3"/>
            <w:shd w:val="clear" w:color="auto" w:fill="auto"/>
          </w:tcPr>
          <w:p w14:paraId="1E804E52" w14:textId="77777777" w:rsidR="00F20ABF" w:rsidRDefault="00F20ABF">
            <w:pPr>
              <w:rPr>
                <w:rFonts w:ascii="宋体"/>
                <w:vanish/>
              </w:rPr>
            </w:pPr>
          </w:p>
        </w:tc>
        <w:tc>
          <w:tcPr>
            <w:tcW w:w="0" w:type="auto"/>
            <w:gridSpan w:val="3"/>
            <w:shd w:val="clear" w:color="auto" w:fill="auto"/>
          </w:tcPr>
          <w:p w14:paraId="1E804E53" w14:textId="77777777" w:rsidR="00F20ABF" w:rsidRDefault="00F20ABF">
            <w:pPr>
              <w:rPr>
                <w:rFonts w:ascii="宋体"/>
                <w:vanish/>
              </w:rPr>
            </w:pPr>
          </w:p>
        </w:tc>
        <w:tc>
          <w:tcPr>
            <w:tcW w:w="0" w:type="auto"/>
            <w:gridSpan w:val="3"/>
            <w:shd w:val="clear" w:color="auto" w:fill="auto"/>
          </w:tcPr>
          <w:p w14:paraId="1E804E54" w14:textId="77777777" w:rsidR="00F20ABF" w:rsidRDefault="00F20ABF">
            <w:pPr>
              <w:rPr>
                <w:rFonts w:ascii="宋体"/>
                <w:vanish/>
              </w:rPr>
            </w:pPr>
          </w:p>
        </w:tc>
        <w:tc>
          <w:tcPr>
            <w:tcW w:w="0" w:type="auto"/>
            <w:gridSpan w:val="3"/>
            <w:shd w:val="clear" w:color="auto" w:fill="auto"/>
          </w:tcPr>
          <w:p w14:paraId="1E804E55" w14:textId="77777777" w:rsidR="00F20ABF" w:rsidRDefault="00F20ABF">
            <w:pPr>
              <w:rPr>
                <w:rFonts w:ascii="宋体"/>
                <w:vanish/>
              </w:rPr>
            </w:pPr>
          </w:p>
        </w:tc>
        <w:tc>
          <w:tcPr>
            <w:tcW w:w="0" w:type="auto"/>
            <w:gridSpan w:val="3"/>
            <w:shd w:val="clear" w:color="auto" w:fill="auto"/>
          </w:tcPr>
          <w:p w14:paraId="1E804E56" w14:textId="77777777" w:rsidR="00F20ABF" w:rsidRDefault="00F20ABF">
            <w:pPr>
              <w:rPr>
                <w:rFonts w:ascii="宋体"/>
                <w:vanish/>
              </w:rPr>
            </w:pPr>
          </w:p>
        </w:tc>
        <w:tc>
          <w:tcPr>
            <w:tcW w:w="0" w:type="auto"/>
            <w:gridSpan w:val="3"/>
            <w:shd w:val="clear" w:color="auto" w:fill="auto"/>
          </w:tcPr>
          <w:p w14:paraId="1E804E57" w14:textId="77777777" w:rsidR="00F20ABF" w:rsidRDefault="00F20ABF">
            <w:pPr>
              <w:rPr>
                <w:rFonts w:ascii="宋体"/>
                <w:vanish/>
              </w:rPr>
            </w:pPr>
          </w:p>
        </w:tc>
      </w:tr>
      <w:tr w:rsidR="00F20ABF" w14:paraId="1E804E61" w14:textId="77777777">
        <w:trPr>
          <w:jc w:val="center"/>
          <w:hidden/>
        </w:trPr>
        <w:tc>
          <w:tcPr>
            <w:tcW w:w="0" w:type="auto"/>
            <w:gridSpan w:val="3"/>
            <w:shd w:val="clear" w:color="auto" w:fill="auto"/>
          </w:tcPr>
          <w:p w14:paraId="1E804E59" w14:textId="77777777" w:rsidR="00F20ABF" w:rsidRDefault="00F20ABF">
            <w:pPr>
              <w:rPr>
                <w:rFonts w:ascii="宋体"/>
                <w:vanish/>
              </w:rPr>
            </w:pPr>
          </w:p>
        </w:tc>
        <w:tc>
          <w:tcPr>
            <w:tcW w:w="0" w:type="auto"/>
            <w:gridSpan w:val="3"/>
            <w:shd w:val="clear" w:color="auto" w:fill="auto"/>
          </w:tcPr>
          <w:p w14:paraId="1E804E5A" w14:textId="77777777" w:rsidR="00F20ABF" w:rsidRDefault="00F20ABF">
            <w:pPr>
              <w:rPr>
                <w:rFonts w:ascii="宋体"/>
                <w:vanish/>
              </w:rPr>
            </w:pPr>
          </w:p>
        </w:tc>
        <w:tc>
          <w:tcPr>
            <w:tcW w:w="0" w:type="auto"/>
            <w:gridSpan w:val="3"/>
            <w:shd w:val="clear" w:color="auto" w:fill="auto"/>
          </w:tcPr>
          <w:p w14:paraId="1E804E5B" w14:textId="77777777" w:rsidR="00F20ABF" w:rsidRDefault="00F20ABF">
            <w:pPr>
              <w:rPr>
                <w:rFonts w:ascii="宋体"/>
                <w:vanish/>
              </w:rPr>
            </w:pPr>
          </w:p>
        </w:tc>
        <w:tc>
          <w:tcPr>
            <w:tcW w:w="0" w:type="auto"/>
            <w:gridSpan w:val="3"/>
            <w:shd w:val="clear" w:color="auto" w:fill="auto"/>
          </w:tcPr>
          <w:p w14:paraId="1E804E5C" w14:textId="77777777" w:rsidR="00F20ABF" w:rsidRDefault="00F20ABF">
            <w:pPr>
              <w:rPr>
                <w:rFonts w:ascii="宋体"/>
                <w:vanish/>
              </w:rPr>
            </w:pPr>
          </w:p>
        </w:tc>
        <w:tc>
          <w:tcPr>
            <w:tcW w:w="0" w:type="auto"/>
            <w:gridSpan w:val="3"/>
            <w:shd w:val="clear" w:color="auto" w:fill="auto"/>
          </w:tcPr>
          <w:p w14:paraId="1E804E5D" w14:textId="77777777" w:rsidR="00F20ABF" w:rsidRDefault="00F20ABF">
            <w:pPr>
              <w:rPr>
                <w:rFonts w:ascii="宋体"/>
                <w:vanish/>
              </w:rPr>
            </w:pPr>
          </w:p>
        </w:tc>
        <w:tc>
          <w:tcPr>
            <w:tcW w:w="0" w:type="auto"/>
            <w:gridSpan w:val="3"/>
            <w:shd w:val="clear" w:color="auto" w:fill="auto"/>
          </w:tcPr>
          <w:p w14:paraId="1E804E5E" w14:textId="77777777" w:rsidR="00F20ABF" w:rsidRDefault="00F20ABF">
            <w:pPr>
              <w:rPr>
                <w:rFonts w:ascii="宋体"/>
                <w:vanish/>
              </w:rPr>
            </w:pPr>
          </w:p>
        </w:tc>
        <w:tc>
          <w:tcPr>
            <w:tcW w:w="0" w:type="auto"/>
            <w:gridSpan w:val="3"/>
            <w:shd w:val="clear" w:color="auto" w:fill="auto"/>
          </w:tcPr>
          <w:p w14:paraId="1E804E5F" w14:textId="77777777" w:rsidR="00F20ABF" w:rsidRDefault="00F20ABF">
            <w:pPr>
              <w:rPr>
                <w:rFonts w:ascii="宋体"/>
                <w:vanish/>
              </w:rPr>
            </w:pPr>
          </w:p>
        </w:tc>
        <w:tc>
          <w:tcPr>
            <w:tcW w:w="0" w:type="auto"/>
            <w:gridSpan w:val="3"/>
            <w:shd w:val="clear" w:color="auto" w:fill="auto"/>
          </w:tcPr>
          <w:p w14:paraId="1E804E60" w14:textId="77777777" w:rsidR="00F20ABF" w:rsidRDefault="00F20ABF">
            <w:pPr>
              <w:rPr>
                <w:rFonts w:ascii="宋体"/>
                <w:vanish/>
              </w:rPr>
            </w:pPr>
          </w:p>
        </w:tc>
      </w:tr>
      <w:tr w:rsidR="00F20ABF" w14:paraId="1E804E72" w14:textId="77777777">
        <w:trPr>
          <w:jc w:val="center"/>
        </w:trPr>
        <w:tc>
          <w:tcPr>
            <w:tcW w:w="0" w:type="auto"/>
            <w:gridSpan w:val="3"/>
            <w:shd w:val="clear" w:color="auto" w:fill="E2EFD9"/>
            <w:tcMar>
              <w:top w:w="40" w:type="dxa"/>
              <w:left w:w="20" w:type="dxa"/>
              <w:bottom w:w="40" w:type="dxa"/>
              <w:right w:w="20" w:type="dxa"/>
            </w:tcMar>
            <w:vAlign w:val="bottom"/>
          </w:tcPr>
          <w:p w14:paraId="1E804E62" w14:textId="77777777" w:rsidR="00F20ABF" w:rsidRDefault="00CA4D2F">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E63"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E64" w14:textId="77777777" w:rsidR="00F20ABF" w:rsidRDefault="00CA4D2F">
            <w:pPr>
              <w:jc w:val="right"/>
              <w:textAlignment w:val="bottom"/>
            </w:pPr>
            <w:r>
              <w:rPr>
                <w:rFonts w:ascii="sans-serif" w:eastAsia="sans-serif" w:hAnsi="sans-serif" w:cs="sans-serif"/>
                <w:color w:val="000000"/>
                <w:sz w:val="20"/>
                <w:szCs w:val="20"/>
              </w:rPr>
              <w:t>(685)</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E6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66"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E67"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E68" w14:textId="77777777" w:rsidR="00F20ABF" w:rsidRDefault="00CA4D2F">
            <w:pPr>
              <w:jc w:val="right"/>
              <w:textAlignment w:val="bottom"/>
            </w:pPr>
            <w:r>
              <w:rPr>
                <w:rFonts w:ascii="sans-serif" w:eastAsia="sans-serif" w:hAnsi="sans-serif" w:cs="sans-serif"/>
                <w:color w:val="000000"/>
                <w:sz w:val="20"/>
                <w:szCs w:val="20"/>
              </w:rPr>
              <w:t>(299)</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E6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6A"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E6B"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E6C" w14:textId="77777777" w:rsidR="00F20ABF" w:rsidRDefault="00CA4D2F">
            <w:pPr>
              <w:jc w:val="right"/>
              <w:textAlignment w:val="bottom"/>
            </w:pPr>
            <w:r>
              <w:rPr>
                <w:rFonts w:ascii="sans-serif" w:eastAsia="sans-serif" w:hAnsi="sans-serif" w:cs="sans-serif"/>
                <w:color w:val="000000"/>
                <w:sz w:val="20"/>
                <w:szCs w:val="20"/>
              </w:rPr>
              <w:t>(1,947)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E6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6E"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E6F"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E70" w14:textId="77777777" w:rsidR="00F20ABF" w:rsidRDefault="00CA4D2F">
            <w:pPr>
              <w:jc w:val="right"/>
              <w:textAlignment w:val="bottom"/>
            </w:pPr>
            <w:r>
              <w:rPr>
                <w:rFonts w:ascii="sans-serif" w:eastAsia="sans-serif" w:hAnsi="sans-serif" w:cs="sans-serif"/>
                <w:color w:val="000000"/>
                <w:sz w:val="20"/>
                <w:szCs w:val="20"/>
              </w:rPr>
              <w:t>(869)</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E71" w14:textId="77777777" w:rsidR="00F20ABF" w:rsidRDefault="00F20ABF">
            <w:pPr>
              <w:jc w:val="right"/>
              <w:rPr>
                <w:rFonts w:ascii="宋体"/>
              </w:rPr>
            </w:pPr>
          </w:p>
        </w:tc>
      </w:tr>
    </w:tbl>
    <w:p w14:paraId="1E804E73" w14:textId="77777777" w:rsidR="00F20ABF" w:rsidRDefault="00CA4D2F">
      <w:pPr>
        <w:spacing w:before="360" w:after="360"/>
        <w:jc w:val="both"/>
      </w:pPr>
      <w:r>
        <w:rPr>
          <w:rFonts w:ascii="sans-serif" w:eastAsia="sans-serif" w:hAnsi="sans-serif" w:cs="sans-serif"/>
          <w:color w:val="000000"/>
          <w:sz w:val="20"/>
          <w:szCs w:val="20"/>
        </w:rPr>
        <w:t>Revenue by geographic region is allocated to individual countries based on the location to which the</w:t>
      </w:r>
      <w:r>
        <w:rPr>
          <w:rFonts w:ascii="sans-serif" w:eastAsia="sans-serif" w:hAnsi="sans-serif" w:cs="sans-serif"/>
          <w:color w:val="000000"/>
          <w:sz w:val="20"/>
          <w:szCs w:val="20"/>
        </w:rPr>
        <w:t xml:space="preserve"> products are initially billed even if our customers’ revenue is attributable to end customers that are located in a different location. The following table summarizes information pertaining to our revenue from customers based on the invoicing address by g</w:t>
      </w:r>
      <w:r>
        <w:rPr>
          <w:rFonts w:ascii="sans-serif" w:eastAsia="sans-serif" w:hAnsi="sans-serif" w:cs="sans-serif"/>
          <w:color w:val="000000"/>
          <w:sz w:val="20"/>
          <w:szCs w:val="20"/>
        </w:rPr>
        <w:t xml:space="preserve">eographic regions: </w:t>
      </w:r>
    </w:p>
    <w:tbl>
      <w:tblPr>
        <w:tblW w:w="5000" w:type="pct"/>
        <w:tblCellMar>
          <w:top w:w="15" w:type="dxa"/>
          <w:left w:w="15" w:type="dxa"/>
          <w:bottom w:w="15" w:type="dxa"/>
          <w:right w:w="15" w:type="dxa"/>
        </w:tblCellMar>
        <w:tblLook w:val="04A0" w:firstRow="1" w:lastRow="0" w:firstColumn="1" w:lastColumn="0" w:noHBand="0" w:noVBand="1"/>
      </w:tblPr>
      <w:tblGrid>
        <w:gridCol w:w="39"/>
        <w:gridCol w:w="3567"/>
        <w:gridCol w:w="36"/>
        <w:gridCol w:w="123"/>
        <w:gridCol w:w="966"/>
        <w:gridCol w:w="37"/>
        <w:gridCol w:w="36"/>
        <w:gridCol w:w="36"/>
        <w:gridCol w:w="36"/>
        <w:gridCol w:w="123"/>
        <w:gridCol w:w="922"/>
        <w:gridCol w:w="37"/>
        <w:gridCol w:w="36"/>
        <w:gridCol w:w="36"/>
        <w:gridCol w:w="36"/>
        <w:gridCol w:w="122"/>
        <w:gridCol w:w="922"/>
        <w:gridCol w:w="36"/>
        <w:gridCol w:w="36"/>
        <w:gridCol w:w="36"/>
        <w:gridCol w:w="36"/>
        <w:gridCol w:w="123"/>
        <w:gridCol w:w="922"/>
        <w:gridCol w:w="37"/>
      </w:tblGrid>
      <w:tr w:rsidR="00F20ABF" w14:paraId="1E804E8C" w14:textId="77777777">
        <w:tc>
          <w:tcPr>
            <w:tcW w:w="50" w:type="pct"/>
            <w:shd w:val="clear" w:color="auto" w:fill="auto"/>
          </w:tcPr>
          <w:p w14:paraId="1E804E74" w14:textId="77777777" w:rsidR="00F20ABF" w:rsidRDefault="00F20ABF">
            <w:pPr>
              <w:rPr>
                <w:rFonts w:ascii="宋体"/>
              </w:rPr>
            </w:pPr>
          </w:p>
        </w:tc>
        <w:tc>
          <w:tcPr>
            <w:tcW w:w="2174" w:type="pct"/>
            <w:shd w:val="clear" w:color="auto" w:fill="auto"/>
          </w:tcPr>
          <w:p w14:paraId="1E804E75" w14:textId="77777777" w:rsidR="00F20ABF" w:rsidRDefault="00F20ABF">
            <w:pPr>
              <w:rPr>
                <w:rFonts w:ascii="宋体"/>
              </w:rPr>
            </w:pPr>
          </w:p>
        </w:tc>
        <w:tc>
          <w:tcPr>
            <w:tcW w:w="5" w:type="pct"/>
            <w:shd w:val="clear" w:color="auto" w:fill="auto"/>
          </w:tcPr>
          <w:p w14:paraId="1E804E76" w14:textId="77777777" w:rsidR="00F20ABF" w:rsidRDefault="00F20ABF">
            <w:pPr>
              <w:rPr>
                <w:rFonts w:ascii="宋体"/>
              </w:rPr>
            </w:pPr>
          </w:p>
        </w:tc>
        <w:tc>
          <w:tcPr>
            <w:tcW w:w="50" w:type="pct"/>
            <w:shd w:val="clear" w:color="auto" w:fill="auto"/>
          </w:tcPr>
          <w:p w14:paraId="1E804E77" w14:textId="77777777" w:rsidR="00F20ABF" w:rsidRDefault="00F20ABF">
            <w:pPr>
              <w:rPr>
                <w:rFonts w:ascii="宋体"/>
              </w:rPr>
            </w:pPr>
          </w:p>
        </w:tc>
        <w:tc>
          <w:tcPr>
            <w:tcW w:w="610" w:type="pct"/>
            <w:shd w:val="clear" w:color="auto" w:fill="auto"/>
          </w:tcPr>
          <w:p w14:paraId="1E804E78" w14:textId="77777777" w:rsidR="00F20ABF" w:rsidRDefault="00F20ABF">
            <w:pPr>
              <w:rPr>
                <w:rFonts w:ascii="宋体"/>
              </w:rPr>
            </w:pPr>
          </w:p>
        </w:tc>
        <w:tc>
          <w:tcPr>
            <w:tcW w:w="5" w:type="pct"/>
            <w:shd w:val="clear" w:color="auto" w:fill="auto"/>
          </w:tcPr>
          <w:p w14:paraId="1E804E79" w14:textId="77777777" w:rsidR="00F20ABF" w:rsidRDefault="00F20ABF">
            <w:pPr>
              <w:rPr>
                <w:rFonts w:ascii="宋体"/>
              </w:rPr>
            </w:pPr>
          </w:p>
        </w:tc>
        <w:tc>
          <w:tcPr>
            <w:tcW w:w="5" w:type="pct"/>
            <w:shd w:val="clear" w:color="auto" w:fill="auto"/>
          </w:tcPr>
          <w:p w14:paraId="1E804E7A" w14:textId="77777777" w:rsidR="00F20ABF" w:rsidRDefault="00F20ABF">
            <w:pPr>
              <w:rPr>
                <w:rFonts w:ascii="宋体"/>
              </w:rPr>
            </w:pPr>
          </w:p>
        </w:tc>
        <w:tc>
          <w:tcPr>
            <w:tcW w:w="26" w:type="pct"/>
            <w:shd w:val="clear" w:color="auto" w:fill="auto"/>
          </w:tcPr>
          <w:p w14:paraId="1E804E7B" w14:textId="77777777" w:rsidR="00F20ABF" w:rsidRDefault="00F20ABF">
            <w:pPr>
              <w:rPr>
                <w:rFonts w:ascii="宋体"/>
              </w:rPr>
            </w:pPr>
          </w:p>
        </w:tc>
        <w:tc>
          <w:tcPr>
            <w:tcW w:w="5" w:type="pct"/>
            <w:shd w:val="clear" w:color="auto" w:fill="auto"/>
          </w:tcPr>
          <w:p w14:paraId="1E804E7C" w14:textId="77777777" w:rsidR="00F20ABF" w:rsidRDefault="00F20ABF">
            <w:pPr>
              <w:rPr>
                <w:rFonts w:ascii="宋体"/>
              </w:rPr>
            </w:pPr>
          </w:p>
        </w:tc>
        <w:tc>
          <w:tcPr>
            <w:tcW w:w="50" w:type="pct"/>
            <w:shd w:val="clear" w:color="auto" w:fill="auto"/>
          </w:tcPr>
          <w:p w14:paraId="1E804E7D" w14:textId="77777777" w:rsidR="00F20ABF" w:rsidRDefault="00F20ABF">
            <w:pPr>
              <w:rPr>
                <w:rFonts w:ascii="宋体"/>
              </w:rPr>
            </w:pPr>
          </w:p>
        </w:tc>
        <w:tc>
          <w:tcPr>
            <w:tcW w:w="610" w:type="pct"/>
            <w:shd w:val="clear" w:color="auto" w:fill="auto"/>
          </w:tcPr>
          <w:p w14:paraId="1E804E7E" w14:textId="77777777" w:rsidR="00F20ABF" w:rsidRDefault="00F20ABF">
            <w:pPr>
              <w:rPr>
                <w:rFonts w:ascii="宋体"/>
              </w:rPr>
            </w:pPr>
          </w:p>
        </w:tc>
        <w:tc>
          <w:tcPr>
            <w:tcW w:w="5" w:type="pct"/>
            <w:shd w:val="clear" w:color="auto" w:fill="auto"/>
          </w:tcPr>
          <w:p w14:paraId="1E804E7F" w14:textId="77777777" w:rsidR="00F20ABF" w:rsidRDefault="00F20ABF">
            <w:pPr>
              <w:rPr>
                <w:rFonts w:ascii="宋体"/>
              </w:rPr>
            </w:pPr>
          </w:p>
        </w:tc>
        <w:tc>
          <w:tcPr>
            <w:tcW w:w="5" w:type="pct"/>
            <w:shd w:val="clear" w:color="auto" w:fill="auto"/>
          </w:tcPr>
          <w:p w14:paraId="1E804E80" w14:textId="77777777" w:rsidR="00F20ABF" w:rsidRDefault="00F20ABF">
            <w:pPr>
              <w:rPr>
                <w:rFonts w:ascii="宋体"/>
              </w:rPr>
            </w:pPr>
          </w:p>
        </w:tc>
        <w:tc>
          <w:tcPr>
            <w:tcW w:w="26" w:type="pct"/>
            <w:shd w:val="clear" w:color="auto" w:fill="auto"/>
          </w:tcPr>
          <w:p w14:paraId="1E804E81" w14:textId="77777777" w:rsidR="00F20ABF" w:rsidRDefault="00F20ABF">
            <w:pPr>
              <w:rPr>
                <w:rFonts w:ascii="宋体"/>
              </w:rPr>
            </w:pPr>
          </w:p>
        </w:tc>
        <w:tc>
          <w:tcPr>
            <w:tcW w:w="5" w:type="pct"/>
            <w:shd w:val="clear" w:color="auto" w:fill="auto"/>
          </w:tcPr>
          <w:p w14:paraId="1E804E82" w14:textId="77777777" w:rsidR="00F20ABF" w:rsidRDefault="00F20ABF">
            <w:pPr>
              <w:rPr>
                <w:rFonts w:ascii="宋体"/>
              </w:rPr>
            </w:pPr>
          </w:p>
        </w:tc>
        <w:tc>
          <w:tcPr>
            <w:tcW w:w="50" w:type="pct"/>
            <w:shd w:val="clear" w:color="auto" w:fill="auto"/>
          </w:tcPr>
          <w:p w14:paraId="1E804E83" w14:textId="77777777" w:rsidR="00F20ABF" w:rsidRDefault="00F20ABF">
            <w:pPr>
              <w:rPr>
                <w:rFonts w:ascii="宋体"/>
              </w:rPr>
            </w:pPr>
          </w:p>
        </w:tc>
        <w:tc>
          <w:tcPr>
            <w:tcW w:w="610" w:type="pct"/>
            <w:shd w:val="clear" w:color="auto" w:fill="auto"/>
          </w:tcPr>
          <w:p w14:paraId="1E804E84" w14:textId="77777777" w:rsidR="00F20ABF" w:rsidRDefault="00F20ABF">
            <w:pPr>
              <w:rPr>
                <w:rFonts w:ascii="宋体"/>
              </w:rPr>
            </w:pPr>
          </w:p>
        </w:tc>
        <w:tc>
          <w:tcPr>
            <w:tcW w:w="5" w:type="pct"/>
            <w:shd w:val="clear" w:color="auto" w:fill="auto"/>
          </w:tcPr>
          <w:p w14:paraId="1E804E85" w14:textId="77777777" w:rsidR="00F20ABF" w:rsidRDefault="00F20ABF">
            <w:pPr>
              <w:rPr>
                <w:rFonts w:ascii="宋体"/>
              </w:rPr>
            </w:pPr>
          </w:p>
        </w:tc>
        <w:tc>
          <w:tcPr>
            <w:tcW w:w="5" w:type="pct"/>
            <w:shd w:val="clear" w:color="auto" w:fill="auto"/>
          </w:tcPr>
          <w:p w14:paraId="1E804E86" w14:textId="77777777" w:rsidR="00F20ABF" w:rsidRDefault="00F20ABF">
            <w:pPr>
              <w:rPr>
                <w:rFonts w:ascii="宋体"/>
              </w:rPr>
            </w:pPr>
          </w:p>
        </w:tc>
        <w:tc>
          <w:tcPr>
            <w:tcW w:w="26" w:type="pct"/>
            <w:shd w:val="clear" w:color="auto" w:fill="auto"/>
          </w:tcPr>
          <w:p w14:paraId="1E804E87" w14:textId="77777777" w:rsidR="00F20ABF" w:rsidRDefault="00F20ABF">
            <w:pPr>
              <w:rPr>
                <w:rFonts w:ascii="宋体"/>
              </w:rPr>
            </w:pPr>
          </w:p>
        </w:tc>
        <w:tc>
          <w:tcPr>
            <w:tcW w:w="5" w:type="pct"/>
            <w:shd w:val="clear" w:color="auto" w:fill="auto"/>
          </w:tcPr>
          <w:p w14:paraId="1E804E88" w14:textId="77777777" w:rsidR="00F20ABF" w:rsidRDefault="00F20ABF">
            <w:pPr>
              <w:rPr>
                <w:rFonts w:ascii="宋体"/>
              </w:rPr>
            </w:pPr>
          </w:p>
        </w:tc>
        <w:tc>
          <w:tcPr>
            <w:tcW w:w="50" w:type="pct"/>
            <w:shd w:val="clear" w:color="auto" w:fill="auto"/>
          </w:tcPr>
          <w:p w14:paraId="1E804E89" w14:textId="77777777" w:rsidR="00F20ABF" w:rsidRDefault="00F20ABF">
            <w:pPr>
              <w:rPr>
                <w:rFonts w:ascii="宋体"/>
              </w:rPr>
            </w:pPr>
          </w:p>
        </w:tc>
        <w:tc>
          <w:tcPr>
            <w:tcW w:w="610" w:type="pct"/>
            <w:shd w:val="clear" w:color="auto" w:fill="auto"/>
          </w:tcPr>
          <w:p w14:paraId="1E804E8A" w14:textId="77777777" w:rsidR="00F20ABF" w:rsidRDefault="00F20ABF">
            <w:pPr>
              <w:rPr>
                <w:rFonts w:ascii="宋体"/>
              </w:rPr>
            </w:pPr>
          </w:p>
        </w:tc>
        <w:tc>
          <w:tcPr>
            <w:tcW w:w="5" w:type="pct"/>
            <w:shd w:val="clear" w:color="auto" w:fill="auto"/>
          </w:tcPr>
          <w:p w14:paraId="1E804E8B" w14:textId="77777777" w:rsidR="00F20ABF" w:rsidRDefault="00F20ABF">
            <w:pPr>
              <w:rPr>
                <w:rFonts w:ascii="宋体"/>
              </w:rPr>
            </w:pPr>
          </w:p>
        </w:tc>
      </w:tr>
      <w:tr w:rsidR="00F20ABF" w14:paraId="1E804E91" w14:textId="77777777">
        <w:tc>
          <w:tcPr>
            <w:tcW w:w="0" w:type="auto"/>
            <w:gridSpan w:val="3"/>
            <w:shd w:val="clear" w:color="auto" w:fill="auto"/>
            <w:tcMar>
              <w:top w:w="40" w:type="dxa"/>
              <w:left w:w="20" w:type="dxa"/>
              <w:bottom w:w="40" w:type="dxa"/>
              <w:right w:w="20" w:type="dxa"/>
            </w:tcMar>
            <w:vAlign w:val="bottom"/>
          </w:tcPr>
          <w:p w14:paraId="1E804E8D" w14:textId="77777777" w:rsidR="00F20ABF" w:rsidRDefault="00CA4D2F">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E804E8E" w14:textId="77777777" w:rsidR="00F20ABF" w:rsidRDefault="00CA4D2F">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1E804E8F"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4E90" w14:textId="77777777" w:rsidR="00F20ABF" w:rsidRDefault="00CA4D2F">
            <w:pPr>
              <w:jc w:val="center"/>
              <w:textAlignment w:val="bottom"/>
            </w:pPr>
            <w:r>
              <w:rPr>
                <w:rFonts w:ascii="sans-serif" w:eastAsia="sans-serif" w:hAnsi="sans-serif" w:cs="sans-serif"/>
                <w:b/>
                <w:bCs/>
                <w:color w:val="000000"/>
                <w:sz w:val="20"/>
                <w:szCs w:val="20"/>
              </w:rPr>
              <w:t>Nine Months Ended</w:t>
            </w:r>
          </w:p>
        </w:tc>
      </w:tr>
      <w:tr w:rsidR="00F20ABF" w14:paraId="1E804E9A" w14:textId="77777777">
        <w:tc>
          <w:tcPr>
            <w:tcW w:w="0" w:type="auto"/>
            <w:gridSpan w:val="3"/>
            <w:shd w:val="clear" w:color="auto" w:fill="auto"/>
            <w:tcMar>
              <w:top w:w="0" w:type="dxa"/>
              <w:left w:w="20" w:type="dxa"/>
              <w:bottom w:w="0" w:type="dxa"/>
              <w:right w:w="20" w:type="dxa"/>
            </w:tcMar>
          </w:tcPr>
          <w:p w14:paraId="1E804E92"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E93" w14:textId="77777777" w:rsidR="00F20ABF" w:rsidRDefault="00CA4D2F">
            <w:pPr>
              <w:jc w:val="center"/>
              <w:textAlignment w:val="bottom"/>
            </w:pPr>
            <w:r>
              <w:rPr>
                <w:rFonts w:ascii="sans-serif" w:eastAsia="sans-serif" w:hAnsi="sans-serif" w:cs="sans-serif"/>
                <w:b/>
                <w:bCs/>
                <w:color w:val="000000"/>
                <w:sz w:val="20"/>
                <w:szCs w:val="20"/>
              </w:rPr>
              <w:t>October 25,</w:t>
            </w:r>
          </w:p>
        </w:tc>
        <w:tc>
          <w:tcPr>
            <w:tcW w:w="0" w:type="auto"/>
            <w:gridSpan w:val="3"/>
            <w:tcBorders>
              <w:top w:val="single" w:sz="8" w:space="0" w:color="000000"/>
            </w:tcBorders>
            <w:shd w:val="clear" w:color="auto" w:fill="auto"/>
            <w:tcMar>
              <w:top w:w="0" w:type="dxa"/>
              <w:left w:w="20" w:type="dxa"/>
              <w:bottom w:w="0" w:type="dxa"/>
              <w:right w:w="20" w:type="dxa"/>
            </w:tcMar>
          </w:tcPr>
          <w:p w14:paraId="1E804E94"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E95" w14:textId="77777777" w:rsidR="00F20ABF" w:rsidRDefault="00CA4D2F">
            <w:pPr>
              <w:jc w:val="center"/>
              <w:textAlignment w:val="bottom"/>
            </w:pPr>
            <w:r>
              <w:rPr>
                <w:rFonts w:ascii="sans-serif" w:eastAsia="sans-serif" w:hAnsi="sans-serif" w:cs="sans-serif"/>
                <w:b/>
                <w:bCs/>
                <w:color w:val="000000"/>
                <w:sz w:val="20"/>
                <w:szCs w:val="20"/>
              </w:rPr>
              <w:t>October 27,</w:t>
            </w:r>
          </w:p>
        </w:tc>
        <w:tc>
          <w:tcPr>
            <w:tcW w:w="0" w:type="auto"/>
            <w:gridSpan w:val="3"/>
            <w:shd w:val="clear" w:color="auto" w:fill="auto"/>
            <w:tcMar>
              <w:top w:w="0" w:type="dxa"/>
              <w:left w:w="20" w:type="dxa"/>
              <w:bottom w:w="0" w:type="dxa"/>
              <w:right w:w="20" w:type="dxa"/>
            </w:tcMar>
          </w:tcPr>
          <w:p w14:paraId="1E804E96"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E97" w14:textId="77777777" w:rsidR="00F20ABF" w:rsidRDefault="00CA4D2F">
            <w:pPr>
              <w:jc w:val="center"/>
              <w:textAlignment w:val="bottom"/>
            </w:pPr>
            <w:r>
              <w:rPr>
                <w:rFonts w:ascii="sans-serif" w:eastAsia="sans-serif" w:hAnsi="sans-serif" w:cs="sans-serif"/>
                <w:b/>
                <w:bCs/>
                <w:color w:val="000000"/>
                <w:sz w:val="20"/>
                <w:szCs w:val="20"/>
              </w:rPr>
              <w:t>October 25,</w:t>
            </w:r>
          </w:p>
        </w:tc>
        <w:tc>
          <w:tcPr>
            <w:tcW w:w="0" w:type="auto"/>
            <w:gridSpan w:val="3"/>
            <w:tcBorders>
              <w:top w:val="single" w:sz="8" w:space="0" w:color="000000"/>
            </w:tcBorders>
            <w:shd w:val="clear" w:color="auto" w:fill="auto"/>
            <w:tcMar>
              <w:top w:w="0" w:type="dxa"/>
              <w:left w:w="20" w:type="dxa"/>
              <w:bottom w:w="0" w:type="dxa"/>
              <w:right w:w="20" w:type="dxa"/>
            </w:tcMar>
          </w:tcPr>
          <w:p w14:paraId="1E804E98"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E99" w14:textId="77777777" w:rsidR="00F20ABF" w:rsidRDefault="00CA4D2F">
            <w:pPr>
              <w:jc w:val="center"/>
              <w:textAlignment w:val="bottom"/>
            </w:pPr>
            <w:r>
              <w:rPr>
                <w:rFonts w:ascii="sans-serif" w:eastAsia="sans-serif" w:hAnsi="sans-serif" w:cs="sans-serif"/>
                <w:b/>
                <w:bCs/>
                <w:color w:val="000000"/>
                <w:sz w:val="20"/>
                <w:szCs w:val="20"/>
              </w:rPr>
              <w:t>October 27,</w:t>
            </w:r>
          </w:p>
        </w:tc>
      </w:tr>
      <w:tr w:rsidR="00F20ABF" w14:paraId="1E804EA3" w14:textId="77777777">
        <w:tc>
          <w:tcPr>
            <w:tcW w:w="0" w:type="auto"/>
            <w:gridSpan w:val="3"/>
            <w:shd w:val="clear" w:color="auto" w:fill="auto"/>
            <w:tcMar>
              <w:top w:w="40" w:type="dxa"/>
              <w:left w:w="20" w:type="dxa"/>
              <w:bottom w:w="40" w:type="dxa"/>
              <w:right w:w="20" w:type="dxa"/>
            </w:tcMar>
            <w:vAlign w:val="bottom"/>
          </w:tcPr>
          <w:p w14:paraId="1E804E9B"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4E9C" w14:textId="77777777" w:rsidR="00F20ABF" w:rsidRDefault="00CA4D2F">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tcPr>
          <w:p w14:paraId="1E804E9D"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E9E" w14:textId="77777777" w:rsidR="00F20ABF" w:rsidRDefault="00CA4D2F">
            <w:pPr>
              <w:jc w:val="center"/>
              <w:textAlignment w:val="bottom"/>
            </w:pPr>
            <w:r>
              <w:rPr>
                <w:rFonts w:ascii="sans-serif" w:eastAsia="sans-serif" w:hAnsi="sans-serif" w:cs="sans-serif"/>
                <w:b/>
                <w:bCs/>
                <w:color w:val="000000"/>
                <w:sz w:val="20"/>
                <w:szCs w:val="20"/>
              </w:rPr>
              <w:t>2019</w:t>
            </w:r>
          </w:p>
        </w:tc>
        <w:tc>
          <w:tcPr>
            <w:tcW w:w="0" w:type="auto"/>
            <w:gridSpan w:val="3"/>
            <w:shd w:val="clear" w:color="auto" w:fill="auto"/>
            <w:tcMar>
              <w:top w:w="0" w:type="dxa"/>
              <w:left w:w="20" w:type="dxa"/>
              <w:bottom w:w="0" w:type="dxa"/>
              <w:right w:w="20" w:type="dxa"/>
            </w:tcMar>
          </w:tcPr>
          <w:p w14:paraId="1E804E9F"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EA0" w14:textId="77777777" w:rsidR="00F20ABF" w:rsidRDefault="00CA4D2F">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tcPr>
          <w:p w14:paraId="1E804EA1"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EA2" w14:textId="77777777" w:rsidR="00F20ABF" w:rsidRDefault="00CA4D2F">
            <w:pPr>
              <w:jc w:val="center"/>
              <w:textAlignment w:val="bottom"/>
            </w:pPr>
            <w:r>
              <w:rPr>
                <w:rFonts w:ascii="sans-serif" w:eastAsia="sans-serif" w:hAnsi="sans-serif" w:cs="sans-serif"/>
                <w:b/>
                <w:bCs/>
                <w:color w:val="000000"/>
                <w:sz w:val="20"/>
                <w:szCs w:val="20"/>
              </w:rPr>
              <w:t>2019</w:t>
            </w:r>
          </w:p>
        </w:tc>
      </w:tr>
      <w:tr w:rsidR="00F20ABF" w14:paraId="1E804EAC" w14:textId="77777777">
        <w:trPr>
          <w:trHeight w:val="60"/>
        </w:trPr>
        <w:tc>
          <w:tcPr>
            <w:tcW w:w="0" w:type="auto"/>
            <w:gridSpan w:val="3"/>
            <w:shd w:val="clear" w:color="auto" w:fill="auto"/>
            <w:tcMar>
              <w:top w:w="0" w:type="dxa"/>
              <w:left w:w="20" w:type="dxa"/>
              <w:bottom w:w="0" w:type="dxa"/>
              <w:right w:w="20" w:type="dxa"/>
            </w:tcMar>
          </w:tcPr>
          <w:p w14:paraId="1E804EA4"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EA5"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EA6"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EA7"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EA8"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EA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EAA"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EAB" w14:textId="77777777" w:rsidR="00F20ABF" w:rsidRDefault="00F20ABF">
            <w:pPr>
              <w:rPr>
                <w:rFonts w:ascii="宋体"/>
              </w:rPr>
            </w:pPr>
          </w:p>
        </w:tc>
      </w:tr>
      <w:tr w:rsidR="00F20ABF" w14:paraId="1E804EAF" w14:textId="77777777">
        <w:tc>
          <w:tcPr>
            <w:tcW w:w="0" w:type="auto"/>
            <w:gridSpan w:val="3"/>
            <w:shd w:val="clear" w:color="auto" w:fill="auto"/>
            <w:tcMar>
              <w:top w:w="40" w:type="dxa"/>
              <w:left w:w="20" w:type="dxa"/>
              <w:bottom w:w="40" w:type="dxa"/>
              <w:right w:w="20" w:type="dxa"/>
            </w:tcMar>
            <w:vAlign w:val="bottom"/>
          </w:tcPr>
          <w:p w14:paraId="1E804EAD" w14:textId="77777777" w:rsidR="00F20ABF" w:rsidRDefault="00CA4D2F">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1E804EAE"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EB8" w14:textId="77777777">
        <w:tc>
          <w:tcPr>
            <w:tcW w:w="0" w:type="auto"/>
            <w:gridSpan w:val="3"/>
            <w:shd w:val="clear" w:color="auto" w:fill="auto"/>
            <w:tcMar>
              <w:top w:w="40" w:type="dxa"/>
              <w:left w:w="20" w:type="dxa"/>
              <w:bottom w:w="40" w:type="dxa"/>
              <w:right w:w="20" w:type="dxa"/>
            </w:tcMar>
            <w:vAlign w:val="bottom"/>
          </w:tcPr>
          <w:p w14:paraId="1E804EB0" w14:textId="77777777" w:rsidR="00F20ABF" w:rsidRDefault="00CA4D2F">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1E804EB1"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1E804EB2"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EB3"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1E804EB4"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EB5"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EB6"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EB7" w14:textId="77777777" w:rsidR="00F20ABF" w:rsidRDefault="00F20ABF">
            <w:pPr>
              <w:rPr>
                <w:rFonts w:ascii="宋体"/>
              </w:rPr>
            </w:pPr>
          </w:p>
        </w:tc>
      </w:tr>
      <w:tr w:rsidR="00F20ABF" w14:paraId="1E804EC9" w14:textId="77777777">
        <w:tc>
          <w:tcPr>
            <w:tcW w:w="0" w:type="auto"/>
            <w:gridSpan w:val="3"/>
            <w:shd w:val="clear" w:color="auto" w:fill="E2EFD9"/>
            <w:tcMar>
              <w:top w:w="40" w:type="dxa"/>
              <w:left w:w="380" w:type="dxa"/>
              <w:bottom w:w="40" w:type="dxa"/>
              <w:right w:w="20" w:type="dxa"/>
            </w:tcMar>
            <w:vAlign w:val="bottom"/>
          </w:tcPr>
          <w:p w14:paraId="1E804EB9" w14:textId="77777777" w:rsidR="00F20ABF" w:rsidRDefault="00CA4D2F">
            <w:pPr>
              <w:textAlignment w:val="bottom"/>
            </w:pPr>
            <w:r>
              <w:rPr>
                <w:rFonts w:ascii="sans-serif" w:eastAsia="sans-serif" w:hAnsi="sans-serif" w:cs="sans-serif"/>
                <w:color w:val="000000"/>
                <w:sz w:val="20"/>
                <w:szCs w:val="20"/>
              </w:rPr>
              <w:t>Taiwan</w:t>
            </w:r>
          </w:p>
        </w:tc>
        <w:tc>
          <w:tcPr>
            <w:tcW w:w="0" w:type="auto"/>
            <w:shd w:val="clear" w:color="auto" w:fill="E2EFD9"/>
            <w:tcMar>
              <w:top w:w="40" w:type="dxa"/>
              <w:left w:w="20" w:type="dxa"/>
              <w:bottom w:w="40" w:type="dxa"/>
              <w:right w:w="0" w:type="dxa"/>
            </w:tcMar>
            <w:vAlign w:val="bottom"/>
          </w:tcPr>
          <w:p w14:paraId="1E804EBA"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EBB" w14:textId="77777777" w:rsidR="00F20ABF" w:rsidRDefault="00CA4D2F">
            <w:pPr>
              <w:jc w:val="right"/>
              <w:textAlignment w:val="bottom"/>
            </w:pPr>
            <w:r>
              <w:rPr>
                <w:rFonts w:ascii="sans-serif" w:eastAsia="sans-serif" w:hAnsi="sans-serif" w:cs="sans-serif"/>
                <w:color w:val="000000"/>
                <w:sz w:val="20"/>
                <w:szCs w:val="20"/>
              </w:rPr>
              <w:t>1,296 </w:t>
            </w:r>
          </w:p>
        </w:tc>
        <w:tc>
          <w:tcPr>
            <w:tcW w:w="0" w:type="auto"/>
            <w:shd w:val="clear" w:color="auto" w:fill="E2EFD9"/>
            <w:tcMar>
              <w:top w:w="40" w:type="dxa"/>
              <w:left w:w="0" w:type="dxa"/>
              <w:bottom w:w="40" w:type="dxa"/>
              <w:right w:w="20" w:type="dxa"/>
            </w:tcMar>
            <w:vAlign w:val="bottom"/>
          </w:tcPr>
          <w:p w14:paraId="1E804EB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BD"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EBE"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EBF" w14:textId="77777777" w:rsidR="00F20ABF" w:rsidRDefault="00CA4D2F">
            <w:pPr>
              <w:jc w:val="right"/>
              <w:textAlignment w:val="bottom"/>
            </w:pPr>
            <w:r>
              <w:rPr>
                <w:rFonts w:ascii="sans-serif" w:eastAsia="sans-serif" w:hAnsi="sans-serif" w:cs="sans-serif"/>
                <w:color w:val="000000"/>
                <w:sz w:val="20"/>
                <w:szCs w:val="20"/>
              </w:rPr>
              <w:t>838 </w:t>
            </w:r>
          </w:p>
        </w:tc>
        <w:tc>
          <w:tcPr>
            <w:tcW w:w="0" w:type="auto"/>
            <w:shd w:val="clear" w:color="auto" w:fill="E2EFD9"/>
            <w:tcMar>
              <w:top w:w="40" w:type="dxa"/>
              <w:left w:w="0" w:type="dxa"/>
              <w:bottom w:w="40" w:type="dxa"/>
              <w:right w:w="20" w:type="dxa"/>
            </w:tcMar>
            <w:vAlign w:val="bottom"/>
          </w:tcPr>
          <w:p w14:paraId="1E804EC0"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C1"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EC2"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EC3" w14:textId="77777777" w:rsidR="00F20ABF" w:rsidRDefault="00CA4D2F">
            <w:pPr>
              <w:jc w:val="right"/>
              <w:textAlignment w:val="bottom"/>
            </w:pPr>
            <w:r>
              <w:rPr>
                <w:rFonts w:ascii="sans-serif" w:eastAsia="sans-serif" w:hAnsi="sans-serif" w:cs="sans-serif"/>
                <w:color w:val="000000"/>
                <w:sz w:val="20"/>
                <w:szCs w:val="20"/>
              </w:rPr>
              <w:t>3,062 </w:t>
            </w:r>
          </w:p>
        </w:tc>
        <w:tc>
          <w:tcPr>
            <w:tcW w:w="0" w:type="auto"/>
            <w:shd w:val="clear" w:color="auto" w:fill="E2EFD9"/>
            <w:tcMar>
              <w:top w:w="40" w:type="dxa"/>
              <w:left w:w="0" w:type="dxa"/>
              <w:bottom w:w="40" w:type="dxa"/>
              <w:right w:w="20" w:type="dxa"/>
            </w:tcMar>
            <w:vAlign w:val="bottom"/>
          </w:tcPr>
          <w:p w14:paraId="1E804EC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C5"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EC6"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EC7" w14:textId="77777777" w:rsidR="00F20ABF" w:rsidRDefault="00CA4D2F">
            <w:pPr>
              <w:jc w:val="right"/>
              <w:textAlignment w:val="bottom"/>
            </w:pPr>
            <w:r>
              <w:rPr>
                <w:rFonts w:ascii="sans-serif" w:eastAsia="sans-serif" w:hAnsi="sans-serif" w:cs="sans-serif"/>
                <w:color w:val="000000"/>
                <w:sz w:val="20"/>
                <w:szCs w:val="20"/>
              </w:rPr>
              <w:t>2,171 </w:t>
            </w:r>
          </w:p>
        </w:tc>
        <w:tc>
          <w:tcPr>
            <w:tcW w:w="0" w:type="auto"/>
            <w:shd w:val="clear" w:color="auto" w:fill="E2EFD9"/>
            <w:tcMar>
              <w:top w:w="40" w:type="dxa"/>
              <w:left w:w="0" w:type="dxa"/>
              <w:bottom w:w="40" w:type="dxa"/>
              <w:right w:w="20" w:type="dxa"/>
            </w:tcMar>
            <w:vAlign w:val="bottom"/>
          </w:tcPr>
          <w:p w14:paraId="1E804EC8" w14:textId="77777777" w:rsidR="00F20ABF" w:rsidRDefault="00F20ABF">
            <w:pPr>
              <w:jc w:val="right"/>
              <w:rPr>
                <w:rFonts w:ascii="宋体"/>
              </w:rPr>
            </w:pPr>
          </w:p>
        </w:tc>
      </w:tr>
      <w:tr w:rsidR="00F20ABF" w14:paraId="1E804ED6" w14:textId="77777777">
        <w:tc>
          <w:tcPr>
            <w:tcW w:w="0" w:type="auto"/>
            <w:gridSpan w:val="3"/>
            <w:shd w:val="clear" w:color="auto" w:fill="FFFFFF"/>
            <w:tcMar>
              <w:top w:w="40" w:type="dxa"/>
              <w:left w:w="380" w:type="dxa"/>
              <w:bottom w:w="40" w:type="dxa"/>
              <w:right w:w="20" w:type="dxa"/>
            </w:tcMar>
            <w:vAlign w:val="bottom"/>
          </w:tcPr>
          <w:p w14:paraId="1E804ECA" w14:textId="77777777" w:rsidR="00F20ABF" w:rsidRDefault="00CA4D2F">
            <w:pPr>
              <w:textAlignment w:val="bottom"/>
            </w:pPr>
            <w:r>
              <w:rPr>
                <w:rFonts w:ascii="sans-serif" w:eastAsia="sans-serif" w:hAnsi="sans-serif" w:cs="sans-serif"/>
                <w:color w:val="000000"/>
                <w:sz w:val="20"/>
                <w:szCs w:val="20"/>
              </w:rPr>
              <w:t>China (including Hong Kong)</w:t>
            </w:r>
          </w:p>
        </w:tc>
        <w:tc>
          <w:tcPr>
            <w:tcW w:w="0" w:type="auto"/>
            <w:gridSpan w:val="2"/>
            <w:shd w:val="clear" w:color="auto" w:fill="FFFFFF"/>
            <w:tcMar>
              <w:top w:w="40" w:type="dxa"/>
              <w:left w:w="20" w:type="dxa"/>
              <w:bottom w:w="40" w:type="dxa"/>
              <w:right w:w="0" w:type="dxa"/>
            </w:tcMar>
            <w:vAlign w:val="bottom"/>
          </w:tcPr>
          <w:p w14:paraId="1E804ECB" w14:textId="77777777" w:rsidR="00F20ABF" w:rsidRDefault="00CA4D2F">
            <w:pPr>
              <w:jc w:val="right"/>
              <w:textAlignment w:val="bottom"/>
            </w:pPr>
            <w:r>
              <w:rPr>
                <w:rFonts w:ascii="sans-serif" w:eastAsia="sans-serif" w:hAnsi="sans-serif" w:cs="sans-serif"/>
                <w:color w:val="000000"/>
                <w:sz w:val="20"/>
                <w:szCs w:val="20"/>
              </w:rPr>
              <w:t>1,113 </w:t>
            </w:r>
          </w:p>
        </w:tc>
        <w:tc>
          <w:tcPr>
            <w:tcW w:w="0" w:type="auto"/>
            <w:shd w:val="clear" w:color="auto" w:fill="FFFFFF"/>
            <w:tcMar>
              <w:top w:w="40" w:type="dxa"/>
              <w:left w:w="0" w:type="dxa"/>
              <w:bottom w:w="40" w:type="dxa"/>
              <w:right w:w="20" w:type="dxa"/>
            </w:tcMar>
            <w:vAlign w:val="bottom"/>
          </w:tcPr>
          <w:p w14:paraId="1E804EC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ECD"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ECE" w14:textId="77777777" w:rsidR="00F20ABF" w:rsidRDefault="00CA4D2F">
            <w:pPr>
              <w:jc w:val="right"/>
              <w:textAlignment w:val="bottom"/>
            </w:pPr>
            <w:r>
              <w:rPr>
                <w:rFonts w:ascii="sans-serif" w:eastAsia="sans-serif" w:hAnsi="sans-serif" w:cs="sans-serif"/>
                <w:color w:val="000000"/>
                <w:sz w:val="20"/>
                <w:szCs w:val="20"/>
              </w:rPr>
              <w:t>758 </w:t>
            </w:r>
          </w:p>
        </w:tc>
        <w:tc>
          <w:tcPr>
            <w:tcW w:w="0" w:type="auto"/>
            <w:shd w:val="clear" w:color="auto" w:fill="FFFFFF"/>
            <w:tcMar>
              <w:top w:w="40" w:type="dxa"/>
              <w:left w:w="0" w:type="dxa"/>
              <w:bottom w:w="40" w:type="dxa"/>
              <w:right w:w="20" w:type="dxa"/>
            </w:tcMar>
            <w:vAlign w:val="bottom"/>
          </w:tcPr>
          <w:p w14:paraId="1E804EC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ED0"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ED1" w14:textId="77777777" w:rsidR="00F20ABF" w:rsidRDefault="00CA4D2F">
            <w:pPr>
              <w:jc w:val="right"/>
              <w:textAlignment w:val="bottom"/>
            </w:pPr>
            <w:r>
              <w:rPr>
                <w:rFonts w:ascii="sans-serif" w:eastAsia="sans-serif" w:hAnsi="sans-serif" w:cs="sans-serif"/>
                <w:color w:val="000000"/>
                <w:sz w:val="20"/>
                <w:szCs w:val="20"/>
              </w:rPr>
              <w:t>2,727 </w:t>
            </w:r>
          </w:p>
        </w:tc>
        <w:tc>
          <w:tcPr>
            <w:tcW w:w="0" w:type="auto"/>
            <w:shd w:val="clear" w:color="auto" w:fill="FFFFFF"/>
            <w:tcMar>
              <w:top w:w="40" w:type="dxa"/>
              <w:left w:w="0" w:type="dxa"/>
              <w:bottom w:w="40" w:type="dxa"/>
              <w:right w:w="20" w:type="dxa"/>
            </w:tcMar>
            <w:vAlign w:val="bottom"/>
          </w:tcPr>
          <w:p w14:paraId="1E804ED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ED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ED4" w14:textId="77777777" w:rsidR="00F20ABF" w:rsidRDefault="00CA4D2F">
            <w:pPr>
              <w:jc w:val="right"/>
              <w:textAlignment w:val="bottom"/>
            </w:pPr>
            <w:r>
              <w:rPr>
                <w:rFonts w:ascii="sans-serif" w:eastAsia="sans-serif" w:hAnsi="sans-serif" w:cs="sans-serif"/>
                <w:color w:val="000000"/>
                <w:sz w:val="20"/>
                <w:szCs w:val="20"/>
              </w:rPr>
              <w:t>1,894 </w:t>
            </w:r>
          </w:p>
        </w:tc>
        <w:tc>
          <w:tcPr>
            <w:tcW w:w="0" w:type="auto"/>
            <w:shd w:val="clear" w:color="auto" w:fill="FFFFFF"/>
            <w:tcMar>
              <w:top w:w="40" w:type="dxa"/>
              <w:left w:w="0" w:type="dxa"/>
              <w:bottom w:w="40" w:type="dxa"/>
              <w:right w:w="20" w:type="dxa"/>
            </w:tcMar>
            <w:vAlign w:val="bottom"/>
          </w:tcPr>
          <w:p w14:paraId="1E804ED5" w14:textId="77777777" w:rsidR="00F20ABF" w:rsidRDefault="00F20ABF">
            <w:pPr>
              <w:jc w:val="right"/>
              <w:rPr>
                <w:rFonts w:ascii="宋体"/>
              </w:rPr>
            </w:pPr>
          </w:p>
        </w:tc>
      </w:tr>
      <w:tr w:rsidR="00F20ABF" w14:paraId="1E804EE3" w14:textId="77777777">
        <w:tc>
          <w:tcPr>
            <w:tcW w:w="0" w:type="auto"/>
            <w:gridSpan w:val="3"/>
            <w:shd w:val="clear" w:color="auto" w:fill="E2EFD9"/>
            <w:tcMar>
              <w:top w:w="40" w:type="dxa"/>
              <w:left w:w="380" w:type="dxa"/>
              <w:bottom w:w="40" w:type="dxa"/>
              <w:right w:w="20" w:type="dxa"/>
            </w:tcMar>
            <w:vAlign w:val="bottom"/>
          </w:tcPr>
          <w:p w14:paraId="1E804ED7" w14:textId="77777777" w:rsidR="00F20ABF" w:rsidRDefault="00CA4D2F">
            <w:pPr>
              <w:textAlignment w:val="bottom"/>
            </w:pPr>
            <w:r>
              <w:rPr>
                <w:rFonts w:ascii="sans-serif" w:eastAsia="sans-serif" w:hAnsi="sans-serif" w:cs="sans-serif"/>
                <w:color w:val="000000"/>
                <w:sz w:val="20"/>
                <w:szCs w:val="20"/>
              </w:rPr>
              <w:t>Other Asia Pacific</w:t>
            </w:r>
          </w:p>
        </w:tc>
        <w:tc>
          <w:tcPr>
            <w:tcW w:w="0" w:type="auto"/>
            <w:gridSpan w:val="2"/>
            <w:shd w:val="clear" w:color="auto" w:fill="E2EFD9"/>
            <w:tcMar>
              <w:top w:w="40" w:type="dxa"/>
              <w:left w:w="20" w:type="dxa"/>
              <w:bottom w:w="40" w:type="dxa"/>
              <w:right w:w="0" w:type="dxa"/>
            </w:tcMar>
            <w:vAlign w:val="bottom"/>
          </w:tcPr>
          <w:p w14:paraId="1E804ED8" w14:textId="77777777" w:rsidR="00F20ABF" w:rsidRDefault="00CA4D2F">
            <w:pPr>
              <w:jc w:val="right"/>
              <w:textAlignment w:val="bottom"/>
            </w:pPr>
            <w:r>
              <w:rPr>
                <w:rFonts w:ascii="sans-serif" w:eastAsia="sans-serif" w:hAnsi="sans-serif" w:cs="sans-serif"/>
                <w:color w:val="000000"/>
                <w:sz w:val="20"/>
                <w:szCs w:val="20"/>
              </w:rPr>
              <w:t>955 </w:t>
            </w:r>
          </w:p>
        </w:tc>
        <w:tc>
          <w:tcPr>
            <w:tcW w:w="0" w:type="auto"/>
            <w:shd w:val="clear" w:color="auto" w:fill="E2EFD9"/>
            <w:tcMar>
              <w:top w:w="40" w:type="dxa"/>
              <w:left w:w="0" w:type="dxa"/>
              <w:bottom w:w="40" w:type="dxa"/>
              <w:right w:w="20" w:type="dxa"/>
            </w:tcMar>
            <w:vAlign w:val="bottom"/>
          </w:tcPr>
          <w:p w14:paraId="1E804ED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DA"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EDB" w14:textId="77777777" w:rsidR="00F20ABF" w:rsidRDefault="00CA4D2F">
            <w:pPr>
              <w:jc w:val="right"/>
              <w:textAlignment w:val="bottom"/>
            </w:pPr>
            <w:r>
              <w:rPr>
                <w:rFonts w:ascii="sans-serif" w:eastAsia="sans-serif" w:hAnsi="sans-serif" w:cs="sans-serif"/>
                <w:color w:val="000000"/>
                <w:sz w:val="20"/>
                <w:szCs w:val="20"/>
              </w:rPr>
              <w:t>805 </w:t>
            </w:r>
          </w:p>
        </w:tc>
        <w:tc>
          <w:tcPr>
            <w:tcW w:w="0" w:type="auto"/>
            <w:shd w:val="clear" w:color="auto" w:fill="E2EFD9"/>
            <w:tcMar>
              <w:top w:w="40" w:type="dxa"/>
              <w:left w:w="0" w:type="dxa"/>
              <w:bottom w:w="40" w:type="dxa"/>
              <w:right w:w="20" w:type="dxa"/>
            </w:tcMar>
            <w:vAlign w:val="bottom"/>
          </w:tcPr>
          <w:p w14:paraId="1E804ED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DD"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EDE" w14:textId="77777777" w:rsidR="00F20ABF" w:rsidRDefault="00CA4D2F">
            <w:pPr>
              <w:jc w:val="right"/>
              <w:textAlignment w:val="bottom"/>
            </w:pPr>
            <w:r>
              <w:rPr>
                <w:rFonts w:ascii="sans-serif" w:eastAsia="sans-serif" w:hAnsi="sans-serif" w:cs="sans-serif"/>
                <w:color w:val="000000"/>
                <w:sz w:val="20"/>
                <w:szCs w:val="20"/>
              </w:rPr>
              <w:t>2,260 </w:t>
            </w:r>
          </w:p>
        </w:tc>
        <w:tc>
          <w:tcPr>
            <w:tcW w:w="0" w:type="auto"/>
            <w:shd w:val="clear" w:color="auto" w:fill="E2EFD9"/>
            <w:tcMar>
              <w:top w:w="40" w:type="dxa"/>
              <w:left w:w="0" w:type="dxa"/>
              <w:bottom w:w="40" w:type="dxa"/>
              <w:right w:w="20" w:type="dxa"/>
            </w:tcMar>
            <w:vAlign w:val="bottom"/>
          </w:tcPr>
          <w:p w14:paraId="1E804ED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E0"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EE1" w14:textId="77777777" w:rsidR="00F20ABF" w:rsidRDefault="00CA4D2F">
            <w:pPr>
              <w:jc w:val="right"/>
              <w:textAlignment w:val="bottom"/>
            </w:pPr>
            <w:r>
              <w:rPr>
                <w:rFonts w:ascii="sans-serif" w:eastAsia="sans-serif" w:hAnsi="sans-serif" w:cs="sans-serif"/>
                <w:color w:val="000000"/>
                <w:sz w:val="20"/>
                <w:szCs w:val="20"/>
              </w:rPr>
              <w:t>1,983 </w:t>
            </w:r>
          </w:p>
        </w:tc>
        <w:tc>
          <w:tcPr>
            <w:tcW w:w="0" w:type="auto"/>
            <w:shd w:val="clear" w:color="auto" w:fill="E2EFD9"/>
            <w:tcMar>
              <w:top w:w="40" w:type="dxa"/>
              <w:left w:w="0" w:type="dxa"/>
              <w:bottom w:w="40" w:type="dxa"/>
              <w:right w:w="20" w:type="dxa"/>
            </w:tcMar>
            <w:vAlign w:val="bottom"/>
          </w:tcPr>
          <w:p w14:paraId="1E804EE2" w14:textId="77777777" w:rsidR="00F20ABF" w:rsidRDefault="00F20ABF">
            <w:pPr>
              <w:jc w:val="right"/>
              <w:rPr>
                <w:rFonts w:ascii="宋体"/>
              </w:rPr>
            </w:pPr>
          </w:p>
        </w:tc>
      </w:tr>
      <w:tr w:rsidR="00F20ABF" w14:paraId="1E804EF0" w14:textId="77777777">
        <w:tc>
          <w:tcPr>
            <w:tcW w:w="0" w:type="auto"/>
            <w:gridSpan w:val="3"/>
            <w:shd w:val="clear" w:color="auto" w:fill="FFFFFF"/>
            <w:tcMar>
              <w:top w:w="40" w:type="dxa"/>
              <w:left w:w="380" w:type="dxa"/>
              <w:bottom w:w="40" w:type="dxa"/>
              <w:right w:w="20" w:type="dxa"/>
            </w:tcMar>
            <w:vAlign w:val="bottom"/>
          </w:tcPr>
          <w:p w14:paraId="1E804EE4" w14:textId="77777777" w:rsidR="00F20ABF" w:rsidRDefault="00CA4D2F">
            <w:pPr>
              <w:textAlignment w:val="bottom"/>
            </w:pPr>
            <w:r>
              <w:rPr>
                <w:rFonts w:ascii="sans-serif" w:eastAsia="sans-serif" w:hAnsi="sans-serif" w:cs="sans-serif"/>
                <w:color w:val="000000"/>
                <w:sz w:val="20"/>
                <w:szCs w:val="20"/>
              </w:rPr>
              <w:t>United States</w:t>
            </w:r>
          </w:p>
        </w:tc>
        <w:tc>
          <w:tcPr>
            <w:tcW w:w="0" w:type="auto"/>
            <w:gridSpan w:val="2"/>
            <w:shd w:val="clear" w:color="auto" w:fill="FFFFFF"/>
            <w:tcMar>
              <w:top w:w="40" w:type="dxa"/>
              <w:left w:w="20" w:type="dxa"/>
              <w:bottom w:w="40" w:type="dxa"/>
              <w:right w:w="0" w:type="dxa"/>
            </w:tcMar>
            <w:vAlign w:val="bottom"/>
          </w:tcPr>
          <w:p w14:paraId="1E804EE5" w14:textId="77777777" w:rsidR="00F20ABF" w:rsidRDefault="00CA4D2F">
            <w:pPr>
              <w:jc w:val="right"/>
              <w:textAlignment w:val="bottom"/>
            </w:pPr>
            <w:r>
              <w:rPr>
                <w:rFonts w:ascii="sans-serif" w:eastAsia="sans-serif" w:hAnsi="sans-serif" w:cs="sans-serif"/>
                <w:color w:val="000000"/>
                <w:sz w:val="20"/>
                <w:szCs w:val="20"/>
              </w:rPr>
              <w:t>890 </w:t>
            </w:r>
          </w:p>
        </w:tc>
        <w:tc>
          <w:tcPr>
            <w:tcW w:w="0" w:type="auto"/>
            <w:shd w:val="clear" w:color="auto" w:fill="FFFFFF"/>
            <w:tcMar>
              <w:top w:w="40" w:type="dxa"/>
              <w:left w:w="0" w:type="dxa"/>
              <w:bottom w:w="40" w:type="dxa"/>
              <w:right w:w="20" w:type="dxa"/>
            </w:tcMar>
            <w:vAlign w:val="bottom"/>
          </w:tcPr>
          <w:p w14:paraId="1E804EE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EE7"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EE8" w14:textId="77777777" w:rsidR="00F20ABF" w:rsidRDefault="00CA4D2F">
            <w:pPr>
              <w:jc w:val="right"/>
              <w:textAlignment w:val="bottom"/>
            </w:pPr>
            <w:r>
              <w:rPr>
                <w:rFonts w:ascii="sans-serif" w:eastAsia="sans-serif" w:hAnsi="sans-serif" w:cs="sans-serif"/>
                <w:color w:val="000000"/>
                <w:sz w:val="20"/>
                <w:szCs w:val="20"/>
              </w:rPr>
              <w:t>236 </w:t>
            </w:r>
          </w:p>
        </w:tc>
        <w:tc>
          <w:tcPr>
            <w:tcW w:w="0" w:type="auto"/>
            <w:shd w:val="clear" w:color="auto" w:fill="FFFFFF"/>
            <w:tcMar>
              <w:top w:w="40" w:type="dxa"/>
              <w:left w:w="0" w:type="dxa"/>
              <w:bottom w:w="40" w:type="dxa"/>
              <w:right w:w="20" w:type="dxa"/>
            </w:tcMar>
            <w:vAlign w:val="bottom"/>
          </w:tcPr>
          <w:p w14:paraId="1E804EE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EEA"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EEB" w14:textId="77777777" w:rsidR="00F20ABF" w:rsidRDefault="00CA4D2F">
            <w:pPr>
              <w:jc w:val="right"/>
              <w:textAlignment w:val="bottom"/>
            </w:pPr>
            <w:r>
              <w:rPr>
                <w:rFonts w:ascii="sans-serif" w:eastAsia="sans-serif" w:hAnsi="sans-serif" w:cs="sans-serif"/>
                <w:color w:val="000000"/>
                <w:sz w:val="20"/>
                <w:szCs w:val="20"/>
              </w:rPr>
              <w:t>2,331 </w:t>
            </w:r>
          </w:p>
        </w:tc>
        <w:tc>
          <w:tcPr>
            <w:tcW w:w="0" w:type="auto"/>
            <w:shd w:val="clear" w:color="auto" w:fill="FFFFFF"/>
            <w:tcMar>
              <w:top w:w="40" w:type="dxa"/>
              <w:left w:w="0" w:type="dxa"/>
              <w:bottom w:w="40" w:type="dxa"/>
              <w:right w:w="20" w:type="dxa"/>
            </w:tcMar>
            <w:vAlign w:val="bottom"/>
          </w:tcPr>
          <w:p w14:paraId="1E804EEC"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EED"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EEE" w14:textId="77777777" w:rsidR="00F20ABF" w:rsidRDefault="00CA4D2F">
            <w:pPr>
              <w:jc w:val="right"/>
              <w:textAlignment w:val="bottom"/>
            </w:pPr>
            <w:r>
              <w:rPr>
                <w:rFonts w:ascii="sans-serif" w:eastAsia="sans-serif" w:hAnsi="sans-serif" w:cs="sans-serif"/>
                <w:color w:val="000000"/>
                <w:sz w:val="20"/>
                <w:szCs w:val="20"/>
              </w:rPr>
              <w:t>589 </w:t>
            </w:r>
          </w:p>
        </w:tc>
        <w:tc>
          <w:tcPr>
            <w:tcW w:w="0" w:type="auto"/>
            <w:shd w:val="clear" w:color="auto" w:fill="FFFFFF"/>
            <w:tcMar>
              <w:top w:w="40" w:type="dxa"/>
              <w:left w:w="0" w:type="dxa"/>
              <w:bottom w:w="40" w:type="dxa"/>
              <w:right w:w="20" w:type="dxa"/>
            </w:tcMar>
            <w:vAlign w:val="bottom"/>
          </w:tcPr>
          <w:p w14:paraId="1E804EEF" w14:textId="77777777" w:rsidR="00F20ABF" w:rsidRDefault="00F20ABF">
            <w:pPr>
              <w:jc w:val="right"/>
              <w:rPr>
                <w:rFonts w:ascii="宋体"/>
              </w:rPr>
            </w:pPr>
          </w:p>
        </w:tc>
      </w:tr>
      <w:tr w:rsidR="00F20ABF" w14:paraId="1E804EFD" w14:textId="77777777">
        <w:tc>
          <w:tcPr>
            <w:tcW w:w="0" w:type="auto"/>
            <w:gridSpan w:val="3"/>
            <w:shd w:val="clear" w:color="auto" w:fill="E2EFD9"/>
            <w:tcMar>
              <w:top w:w="40" w:type="dxa"/>
              <w:left w:w="380" w:type="dxa"/>
              <w:bottom w:w="40" w:type="dxa"/>
              <w:right w:w="20" w:type="dxa"/>
            </w:tcMar>
            <w:vAlign w:val="bottom"/>
          </w:tcPr>
          <w:p w14:paraId="1E804EF1" w14:textId="77777777" w:rsidR="00F20ABF" w:rsidRDefault="00CA4D2F">
            <w:pPr>
              <w:textAlignment w:val="bottom"/>
            </w:pPr>
            <w:r>
              <w:rPr>
                <w:rFonts w:ascii="sans-serif" w:eastAsia="sans-serif" w:hAnsi="sans-serif" w:cs="sans-serif"/>
                <w:color w:val="000000"/>
                <w:sz w:val="20"/>
                <w:szCs w:val="20"/>
              </w:rPr>
              <w:t>Europe</w:t>
            </w:r>
          </w:p>
        </w:tc>
        <w:tc>
          <w:tcPr>
            <w:tcW w:w="0" w:type="auto"/>
            <w:gridSpan w:val="2"/>
            <w:shd w:val="clear" w:color="auto" w:fill="E2EFD9"/>
            <w:tcMar>
              <w:top w:w="40" w:type="dxa"/>
              <w:left w:w="20" w:type="dxa"/>
              <w:bottom w:w="40" w:type="dxa"/>
              <w:right w:w="0" w:type="dxa"/>
            </w:tcMar>
            <w:vAlign w:val="bottom"/>
          </w:tcPr>
          <w:p w14:paraId="1E804EF2" w14:textId="77777777" w:rsidR="00F20ABF" w:rsidRDefault="00CA4D2F">
            <w:pPr>
              <w:jc w:val="right"/>
              <w:textAlignment w:val="bottom"/>
            </w:pPr>
            <w:r>
              <w:rPr>
                <w:rFonts w:ascii="sans-serif" w:eastAsia="sans-serif" w:hAnsi="sans-serif" w:cs="sans-serif"/>
                <w:color w:val="000000"/>
                <w:sz w:val="20"/>
                <w:szCs w:val="20"/>
              </w:rPr>
              <w:t>247 </w:t>
            </w:r>
          </w:p>
        </w:tc>
        <w:tc>
          <w:tcPr>
            <w:tcW w:w="0" w:type="auto"/>
            <w:shd w:val="clear" w:color="auto" w:fill="E2EFD9"/>
            <w:tcMar>
              <w:top w:w="40" w:type="dxa"/>
              <w:left w:w="0" w:type="dxa"/>
              <w:bottom w:w="40" w:type="dxa"/>
              <w:right w:w="20" w:type="dxa"/>
            </w:tcMar>
            <w:vAlign w:val="bottom"/>
          </w:tcPr>
          <w:p w14:paraId="1E804EF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F4"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EF5" w14:textId="77777777" w:rsidR="00F20ABF" w:rsidRDefault="00CA4D2F">
            <w:pPr>
              <w:jc w:val="right"/>
              <w:textAlignment w:val="bottom"/>
            </w:pPr>
            <w:r>
              <w:rPr>
                <w:rFonts w:ascii="sans-serif" w:eastAsia="sans-serif" w:hAnsi="sans-serif" w:cs="sans-serif"/>
                <w:color w:val="000000"/>
                <w:sz w:val="20"/>
                <w:szCs w:val="20"/>
              </w:rPr>
              <w:t>216 </w:t>
            </w:r>
          </w:p>
        </w:tc>
        <w:tc>
          <w:tcPr>
            <w:tcW w:w="0" w:type="auto"/>
            <w:shd w:val="clear" w:color="auto" w:fill="E2EFD9"/>
            <w:tcMar>
              <w:top w:w="40" w:type="dxa"/>
              <w:left w:w="0" w:type="dxa"/>
              <w:bottom w:w="40" w:type="dxa"/>
              <w:right w:w="20" w:type="dxa"/>
            </w:tcMar>
            <w:vAlign w:val="bottom"/>
          </w:tcPr>
          <w:p w14:paraId="1E804EF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F7"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EF8" w14:textId="77777777" w:rsidR="00F20ABF" w:rsidRDefault="00CA4D2F">
            <w:pPr>
              <w:jc w:val="right"/>
              <w:textAlignment w:val="bottom"/>
            </w:pPr>
            <w:r>
              <w:rPr>
                <w:rFonts w:ascii="sans-serif" w:eastAsia="sans-serif" w:hAnsi="sans-serif" w:cs="sans-serif"/>
                <w:color w:val="000000"/>
                <w:sz w:val="20"/>
                <w:szCs w:val="20"/>
              </w:rPr>
              <w:t>741 </w:t>
            </w:r>
          </w:p>
        </w:tc>
        <w:tc>
          <w:tcPr>
            <w:tcW w:w="0" w:type="auto"/>
            <w:shd w:val="clear" w:color="auto" w:fill="E2EFD9"/>
            <w:tcMar>
              <w:top w:w="40" w:type="dxa"/>
              <w:left w:w="0" w:type="dxa"/>
              <w:bottom w:w="40" w:type="dxa"/>
              <w:right w:w="20" w:type="dxa"/>
            </w:tcMar>
            <w:vAlign w:val="bottom"/>
          </w:tcPr>
          <w:p w14:paraId="1E804EF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EFA"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EFB" w14:textId="77777777" w:rsidR="00F20ABF" w:rsidRDefault="00CA4D2F">
            <w:pPr>
              <w:jc w:val="right"/>
              <w:textAlignment w:val="bottom"/>
            </w:pPr>
            <w:r>
              <w:rPr>
                <w:rFonts w:ascii="sans-serif" w:eastAsia="sans-serif" w:hAnsi="sans-serif" w:cs="sans-serif"/>
                <w:color w:val="000000"/>
                <w:sz w:val="20"/>
                <w:szCs w:val="20"/>
              </w:rPr>
              <w:t>753 </w:t>
            </w:r>
          </w:p>
        </w:tc>
        <w:tc>
          <w:tcPr>
            <w:tcW w:w="0" w:type="auto"/>
            <w:shd w:val="clear" w:color="auto" w:fill="E2EFD9"/>
            <w:tcMar>
              <w:top w:w="40" w:type="dxa"/>
              <w:left w:w="0" w:type="dxa"/>
              <w:bottom w:w="40" w:type="dxa"/>
              <w:right w:w="20" w:type="dxa"/>
            </w:tcMar>
            <w:vAlign w:val="bottom"/>
          </w:tcPr>
          <w:p w14:paraId="1E804EFC" w14:textId="77777777" w:rsidR="00F20ABF" w:rsidRDefault="00F20ABF">
            <w:pPr>
              <w:jc w:val="right"/>
              <w:rPr>
                <w:rFonts w:ascii="宋体"/>
              </w:rPr>
            </w:pPr>
          </w:p>
        </w:tc>
      </w:tr>
      <w:tr w:rsidR="00F20ABF" w14:paraId="1E804F0A" w14:textId="77777777">
        <w:tc>
          <w:tcPr>
            <w:tcW w:w="0" w:type="auto"/>
            <w:gridSpan w:val="3"/>
            <w:shd w:val="clear" w:color="auto" w:fill="FFFFFF"/>
            <w:tcMar>
              <w:top w:w="40" w:type="dxa"/>
              <w:left w:w="380" w:type="dxa"/>
              <w:bottom w:w="40" w:type="dxa"/>
              <w:right w:w="20" w:type="dxa"/>
            </w:tcMar>
            <w:vAlign w:val="bottom"/>
          </w:tcPr>
          <w:p w14:paraId="1E804EFE" w14:textId="77777777" w:rsidR="00F20ABF" w:rsidRDefault="00CA4D2F">
            <w:pPr>
              <w:textAlignment w:val="bottom"/>
            </w:pPr>
            <w:r>
              <w:rPr>
                <w:rFonts w:ascii="sans-serif" w:eastAsia="sans-serif" w:hAnsi="sans-serif" w:cs="sans-serif"/>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1E804EFF" w14:textId="77777777" w:rsidR="00F20ABF" w:rsidRDefault="00CA4D2F">
            <w:pPr>
              <w:jc w:val="right"/>
              <w:textAlignment w:val="bottom"/>
            </w:pPr>
            <w:r>
              <w:rPr>
                <w:rFonts w:ascii="sans-serif" w:eastAsia="sans-serif" w:hAnsi="sans-serif" w:cs="sans-serif"/>
                <w:color w:val="000000"/>
                <w:sz w:val="20"/>
                <w:szCs w:val="20"/>
              </w:rPr>
              <w:t>225 </w:t>
            </w:r>
          </w:p>
        </w:tc>
        <w:tc>
          <w:tcPr>
            <w:tcW w:w="0" w:type="auto"/>
            <w:shd w:val="clear" w:color="auto" w:fill="FFFFFF"/>
            <w:tcMar>
              <w:top w:w="40" w:type="dxa"/>
              <w:left w:w="0" w:type="dxa"/>
              <w:bottom w:w="40" w:type="dxa"/>
              <w:right w:w="20" w:type="dxa"/>
            </w:tcMar>
            <w:vAlign w:val="bottom"/>
          </w:tcPr>
          <w:p w14:paraId="1E804F00"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F01"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F02" w14:textId="77777777" w:rsidR="00F20ABF" w:rsidRDefault="00CA4D2F">
            <w:pPr>
              <w:jc w:val="right"/>
              <w:textAlignment w:val="bottom"/>
            </w:pPr>
            <w:r>
              <w:rPr>
                <w:rFonts w:ascii="sans-serif" w:eastAsia="sans-serif" w:hAnsi="sans-serif" w:cs="sans-serif"/>
                <w:color w:val="000000"/>
                <w:sz w:val="20"/>
                <w:szCs w:val="20"/>
              </w:rPr>
              <w:t>161 </w:t>
            </w:r>
          </w:p>
        </w:tc>
        <w:tc>
          <w:tcPr>
            <w:tcW w:w="0" w:type="auto"/>
            <w:shd w:val="clear" w:color="auto" w:fill="FFFFFF"/>
            <w:tcMar>
              <w:top w:w="40" w:type="dxa"/>
              <w:left w:w="0" w:type="dxa"/>
              <w:bottom w:w="40" w:type="dxa"/>
              <w:right w:w="20" w:type="dxa"/>
            </w:tcMar>
            <w:vAlign w:val="bottom"/>
          </w:tcPr>
          <w:p w14:paraId="1E804F03"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F04"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F05" w14:textId="77777777" w:rsidR="00F20ABF" w:rsidRDefault="00CA4D2F">
            <w:pPr>
              <w:jc w:val="right"/>
              <w:textAlignment w:val="bottom"/>
            </w:pPr>
            <w:r>
              <w:rPr>
                <w:rFonts w:ascii="sans-serif" w:eastAsia="sans-serif" w:hAnsi="sans-serif" w:cs="sans-serif"/>
                <w:color w:val="000000"/>
                <w:sz w:val="20"/>
                <w:szCs w:val="20"/>
              </w:rPr>
              <w:t>551 </w:t>
            </w:r>
          </w:p>
        </w:tc>
        <w:tc>
          <w:tcPr>
            <w:tcW w:w="0" w:type="auto"/>
            <w:shd w:val="clear" w:color="auto" w:fill="FFFFFF"/>
            <w:tcMar>
              <w:top w:w="40" w:type="dxa"/>
              <w:left w:w="0" w:type="dxa"/>
              <w:bottom w:w="40" w:type="dxa"/>
              <w:right w:w="20" w:type="dxa"/>
            </w:tcMar>
            <w:vAlign w:val="bottom"/>
          </w:tcPr>
          <w:p w14:paraId="1E804F0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F07"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F08" w14:textId="77777777" w:rsidR="00F20ABF" w:rsidRDefault="00CA4D2F">
            <w:pPr>
              <w:jc w:val="right"/>
              <w:textAlignment w:val="bottom"/>
            </w:pPr>
            <w:r>
              <w:rPr>
                <w:rFonts w:ascii="sans-serif" w:eastAsia="sans-serif" w:hAnsi="sans-serif" w:cs="sans-serif"/>
                <w:color w:val="000000"/>
                <w:sz w:val="20"/>
                <w:szCs w:val="20"/>
              </w:rPr>
              <w:t>423 </w:t>
            </w:r>
          </w:p>
        </w:tc>
        <w:tc>
          <w:tcPr>
            <w:tcW w:w="0" w:type="auto"/>
            <w:shd w:val="clear" w:color="auto" w:fill="FFFFFF"/>
            <w:tcMar>
              <w:top w:w="40" w:type="dxa"/>
              <w:left w:w="0" w:type="dxa"/>
              <w:bottom w:w="40" w:type="dxa"/>
              <w:right w:w="20" w:type="dxa"/>
            </w:tcMar>
            <w:vAlign w:val="bottom"/>
          </w:tcPr>
          <w:p w14:paraId="1E804F09" w14:textId="77777777" w:rsidR="00F20ABF" w:rsidRDefault="00F20ABF">
            <w:pPr>
              <w:jc w:val="right"/>
              <w:rPr>
                <w:rFonts w:ascii="宋体"/>
              </w:rPr>
            </w:pPr>
          </w:p>
        </w:tc>
      </w:tr>
      <w:tr w:rsidR="00F20ABF" w14:paraId="1E804F1B" w14:textId="77777777">
        <w:tc>
          <w:tcPr>
            <w:tcW w:w="0" w:type="auto"/>
            <w:gridSpan w:val="3"/>
            <w:shd w:val="clear" w:color="auto" w:fill="E2EFD9"/>
            <w:tcMar>
              <w:top w:w="40" w:type="dxa"/>
              <w:left w:w="20" w:type="dxa"/>
              <w:bottom w:w="40" w:type="dxa"/>
              <w:right w:w="20" w:type="dxa"/>
            </w:tcMar>
            <w:vAlign w:val="bottom"/>
          </w:tcPr>
          <w:p w14:paraId="1E804F0B" w14:textId="77777777" w:rsidR="00F20ABF" w:rsidRDefault="00CA4D2F">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F0C"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F0D" w14:textId="77777777" w:rsidR="00F20ABF" w:rsidRDefault="00CA4D2F">
            <w:pPr>
              <w:jc w:val="right"/>
              <w:textAlignment w:val="bottom"/>
            </w:pPr>
            <w:r>
              <w:rPr>
                <w:rFonts w:ascii="sans-serif" w:eastAsia="sans-serif" w:hAnsi="sans-serif" w:cs="sans-serif"/>
                <w:color w:val="000000"/>
                <w:sz w:val="20"/>
                <w:szCs w:val="20"/>
              </w:rPr>
              <w:t>4,726 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F0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F0F"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F10"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F11" w14:textId="77777777" w:rsidR="00F20ABF" w:rsidRDefault="00CA4D2F">
            <w:pPr>
              <w:jc w:val="right"/>
              <w:textAlignment w:val="bottom"/>
            </w:pPr>
            <w:r>
              <w:rPr>
                <w:rFonts w:ascii="sans-serif" w:eastAsia="sans-serif" w:hAnsi="sans-serif" w:cs="sans-serif"/>
                <w:color w:val="000000"/>
                <w:sz w:val="20"/>
                <w:szCs w:val="20"/>
              </w:rPr>
              <w:t>3,014 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F1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F13"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F14"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F15" w14:textId="77777777" w:rsidR="00F20ABF" w:rsidRDefault="00CA4D2F">
            <w:pPr>
              <w:jc w:val="right"/>
              <w:textAlignment w:val="bottom"/>
            </w:pPr>
            <w:r>
              <w:rPr>
                <w:rFonts w:ascii="sans-serif" w:eastAsia="sans-serif" w:hAnsi="sans-serif" w:cs="sans-serif"/>
                <w:color w:val="000000"/>
                <w:sz w:val="20"/>
                <w:szCs w:val="20"/>
              </w:rPr>
              <w:t>11,672 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F1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F17"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4F18"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4F19" w14:textId="77777777" w:rsidR="00F20ABF" w:rsidRDefault="00CA4D2F">
            <w:pPr>
              <w:jc w:val="right"/>
              <w:textAlignment w:val="bottom"/>
            </w:pPr>
            <w:r>
              <w:rPr>
                <w:rFonts w:ascii="sans-serif" w:eastAsia="sans-serif" w:hAnsi="sans-serif" w:cs="sans-serif"/>
                <w:color w:val="000000"/>
                <w:sz w:val="20"/>
                <w:szCs w:val="20"/>
              </w:rPr>
              <w:t>7,813 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4F1A" w14:textId="77777777" w:rsidR="00F20ABF" w:rsidRDefault="00F20ABF">
            <w:pPr>
              <w:jc w:val="right"/>
              <w:rPr>
                <w:rFonts w:ascii="宋体"/>
              </w:rPr>
            </w:pPr>
          </w:p>
        </w:tc>
      </w:tr>
    </w:tbl>
    <w:p w14:paraId="1E804F1C" w14:textId="77777777" w:rsidR="00F20ABF" w:rsidRDefault="00CA4D2F">
      <w:pPr>
        <w:spacing w:before="360" w:after="360"/>
        <w:jc w:val="both"/>
      </w:pPr>
      <w:r>
        <w:rPr>
          <w:rFonts w:ascii="sans-serif" w:eastAsia="sans-serif" w:hAnsi="sans-serif" w:cs="sans-serif"/>
          <w:color w:val="000000"/>
          <w:sz w:val="20"/>
          <w:szCs w:val="20"/>
        </w:rPr>
        <w:t>The following table summarizes information pertaining to our revenue by each of the specialized market</w:t>
      </w:r>
      <w:r>
        <w:rPr>
          <w:rFonts w:ascii="sans-serif" w:eastAsia="sans-serif" w:hAnsi="sans-serif" w:cs="sans-serif"/>
          <w:color w:val="000000"/>
          <w:sz w:val="20"/>
          <w:szCs w:val="20"/>
        </w:rPr>
        <w:t>s we serve:</w:t>
      </w:r>
    </w:p>
    <w:tbl>
      <w:tblPr>
        <w:tblW w:w="5000" w:type="pct"/>
        <w:tblCellMar>
          <w:top w:w="15" w:type="dxa"/>
          <w:left w:w="15" w:type="dxa"/>
          <w:bottom w:w="15" w:type="dxa"/>
          <w:right w:w="15" w:type="dxa"/>
        </w:tblCellMar>
        <w:tblLook w:val="04A0" w:firstRow="1" w:lastRow="0" w:firstColumn="1" w:lastColumn="0" w:noHBand="0" w:noVBand="1"/>
      </w:tblPr>
      <w:tblGrid>
        <w:gridCol w:w="39"/>
        <w:gridCol w:w="3567"/>
        <w:gridCol w:w="36"/>
        <w:gridCol w:w="123"/>
        <w:gridCol w:w="966"/>
        <w:gridCol w:w="37"/>
        <w:gridCol w:w="36"/>
        <w:gridCol w:w="36"/>
        <w:gridCol w:w="36"/>
        <w:gridCol w:w="123"/>
        <w:gridCol w:w="922"/>
        <w:gridCol w:w="37"/>
        <w:gridCol w:w="36"/>
        <w:gridCol w:w="36"/>
        <w:gridCol w:w="36"/>
        <w:gridCol w:w="122"/>
        <w:gridCol w:w="922"/>
        <w:gridCol w:w="36"/>
        <w:gridCol w:w="36"/>
        <w:gridCol w:w="36"/>
        <w:gridCol w:w="36"/>
        <w:gridCol w:w="123"/>
        <w:gridCol w:w="922"/>
        <w:gridCol w:w="37"/>
      </w:tblGrid>
      <w:tr w:rsidR="00F20ABF" w14:paraId="1E804F35" w14:textId="77777777">
        <w:tc>
          <w:tcPr>
            <w:tcW w:w="50" w:type="pct"/>
            <w:shd w:val="clear" w:color="auto" w:fill="auto"/>
          </w:tcPr>
          <w:p w14:paraId="1E804F1D" w14:textId="77777777" w:rsidR="00F20ABF" w:rsidRDefault="00F20ABF">
            <w:pPr>
              <w:rPr>
                <w:rFonts w:ascii="宋体"/>
              </w:rPr>
            </w:pPr>
          </w:p>
        </w:tc>
        <w:tc>
          <w:tcPr>
            <w:tcW w:w="2174" w:type="pct"/>
            <w:shd w:val="clear" w:color="auto" w:fill="auto"/>
          </w:tcPr>
          <w:p w14:paraId="1E804F1E" w14:textId="77777777" w:rsidR="00F20ABF" w:rsidRDefault="00F20ABF">
            <w:pPr>
              <w:rPr>
                <w:rFonts w:ascii="宋体"/>
              </w:rPr>
            </w:pPr>
          </w:p>
        </w:tc>
        <w:tc>
          <w:tcPr>
            <w:tcW w:w="5" w:type="pct"/>
            <w:shd w:val="clear" w:color="auto" w:fill="auto"/>
          </w:tcPr>
          <w:p w14:paraId="1E804F1F" w14:textId="77777777" w:rsidR="00F20ABF" w:rsidRDefault="00F20ABF">
            <w:pPr>
              <w:rPr>
                <w:rFonts w:ascii="宋体"/>
              </w:rPr>
            </w:pPr>
          </w:p>
        </w:tc>
        <w:tc>
          <w:tcPr>
            <w:tcW w:w="50" w:type="pct"/>
            <w:shd w:val="clear" w:color="auto" w:fill="auto"/>
          </w:tcPr>
          <w:p w14:paraId="1E804F20" w14:textId="77777777" w:rsidR="00F20ABF" w:rsidRDefault="00F20ABF">
            <w:pPr>
              <w:rPr>
                <w:rFonts w:ascii="宋体"/>
              </w:rPr>
            </w:pPr>
          </w:p>
        </w:tc>
        <w:tc>
          <w:tcPr>
            <w:tcW w:w="610" w:type="pct"/>
            <w:shd w:val="clear" w:color="auto" w:fill="auto"/>
          </w:tcPr>
          <w:p w14:paraId="1E804F21" w14:textId="77777777" w:rsidR="00F20ABF" w:rsidRDefault="00F20ABF">
            <w:pPr>
              <w:rPr>
                <w:rFonts w:ascii="宋体"/>
              </w:rPr>
            </w:pPr>
          </w:p>
        </w:tc>
        <w:tc>
          <w:tcPr>
            <w:tcW w:w="5" w:type="pct"/>
            <w:shd w:val="clear" w:color="auto" w:fill="auto"/>
          </w:tcPr>
          <w:p w14:paraId="1E804F22" w14:textId="77777777" w:rsidR="00F20ABF" w:rsidRDefault="00F20ABF">
            <w:pPr>
              <w:rPr>
                <w:rFonts w:ascii="宋体"/>
              </w:rPr>
            </w:pPr>
          </w:p>
        </w:tc>
        <w:tc>
          <w:tcPr>
            <w:tcW w:w="5" w:type="pct"/>
            <w:shd w:val="clear" w:color="auto" w:fill="auto"/>
          </w:tcPr>
          <w:p w14:paraId="1E804F23" w14:textId="77777777" w:rsidR="00F20ABF" w:rsidRDefault="00F20ABF">
            <w:pPr>
              <w:rPr>
                <w:rFonts w:ascii="宋体"/>
              </w:rPr>
            </w:pPr>
          </w:p>
        </w:tc>
        <w:tc>
          <w:tcPr>
            <w:tcW w:w="26" w:type="pct"/>
            <w:shd w:val="clear" w:color="auto" w:fill="auto"/>
          </w:tcPr>
          <w:p w14:paraId="1E804F24" w14:textId="77777777" w:rsidR="00F20ABF" w:rsidRDefault="00F20ABF">
            <w:pPr>
              <w:rPr>
                <w:rFonts w:ascii="宋体"/>
              </w:rPr>
            </w:pPr>
          </w:p>
        </w:tc>
        <w:tc>
          <w:tcPr>
            <w:tcW w:w="5" w:type="pct"/>
            <w:shd w:val="clear" w:color="auto" w:fill="auto"/>
          </w:tcPr>
          <w:p w14:paraId="1E804F25" w14:textId="77777777" w:rsidR="00F20ABF" w:rsidRDefault="00F20ABF">
            <w:pPr>
              <w:rPr>
                <w:rFonts w:ascii="宋体"/>
              </w:rPr>
            </w:pPr>
          </w:p>
        </w:tc>
        <w:tc>
          <w:tcPr>
            <w:tcW w:w="50" w:type="pct"/>
            <w:shd w:val="clear" w:color="auto" w:fill="auto"/>
          </w:tcPr>
          <w:p w14:paraId="1E804F26" w14:textId="77777777" w:rsidR="00F20ABF" w:rsidRDefault="00F20ABF">
            <w:pPr>
              <w:rPr>
                <w:rFonts w:ascii="宋体"/>
              </w:rPr>
            </w:pPr>
          </w:p>
        </w:tc>
        <w:tc>
          <w:tcPr>
            <w:tcW w:w="610" w:type="pct"/>
            <w:shd w:val="clear" w:color="auto" w:fill="auto"/>
          </w:tcPr>
          <w:p w14:paraId="1E804F27" w14:textId="77777777" w:rsidR="00F20ABF" w:rsidRDefault="00F20ABF">
            <w:pPr>
              <w:rPr>
                <w:rFonts w:ascii="宋体"/>
              </w:rPr>
            </w:pPr>
          </w:p>
        </w:tc>
        <w:tc>
          <w:tcPr>
            <w:tcW w:w="5" w:type="pct"/>
            <w:shd w:val="clear" w:color="auto" w:fill="auto"/>
          </w:tcPr>
          <w:p w14:paraId="1E804F28" w14:textId="77777777" w:rsidR="00F20ABF" w:rsidRDefault="00F20ABF">
            <w:pPr>
              <w:rPr>
                <w:rFonts w:ascii="宋体"/>
              </w:rPr>
            </w:pPr>
          </w:p>
        </w:tc>
        <w:tc>
          <w:tcPr>
            <w:tcW w:w="5" w:type="pct"/>
            <w:shd w:val="clear" w:color="auto" w:fill="auto"/>
          </w:tcPr>
          <w:p w14:paraId="1E804F29" w14:textId="77777777" w:rsidR="00F20ABF" w:rsidRDefault="00F20ABF">
            <w:pPr>
              <w:rPr>
                <w:rFonts w:ascii="宋体"/>
              </w:rPr>
            </w:pPr>
          </w:p>
        </w:tc>
        <w:tc>
          <w:tcPr>
            <w:tcW w:w="26" w:type="pct"/>
            <w:shd w:val="clear" w:color="auto" w:fill="auto"/>
          </w:tcPr>
          <w:p w14:paraId="1E804F2A" w14:textId="77777777" w:rsidR="00F20ABF" w:rsidRDefault="00F20ABF">
            <w:pPr>
              <w:rPr>
                <w:rFonts w:ascii="宋体"/>
              </w:rPr>
            </w:pPr>
          </w:p>
        </w:tc>
        <w:tc>
          <w:tcPr>
            <w:tcW w:w="5" w:type="pct"/>
            <w:shd w:val="clear" w:color="auto" w:fill="auto"/>
          </w:tcPr>
          <w:p w14:paraId="1E804F2B" w14:textId="77777777" w:rsidR="00F20ABF" w:rsidRDefault="00F20ABF">
            <w:pPr>
              <w:rPr>
                <w:rFonts w:ascii="宋体"/>
              </w:rPr>
            </w:pPr>
          </w:p>
        </w:tc>
        <w:tc>
          <w:tcPr>
            <w:tcW w:w="50" w:type="pct"/>
            <w:shd w:val="clear" w:color="auto" w:fill="auto"/>
          </w:tcPr>
          <w:p w14:paraId="1E804F2C" w14:textId="77777777" w:rsidR="00F20ABF" w:rsidRDefault="00F20ABF">
            <w:pPr>
              <w:rPr>
                <w:rFonts w:ascii="宋体"/>
              </w:rPr>
            </w:pPr>
          </w:p>
        </w:tc>
        <w:tc>
          <w:tcPr>
            <w:tcW w:w="610" w:type="pct"/>
            <w:shd w:val="clear" w:color="auto" w:fill="auto"/>
          </w:tcPr>
          <w:p w14:paraId="1E804F2D" w14:textId="77777777" w:rsidR="00F20ABF" w:rsidRDefault="00F20ABF">
            <w:pPr>
              <w:rPr>
                <w:rFonts w:ascii="宋体"/>
              </w:rPr>
            </w:pPr>
          </w:p>
        </w:tc>
        <w:tc>
          <w:tcPr>
            <w:tcW w:w="5" w:type="pct"/>
            <w:shd w:val="clear" w:color="auto" w:fill="auto"/>
          </w:tcPr>
          <w:p w14:paraId="1E804F2E" w14:textId="77777777" w:rsidR="00F20ABF" w:rsidRDefault="00F20ABF">
            <w:pPr>
              <w:rPr>
                <w:rFonts w:ascii="宋体"/>
              </w:rPr>
            </w:pPr>
          </w:p>
        </w:tc>
        <w:tc>
          <w:tcPr>
            <w:tcW w:w="5" w:type="pct"/>
            <w:shd w:val="clear" w:color="auto" w:fill="auto"/>
          </w:tcPr>
          <w:p w14:paraId="1E804F2F" w14:textId="77777777" w:rsidR="00F20ABF" w:rsidRDefault="00F20ABF">
            <w:pPr>
              <w:rPr>
                <w:rFonts w:ascii="宋体"/>
              </w:rPr>
            </w:pPr>
          </w:p>
        </w:tc>
        <w:tc>
          <w:tcPr>
            <w:tcW w:w="26" w:type="pct"/>
            <w:shd w:val="clear" w:color="auto" w:fill="auto"/>
          </w:tcPr>
          <w:p w14:paraId="1E804F30" w14:textId="77777777" w:rsidR="00F20ABF" w:rsidRDefault="00F20ABF">
            <w:pPr>
              <w:rPr>
                <w:rFonts w:ascii="宋体"/>
              </w:rPr>
            </w:pPr>
          </w:p>
        </w:tc>
        <w:tc>
          <w:tcPr>
            <w:tcW w:w="5" w:type="pct"/>
            <w:shd w:val="clear" w:color="auto" w:fill="auto"/>
          </w:tcPr>
          <w:p w14:paraId="1E804F31" w14:textId="77777777" w:rsidR="00F20ABF" w:rsidRDefault="00F20ABF">
            <w:pPr>
              <w:rPr>
                <w:rFonts w:ascii="宋体"/>
              </w:rPr>
            </w:pPr>
          </w:p>
        </w:tc>
        <w:tc>
          <w:tcPr>
            <w:tcW w:w="50" w:type="pct"/>
            <w:shd w:val="clear" w:color="auto" w:fill="auto"/>
          </w:tcPr>
          <w:p w14:paraId="1E804F32" w14:textId="77777777" w:rsidR="00F20ABF" w:rsidRDefault="00F20ABF">
            <w:pPr>
              <w:rPr>
                <w:rFonts w:ascii="宋体"/>
              </w:rPr>
            </w:pPr>
          </w:p>
        </w:tc>
        <w:tc>
          <w:tcPr>
            <w:tcW w:w="610" w:type="pct"/>
            <w:shd w:val="clear" w:color="auto" w:fill="auto"/>
          </w:tcPr>
          <w:p w14:paraId="1E804F33" w14:textId="77777777" w:rsidR="00F20ABF" w:rsidRDefault="00F20ABF">
            <w:pPr>
              <w:rPr>
                <w:rFonts w:ascii="宋体"/>
              </w:rPr>
            </w:pPr>
          </w:p>
        </w:tc>
        <w:tc>
          <w:tcPr>
            <w:tcW w:w="5" w:type="pct"/>
            <w:shd w:val="clear" w:color="auto" w:fill="auto"/>
          </w:tcPr>
          <w:p w14:paraId="1E804F34" w14:textId="77777777" w:rsidR="00F20ABF" w:rsidRDefault="00F20ABF">
            <w:pPr>
              <w:rPr>
                <w:rFonts w:ascii="宋体"/>
              </w:rPr>
            </w:pPr>
          </w:p>
        </w:tc>
      </w:tr>
      <w:tr w:rsidR="00F20ABF" w14:paraId="1E804F3A" w14:textId="77777777">
        <w:tc>
          <w:tcPr>
            <w:tcW w:w="0" w:type="auto"/>
            <w:gridSpan w:val="3"/>
            <w:shd w:val="clear" w:color="auto" w:fill="auto"/>
            <w:tcMar>
              <w:top w:w="40" w:type="dxa"/>
              <w:left w:w="20" w:type="dxa"/>
              <w:bottom w:w="40" w:type="dxa"/>
              <w:right w:w="20" w:type="dxa"/>
            </w:tcMar>
            <w:vAlign w:val="bottom"/>
          </w:tcPr>
          <w:p w14:paraId="1E804F36" w14:textId="77777777" w:rsidR="00F20ABF" w:rsidRDefault="00CA4D2F">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E804F37" w14:textId="77777777" w:rsidR="00F20ABF" w:rsidRDefault="00CA4D2F">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1E804F38"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4F39" w14:textId="77777777" w:rsidR="00F20ABF" w:rsidRDefault="00CA4D2F">
            <w:pPr>
              <w:jc w:val="center"/>
              <w:textAlignment w:val="bottom"/>
            </w:pPr>
            <w:r>
              <w:rPr>
                <w:rFonts w:ascii="sans-serif" w:eastAsia="sans-serif" w:hAnsi="sans-serif" w:cs="sans-serif"/>
                <w:b/>
                <w:bCs/>
                <w:color w:val="000000"/>
                <w:sz w:val="20"/>
                <w:szCs w:val="20"/>
              </w:rPr>
              <w:t>Nine Months Ended</w:t>
            </w:r>
          </w:p>
        </w:tc>
      </w:tr>
      <w:tr w:rsidR="00F20ABF" w14:paraId="1E804F43" w14:textId="77777777">
        <w:tc>
          <w:tcPr>
            <w:tcW w:w="0" w:type="auto"/>
            <w:gridSpan w:val="3"/>
            <w:shd w:val="clear" w:color="auto" w:fill="auto"/>
            <w:tcMar>
              <w:top w:w="0" w:type="dxa"/>
              <w:left w:w="20" w:type="dxa"/>
              <w:bottom w:w="0" w:type="dxa"/>
              <w:right w:w="20" w:type="dxa"/>
            </w:tcMar>
          </w:tcPr>
          <w:p w14:paraId="1E804F3B"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F3C" w14:textId="77777777" w:rsidR="00F20ABF" w:rsidRDefault="00CA4D2F">
            <w:pPr>
              <w:jc w:val="center"/>
              <w:textAlignment w:val="bottom"/>
            </w:pPr>
            <w:r>
              <w:rPr>
                <w:rFonts w:ascii="sans-serif" w:eastAsia="sans-serif" w:hAnsi="sans-serif" w:cs="sans-serif"/>
                <w:b/>
                <w:bCs/>
                <w:color w:val="000000"/>
                <w:sz w:val="20"/>
                <w:szCs w:val="20"/>
              </w:rPr>
              <w:t>October 25,</w:t>
            </w:r>
          </w:p>
        </w:tc>
        <w:tc>
          <w:tcPr>
            <w:tcW w:w="0" w:type="auto"/>
            <w:gridSpan w:val="3"/>
            <w:tcBorders>
              <w:top w:val="single" w:sz="8" w:space="0" w:color="000000"/>
            </w:tcBorders>
            <w:shd w:val="clear" w:color="auto" w:fill="auto"/>
            <w:tcMar>
              <w:top w:w="0" w:type="dxa"/>
              <w:left w:w="20" w:type="dxa"/>
              <w:bottom w:w="0" w:type="dxa"/>
              <w:right w:w="20" w:type="dxa"/>
            </w:tcMar>
          </w:tcPr>
          <w:p w14:paraId="1E804F3D"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F3E" w14:textId="77777777" w:rsidR="00F20ABF" w:rsidRDefault="00CA4D2F">
            <w:pPr>
              <w:jc w:val="center"/>
              <w:textAlignment w:val="bottom"/>
            </w:pPr>
            <w:r>
              <w:rPr>
                <w:rFonts w:ascii="sans-serif" w:eastAsia="sans-serif" w:hAnsi="sans-serif" w:cs="sans-serif"/>
                <w:b/>
                <w:bCs/>
                <w:color w:val="000000"/>
                <w:sz w:val="20"/>
                <w:szCs w:val="20"/>
              </w:rPr>
              <w:t>October 27,</w:t>
            </w:r>
          </w:p>
        </w:tc>
        <w:tc>
          <w:tcPr>
            <w:tcW w:w="0" w:type="auto"/>
            <w:gridSpan w:val="3"/>
            <w:shd w:val="clear" w:color="auto" w:fill="auto"/>
            <w:tcMar>
              <w:top w:w="0" w:type="dxa"/>
              <w:left w:w="20" w:type="dxa"/>
              <w:bottom w:w="0" w:type="dxa"/>
              <w:right w:w="20" w:type="dxa"/>
            </w:tcMar>
          </w:tcPr>
          <w:p w14:paraId="1E804F3F"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F40" w14:textId="77777777" w:rsidR="00F20ABF" w:rsidRDefault="00CA4D2F">
            <w:pPr>
              <w:jc w:val="center"/>
              <w:textAlignment w:val="bottom"/>
            </w:pPr>
            <w:r>
              <w:rPr>
                <w:rFonts w:ascii="sans-serif" w:eastAsia="sans-serif" w:hAnsi="sans-serif" w:cs="sans-serif"/>
                <w:b/>
                <w:bCs/>
                <w:color w:val="000000"/>
                <w:sz w:val="20"/>
                <w:szCs w:val="20"/>
              </w:rPr>
              <w:t>October 25,</w:t>
            </w:r>
          </w:p>
        </w:tc>
        <w:tc>
          <w:tcPr>
            <w:tcW w:w="0" w:type="auto"/>
            <w:gridSpan w:val="3"/>
            <w:tcBorders>
              <w:top w:val="single" w:sz="8" w:space="0" w:color="000000"/>
            </w:tcBorders>
            <w:shd w:val="clear" w:color="auto" w:fill="auto"/>
            <w:tcMar>
              <w:top w:w="0" w:type="dxa"/>
              <w:left w:w="20" w:type="dxa"/>
              <w:bottom w:w="0" w:type="dxa"/>
              <w:right w:w="20" w:type="dxa"/>
            </w:tcMar>
          </w:tcPr>
          <w:p w14:paraId="1E804F41"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4F42" w14:textId="77777777" w:rsidR="00F20ABF" w:rsidRDefault="00CA4D2F">
            <w:pPr>
              <w:jc w:val="center"/>
              <w:textAlignment w:val="bottom"/>
            </w:pPr>
            <w:r>
              <w:rPr>
                <w:rFonts w:ascii="sans-serif" w:eastAsia="sans-serif" w:hAnsi="sans-serif" w:cs="sans-serif"/>
                <w:b/>
                <w:bCs/>
                <w:color w:val="000000"/>
                <w:sz w:val="20"/>
                <w:szCs w:val="20"/>
              </w:rPr>
              <w:t>October 27,</w:t>
            </w:r>
          </w:p>
        </w:tc>
      </w:tr>
      <w:tr w:rsidR="00F20ABF" w14:paraId="1E804F4C" w14:textId="77777777">
        <w:tc>
          <w:tcPr>
            <w:tcW w:w="0" w:type="auto"/>
            <w:gridSpan w:val="3"/>
            <w:shd w:val="clear" w:color="auto" w:fill="auto"/>
            <w:tcMar>
              <w:top w:w="40" w:type="dxa"/>
              <w:left w:w="20" w:type="dxa"/>
              <w:bottom w:w="40" w:type="dxa"/>
              <w:right w:w="20" w:type="dxa"/>
            </w:tcMar>
            <w:vAlign w:val="bottom"/>
          </w:tcPr>
          <w:p w14:paraId="1E804F44"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E804F45" w14:textId="77777777" w:rsidR="00F20ABF" w:rsidRDefault="00CA4D2F">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tcPr>
          <w:p w14:paraId="1E804F46"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F47" w14:textId="77777777" w:rsidR="00F20ABF" w:rsidRDefault="00CA4D2F">
            <w:pPr>
              <w:jc w:val="center"/>
              <w:textAlignment w:val="bottom"/>
            </w:pPr>
            <w:r>
              <w:rPr>
                <w:rFonts w:ascii="sans-serif" w:eastAsia="sans-serif" w:hAnsi="sans-serif" w:cs="sans-serif"/>
                <w:b/>
                <w:bCs/>
                <w:color w:val="000000"/>
                <w:sz w:val="20"/>
                <w:szCs w:val="20"/>
              </w:rPr>
              <w:t>2019</w:t>
            </w:r>
          </w:p>
        </w:tc>
        <w:tc>
          <w:tcPr>
            <w:tcW w:w="0" w:type="auto"/>
            <w:gridSpan w:val="3"/>
            <w:shd w:val="clear" w:color="auto" w:fill="auto"/>
            <w:tcMar>
              <w:top w:w="0" w:type="dxa"/>
              <w:left w:w="20" w:type="dxa"/>
              <w:bottom w:w="0" w:type="dxa"/>
              <w:right w:w="20" w:type="dxa"/>
            </w:tcMar>
          </w:tcPr>
          <w:p w14:paraId="1E804F48"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F49" w14:textId="77777777" w:rsidR="00F20ABF" w:rsidRDefault="00CA4D2F">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tcPr>
          <w:p w14:paraId="1E804F4A"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F4B" w14:textId="77777777" w:rsidR="00F20ABF" w:rsidRDefault="00CA4D2F">
            <w:pPr>
              <w:jc w:val="center"/>
              <w:textAlignment w:val="bottom"/>
            </w:pPr>
            <w:r>
              <w:rPr>
                <w:rFonts w:ascii="sans-serif" w:eastAsia="sans-serif" w:hAnsi="sans-serif" w:cs="sans-serif"/>
                <w:b/>
                <w:bCs/>
                <w:color w:val="000000"/>
                <w:sz w:val="20"/>
                <w:szCs w:val="20"/>
              </w:rPr>
              <w:t>2019</w:t>
            </w:r>
          </w:p>
        </w:tc>
      </w:tr>
      <w:tr w:rsidR="00F20ABF" w14:paraId="1E804F55" w14:textId="77777777">
        <w:trPr>
          <w:trHeight w:val="60"/>
        </w:trPr>
        <w:tc>
          <w:tcPr>
            <w:tcW w:w="0" w:type="auto"/>
            <w:gridSpan w:val="3"/>
            <w:shd w:val="clear" w:color="auto" w:fill="auto"/>
            <w:tcMar>
              <w:top w:w="0" w:type="dxa"/>
              <w:left w:w="20" w:type="dxa"/>
              <w:bottom w:w="0" w:type="dxa"/>
              <w:right w:w="20" w:type="dxa"/>
            </w:tcMar>
          </w:tcPr>
          <w:p w14:paraId="1E804F4D"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F4E"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F4F"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F50"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F51"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F52"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F53"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4F54" w14:textId="77777777" w:rsidR="00F20ABF" w:rsidRDefault="00F20ABF">
            <w:pPr>
              <w:rPr>
                <w:rFonts w:ascii="宋体"/>
              </w:rPr>
            </w:pPr>
          </w:p>
        </w:tc>
      </w:tr>
      <w:tr w:rsidR="00F20ABF" w14:paraId="1E804F58" w14:textId="77777777">
        <w:tc>
          <w:tcPr>
            <w:tcW w:w="0" w:type="auto"/>
            <w:gridSpan w:val="3"/>
            <w:shd w:val="clear" w:color="auto" w:fill="auto"/>
            <w:tcMar>
              <w:top w:w="40" w:type="dxa"/>
              <w:left w:w="20" w:type="dxa"/>
              <w:bottom w:w="40" w:type="dxa"/>
              <w:right w:w="20" w:type="dxa"/>
            </w:tcMar>
            <w:vAlign w:val="bottom"/>
          </w:tcPr>
          <w:p w14:paraId="1E804F56" w14:textId="77777777" w:rsidR="00F20ABF" w:rsidRDefault="00CA4D2F">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1E804F57"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4F61" w14:textId="77777777">
        <w:tc>
          <w:tcPr>
            <w:tcW w:w="0" w:type="auto"/>
            <w:gridSpan w:val="3"/>
            <w:shd w:val="clear" w:color="auto" w:fill="auto"/>
            <w:tcMar>
              <w:top w:w="40" w:type="dxa"/>
              <w:left w:w="20" w:type="dxa"/>
              <w:bottom w:w="40" w:type="dxa"/>
              <w:right w:w="20" w:type="dxa"/>
            </w:tcMar>
            <w:vAlign w:val="bottom"/>
          </w:tcPr>
          <w:p w14:paraId="1E804F59" w14:textId="77777777" w:rsidR="00F20ABF" w:rsidRDefault="00CA4D2F">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1E804F5A"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1E804F5B"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4F5C"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1E804F5D"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F5E"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F5F"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4F60" w14:textId="77777777" w:rsidR="00F20ABF" w:rsidRDefault="00F20ABF">
            <w:pPr>
              <w:rPr>
                <w:rFonts w:ascii="宋体"/>
              </w:rPr>
            </w:pPr>
          </w:p>
        </w:tc>
      </w:tr>
      <w:tr w:rsidR="00F20ABF" w14:paraId="1E804F72" w14:textId="77777777">
        <w:tc>
          <w:tcPr>
            <w:tcW w:w="0" w:type="auto"/>
            <w:gridSpan w:val="3"/>
            <w:shd w:val="clear" w:color="auto" w:fill="E2EFD9"/>
            <w:tcMar>
              <w:top w:w="40" w:type="dxa"/>
              <w:left w:w="245" w:type="dxa"/>
              <w:bottom w:w="40" w:type="dxa"/>
              <w:right w:w="20" w:type="dxa"/>
            </w:tcMar>
            <w:vAlign w:val="bottom"/>
          </w:tcPr>
          <w:p w14:paraId="1E804F62" w14:textId="77777777" w:rsidR="00F20ABF" w:rsidRDefault="00CA4D2F">
            <w:pPr>
              <w:textAlignment w:val="bottom"/>
            </w:pPr>
            <w:r>
              <w:rPr>
                <w:rFonts w:ascii="sans-serif" w:eastAsia="sans-serif" w:hAnsi="sans-serif" w:cs="sans-serif"/>
                <w:color w:val="000000"/>
                <w:sz w:val="20"/>
                <w:szCs w:val="20"/>
              </w:rPr>
              <w:t>Gaming</w:t>
            </w:r>
          </w:p>
        </w:tc>
        <w:tc>
          <w:tcPr>
            <w:tcW w:w="0" w:type="auto"/>
            <w:shd w:val="clear" w:color="auto" w:fill="E2EFD9"/>
            <w:tcMar>
              <w:top w:w="40" w:type="dxa"/>
              <w:left w:w="20" w:type="dxa"/>
              <w:bottom w:w="40" w:type="dxa"/>
              <w:right w:w="0" w:type="dxa"/>
            </w:tcMar>
            <w:vAlign w:val="bottom"/>
          </w:tcPr>
          <w:p w14:paraId="1E804F63"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F64" w14:textId="77777777" w:rsidR="00F20ABF" w:rsidRDefault="00CA4D2F">
            <w:pPr>
              <w:jc w:val="right"/>
              <w:textAlignment w:val="bottom"/>
            </w:pPr>
            <w:r>
              <w:rPr>
                <w:rFonts w:ascii="sans-serif" w:eastAsia="sans-serif" w:hAnsi="sans-serif" w:cs="sans-serif"/>
                <w:color w:val="000000"/>
                <w:sz w:val="20"/>
                <w:szCs w:val="20"/>
              </w:rPr>
              <w:t>2,271 </w:t>
            </w:r>
          </w:p>
        </w:tc>
        <w:tc>
          <w:tcPr>
            <w:tcW w:w="0" w:type="auto"/>
            <w:shd w:val="clear" w:color="auto" w:fill="E2EFD9"/>
            <w:tcMar>
              <w:top w:w="40" w:type="dxa"/>
              <w:left w:w="0" w:type="dxa"/>
              <w:bottom w:w="40" w:type="dxa"/>
              <w:right w:w="20" w:type="dxa"/>
            </w:tcMar>
            <w:vAlign w:val="bottom"/>
          </w:tcPr>
          <w:p w14:paraId="1E804F6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F66"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F67"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F68" w14:textId="77777777" w:rsidR="00F20ABF" w:rsidRDefault="00CA4D2F">
            <w:pPr>
              <w:jc w:val="right"/>
              <w:textAlignment w:val="bottom"/>
            </w:pPr>
            <w:r>
              <w:rPr>
                <w:rFonts w:ascii="sans-serif" w:eastAsia="sans-serif" w:hAnsi="sans-serif" w:cs="sans-serif"/>
                <w:color w:val="000000"/>
                <w:sz w:val="20"/>
                <w:szCs w:val="20"/>
              </w:rPr>
              <w:t>1,659 </w:t>
            </w:r>
          </w:p>
        </w:tc>
        <w:tc>
          <w:tcPr>
            <w:tcW w:w="0" w:type="auto"/>
            <w:shd w:val="clear" w:color="auto" w:fill="E2EFD9"/>
            <w:tcMar>
              <w:top w:w="40" w:type="dxa"/>
              <w:left w:w="0" w:type="dxa"/>
              <w:bottom w:w="40" w:type="dxa"/>
              <w:right w:w="20" w:type="dxa"/>
            </w:tcMar>
            <w:vAlign w:val="bottom"/>
          </w:tcPr>
          <w:p w14:paraId="1E804F6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F6A"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F6B"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F6C" w14:textId="77777777" w:rsidR="00F20ABF" w:rsidRDefault="00CA4D2F">
            <w:pPr>
              <w:jc w:val="right"/>
              <w:textAlignment w:val="bottom"/>
            </w:pPr>
            <w:r>
              <w:rPr>
                <w:rFonts w:ascii="sans-serif" w:eastAsia="sans-serif" w:hAnsi="sans-serif" w:cs="sans-serif"/>
                <w:color w:val="000000"/>
                <w:sz w:val="20"/>
                <w:szCs w:val="20"/>
              </w:rPr>
              <w:t>5,264 </w:t>
            </w:r>
          </w:p>
        </w:tc>
        <w:tc>
          <w:tcPr>
            <w:tcW w:w="0" w:type="auto"/>
            <w:shd w:val="clear" w:color="auto" w:fill="E2EFD9"/>
            <w:tcMar>
              <w:top w:w="40" w:type="dxa"/>
              <w:left w:w="0" w:type="dxa"/>
              <w:bottom w:w="40" w:type="dxa"/>
              <w:right w:w="20" w:type="dxa"/>
            </w:tcMar>
            <w:vAlign w:val="bottom"/>
          </w:tcPr>
          <w:p w14:paraId="1E804F6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F6E"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4F6F"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4F70" w14:textId="77777777" w:rsidR="00F20ABF" w:rsidRDefault="00CA4D2F">
            <w:pPr>
              <w:jc w:val="right"/>
              <w:textAlignment w:val="bottom"/>
            </w:pPr>
            <w:r>
              <w:rPr>
                <w:rFonts w:ascii="sans-serif" w:eastAsia="sans-serif" w:hAnsi="sans-serif" w:cs="sans-serif"/>
                <w:color w:val="000000"/>
                <w:sz w:val="20"/>
                <w:szCs w:val="20"/>
              </w:rPr>
              <w:t>4,027 </w:t>
            </w:r>
          </w:p>
        </w:tc>
        <w:tc>
          <w:tcPr>
            <w:tcW w:w="0" w:type="auto"/>
            <w:shd w:val="clear" w:color="auto" w:fill="E2EFD9"/>
            <w:tcMar>
              <w:top w:w="40" w:type="dxa"/>
              <w:left w:w="0" w:type="dxa"/>
              <w:bottom w:w="40" w:type="dxa"/>
              <w:right w:w="20" w:type="dxa"/>
            </w:tcMar>
            <w:vAlign w:val="bottom"/>
          </w:tcPr>
          <w:p w14:paraId="1E804F71" w14:textId="77777777" w:rsidR="00F20ABF" w:rsidRDefault="00F20ABF">
            <w:pPr>
              <w:jc w:val="right"/>
              <w:rPr>
                <w:rFonts w:ascii="宋体"/>
              </w:rPr>
            </w:pPr>
          </w:p>
        </w:tc>
      </w:tr>
      <w:tr w:rsidR="00F20ABF" w14:paraId="1E804F7F" w14:textId="77777777">
        <w:tc>
          <w:tcPr>
            <w:tcW w:w="0" w:type="auto"/>
            <w:gridSpan w:val="3"/>
            <w:shd w:val="clear" w:color="auto" w:fill="FFFFFF"/>
            <w:tcMar>
              <w:top w:w="40" w:type="dxa"/>
              <w:left w:w="245" w:type="dxa"/>
              <w:bottom w:w="40" w:type="dxa"/>
              <w:right w:w="20" w:type="dxa"/>
            </w:tcMar>
            <w:vAlign w:val="bottom"/>
          </w:tcPr>
          <w:p w14:paraId="1E804F73" w14:textId="77777777" w:rsidR="00F20ABF" w:rsidRDefault="00CA4D2F">
            <w:pPr>
              <w:textAlignment w:val="bottom"/>
            </w:pPr>
            <w:r>
              <w:rPr>
                <w:rFonts w:ascii="sans-serif" w:eastAsia="sans-serif" w:hAnsi="sans-serif" w:cs="sans-serif"/>
                <w:color w:val="000000"/>
                <w:sz w:val="20"/>
                <w:szCs w:val="20"/>
              </w:rPr>
              <w:t>Professional Visualization</w:t>
            </w:r>
          </w:p>
        </w:tc>
        <w:tc>
          <w:tcPr>
            <w:tcW w:w="0" w:type="auto"/>
            <w:gridSpan w:val="2"/>
            <w:shd w:val="clear" w:color="auto" w:fill="FFFFFF"/>
            <w:tcMar>
              <w:top w:w="40" w:type="dxa"/>
              <w:left w:w="20" w:type="dxa"/>
              <w:bottom w:w="40" w:type="dxa"/>
              <w:right w:w="0" w:type="dxa"/>
            </w:tcMar>
            <w:vAlign w:val="bottom"/>
          </w:tcPr>
          <w:p w14:paraId="1E804F74" w14:textId="77777777" w:rsidR="00F20ABF" w:rsidRDefault="00CA4D2F">
            <w:pPr>
              <w:jc w:val="right"/>
              <w:textAlignment w:val="bottom"/>
            </w:pPr>
            <w:r>
              <w:rPr>
                <w:rFonts w:ascii="sans-serif" w:eastAsia="sans-serif" w:hAnsi="sans-serif" w:cs="sans-serif"/>
                <w:color w:val="000000"/>
                <w:sz w:val="20"/>
                <w:szCs w:val="20"/>
              </w:rPr>
              <w:t>236 </w:t>
            </w:r>
          </w:p>
        </w:tc>
        <w:tc>
          <w:tcPr>
            <w:tcW w:w="0" w:type="auto"/>
            <w:shd w:val="clear" w:color="auto" w:fill="FFFFFF"/>
            <w:tcMar>
              <w:top w:w="40" w:type="dxa"/>
              <w:left w:w="0" w:type="dxa"/>
              <w:bottom w:w="40" w:type="dxa"/>
              <w:right w:w="20" w:type="dxa"/>
            </w:tcMar>
            <w:vAlign w:val="bottom"/>
          </w:tcPr>
          <w:p w14:paraId="1E804F7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F7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F77" w14:textId="77777777" w:rsidR="00F20ABF" w:rsidRDefault="00CA4D2F">
            <w:pPr>
              <w:jc w:val="right"/>
              <w:textAlignment w:val="bottom"/>
            </w:pPr>
            <w:r>
              <w:rPr>
                <w:rFonts w:ascii="sans-serif" w:eastAsia="sans-serif" w:hAnsi="sans-serif" w:cs="sans-serif"/>
                <w:color w:val="000000"/>
                <w:sz w:val="20"/>
                <w:szCs w:val="20"/>
              </w:rPr>
              <w:t>324 </w:t>
            </w:r>
          </w:p>
        </w:tc>
        <w:tc>
          <w:tcPr>
            <w:tcW w:w="0" w:type="auto"/>
            <w:shd w:val="clear" w:color="auto" w:fill="FFFFFF"/>
            <w:tcMar>
              <w:top w:w="40" w:type="dxa"/>
              <w:left w:w="0" w:type="dxa"/>
              <w:bottom w:w="40" w:type="dxa"/>
              <w:right w:w="20" w:type="dxa"/>
            </w:tcMar>
            <w:vAlign w:val="bottom"/>
          </w:tcPr>
          <w:p w14:paraId="1E804F7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F79"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F7A" w14:textId="77777777" w:rsidR="00F20ABF" w:rsidRDefault="00CA4D2F">
            <w:pPr>
              <w:jc w:val="right"/>
              <w:textAlignment w:val="bottom"/>
            </w:pPr>
            <w:r>
              <w:rPr>
                <w:rFonts w:ascii="sans-serif" w:eastAsia="sans-serif" w:hAnsi="sans-serif" w:cs="sans-serif"/>
                <w:color w:val="000000"/>
                <w:sz w:val="20"/>
                <w:szCs w:val="20"/>
              </w:rPr>
              <w:t>746 </w:t>
            </w:r>
          </w:p>
        </w:tc>
        <w:tc>
          <w:tcPr>
            <w:tcW w:w="0" w:type="auto"/>
            <w:shd w:val="clear" w:color="auto" w:fill="FFFFFF"/>
            <w:tcMar>
              <w:top w:w="40" w:type="dxa"/>
              <w:left w:w="0" w:type="dxa"/>
              <w:bottom w:w="40" w:type="dxa"/>
              <w:right w:w="20" w:type="dxa"/>
            </w:tcMar>
            <w:vAlign w:val="bottom"/>
          </w:tcPr>
          <w:p w14:paraId="1E804F7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F7C"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F7D" w14:textId="77777777" w:rsidR="00F20ABF" w:rsidRDefault="00CA4D2F">
            <w:pPr>
              <w:jc w:val="right"/>
              <w:textAlignment w:val="bottom"/>
            </w:pPr>
            <w:r>
              <w:rPr>
                <w:rFonts w:ascii="sans-serif" w:eastAsia="sans-serif" w:hAnsi="sans-serif" w:cs="sans-serif"/>
                <w:color w:val="000000"/>
                <w:sz w:val="20"/>
                <w:szCs w:val="20"/>
              </w:rPr>
              <w:t>881 </w:t>
            </w:r>
          </w:p>
        </w:tc>
        <w:tc>
          <w:tcPr>
            <w:tcW w:w="0" w:type="auto"/>
            <w:shd w:val="clear" w:color="auto" w:fill="FFFFFF"/>
            <w:tcMar>
              <w:top w:w="40" w:type="dxa"/>
              <w:left w:w="0" w:type="dxa"/>
              <w:bottom w:w="40" w:type="dxa"/>
              <w:right w:w="20" w:type="dxa"/>
            </w:tcMar>
            <w:vAlign w:val="bottom"/>
          </w:tcPr>
          <w:p w14:paraId="1E804F7E" w14:textId="77777777" w:rsidR="00F20ABF" w:rsidRDefault="00F20ABF">
            <w:pPr>
              <w:jc w:val="right"/>
              <w:rPr>
                <w:rFonts w:ascii="宋体"/>
              </w:rPr>
            </w:pPr>
          </w:p>
        </w:tc>
      </w:tr>
      <w:tr w:rsidR="00F20ABF" w14:paraId="1E804F8C" w14:textId="77777777">
        <w:tc>
          <w:tcPr>
            <w:tcW w:w="0" w:type="auto"/>
            <w:gridSpan w:val="3"/>
            <w:shd w:val="clear" w:color="auto" w:fill="E2EFD9"/>
            <w:tcMar>
              <w:top w:w="40" w:type="dxa"/>
              <w:left w:w="245" w:type="dxa"/>
              <w:bottom w:w="40" w:type="dxa"/>
              <w:right w:w="20" w:type="dxa"/>
            </w:tcMar>
            <w:vAlign w:val="bottom"/>
          </w:tcPr>
          <w:p w14:paraId="1E804F80" w14:textId="77777777" w:rsidR="00F20ABF" w:rsidRDefault="00CA4D2F">
            <w:pPr>
              <w:textAlignment w:val="bottom"/>
            </w:pPr>
            <w:r>
              <w:rPr>
                <w:rFonts w:ascii="sans-serif" w:eastAsia="sans-serif" w:hAnsi="sans-serif" w:cs="sans-serif"/>
                <w:color w:val="000000"/>
                <w:sz w:val="20"/>
                <w:szCs w:val="20"/>
              </w:rPr>
              <w:t>Data Center</w:t>
            </w:r>
          </w:p>
        </w:tc>
        <w:tc>
          <w:tcPr>
            <w:tcW w:w="0" w:type="auto"/>
            <w:gridSpan w:val="2"/>
            <w:shd w:val="clear" w:color="auto" w:fill="E2EFD9"/>
            <w:tcMar>
              <w:top w:w="40" w:type="dxa"/>
              <w:left w:w="20" w:type="dxa"/>
              <w:bottom w:w="40" w:type="dxa"/>
              <w:right w:w="0" w:type="dxa"/>
            </w:tcMar>
            <w:vAlign w:val="bottom"/>
          </w:tcPr>
          <w:p w14:paraId="1E804F81" w14:textId="77777777" w:rsidR="00F20ABF" w:rsidRDefault="00CA4D2F">
            <w:pPr>
              <w:jc w:val="right"/>
              <w:textAlignment w:val="bottom"/>
            </w:pPr>
            <w:r>
              <w:rPr>
                <w:rFonts w:ascii="sans-serif" w:eastAsia="sans-serif" w:hAnsi="sans-serif" w:cs="sans-serif"/>
                <w:color w:val="000000"/>
                <w:sz w:val="20"/>
                <w:szCs w:val="20"/>
              </w:rPr>
              <w:t>1,900 </w:t>
            </w:r>
          </w:p>
        </w:tc>
        <w:tc>
          <w:tcPr>
            <w:tcW w:w="0" w:type="auto"/>
            <w:shd w:val="clear" w:color="auto" w:fill="E2EFD9"/>
            <w:tcMar>
              <w:top w:w="40" w:type="dxa"/>
              <w:left w:w="0" w:type="dxa"/>
              <w:bottom w:w="40" w:type="dxa"/>
              <w:right w:w="20" w:type="dxa"/>
            </w:tcMar>
            <w:vAlign w:val="bottom"/>
          </w:tcPr>
          <w:p w14:paraId="1E804F8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F83"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F84" w14:textId="77777777" w:rsidR="00F20ABF" w:rsidRDefault="00CA4D2F">
            <w:pPr>
              <w:jc w:val="right"/>
              <w:textAlignment w:val="bottom"/>
            </w:pPr>
            <w:r>
              <w:rPr>
                <w:rFonts w:ascii="sans-serif" w:eastAsia="sans-serif" w:hAnsi="sans-serif" w:cs="sans-serif"/>
                <w:color w:val="000000"/>
                <w:sz w:val="20"/>
                <w:szCs w:val="20"/>
              </w:rPr>
              <w:t>726 </w:t>
            </w:r>
          </w:p>
        </w:tc>
        <w:tc>
          <w:tcPr>
            <w:tcW w:w="0" w:type="auto"/>
            <w:shd w:val="clear" w:color="auto" w:fill="E2EFD9"/>
            <w:tcMar>
              <w:top w:w="40" w:type="dxa"/>
              <w:left w:w="0" w:type="dxa"/>
              <w:bottom w:w="40" w:type="dxa"/>
              <w:right w:w="20" w:type="dxa"/>
            </w:tcMar>
            <w:vAlign w:val="bottom"/>
          </w:tcPr>
          <w:p w14:paraId="1E804F8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F86"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F87" w14:textId="77777777" w:rsidR="00F20ABF" w:rsidRDefault="00CA4D2F">
            <w:pPr>
              <w:jc w:val="right"/>
              <w:textAlignment w:val="bottom"/>
            </w:pPr>
            <w:r>
              <w:rPr>
                <w:rFonts w:ascii="sans-serif" w:eastAsia="sans-serif" w:hAnsi="sans-serif" w:cs="sans-serif"/>
                <w:color w:val="000000"/>
                <w:sz w:val="20"/>
                <w:szCs w:val="20"/>
              </w:rPr>
              <w:t>4,793 </w:t>
            </w:r>
          </w:p>
        </w:tc>
        <w:tc>
          <w:tcPr>
            <w:tcW w:w="0" w:type="auto"/>
            <w:shd w:val="clear" w:color="auto" w:fill="E2EFD9"/>
            <w:tcMar>
              <w:top w:w="40" w:type="dxa"/>
              <w:left w:w="0" w:type="dxa"/>
              <w:bottom w:w="40" w:type="dxa"/>
              <w:right w:w="20" w:type="dxa"/>
            </w:tcMar>
            <w:vAlign w:val="bottom"/>
          </w:tcPr>
          <w:p w14:paraId="1E804F8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F8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F8A" w14:textId="77777777" w:rsidR="00F20ABF" w:rsidRDefault="00CA4D2F">
            <w:pPr>
              <w:jc w:val="right"/>
              <w:textAlignment w:val="bottom"/>
            </w:pPr>
            <w:r>
              <w:rPr>
                <w:rFonts w:ascii="sans-serif" w:eastAsia="sans-serif" w:hAnsi="sans-serif" w:cs="sans-serif"/>
                <w:color w:val="000000"/>
                <w:sz w:val="20"/>
                <w:szCs w:val="20"/>
              </w:rPr>
              <w:t>2,015 </w:t>
            </w:r>
          </w:p>
        </w:tc>
        <w:tc>
          <w:tcPr>
            <w:tcW w:w="0" w:type="auto"/>
            <w:shd w:val="clear" w:color="auto" w:fill="E2EFD9"/>
            <w:tcMar>
              <w:top w:w="40" w:type="dxa"/>
              <w:left w:w="0" w:type="dxa"/>
              <w:bottom w:w="40" w:type="dxa"/>
              <w:right w:w="20" w:type="dxa"/>
            </w:tcMar>
            <w:vAlign w:val="bottom"/>
          </w:tcPr>
          <w:p w14:paraId="1E804F8B" w14:textId="77777777" w:rsidR="00F20ABF" w:rsidRDefault="00F20ABF">
            <w:pPr>
              <w:jc w:val="right"/>
              <w:rPr>
                <w:rFonts w:ascii="宋体"/>
              </w:rPr>
            </w:pPr>
          </w:p>
        </w:tc>
      </w:tr>
      <w:tr w:rsidR="00F20ABF" w14:paraId="1E804F99" w14:textId="77777777">
        <w:tc>
          <w:tcPr>
            <w:tcW w:w="0" w:type="auto"/>
            <w:gridSpan w:val="3"/>
            <w:shd w:val="clear" w:color="auto" w:fill="FFFFFF"/>
            <w:tcMar>
              <w:top w:w="40" w:type="dxa"/>
              <w:left w:w="245" w:type="dxa"/>
              <w:bottom w:w="40" w:type="dxa"/>
              <w:right w:w="20" w:type="dxa"/>
            </w:tcMar>
            <w:vAlign w:val="bottom"/>
          </w:tcPr>
          <w:p w14:paraId="1E804F8D" w14:textId="77777777" w:rsidR="00F20ABF" w:rsidRDefault="00CA4D2F">
            <w:pPr>
              <w:textAlignment w:val="bottom"/>
            </w:pPr>
            <w:r>
              <w:rPr>
                <w:rFonts w:ascii="sans-serif" w:eastAsia="sans-serif" w:hAnsi="sans-serif" w:cs="sans-serif"/>
                <w:color w:val="000000"/>
                <w:sz w:val="20"/>
                <w:szCs w:val="20"/>
              </w:rPr>
              <w:t>Automotive</w:t>
            </w:r>
          </w:p>
        </w:tc>
        <w:tc>
          <w:tcPr>
            <w:tcW w:w="0" w:type="auto"/>
            <w:gridSpan w:val="2"/>
            <w:shd w:val="clear" w:color="auto" w:fill="FFFFFF"/>
            <w:tcMar>
              <w:top w:w="40" w:type="dxa"/>
              <w:left w:w="20" w:type="dxa"/>
              <w:bottom w:w="40" w:type="dxa"/>
              <w:right w:w="0" w:type="dxa"/>
            </w:tcMar>
            <w:vAlign w:val="bottom"/>
          </w:tcPr>
          <w:p w14:paraId="1E804F8E" w14:textId="77777777" w:rsidR="00F20ABF" w:rsidRDefault="00CA4D2F">
            <w:pPr>
              <w:jc w:val="right"/>
              <w:textAlignment w:val="bottom"/>
            </w:pPr>
            <w:r>
              <w:rPr>
                <w:rFonts w:ascii="sans-serif" w:eastAsia="sans-serif" w:hAnsi="sans-serif" w:cs="sans-serif"/>
                <w:color w:val="000000"/>
                <w:sz w:val="20"/>
                <w:szCs w:val="20"/>
              </w:rPr>
              <w:t>125 </w:t>
            </w:r>
          </w:p>
        </w:tc>
        <w:tc>
          <w:tcPr>
            <w:tcW w:w="0" w:type="auto"/>
            <w:shd w:val="clear" w:color="auto" w:fill="FFFFFF"/>
            <w:tcMar>
              <w:top w:w="40" w:type="dxa"/>
              <w:left w:w="0" w:type="dxa"/>
              <w:bottom w:w="40" w:type="dxa"/>
              <w:right w:w="20" w:type="dxa"/>
            </w:tcMar>
            <w:vAlign w:val="bottom"/>
          </w:tcPr>
          <w:p w14:paraId="1E804F8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F90"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F91" w14:textId="77777777" w:rsidR="00F20ABF" w:rsidRDefault="00CA4D2F">
            <w:pPr>
              <w:jc w:val="right"/>
              <w:textAlignment w:val="bottom"/>
            </w:pPr>
            <w:r>
              <w:rPr>
                <w:rFonts w:ascii="sans-serif" w:eastAsia="sans-serif" w:hAnsi="sans-serif" w:cs="sans-serif"/>
                <w:color w:val="000000"/>
                <w:sz w:val="20"/>
                <w:szCs w:val="20"/>
              </w:rPr>
              <w:t>162 </w:t>
            </w:r>
          </w:p>
        </w:tc>
        <w:tc>
          <w:tcPr>
            <w:tcW w:w="0" w:type="auto"/>
            <w:shd w:val="clear" w:color="auto" w:fill="FFFFFF"/>
            <w:tcMar>
              <w:top w:w="40" w:type="dxa"/>
              <w:left w:w="0" w:type="dxa"/>
              <w:bottom w:w="40" w:type="dxa"/>
              <w:right w:w="20" w:type="dxa"/>
            </w:tcMar>
            <w:vAlign w:val="bottom"/>
          </w:tcPr>
          <w:p w14:paraId="1E804F9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F9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F94" w14:textId="77777777" w:rsidR="00F20ABF" w:rsidRDefault="00CA4D2F">
            <w:pPr>
              <w:jc w:val="right"/>
              <w:textAlignment w:val="bottom"/>
            </w:pPr>
            <w:r>
              <w:rPr>
                <w:rFonts w:ascii="sans-serif" w:eastAsia="sans-serif" w:hAnsi="sans-serif" w:cs="sans-serif"/>
                <w:color w:val="000000"/>
                <w:sz w:val="20"/>
                <w:szCs w:val="20"/>
              </w:rPr>
              <w:t>391 </w:t>
            </w:r>
          </w:p>
        </w:tc>
        <w:tc>
          <w:tcPr>
            <w:tcW w:w="0" w:type="auto"/>
            <w:shd w:val="clear" w:color="auto" w:fill="FFFFFF"/>
            <w:tcMar>
              <w:top w:w="40" w:type="dxa"/>
              <w:left w:w="0" w:type="dxa"/>
              <w:bottom w:w="40" w:type="dxa"/>
              <w:right w:w="20" w:type="dxa"/>
            </w:tcMar>
            <w:vAlign w:val="bottom"/>
          </w:tcPr>
          <w:p w14:paraId="1E804F9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F96"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4F97" w14:textId="77777777" w:rsidR="00F20ABF" w:rsidRDefault="00CA4D2F">
            <w:pPr>
              <w:jc w:val="right"/>
              <w:textAlignment w:val="bottom"/>
            </w:pPr>
            <w:r>
              <w:rPr>
                <w:rFonts w:ascii="sans-serif" w:eastAsia="sans-serif" w:hAnsi="sans-serif" w:cs="sans-serif"/>
                <w:color w:val="000000"/>
                <w:sz w:val="20"/>
                <w:szCs w:val="20"/>
              </w:rPr>
              <w:t>537 </w:t>
            </w:r>
          </w:p>
        </w:tc>
        <w:tc>
          <w:tcPr>
            <w:tcW w:w="0" w:type="auto"/>
            <w:shd w:val="clear" w:color="auto" w:fill="FFFFFF"/>
            <w:tcMar>
              <w:top w:w="40" w:type="dxa"/>
              <w:left w:w="0" w:type="dxa"/>
              <w:bottom w:w="40" w:type="dxa"/>
              <w:right w:w="20" w:type="dxa"/>
            </w:tcMar>
            <w:vAlign w:val="bottom"/>
          </w:tcPr>
          <w:p w14:paraId="1E804F98" w14:textId="77777777" w:rsidR="00F20ABF" w:rsidRDefault="00F20ABF">
            <w:pPr>
              <w:jc w:val="right"/>
              <w:rPr>
                <w:rFonts w:ascii="宋体"/>
              </w:rPr>
            </w:pPr>
          </w:p>
        </w:tc>
      </w:tr>
      <w:tr w:rsidR="00F20ABF" w14:paraId="1E804FA6" w14:textId="77777777">
        <w:tc>
          <w:tcPr>
            <w:tcW w:w="0" w:type="auto"/>
            <w:gridSpan w:val="3"/>
            <w:shd w:val="clear" w:color="auto" w:fill="E2EFD9"/>
            <w:tcMar>
              <w:top w:w="40" w:type="dxa"/>
              <w:left w:w="245" w:type="dxa"/>
              <w:bottom w:w="40" w:type="dxa"/>
              <w:right w:w="20" w:type="dxa"/>
            </w:tcMar>
            <w:vAlign w:val="bottom"/>
          </w:tcPr>
          <w:p w14:paraId="1E804F9A" w14:textId="77777777" w:rsidR="00F20ABF" w:rsidRDefault="00CA4D2F">
            <w:pPr>
              <w:textAlignment w:val="bottom"/>
            </w:pPr>
            <w:r>
              <w:rPr>
                <w:rFonts w:ascii="sans-serif" w:eastAsia="sans-serif" w:hAnsi="sans-serif" w:cs="sans-serif"/>
                <w:color w:val="000000"/>
                <w:sz w:val="20"/>
                <w:szCs w:val="20"/>
              </w:rPr>
              <w:t>OEM and Other</w:t>
            </w:r>
          </w:p>
        </w:tc>
        <w:tc>
          <w:tcPr>
            <w:tcW w:w="0" w:type="auto"/>
            <w:gridSpan w:val="2"/>
            <w:shd w:val="clear" w:color="auto" w:fill="E2EFD9"/>
            <w:tcMar>
              <w:top w:w="40" w:type="dxa"/>
              <w:left w:w="20" w:type="dxa"/>
              <w:bottom w:w="40" w:type="dxa"/>
              <w:right w:w="0" w:type="dxa"/>
            </w:tcMar>
            <w:vAlign w:val="bottom"/>
          </w:tcPr>
          <w:p w14:paraId="1E804F9B" w14:textId="77777777" w:rsidR="00F20ABF" w:rsidRDefault="00CA4D2F">
            <w:pPr>
              <w:jc w:val="right"/>
              <w:textAlignment w:val="bottom"/>
            </w:pPr>
            <w:r>
              <w:rPr>
                <w:rFonts w:ascii="sans-serif" w:eastAsia="sans-serif" w:hAnsi="sans-serif" w:cs="sans-serif"/>
                <w:color w:val="000000"/>
                <w:sz w:val="20"/>
                <w:szCs w:val="20"/>
              </w:rPr>
              <w:t>194 </w:t>
            </w:r>
          </w:p>
        </w:tc>
        <w:tc>
          <w:tcPr>
            <w:tcW w:w="0" w:type="auto"/>
            <w:shd w:val="clear" w:color="auto" w:fill="E2EFD9"/>
            <w:tcMar>
              <w:top w:w="40" w:type="dxa"/>
              <w:left w:w="0" w:type="dxa"/>
              <w:bottom w:w="40" w:type="dxa"/>
              <w:right w:w="20" w:type="dxa"/>
            </w:tcMar>
            <w:vAlign w:val="bottom"/>
          </w:tcPr>
          <w:p w14:paraId="1E804F9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F9D"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F9E" w14:textId="77777777" w:rsidR="00F20ABF" w:rsidRDefault="00CA4D2F">
            <w:pPr>
              <w:jc w:val="right"/>
              <w:textAlignment w:val="bottom"/>
            </w:pPr>
            <w:r>
              <w:rPr>
                <w:rFonts w:ascii="sans-serif" w:eastAsia="sans-serif" w:hAnsi="sans-serif" w:cs="sans-serif"/>
                <w:color w:val="000000"/>
                <w:sz w:val="20"/>
                <w:szCs w:val="20"/>
              </w:rPr>
              <w:t>143 </w:t>
            </w:r>
          </w:p>
        </w:tc>
        <w:tc>
          <w:tcPr>
            <w:tcW w:w="0" w:type="auto"/>
            <w:shd w:val="clear" w:color="auto" w:fill="E2EFD9"/>
            <w:tcMar>
              <w:top w:w="40" w:type="dxa"/>
              <w:left w:w="0" w:type="dxa"/>
              <w:bottom w:w="40" w:type="dxa"/>
              <w:right w:w="20" w:type="dxa"/>
            </w:tcMar>
            <w:vAlign w:val="bottom"/>
          </w:tcPr>
          <w:p w14:paraId="1E804F9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FA0"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FA1" w14:textId="77777777" w:rsidR="00F20ABF" w:rsidRDefault="00CA4D2F">
            <w:pPr>
              <w:jc w:val="right"/>
              <w:textAlignment w:val="bottom"/>
            </w:pPr>
            <w:r>
              <w:rPr>
                <w:rFonts w:ascii="sans-serif" w:eastAsia="sans-serif" w:hAnsi="sans-serif" w:cs="sans-serif"/>
                <w:color w:val="000000"/>
                <w:sz w:val="20"/>
                <w:szCs w:val="20"/>
              </w:rPr>
              <w:t>478 </w:t>
            </w:r>
          </w:p>
        </w:tc>
        <w:tc>
          <w:tcPr>
            <w:tcW w:w="0" w:type="auto"/>
            <w:shd w:val="clear" w:color="auto" w:fill="E2EFD9"/>
            <w:tcMar>
              <w:top w:w="40" w:type="dxa"/>
              <w:left w:w="0" w:type="dxa"/>
              <w:bottom w:w="40" w:type="dxa"/>
              <w:right w:w="20" w:type="dxa"/>
            </w:tcMar>
            <w:vAlign w:val="bottom"/>
          </w:tcPr>
          <w:p w14:paraId="1E804FA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4FA3"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4FA4" w14:textId="77777777" w:rsidR="00F20ABF" w:rsidRDefault="00CA4D2F">
            <w:pPr>
              <w:jc w:val="right"/>
              <w:textAlignment w:val="bottom"/>
            </w:pPr>
            <w:r>
              <w:rPr>
                <w:rFonts w:ascii="sans-serif" w:eastAsia="sans-serif" w:hAnsi="sans-serif" w:cs="sans-serif"/>
                <w:color w:val="000000"/>
                <w:sz w:val="20"/>
                <w:szCs w:val="20"/>
              </w:rPr>
              <w:t>353 </w:t>
            </w:r>
          </w:p>
        </w:tc>
        <w:tc>
          <w:tcPr>
            <w:tcW w:w="0" w:type="auto"/>
            <w:shd w:val="clear" w:color="auto" w:fill="E2EFD9"/>
            <w:tcMar>
              <w:top w:w="40" w:type="dxa"/>
              <w:left w:w="0" w:type="dxa"/>
              <w:bottom w:w="40" w:type="dxa"/>
              <w:right w:w="20" w:type="dxa"/>
            </w:tcMar>
            <w:vAlign w:val="bottom"/>
          </w:tcPr>
          <w:p w14:paraId="1E804FA5" w14:textId="77777777" w:rsidR="00F20ABF" w:rsidRDefault="00F20ABF">
            <w:pPr>
              <w:jc w:val="right"/>
              <w:rPr>
                <w:rFonts w:ascii="宋体"/>
              </w:rPr>
            </w:pPr>
          </w:p>
        </w:tc>
      </w:tr>
      <w:tr w:rsidR="00F20ABF" w14:paraId="1E804FB7" w14:textId="77777777">
        <w:tc>
          <w:tcPr>
            <w:tcW w:w="0" w:type="auto"/>
            <w:gridSpan w:val="3"/>
            <w:shd w:val="clear" w:color="auto" w:fill="FFFFFF"/>
            <w:tcMar>
              <w:top w:w="40" w:type="dxa"/>
              <w:left w:w="20" w:type="dxa"/>
              <w:bottom w:w="40" w:type="dxa"/>
              <w:right w:w="20" w:type="dxa"/>
            </w:tcMar>
            <w:vAlign w:val="bottom"/>
          </w:tcPr>
          <w:p w14:paraId="1E804FA7" w14:textId="77777777" w:rsidR="00F20ABF" w:rsidRDefault="00CA4D2F">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FA8"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FA9" w14:textId="77777777" w:rsidR="00F20ABF" w:rsidRDefault="00CA4D2F">
            <w:pPr>
              <w:jc w:val="right"/>
              <w:textAlignment w:val="bottom"/>
            </w:pPr>
            <w:r>
              <w:rPr>
                <w:rFonts w:ascii="sans-serif" w:eastAsia="sans-serif" w:hAnsi="sans-serif" w:cs="sans-serif"/>
                <w:color w:val="000000"/>
                <w:sz w:val="20"/>
                <w:szCs w:val="20"/>
              </w:rPr>
              <w:t>4,726 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FA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FAB"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FAC"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FAD" w14:textId="77777777" w:rsidR="00F20ABF" w:rsidRDefault="00CA4D2F">
            <w:pPr>
              <w:jc w:val="right"/>
              <w:textAlignment w:val="bottom"/>
            </w:pPr>
            <w:r>
              <w:rPr>
                <w:rFonts w:ascii="sans-serif" w:eastAsia="sans-serif" w:hAnsi="sans-serif" w:cs="sans-serif"/>
                <w:color w:val="000000"/>
                <w:sz w:val="20"/>
                <w:szCs w:val="20"/>
              </w:rPr>
              <w:t>3,014 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FA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FAF"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FB0"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FB1" w14:textId="77777777" w:rsidR="00F20ABF" w:rsidRDefault="00CA4D2F">
            <w:pPr>
              <w:jc w:val="right"/>
              <w:textAlignment w:val="bottom"/>
            </w:pPr>
            <w:r>
              <w:rPr>
                <w:rFonts w:ascii="sans-serif" w:eastAsia="sans-serif" w:hAnsi="sans-serif" w:cs="sans-serif"/>
                <w:color w:val="000000"/>
                <w:sz w:val="20"/>
                <w:szCs w:val="20"/>
              </w:rPr>
              <w:t>11,672 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FB2"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4FB3" w14:textId="77777777" w:rsidR="00F20ABF" w:rsidRDefault="00F20A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E804FB4"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E804FB5" w14:textId="77777777" w:rsidR="00F20ABF" w:rsidRDefault="00CA4D2F">
            <w:pPr>
              <w:jc w:val="right"/>
              <w:textAlignment w:val="bottom"/>
            </w:pPr>
            <w:r>
              <w:rPr>
                <w:rFonts w:ascii="sans-serif" w:eastAsia="sans-serif" w:hAnsi="sans-serif" w:cs="sans-serif"/>
                <w:color w:val="000000"/>
                <w:sz w:val="20"/>
                <w:szCs w:val="20"/>
              </w:rPr>
              <w:t>7,813 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E804FB6" w14:textId="77777777" w:rsidR="00F20ABF" w:rsidRDefault="00F20ABF">
            <w:pPr>
              <w:jc w:val="right"/>
              <w:rPr>
                <w:rFonts w:ascii="宋体"/>
              </w:rPr>
            </w:pPr>
          </w:p>
        </w:tc>
      </w:tr>
    </w:tbl>
    <w:p w14:paraId="1E804FB8" w14:textId="77777777" w:rsidR="00F20ABF" w:rsidRDefault="00CA4D2F">
      <w:pPr>
        <w:spacing w:after="180"/>
        <w:jc w:val="center"/>
      </w:pPr>
      <w:r>
        <w:rPr>
          <w:rFonts w:ascii="sans-serif" w:eastAsia="sans-serif" w:hAnsi="sans-serif" w:cs="sans-serif"/>
          <w:color w:val="000000"/>
          <w:sz w:val="20"/>
          <w:szCs w:val="20"/>
        </w:rPr>
        <w:t>24</w:t>
      </w:r>
    </w:p>
    <w:p w14:paraId="1E804FB9" w14:textId="77777777" w:rsidR="00F20ABF" w:rsidRDefault="00CA4D2F">
      <w:r>
        <w:pict w14:anchorId="1E805593">
          <v:rect id="_x0000_i1048" style="width:415.3pt;height:1.5pt" o:hralign="center" o:hrstd="t" o:hr="t" fillcolor="#a0a0a0" stroked="f"/>
        </w:pict>
      </w:r>
    </w:p>
    <w:p w14:paraId="1E804FBA" w14:textId="77777777" w:rsidR="00F20ABF" w:rsidRDefault="00CA4D2F">
      <w:pPr>
        <w:jc w:val="center"/>
      </w:pPr>
      <w:r>
        <w:rPr>
          <w:rFonts w:ascii="sans-serif" w:eastAsia="sans-serif" w:hAnsi="sans-serif" w:cs="sans-serif"/>
          <w:b/>
          <w:bCs/>
          <w:color w:val="000000"/>
          <w:sz w:val="20"/>
          <w:szCs w:val="20"/>
        </w:rPr>
        <w:t>NVIDIA CORPORATION AND SUBSIDIARIES</w:t>
      </w:r>
    </w:p>
    <w:p w14:paraId="1E804FBB" w14:textId="77777777" w:rsidR="00F20ABF" w:rsidRDefault="00CA4D2F">
      <w:pPr>
        <w:jc w:val="center"/>
      </w:pPr>
      <w:r>
        <w:rPr>
          <w:rFonts w:ascii="sans-serif" w:eastAsia="sans-serif" w:hAnsi="sans-serif" w:cs="sans-serif"/>
          <w:b/>
          <w:bCs/>
          <w:color w:val="000000"/>
          <w:sz w:val="20"/>
          <w:szCs w:val="20"/>
        </w:rPr>
        <w:t>NOTES TO CONDENSED CONSOLIDATED FINANCIAL STATEMENTS (Continu</w:t>
      </w:r>
      <w:r>
        <w:rPr>
          <w:rFonts w:ascii="sans-serif" w:eastAsia="sans-serif" w:hAnsi="sans-serif" w:cs="sans-serif"/>
          <w:b/>
          <w:bCs/>
          <w:color w:val="000000"/>
          <w:sz w:val="20"/>
          <w:szCs w:val="20"/>
        </w:rPr>
        <w:t>ed)</w:t>
      </w:r>
    </w:p>
    <w:p w14:paraId="1E804FBC" w14:textId="77777777" w:rsidR="00F20ABF" w:rsidRDefault="00CA4D2F">
      <w:pPr>
        <w:jc w:val="center"/>
      </w:pPr>
      <w:r>
        <w:rPr>
          <w:rFonts w:ascii="sans-serif" w:eastAsia="sans-serif" w:hAnsi="sans-serif" w:cs="sans-serif"/>
          <w:b/>
          <w:bCs/>
          <w:color w:val="000000"/>
          <w:sz w:val="20"/>
          <w:szCs w:val="20"/>
        </w:rPr>
        <w:t>(Unaudited)</w:t>
      </w:r>
    </w:p>
    <w:p w14:paraId="1E804FBD" w14:textId="77777777" w:rsidR="00F20ABF" w:rsidRDefault="00F20ABF">
      <w:pPr>
        <w:spacing w:after="180"/>
        <w:jc w:val="both"/>
      </w:pPr>
    </w:p>
    <w:p w14:paraId="1E804FBE" w14:textId="77777777" w:rsidR="00F20ABF" w:rsidRDefault="00F20ABF">
      <w:pPr>
        <w:spacing w:after="180"/>
        <w:jc w:val="both"/>
      </w:pPr>
    </w:p>
    <w:p w14:paraId="1E804FBF" w14:textId="77777777" w:rsidR="00F20ABF" w:rsidRDefault="00CA4D2F">
      <w:pPr>
        <w:spacing w:before="180" w:after="180"/>
        <w:jc w:val="both"/>
      </w:pPr>
      <w:r>
        <w:rPr>
          <w:rFonts w:ascii="sans-serif" w:eastAsia="sans-serif" w:hAnsi="sans-serif" w:cs="sans-serif"/>
          <w:color w:val="000000"/>
          <w:sz w:val="20"/>
          <w:szCs w:val="20"/>
        </w:rPr>
        <w:t xml:space="preserve">No customer represented 10% or more of total revenue for the third quarter and first nine months of fiscal year 2021. One customer represented 10% and 11% of our total revenue for the third quarter and first nine months of fiscal year </w:t>
      </w:r>
      <w:r>
        <w:rPr>
          <w:rFonts w:ascii="sans-serif" w:eastAsia="sans-serif" w:hAnsi="sans-serif" w:cs="sans-serif"/>
          <w:color w:val="000000"/>
          <w:sz w:val="20"/>
          <w:szCs w:val="20"/>
        </w:rPr>
        <w:t>2020, respectively, and was attributable primarily to the Graphics segment.</w:t>
      </w:r>
    </w:p>
    <w:p w14:paraId="1E804FC0" w14:textId="77777777" w:rsidR="00F20ABF" w:rsidRDefault="00CA4D2F">
      <w:pPr>
        <w:spacing w:after="180"/>
        <w:jc w:val="both"/>
      </w:pPr>
      <w:r>
        <w:rPr>
          <w:rFonts w:ascii="sans-serif" w:eastAsia="sans-serif" w:hAnsi="sans-serif" w:cs="sans-serif"/>
          <w:color w:val="000000"/>
          <w:sz w:val="20"/>
          <w:szCs w:val="20"/>
        </w:rPr>
        <w:t>One customer represented 13% and 21% of our accounts receivable balance as of October 25, 2020 and January 26, 2020, respectively.</w:t>
      </w:r>
    </w:p>
    <w:p w14:paraId="1E804FC1" w14:textId="77777777" w:rsidR="00F20ABF" w:rsidRDefault="00CA4D2F">
      <w:pPr>
        <w:spacing w:before="240" w:after="120"/>
        <w:jc w:val="both"/>
      </w:pPr>
      <w:r>
        <w:rPr>
          <w:rFonts w:ascii="sans-serif" w:eastAsia="sans-serif" w:hAnsi="sans-serif" w:cs="sans-serif"/>
          <w:b/>
          <w:bCs/>
          <w:color w:val="76B900"/>
          <w:sz w:val="22"/>
          <w:szCs w:val="22"/>
        </w:rPr>
        <w:t xml:space="preserve">Note 16 - Goodwill </w:t>
      </w:r>
    </w:p>
    <w:p w14:paraId="1E804FC2" w14:textId="77777777" w:rsidR="00F20ABF" w:rsidRDefault="00CA4D2F">
      <w:pPr>
        <w:spacing w:after="180"/>
        <w:jc w:val="both"/>
      </w:pPr>
      <w:r>
        <w:rPr>
          <w:rFonts w:ascii="sans-serif" w:eastAsia="sans-serif" w:hAnsi="sans-serif" w:cs="sans-serif"/>
          <w:color w:val="000000"/>
          <w:sz w:val="20"/>
          <w:szCs w:val="20"/>
        </w:rPr>
        <w:t xml:space="preserve">During the first </w:t>
      </w:r>
      <w:r>
        <w:rPr>
          <w:rFonts w:ascii="sans-serif" w:eastAsia="sans-serif" w:hAnsi="sans-serif" w:cs="sans-serif"/>
          <w:color w:val="000000"/>
          <w:sz w:val="20"/>
          <w:szCs w:val="20"/>
        </w:rPr>
        <w:t>quarter of fiscal year 2021, we changed our operating segments to Graphics and Compute &amp; Networking, as discussed in Note 15 of these Notes to Condensed Consolidated Financial Statements. As a result, our reporting units also changed, and we reassigned the</w:t>
      </w:r>
      <w:r>
        <w:rPr>
          <w:rFonts w:ascii="sans-serif" w:eastAsia="sans-serif" w:hAnsi="sans-serif" w:cs="sans-serif"/>
          <w:color w:val="000000"/>
          <w:sz w:val="20"/>
          <w:szCs w:val="20"/>
        </w:rPr>
        <w:t xml:space="preserve"> goodwill balance to the new reporting units based on their relative fair values. We determined there was no goodwill impairment immediately prior to the reorganization. As of October 25, 2020, the total carrying amount of goodwill was $4.19 billion and th</w:t>
      </w:r>
      <w:r>
        <w:rPr>
          <w:rFonts w:ascii="sans-serif" w:eastAsia="sans-serif" w:hAnsi="sans-serif" w:cs="sans-serif"/>
          <w:color w:val="000000"/>
          <w:sz w:val="20"/>
          <w:szCs w:val="20"/>
        </w:rPr>
        <w:t>e amount of goodwill allocated to our Graphics and Compute &amp; Networking reporting units was $347 million and $3.85 billion, respectively. In the first nine months of fiscal year 2021, goodwill increased by $3.57 billion. The increase in goodwill in the fir</w:t>
      </w:r>
      <w:r>
        <w:rPr>
          <w:rFonts w:ascii="sans-serif" w:eastAsia="sans-serif" w:hAnsi="sans-serif" w:cs="sans-serif"/>
          <w:color w:val="000000"/>
          <w:sz w:val="20"/>
          <w:szCs w:val="20"/>
        </w:rPr>
        <w:t>st nine months of fiscal year 2021 was due to goodwill of $3.43 billion arising from the Mellanox acquisition, and goodwill of $133 million from other acquisition activity, both of which were allocated to the Compute &amp; Networking reporting unit.</w:t>
      </w:r>
    </w:p>
    <w:p w14:paraId="1E804FC3" w14:textId="77777777" w:rsidR="00F20ABF" w:rsidRDefault="00CA4D2F">
      <w:pPr>
        <w:spacing w:before="240" w:after="120"/>
        <w:jc w:val="both"/>
      </w:pPr>
      <w:r>
        <w:rPr>
          <w:rFonts w:ascii="sans-serif" w:eastAsia="sans-serif" w:hAnsi="sans-serif" w:cs="sans-serif"/>
          <w:b/>
          <w:bCs/>
          <w:color w:val="76B900"/>
          <w:sz w:val="22"/>
          <w:szCs w:val="22"/>
        </w:rPr>
        <w:t>ITEM 2. MA</w:t>
      </w:r>
      <w:r>
        <w:rPr>
          <w:rFonts w:ascii="sans-serif" w:eastAsia="sans-serif" w:hAnsi="sans-serif" w:cs="sans-serif"/>
          <w:b/>
          <w:bCs/>
          <w:color w:val="76B900"/>
          <w:sz w:val="22"/>
          <w:szCs w:val="22"/>
        </w:rPr>
        <w:t>NAGEMENT’S DISCUSSION AND ANALYSIS OF FINANCIAL CONDITION AND RESULTS OF OPERATIONS</w:t>
      </w:r>
    </w:p>
    <w:p w14:paraId="1E804FC4" w14:textId="77777777" w:rsidR="00F20ABF" w:rsidRDefault="00CA4D2F">
      <w:pPr>
        <w:spacing w:before="120" w:after="60"/>
        <w:jc w:val="both"/>
      </w:pPr>
      <w:r>
        <w:rPr>
          <w:rFonts w:ascii="sans-serif" w:eastAsia="sans-serif" w:hAnsi="sans-serif" w:cs="sans-serif"/>
          <w:b/>
          <w:bCs/>
          <w:color w:val="76B900"/>
          <w:sz w:val="20"/>
          <w:szCs w:val="20"/>
        </w:rPr>
        <w:t>Forward-Looking Statements</w:t>
      </w:r>
      <w:r>
        <w:rPr>
          <w:rFonts w:ascii="sans-serif" w:eastAsia="sans-serif" w:hAnsi="sans-serif" w:cs="sans-serif"/>
          <w:i/>
          <w:iCs/>
          <w:color w:val="000000"/>
          <w:sz w:val="20"/>
          <w:szCs w:val="20"/>
        </w:rPr>
        <w:t> </w:t>
      </w:r>
    </w:p>
    <w:p w14:paraId="1E804FC5" w14:textId="77777777" w:rsidR="00F20ABF" w:rsidRDefault="00CA4D2F">
      <w:pPr>
        <w:spacing w:after="180"/>
        <w:jc w:val="both"/>
      </w:pPr>
      <w:r>
        <w:rPr>
          <w:rFonts w:ascii="sans-serif" w:eastAsia="sans-serif" w:hAnsi="sans-serif" w:cs="sans-serif"/>
          <w:i/>
          <w:iCs/>
          <w:color w:val="000000"/>
          <w:sz w:val="20"/>
          <w:szCs w:val="20"/>
        </w:rPr>
        <w:t>This Quarterly Report on Form 10-Q contains forward-looking statements within the meaning of Section 27A of the Securities Act of 1933, as amend</w:t>
      </w:r>
      <w:r>
        <w:rPr>
          <w:rFonts w:ascii="sans-serif" w:eastAsia="sans-serif" w:hAnsi="sans-serif" w:cs="sans-serif"/>
          <w:i/>
          <w:iCs/>
          <w:color w:val="000000"/>
          <w:sz w:val="20"/>
          <w:szCs w:val="20"/>
        </w:rPr>
        <w:t>ed, and Section 21E of the Securities Exchange Act of 1934, as amended, which are subject to the “safe harbor” created by those sections. Forward-looking statements are based on our management’s beliefs and assumptions and on information currently availabl</w:t>
      </w:r>
      <w:r>
        <w:rPr>
          <w:rFonts w:ascii="sans-serif" w:eastAsia="sans-serif" w:hAnsi="sans-serif" w:cs="sans-serif"/>
          <w:i/>
          <w:iCs/>
          <w:color w:val="000000"/>
          <w:sz w:val="20"/>
          <w:szCs w:val="20"/>
        </w:rPr>
        <w:t>e to our management. In some cases, you can identify forward-looking statements by terms such as “may,” “will,” “should,” “could,” “goal,” “would,” “expect,” “plan,” “anticipate,” “believe,” “estimate,” “project,” “predict,” “potential” and similar express</w:t>
      </w:r>
      <w:r>
        <w:rPr>
          <w:rFonts w:ascii="sans-serif" w:eastAsia="sans-serif" w:hAnsi="sans-serif" w:cs="sans-serif"/>
          <w:i/>
          <w:iCs/>
          <w:color w:val="000000"/>
          <w:sz w:val="20"/>
          <w:szCs w:val="20"/>
        </w:rPr>
        <w:t>ions intended to identify forward-looking statements. Other statements in this Form 10-Q regarding the potential future impact of the COVID-19 pandemic on the Company’s business and results of operations are forward-looking statements. These statements inv</w:t>
      </w:r>
      <w:r>
        <w:rPr>
          <w:rFonts w:ascii="sans-serif" w:eastAsia="sans-serif" w:hAnsi="sans-serif" w:cs="sans-serif"/>
          <w:i/>
          <w:iCs/>
          <w:color w:val="000000"/>
          <w:sz w:val="20"/>
          <w:szCs w:val="20"/>
        </w:rPr>
        <w:t>olve known and unknown risks, uncertainties and other factors, which may cause our actual results, performance, time frames or achievements to be materially different from any future results, performance, time frames or achievements expressed or implied by</w:t>
      </w:r>
      <w:r>
        <w:rPr>
          <w:rFonts w:ascii="sans-serif" w:eastAsia="sans-serif" w:hAnsi="sans-serif" w:cs="sans-serif"/>
          <w:i/>
          <w:iCs/>
          <w:color w:val="000000"/>
          <w:sz w:val="20"/>
          <w:szCs w:val="20"/>
        </w:rPr>
        <w:t xml:space="preserve"> the forward-looking statements. We discuss many of these risks, uncertainties and other factors in this Quarterly Report on Form 10-Q in greater detail under the heading “Risk Factors.” Given these risks, uncertainties and other factors, you should not pl</w:t>
      </w:r>
      <w:r>
        <w:rPr>
          <w:rFonts w:ascii="sans-serif" w:eastAsia="sans-serif" w:hAnsi="sans-serif" w:cs="sans-serif"/>
          <w:i/>
          <w:iCs/>
          <w:color w:val="000000"/>
          <w:sz w:val="20"/>
          <w:szCs w:val="20"/>
        </w:rPr>
        <w:t>ace undue reliance on these forward-looking statements. Also, these forward-looking statements represent our estimates and assumptions only as of the date of this filing. You should read this Quarterly Report on Form 10-Q completely and with the understand</w:t>
      </w:r>
      <w:r>
        <w:rPr>
          <w:rFonts w:ascii="sans-serif" w:eastAsia="sans-serif" w:hAnsi="sans-serif" w:cs="sans-serif"/>
          <w:i/>
          <w:iCs/>
          <w:color w:val="000000"/>
          <w:sz w:val="20"/>
          <w:szCs w:val="20"/>
        </w:rPr>
        <w:t>ing that our actual future results may be materially different from what we expect. We hereby qualify our forward-looking statements by these cautionary statements. Except as required by law, we assume no obligation to update these forward-looking statemen</w:t>
      </w:r>
      <w:r>
        <w:rPr>
          <w:rFonts w:ascii="sans-serif" w:eastAsia="sans-serif" w:hAnsi="sans-serif" w:cs="sans-serif"/>
          <w:i/>
          <w:iCs/>
          <w:color w:val="000000"/>
          <w:sz w:val="20"/>
          <w:szCs w:val="20"/>
        </w:rPr>
        <w:t>ts publicly, or to update the reasons actual results could differ materially from those anticipated in these forward-looking statements, even if new information becomes available in the</w:t>
      </w:r>
      <w:r>
        <w:rPr>
          <w:rFonts w:ascii="sans-serif" w:eastAsia="sans-serif" w:hAnsi="sans-serif" w:cs="sans-serif"/>
          <w:color w:val="000000"/>
          <w:sz w:val="20"/>
          <w:szCs w:val="20"/>
        </w:rPr>
        <w:t xml:space="preserve"> future.</w:t>
      </w:r>
    </w:p>
    <w:p w14:paraId="1E804FC6" w14:textId="77777777" w:rsidR="00F20ABF" w:rsidRDefault="00CA4D2F">
      <w:pPr>
        <w:spacing w:after="180"/>
        <w:jc w:val="both"/>
      </w:pPr>
      <w:r>
        <w:rPr>
          <w:rFonts w:ascii="sans-serif" w:eastAsia="sans-serif" w:hAnsi="sans-serif" w:cs="sans-serif"/>
          <w:color w:val="000000"/>
          <w:sz w:val="20"/>
          <w:szCs w:val="20"/>
        </w:rPr>
        <w:t>All references to “NVIDIA,” “we,” “us,” “our” or the “Company”</w:t>
      </w:r>
      <w:r>
        <w:rPr>
          <w:rFonts w:ascii="sans-serif" w:eastAsia="sans-serif" w:hAnsi="sans-serif" w:cs="sans-serif"/>
          <w:color w:val="000000"/>
          <w:sz w:val="20"/>
          <w:szCs w:val="20"/>
        </w:rPr>
        <w:t xml:space="preserve"> mean NVIDIA Corporation and its subsidiaries.</w:t>
      </w:r>
    </w:p>
    <w:p w14:paraId="1E804FC7" w14:textId="77777777" w:rsidR="00F20ABF" w:rsidRDefault="00CA4D2F">
      <w:pPr>
        <w:spacing w:after="180"/>
        <w:jc w:val="both"/>
      </w:pPr>
      <w:r>
        <w:rPr>
          <w:rFonts w:ascii="sans-serif" w:eastAsia="sans-serif" w:hAnsi="sans-serif" w:cs="sans-serif"/>
          <w:color w:val="000000"/>
          <w:sz w:val="20"/>
          <w:szCs w:val="20"/>
        </w:rPr>
        <w:t>NVIDIA, the NVIDIA logo, GeForce, DRIVE AGX Orin, GeForce NOW, GeForce RTX SUPER, NVIDIA A100, NVIDIA Broadcast, NVIDIA CloudXR, NVIDIA CUDA, NVIDIA DLSS, NVIDIA DGX A100, NVIDIA DGX SuperPOD, NVIDIA DRIVE, NV</w:t>
      </w:r>
      <w:r>
        <w:rPr>
          <w:rFonts w:ascii="sans-serif" w:eastAsia="sans-serif" w:hAnsi="sans-serif" w:cs="sans-serif"/>
          <w:color w:val="000000"/>
          <w:sz w:val="20"/>
          <w:szCs w:val="20"/>
        </w:rPr>
        <w:t>IDIA EGX, NVIDIA GRID, NVIDIA Jarvis, NVIDIA Jetson, NVIDIA Maxine, NVIDIA Merlin, NVIDIA Omniverse, NVIDIA Omniverse Machinima, NVIDIA Reflex, NVIDIA RTX, Mellanox, Quadro, Quadro RTX, Quadro View and Tegra are trademarks and/or registered trademarks of N</w:t>
      </w:r>
      <w:r>
        <w:rPr>
          <w:rFonts w:ascii="sans-serif" w:eastAsia="sans-serif" w:hAnsi="sans-serif" w:cs="sans-serif"/>
          <w:color w:val="000000"/>
          <w:sz w:val="20"/>
          <w:szCs w:val="20"/>
        </w:rPr>
        <w:t>VIDIA Corporation in the United States and/or other countries. Other company and product names may be trademarks of the respective companies with which they are associated. Features, pricing, availability, and specifications are subject to change without n</w:t>
      </w:r>
      <w:r>
        <w:rPr>
          <w:rFonts w:ascii="sans-serif" w:eastAsia="sans-serif" w:hAnsi="sans-serif" w:cs="sans-serif"/>
          <w:color w:val="000000"/>
          <w:sz w:val="20"/>
          <w:szCs w:val="20"/>
        </w:rPr>
        <w:t>otice.</w:t>
      </w:r>
    </w:p>
    <w:p w14:paraId="1E804FC8" w14:textId="77777777" w:rsidR="00F20ABF" w:rsidRDefault="00CA4D2F">
      <w:pPr>
        <w:spacing w:after="180"/>
        <w:jc w:val="both"/>
      </w:pPr>
      <w:r>
        <w:rPr>
          <w:rFonts w:ascii="sans-serif" w:eastAsia="sans-serif" w:hAnsi="sans-serif" w:cs="sans-serif"/>
          <w:color w:val="000000"/>
          <w:sz w:val="20"/>
          <w:szCs w:val="20"/>
        </w:rPr>
        <w:t>The following discussion and analysis of our financial condition and results of operations should be read in conjunction with “Item 6. Selected Financial Data” of our Annual Report on Form 10-K for the fiscal year ended January 26, 2020 and “Item 1A</w:t>
      </w:r>
      <w:r>
        <w:rPr>
          <w:rFonts w:ascii="sans-serif" w:eastAsia="sans-serif" w:hAnsi="sans-serif" w:cs="sans-serif"/>
          <w:color w:val="000000"/>
          <w:sz w:val="20"/>
          <w:szCs w:val="20"/>
        </w:rPr>
        <w:t>. Risk Factors” of this Quarterly Report on Form 10-Q and our Condensed Consolidated Financial Statements and related Notes thereto, as well as other cautionary statements and risks described elsewhere in this Quarterly Report on Form 10-Q, before deciding</w:t>
      </w:r>
      <w:r>
        <w:rPr>
          <w:rFonts w:ascii="sans-serif" w:eastAsia="sans-serif" w:hAnsi="sans-serif" w:cs="sans-serif"/>
          <w:color w:val="000000"/>
          <w:sz w:val="20"/>
          <w:szCs w:val="20"/>
        </w:rPr>
        <w:t xml:space="preserve"> to purchase or sell shares of our common stock.</w:t>
      </w:r>
    </w:p>
    <w:p w14:paraId="1E804FC9" w14:textId="77777777" w:rsidR="00F20ABF" w:rsidRDefault="00CA4D2F">
      <w:pPr>
        <w:spacing w:after="180"/>
        <w:jc w:val="center"/>
      </w:pPr>
      <w:r>
        <w:rPr>
          <w:rFonts w:ascii="sans-serif" w:eastAsia="sans-serif" w:hAnsi="sans-serif" w:cs="sans-serif"/>
          <w:color w:val="000000"/>
          <w:sz w:val="20"/>
          <w:szCs w:val="20"/>
        </w:rPr>
        <w:t>25</w:t>
      </w:r>
    </w:p>
    <w:p w14:paraId="1E804FCA" w14:textId="77777777" w:rsidR="00F20ABF" w:rsidRDefault="00CA4D2F">
      <w:r>
        <w:pict w14:anchorId="1E805594">
          <v:rect id="_x0000_i1049" style="width:415.3pt;height:1.5pt" o:hralign="center" o:hrstd="t" o:hr="t" fillcolor="#a0a0a0" stroked="f"/>
        </w:pict>
      </w:r>
    </w:p>
    <w:p w14:paraId="1E804FCB" w14:textId="77777777" w:rsidR="00F20ABF" w:rsidRDefault="00F20ABF">
      <w:pPr>
        <w:spacing w:after="180"/>
        <w:jc w:val="both"/>
      </w:pPr>
    </w:p>
    <w:p w14:paraId="1E804FCC" w14:textId="77777777" w:rsidR="00F20ABF" w:rsidRDefault="00F20ABF">
      <w:pPr>
        <w:spacing w:after="180"/>
        <w:jc w:val="both"/>
      </w:pPr>
    </w:p>
    <w:p w14:paraId="1E804FCD" w14:textId="77777777" w:rsidR="00F20ABF" w:rsidRDefault="00F20ABF">
      <w:pPr>
        <w:spacing w:after="180"/>
        <w:jc w:val="both"/>
      </w:pPr>
    </w:p>
    <w:p w14:paraId="1E804FCE" w14:textId="77777777" w:rsidR="00F20ABF" w:rsidRDefault="00CA4D2F">
      <w:pPr>
        <w:spacing w:before="60" w:after="60"/>
        <w:jc w:val="both"/>
      </w:pPr>
      <w:r>
        <w:rPr>
          <w:rFonts w:ascii="sans-serif" w:eastAsia="sans-serif" w:hAnsi="sans-serif" w:cs="sans-serif"/>
          <w:b/>
          <w:bCs/>
          <w:color w:val="76B900"/>
          <w:sz w:val="20"/>
          <w:szCs w:val="20"/>
        </w:rPr>
        <w:t>Overview</w:t>
      </w:r>
    </w:p>
    <w:p w14:paraId="1E804FCF" w14:textId="77777777" w:rsidR="00F20ABF" w:rsidRDefault="00CA4D2F">
      <w:pPr>
        <w:spacing w:before="120" w:after="120"/>
        <w:jc w:val="both"/>
      </w:pPr>
      <w:r>
        <w:rPr>
          <w:rFonts w:ascii="sans-serif" w:eastAsia="sans-serif" w:hAnsi="sans-serif" w:cs="sans-serif"/>
          <w:b/>
          <w:bCs/>
          <w:color w:val="000000"/>
          <w:sz w:val="20"/>
          <w:szCs w:val="20"/>
        </w:rPr>
        <w:t>Our Company and Our Businesses</w:t>
      </w:r>
    </w:p>
    <w:p w14:paraId="1E804FD0" w14:textId="77777777" w:rsidR="00F20ABF" w:rsidRDefault="00CA4D2F">
      <w:pPr>
        <w:spacing w:after="180"/>
        <w:jc w:val="both"/>
      </w:pPr>
      <w:r>
        <w:rPr>
          <w:rFonts w:ascii="sans-serif" w:eastAsia="sans-serif" w:hAnsi="sans-serif" w:cs="sans-serif"/>
          <w:color w:val="000000"/>
          <w:sz w:val="20"/>
          <w:szCs w:val="20"/>
        </w:rPr>
        <w:t>NVIDIA pioneered accelerated computing to help solve the most challenging computational problems. Starting with a focus on PC graphics, we extended our focus i</w:t>
      </w:r>
      <w:r>
        <w:rPr>
          <w:rFonts w:ascii="sans-serif" w:eastAsia="sans-serif" w:hAnsi="sans-serif" w:cs="sans-serif"/>
          <w:color w:val="000000"/>
          <w:sz w:val="20"/>
          <w:szCs w:val="20"/>
        </w:rPr>
        <w:t xml:space="preserve">n recent years to the revolutionary field of AI. Fueled by the sustained demand for exceptional 3D graphics and the scale of the gaming market, NVIDIA leveraged its GPU architecture to create platforms for virtual reality, HPC, and AI. </w:t>
      </w:r>
    </w:p>
    <w:p w14:paraId="1E804FD1" w14:textId="77777777" w:rsidR="00F20ABF" w:rsidRDefault="00CA4D2F">
      <w:pPr>
        <w:spacing w:after="180"/>
        <w:jc w:val="both"/>
      </w:pPr>
      <w:r>
        <w:rPr>
          <w:rFonts w:ascii="sans-serif" w:eastAsia="sans-serif" w:hAnsi="sans-serif" w:cs="sans-serif"/>
          <w:color w:val="000000"/>
          <w:sz w:val="20"/>
          <w:szCs w:val="20"/>
        </w:rPr>
        <w:t>Through fiscal year</w:t>
      </w:r>
      <w:r>
        <w:rPr>
          <w:rFonts w:ascii="sans-serif" w:eastAsia="sans-serif" w:hAnsi="sans-serif" w:cs="sans-serif"/>
          <w:color w:val="000000"/>
          <w:sz w:val="20"/>
          <w:szCs w:val="20"/>
        </w:rPr>
        <w:t xml:space="preserve"> 2020, our reportable segments were GPU and Tegra Processor. Starting with the first quarter of fiscal year 2021, our reportable segments have changed to "Graphics" and "Compute &amp; Networking". </w:t>
      </w:r>
    </w:p>
    <w:p w14:paraId="1E804FD2" w14:textId="77777777" w:rsidR="00F20ABF" w:rsidRDefault="00CA4D2F">
      <w:pPr>
        <w:spacing w:after="180"/>
        <w:jc w:val="both"/>
      </w:pPr>
      <w:r>
        <w:rPr>
          <w:rFonts w:ascii="sans-serif" w:eastAsia="sans-serif" w:hAnsi="sans-serif" w:cs="sans-serif"/>
          <w:color w:val="000000"/>
          <w:sz w:val="20"/>
          <w:szCs w:val="20"/>
        </w:rPr>
        <w:t>Our Graphics segment includes GeForce GPUs for gaming and PCs,</w:t>
      </w:r>
      <w:r>
        <w:rPr>
          <w:rFonts w:ascii="sans-serif" w:eastAsia="sans-serif" w:hAnsi="sans-serif" w:cs="sans-serif"/>
          <w:color w:val="000000"/>
          <w:sz w:val="20"/>
          <w:szCs w:val="20"/>
        </w:rPr>
        <w:t xml:space="preserve"> the GeForce NOW game streaming service and related infrastructure, and solutions for gaming platforms; Quadro GPUs for enterprise design; GRID software for cloud-based visual and virtual computing; and automotive platforms for infotainment systems. </w:t>
      </w:r>
    </w:p>
    <w:p w14:paraId="1E804FD3" w14:textId="77777777" w:rsidR="00F20ABF" w:rsidRDefault="00CA4D2F">
      <w:pPr>
        <w:spacing w:after="180"/>
        <w:jc w:val="both"/>
      </w:pPr>
      <w:r>
        <w:rPr>
          <w:rFonts w:ascii="sans-serif" w:eastAsia="sans-serif" w:hAnsi="sans-serif" w:cs="sans-serif"/>
          <w:color w:val="000000"/>
          <w:sz w:val="20"/>
          <w:szCs w:val="20"/>
        </w:rPr>
        <w:t>Our Compute &amp; Networking segment includes Data Center platforms and systems for AI, HPC, and accelerated computing; Mellanox networking and interconnect solutions; DRIVE for autonomous vehicles; and Jetson for robotics and other embedded platforms.</w:t>
      </w:r>
    </w:p>
    <w:p w14:paraId="1E804FD4" w14:textId="77777777" w:rsidR="00F20ABF" w:rsidRDefault="00CA4D2F">
      <w:pPr>
        <w:spacing w:after="180"/>
        <w:jc w:val="both"/>
      </w:pPr>
      <w:r>
        <w:rPr>
          <w:rFonts w:ascii="sans-serif" w:eastAsia="sans-serif" w:hAnsi="sans-serif" w:cs="sans-serif"/>
          <w:color w:val="000000"/>
          <w:sz w:val="20"/>
          <w:szCs w:val="20"/>
        </w:rPr>
        <w:t>All pri</w:t>
      </w:r>
      <w:r>
        <w:rPr>
          <w:rFonts w:ascii="sans-serif" w:eastAsia="sans-serif" w:hAnsi="sans-serif" w:cs="sans-serif"/>
          <w:color w:val="000000"/>
          <w:sz w:val="20"/>
          <w:szCs w:val="20"/>
        </w:rPr>
        <w:t>or period comparisons presented reflect our new reportable segments. Our market platforms – Gaming, Professional Visualization, Data Center, Automotive, OEM and Other – remain unchanged.</w:t>
      </w:r>
    </w:p>
    <w:p w14:paraId="1E804FD5" w14:textId="77777777" w:rsidR="00F20ABF" w:rsidRDefault="00CA4D2F">
      <w:pPr>
        <w:spacing w:after="180"/>
        <w:jc w:val="both"/>
      </w:pPr>
      <w:r>
        <w:rPr>
          <w:rFonts w:ascii="sans-serif" w:eastAsia="sans-serif" w:hAnsi="sans-serif" w:cs="sans-serif"/>
          <w:color w:val="000000"/>
          <w:sz w:val="20"/>
          <w:szCs w:val="20"/>
        </w:rPr>
        <w:t xml:space="preserve">Headquartered in Santa Clara, California, NVIDIA was incorporated in </w:t>
      </w:r>
      <w:r>
        <w:rPr>
          <w:rFonts w:ascii="sans-serif" w:eastAsia="sans-serif" w:hAnsi="sans-serif" w:cs="sans-serif"/>
          <w:color w:val="000000"/>
          <w:sz w:val="20"/>
          <w:szCs w:val="20"/>
        </w:rPr>
        <w:t>California in April 1993 and reincorporated in Delaware in April 1998.</w:t>
      </w:r>
    </w:p>
    <w:p w14:paraId="1E804FD6" w14:textId="77777777" w:rsidR="00F20ABF" w:rsidRDefault="00CA4D2F">
      <w:pPr>
        <w:spacing w:after="180"/>
        <w:jc w:val="center"/>
      </w:pPr>
      <w:r>
        <w:rPr>
          <w:rFonts w:ascii="sans-serif" w:eastAsia="sans-serif" w:hAnsi="sans-serif" w:cs="sans-serif"/>
          <w:color w:val="000000"/>
          <w:sz w:val="20"/>
          <w:szCs w:val="20"/>
        </w:rPr>
        <w:t>26</w:t>
      </w:r>
    </w:p>
    <w:p w14:paraId="1E804FD7" w14:textId="77777777" w:rsidR="00F20ABF" w:rsidRDefault="00CA4D2F">
      <w:r>
        <w:pict w14:anchorId="1E805595">
          <v:rect id="_x0000_i1050" style="width:415.3pt;height:1.5pt" o:hralign="center" o:hrstd="t" o:hr="t" fillcolor="#a0a0a0" stroked="f"/>
        </w:pict>
      </w:r>
    </w:p>
    <w:p w14:paraId="1E804FD8" w14:textId="77777777" w:rsidR="00F20ABF" w:rsidRDefault="00F20ABF">
      <w:pPr>
        <w:spacing w:after="180"/>
        <w:jc w:val="both"/>
      </w:pPr>
    </w:p>
    <w:p w14:paraId="1E804FD9" w14:textId="77777777" w:rsidR="00F20ABF" w:rsidRDefault="00F20ABF">
      <w:pPr>
        <w:spacing w:after="180"/>
        <w:jc w:val="both"/>
      </w:pPr>
    </w:p>
    <w:p w14:paraId="1E804FDA" w14:textId="77777777" w:rsidR="00F20ABF" w:rsidRDefault="00F20ABF">
      <w:pPr>
        <w:spacing w:after="180"/>
        <w:jc w:val="both"/>
      </w:pPr>
    </w:p>
    <w:p w14:paraId="1E804FDB" w14:textId="77777777" w:rsidR="00F20ABF" w:rsidRDefault="00CA4D2F">
      <w:pPr>
        <w:spacing w:before="240" w:after="120"/>
        <w:jc w:val="both"/>
      </w:pPr>
      <w:r>
        <w:rPr>
          <w:rFonts w:ascii="sans-serif" w:eastAsia="sans-serif" w:hAnsi="sans-serif" w:cs="sans-serif"/>
          <w:b/>
          <w:bCs/>
          <w:color w:val="76B900"/>
          <w:sz w:val="22"/>
          <w:szCs w:val="22"/>
        </w:rPr>
        <w:t>Recent Developments, Future Objectives and Challenges</w:t>
      </w:r>
    </w:p>
    <w:p w14:paraId="1E804FDC" w14:textId="77777777" w:rsidR="00F20ABF" w:rsidRDefault="00CA4D2F">
      <w:pPr>
        <w:spacing w:before="120" w:after="120"/>
        <w:jc w:val="both"/>
      </w:pPr>
      <w:r>
        <w:rPr>
          <w:rFonts w:ascii="sans-serif" w:eastAsia="sans-serif" w:hAnsi="sans-serif" w:cs="sans-serif"/>
          <w:b/>
          <w:bCs/>
          <w:color w:val="000000"/>
          <w:sz w:val="20"/>
          <w:szCs w:val="20"/>
        </w:rPr>
        <w:t>Pending Acquisition of Arm Limited</w:t>
      </w:r>
    </w:p>
    <w:p w14:paraId="1E804FDD" w14:textId="77777777" w:rsidR="00F20ABF" w:rsidRDefault="00CA4D2F">
      <w:pPr>
        <w:spacing w:after="180"/>
        <w:jc w:val="both"/>
      </w:pPr>
      <w:r>
        <w:rPr>
          <w:rFonts w:ascii="sans-serif" w:eastAsia="sans-serif" w:hAnsi="sans-serif" w:cs="sans-serif"/>
          <w:color w:val="000000"/>
          <w:sz w:val="20"/>
          <w:szCs w:val="20"/>
        </w:rPr>
        <w:t>On September 13, 2020, we entered into a Purchase Agreement with Arm and SoftBank for us</w:t>
      </w:r>
      <w:r>
        <w:rPr>
          <w:rFonts w:ascii="sans-serif" w:eastAsia="sans-serif" w:hAnsi="sans-serif" w:cs="sans-serif"/>
          <w:color w:val="000000"/>
          <w:sz w:val="20"/>
          <w:szCs w:val="20"/>
        </w:rPr>
        <w:t xml:space="preserve"> to acquire, from SoftBank, all of the allotted and issued ordinary shares of Arm in a transaction valued at $40 billion. We paid $2 billion in Signing Consideration and will pay upon closing of the acquisition $10 billion in cash and issue to SoftBank 44.</w:t>
      </w:r>
      <w:r>
        <w:rPr>
          <w:rFonts w:ascii="sans-serif" w:eastAsia="sans-serif" w:hAnsi="sans-serif" w:cs="sans-serif"/>
          <w:color w:val="000000"/>
          <w:sz w:val="20"/>
          <w:szCs w:val="20"/>
        </w:rPr>
        <w:t>3 million shares of our common stock with an aggregate value of $21.5 billion. The transaction includes a potential earn out, which is contingent on the achievement of certain financial performance targets by Arm during the fiscal year ending March 31, 202</w:t>
      </w:r>
      <w:r>
        <w:rPr>
          <w:rFonts w:ascii="sans-serif" w:eastAsia="sans-serif" w:hAnsi="sans-serif" w:cs="sans-serif"/>
          <w:color w:val="000000"/>
          <w:sz w:val="20"/>
          <w:szCs w:val="20"/>
        </w:rPr>
        <w:t>2. If the financial performance targets are achieved, Softbank can elect to receive either up to $5 billion in cash or up to 10.3 million shares of our common stock. We will issue up to $1.5 billion in restricted stock units to Arm employees after closing.</w:t>
      </w:r>
      <w:r>
        <w:rPr>
          <w:rFonts w:ascii="sans-serif" w:eastAsia="sans-serif" w:hAnsi="sans-serif" w:cs="sans-serif"/>
          <w:color w:val="000000"/>
          <w:sz w:val="20"/>
          <w:szCs w:val="20"/>
        </w:rPr>
        <w:t xml:space="preserve"> The $2 billion paid upon signing was allocated between advanced consideration for the acquisition of $1.36 billion and the prepayment of intellectual property licenses from Arm of $0.17 billion and royalties of $0.47 billion. The closing of the acquisitio</w:t>
      </w:r>
      <w:r>
        <w:rPr>
          <w:rFonts w:ascii="sans-serif" w:eastAsia="sans-serif" w:hAnsi="sans-serif" w:cs="sans-serif"/>
          <w:color w:val="000000"/>
          <w:sz w:val="20"/>
          <w:szCs w:val="20"/>
        </w:rPr>
        <w:t>n is subject to customary closing conditions, including receipt of specified governmental and regulatory consents and approvals and expiration of any related mandatory waiting period, and Arm's implementation of the reorganization and distribution of Arm’s</w:t>
      </w:r>
      <w:r>
        <w:rPr>
          <w:rFonts w:ascii="sans-serif" w:eastAsia="sans-serif" w:hAnsi="sans-serif" w:cs="sans-serif"/>
          <w:color w:val="000000"/>
          <w:sz w:val="20"/>
          <w:szCs w:val="20"/>
        </w:rPr>
        <w:t xml:space="preserve"> IoT Services Group and certain other assets and liabilities. If the Purchase Agreement is terminated under certain circumstances, we will be refunded $1.25 billion of the Signing Consideration. The $2 billion payment upon signing was allocated on a fair v</w:t>
      </w:r>
      <w:r>
        <w:rPr>
          <w:rFonts w:ascii="sans-serif" w:eastAsia="sans-serif" w:hAnsi="sans-serif" w:cs="sans-serif"/>
          <w:color w:val="000000"/>
          <w:sz w:val="20"/>
          <w:szCs w:val="20"/>
        </w:rPr>
        <w:t>alue basis and any refund of the Signing Consideration will use stated values in the Purchase Agreement. We believe the closing of the acquisition will likely occur in the first quarter of calendar year 2022.</w:t>
      </w:r>
    </w:p>
    <w:p w14:paraId="1E804FDE" w14:textId="77777777" w:rsidR="00F20ABF" w:rsidRDefault="00CA4D2F">
      <w:pPr>
        <w:spacing w:before="120" w:after="120"/>
        <w:jc w:val="both"/>
      </w:pPr>
      <w:r>
        <w:rPr>
          <w:rFonts w:ascii="sans-serif" w:eastAsia="sans-serif" w:hAnsi="sans-serif" w:cs="sans-serif"/>
          <w:b/>
          <w:bCs/>
          <w:color w:val="000000"/>
          <w:sz w:val="20"/>
          <w:szCs w:val="20"/>
        </w:rPr>
        <w:t>COVID-19</w:t>
      </w:r>
    </w:p>
    <w:p w14:paraId="1E804FDF" w14:textId="77777777" w:rsidR="00F20ABF" w:rsidRDefault="00CA4D2F">
      <w:pPr>
        <w:spacing w:after="180"/>
        <w:jc w:val="both"/>
      </w:pPr>
      <w:r>
        <w:rPr>
          <w:rFonts w:ascii="sans-serif" w:eastAsia="sans-serif" w:hAnsi="sans-serif" w:cs="sans-serif"/>
          <w:color w:val="000000"/>
          <w:sz w:val="20"/>
          <w:szCs w:val="20"/>
        </w:rPr>
        <w:t>The worldwide COVID-19 pandemic is pro</w:t>
      </w:r>
      <w:r>
        <w:rPr>
          <w:rFonts w:ascii="sans-serif" w:eastAsia="sans-serif" w:hAnsi="sans-serif" w:cs="sans-serif"/>
          <w:color w:val="000000"/>
          <w:sz w:val="20"/>
          <w:szCs w:val="20"/>
        </w:rPr>
        <w:t>mpting governments and businesses to take unprecedented measures including restrictions on travel, temporary business closures, quarantines and shelter-in-place orders. It has significantly impacted global economic activity and caused volatility and disrup</w:t>
      </w:r>
      <w:r>
        <w:rPr>
          <w:rFonts w:ascii="sans-serif" w:eastAsia="sans-serif" w:hAnsi="sans-serif" w:cs="sans-serif"/>
          <w:color w:val="000000"/>
          <w:sz w:val="20"/>
          <w:szCs w:val="20"/>
        </w:rPr>
        <w:t>tion in global financial markets. Since March 2020, most of our employees have been working remotely and we have temporarily prohibited most business travel.</w:t>
      </w:r>
    </w:p>
    <w:p w14:paraId="1E804FE0" w14:textId="77777777" w:rsidR="00F20ABF" w:rsidRDefault="00CA4D2F">
      <w:pPr>
        <w:jc w:val="both"/>
      </w:pPr>
      <w:r>
        <w:rPr>
          <w:rFonts w:ascii="sans-serif" w:eastAsia="sans-serif" w:hAnsi="sans-serif" w:cs="sans-serif"/>
          <w:color w:val="000000"/>
          <w:sz w:val="20"/>
          <w:szCs w:val="20"/>
        </w:rPr>
        <w:t xml:space="preserve">Our Gaming and Data Center market platforms have benefited from stronger demand as people </w:t>
      </w:r>
      <w:r>
        <w:rPr>
          <w:rFonts w:ascii="sans-serif" w:eastAsia="sans-serif" w:hAnsi="sans-serif" w:cs="sans-serif"/>
          <w:color w:val="000000"/>
          <w:sz w:val="20"/>
          <w:szCs w:val="20"/>
        </w:rPr>
        <w:t>continue to work, learn, and play from home. In Professional Visualization, stronger demand for mobile workstations due to work from home trends was partially offset by lower demand for desktop workstations. In Automotive, customers' production volumes hav</w:t>
      </w:r>
      <w:r>
        <w:rPr>
          <w:rFonts w:ascii="sans-serif" w:eastAsia="sans-serif" w:hAnsi="sans-serif" w:cs="sans-serif"/>
          <w:color w:val="000000"/>
          <w:sz w:val="20"/>
          <w:szCs w:val="20"/>
        </w:rPr>
        <w:t>e largely returned to pre-COVID levels. In our supply chain, stronger demand globally has limited the availability of capacity and components.</w:t>
      </w:r>
    </w:p>
    <w:p w14:paraId="1E804FE1" w14:textId="77777777" w:rsidR="00F20ABF" w:rsidRDefault="00F20ABF"/>
    <w:p w14:paraId="1E804FE2" w14:textId="77777777" w:rsidR="00F20ABF" w:rsidRDefault="00CA4D2F">
      <w:pPr>
        <w:spacing w:after="180"/>
        <w:jc w:val="both"/>
      </w:pPr>
      <w:r>
        <w:rPr>
          <w:rFonts w:ascii="sans-serif" w:eastAsia="sans-serif" w:hAnsi="sans-serif" w:cs="sans-serif"/>
          <w:color w:val="000000"/>
          <w:sz w:val="20"/>
          <w:szCs w:val="20"/>
        </w:rPr>
        <w:t xml:space="preserve">As the COVID-19 pandemic continues, the timing and overall demand from customers and the availability of supply </w:t>
      </w:r>
      <w:r>
        <w:rPr>
          <w:rFonts w:ascii="sans-serif" w:eastAsia="sans-serif" w:hAnsi="sans-serif" w:cs="sans-serif"/>
          <w:color w:val="000000"/>
          <w:sz w:val="20"/>
          <w:szCs w:val="20"/>
        </w:rPr>
        <w:t>chain, logistical services and component supply may have a material net negative impact on our business and financial results. Refer to Part II, Item 1A of this Quarterly Report on Form 10-Q for additional information under the heading “Risk Factors”.</w:t>
      </w:r>
    </w:p>
    <w:p w14:paraId="1E804FE3" w14:textId="77777777" w:rsidR="00F20ABF" w:rsidRDefault="00CA4D2F">
      <w:pPr>
        <w:spacing w:after="180"/>
        <w:jc w:val="both"/>
      </w:pPr>
      <w:r>
        <w:rPr>
          <w:rFonts w:ascii="sans-serif" w:eastAsia="sans-serif" w:hAnsi="sans-serif" w:cs="sans-serif"/>
          <w:color w:val="000000"/>
          <w:sz w:val="20"/>
          <w:szCs w:val="20"/>
        </w:rPr>
        <w:t xml:space="preserve">The </w:t>
      </w:r>
      <w:r>
        <w:rPr>
          <w:rFonts w:ascii="sans-serif" w:eastAsia="sans-serif" w:hAnsi="sans-serif" w:cs="sans-serif"/>
          <w:color w:val="000000"/>
          <w:sz w:val="20"/>
          <w:szCs w:val="20"/>
        </w:rPr>
        <w:t>Company believes its existing balances of cash, cash equivalents and marketable securities, along with commercial paper and other short-term liquidity arrangements, will be sufficient to satisfy its working capital needs, capital asset purchases, dividends</w:t>
      </w:r>
      <w:r>
        <w:rPr>
          <w:rFonts w:ascii="sans-serif" w:eastAsia="sans-serif" w:hAnsi="sans-serif" w:cs="sans-serif"/>
          <w:color w:val="000000"/>
          <w:sz w:val="20"/>
          <w:szCs w:val="20"/>
        </w:rPr>
        <w:t>, debt repayments and other liquidity requirements associated with its existing operations.</w:t>
      </w:r>
    </w:p>
    <w:p w14:paraId="1E804FE4" w14:textId="77777777" w:rsidR="00F20ABF" w:rsidRDefault="00CA4D2F">
      <w:pPr>
        <w:spacing w:before="120" w:after="120"/>
        <w:jc w:val="both"/>
      </w:pPr>
      <w:r>
        <w:rPr>
          <w:rFonts w:ascii="sans-serif" w:eastAsia="sans-serif" w:hAnsi="sans-serif" w:cs="sans-serif"/>
          <w:b/>
          <w:bCs/>
          <w:color w:val="000000"/>
          <w:sz w:val="20"/>
          <w:szCs w:val="20"/>
        </w:rPr>
        <w:t>Third Quarter of Fiscal Year 2021 Summary</w:t>
      </w:r>
    </w:p>
    <w:tbl>
      <w:tblPr>
        <w:tblW w:w="4985" w:type="pct"/>
        <w:tblCellMar>
          <w:top w:w="15" w:type="dxa"/>
          <w:left w:w="15" w:type="dxa"/>
          <w:bottom w:w="15" w:type="dxa"/>
          <w:right w:w="15" w:type="dxa"/>
        </w:tblCellMar>
        <w:tblLook w:val="04A0" w:firstRow="1" w:lastRow="0" w:firstColumn="1" w:lastColumn="0" w:noHBand="0" w:noVBand="1"/>
      </w:tblPr>
      <w:tblGrid>
        <w:gridCol w:w="39"/>
        <w:gridCol w:w="2004"/>
        <w:gridCol w:w="38"/>
        <w:gridCol w:w="122"/>
        <w:gridCol w:w="501"/>
        <w:gridCol w:w="163"/>
        <w:gridCol w:w="36"/>
        <w:gridCol w:w="36"/>
        <w:gridCol w:w="36"/>
        <w:gridCol w:w="122"/>
        <w:gridCol w:w="501"/>
        <w:gridCol w:w="163"/>
        <w:gridCol w:w="36"/>
        <w:gridCol w:w="36"/>
        <w:gridCol w:w="36"/>
        <w:gridCol w:w="122"/>
        <w:gridCol w:w="501"/>
        <w:gridCol w:w="163"/>
        <w:gridCol w:w="36"/>
        <w:gridCol w:w="36"/>
        <w:gridCol w:w="36"/>
        <w:gridCol w:w="123"/>
        <w:gridCol w:w="1713"/>
        <w:gridCol w:w="163"/>
        <w:gridCol w:w="36"/>
        <w:gridCol w:w="36"/>
        <w:gridCol w:w="36"/>
        <w:gridCol w:w="86"/>
        <w:gridCol w:w="1192"/>
        <w:gridCol w:w="163"/>
      </w:tblGrid>
      <w:tr w:rsidR="00F20ABF" w14:paraId="1E805003" w14:textId="77777777">
        <w:tc>
          <w:tcPr>
            <w:tcW w:w="50" w:type="pct"/>
            <w:shd w:val="clear" w:color="auto" w:fill="auto"/>
          </w:tcPr>
          <w:p w14:paraId="1E804FE5" w14:textId="77777777" w:rsidR="00F20ABF" w:rsidRDefault="00F20ABF">
            <w:pPr>
              <w:rPr>
                <w:rFonts w:ascii="宋体"/>
              </w:rPr>
            </w:pPr>
          </w:p>
        </w:tc>
        <w:tc>
          <w:tcPr>
            <w:tcW w:w="1609" w:type="pct"/>
            <w:shd w:val="clear" w:color="auto" w:fill="auto"/>
          </w:tcPr>
          <w:p w14:paraId="1E804FE6" w14:textId="77777777" w:rsidR="00F20ABF" w:rsidRDefault="00F20ABF">
            <w:pPr>
              <w:rPr>
                <w:rFonts w:ascii="宋体"/>
              </w:rPr>
            </w:pPr>
          </w:p>
        </w:tc>
        <w:tc>
          <w:tcPr>
            <w:tcW w:w="5" w:type="pct"/>
            <w:shd w:val="clear" w:color="auto" w:fill="auto"/>
          </w:tcPr>
          <w:p w14:paraId="1E804FE7" w14:textId="77777777" w:rsidR="00F20ABF" w:rsidRDefault="00F20ABF">
            <w:pPr>
              <w:rPr>
                <w:rFonts w:ascii="宋体"/>
              </w:rPr>
            </w:pPr>
          </w:p>
        </w:tc>
        <w:tc>
          <w:tcPr>
            <w:tcW w:w="50" w:type="pct"/>
            <w:shd w:val="clear" w:color="auto" w:fill="auto"/>
          </w:tcPr>
          <w:p w14:paraId="1E804FE8" w14:textId="77777777" w:rsidR="00F20ABF" w:rsidRDefault="00F20ABF">
            <w:pPr>
              <w:rPr>
                <w:rFonts w:ascii="宋体"/>
              </w:rPr>
            </w:pPr>
          </w:p>
        </w:tc>
        <w:tc>
          <w:tcPr>
            <w:tcW w:w="502" w:type="pct"/>
            <w:shd w:val="clear" w:color="auto" w:fill="auto"/>
          </w:tcPr>
          <w:p w14:paraId="1E804FE9" w14:textId="77777777" w:rsidR="00F20ABF" w:rsidRDefault="00F20ABF">
            <w:pPr>
              <w:rPr>
                <w:rFonts w:ascii="宋体"/>
              </w:rPr>
            </w:pPr>
          </w:p>
        </w:tc>
        <w:tc>
          <w:tcPr>
            <w:tcW w:w="5" w:type="pct"/>
            <w:shd w:val="clear" w:color="auto" w:fill="auto"/>
          </w:tcPr>
          <w:p w14:paraId="1E804FEA" w14:textId="77777777" w:rsidR="00F20ABF" w:rsidRDefault="00F20ABF">
            <w:pPr>
              <w:rPr>
                <w:rFonts w:ascii="宋体"/>
              </w:rPr>
            </w:pPr>
          </w:p>
        </w:tc>
        <w:tc>
          <w:tcPr>
            <w:tcW w:w="5" w:type="pct"/>
            <w:shd w:val="clear" w:color="auto" w:fill="auto"/>
          </w:tcPr>
          <w:p w14:paraId="1E804FEB" w14:textId="77777777" w:rsidR="00F20ABF" w:rsidRDefault="00F20ABF">
            <w:pPr>
              <w:rPr>
                <w:rFonts w:ascii="宋体"/>
              </w:rPr>
            </w:pPr>
          </w:p>
        </w:tc>
        <w:tc>
          <w:tcPr>
            <w:tcW w:w="26" w:type="pct"/>
            <w:shd w:val="clear" w:color="auto" w:fill="auto"/>
          </w:tcPr>
          <w:p w14:paraId="1E804FEC" w14:textId="77777777" w:rsidR="00F20ABF" w:rsidRDefault="00F20ABF">
            <w:pPr>
              <w:rPr>
                <w:rFonts w:ascii="宋体"/>
              </w:rPr>
            </w:pPr>
          </w:p>
        </w:tc>
        <w:tc>
          <w:tcPr>
            <w:tcW w:w="5" w:type="pct"/>
            <w:shd w:val="clear" w:color="auto" w:fill="auto"/>
          </w:tcPr>
          <w:p w14:paraId="1E804FED" w14:textId="77777777" w:rsidR="00F20ABF" w:rsidRDefault="00F20ABF">
            <w:pPr>
              <w:rPr>
                <w:rFonts w:ascii="宋体"/>
              </w:rPr>
            </w:pPr>
          </w:p>
        </w:tc>
        <w:tc>
          <w:tcPr>
            <w:tcW w:w="50" w:type="pct"/>
            <w:shd w:val="clear" w:color="auto" w:fill="auto"/>
          </w:tcPr>
          <w:p w14:paraId="1E804FEE" w14:textId="77777777" w:rsidR="00F20ABF" w:rsidRDefault="00F20ABF">
            <w:pPr>
              <w:rPr>
                <w:rFonts w:ascii="宋体"/>
              </w:rPr>
            </w:pPr>
          </w:p>
        </w:tc>
        <w:tc>
          <w:tcPr>
            <w:tcW w:w="509" w:type="pct"/>
            <w:shd w:val="clear" w:color="auto" w:fill="auto"/>
          </w:tcPr>
          <w:p w14:paraId="1E804FEF" w14:textId="77777777" w:rsidR="00F20ABF" w:rsidRDefault="00F20ABF">
            <w:pPr>
              <w:rPr>
                <w:rFonts w:ascii="宋体"/>
              </w:rPr>
            </w:pPr>
          </w:p>
        </w:tc>
        <w:tc>
          <w:tcPr>
            <w:tcW w:w="5" w:type="pct"/>
            <w:shd w:val="clear" w:color="auto" w:fill="auto"/>
          </w:tcPr>
          <w:p w14:paraId="1E804FF0" w14:textId="77777777" w:rsidR="00F20ABF" w:rsidRDefault="00F20ABF">
            <w:pPr>
              <w:rPr>
                <w:rFonts w:ascii="宋体"/>
              </w:rPr>
            </w:pPr>
          </w:p>
        </w:tc>
        <w:tc>
          <w:tcPr>
            <w:tcW w:w="5" w:type="pct"/>
            <w:shd w:val="clear" w:color="auto" w:fill="auto"/>
          </w:tcPr>
          <w:p w14:paraId="1E804FF1" w14:textId="77777777" w:rsidR="00F20ABF" w:rsidRDefault="00F20ABF">
            <w:pPr>
              <w:rPr>
                <w:rFonts w:ascii="宋体"/>
              </w:rPr>
            </w:pPr>
          </w:p>
        </w:tc>
        <w:tc>
          <w:tcPr>
            <w:tcW w:w="26" w:type="pct"/>
            <w:shd w:val="clear" w:color="auto" w:fill="auto"/>
          </w:tcPr>
          <w:p w14:paraId="1E804FF2" w14:textId="77777777" w:rsidR="00F20ABF" w:rsidRDefault="00F20ABF">
            <w:pPr>
              <w:rPr>
                <w:rFonts w:ascii="宋体"/>
              </w:rPr>
            </w:pPr>
          </w:p>
        </w:tc>
        <w:tc>
          <w:tcPr>
            <w:tcW w:w="5" w:type="pct"/>
            <w:shd w:val="clear" w:color="auto" w:fill="auto"/>
          </w:tcPr>
          <w:p w14:paraId="1E804FF3" w14:textId="77777777" w:rsidR="00F20ABF" w:rsidRDefault="00F20ABF">
            <w:pPr>
              <w:rPr>
                <w:rFonts w:ascii="宋体"/>
              </w:rPr>
            </w:pPr>
          </w:p>
        </w:tc>
        <w:tc>
          <w:tcPr>
            <w:tcW w:w="50" w:type="pct"/>
            <w:shd w:val="clear" w:color="auto" w:fill="auto"/>
          </w:tcPr>
          <w:p w14:paraId="1E804FF4" w14:textId="77777777" w:rsidR="00F20ABF" w:rsidRDefault="00F20ABF">
            <w:pPr>
              <w:rPr>
                <w:rFonts w:ascii="宋体"/>
              </w:rPr>
            </w:pPr>
          </w:p>
        </w:tc>
        <w:tc>
          <w:tcPr>
            <w:tcW w:w="502" w:type="pct"/>
            <w:shd w:val="clear" w:color="auto" w:fill="auto"/>
          </w:tcPr>
          <w:p w14:paraId="1E804FF5" w14:textId="77777777" w:rsidR="00F20ABF" w:rsidRDefault="00F20ABF">
            <w:pPr>
              <w:rPr>
                <w:rFonts w:ascii="宋体"/>
              </w:rPr>
            </w:pPr>
          </w:p>
        </w:tc>
        <w:tc>
          <w:tcPr>
            <w:tcW w:w="5" w:type="pct"/>
            <w:shd w:val="clear" w:color="auto" w:fill="auto"/>
          </w:tcPr>
          <w:p w14:paraId="1E804FF6" w14:textId="77777777" w:rsidR="00F20ABF" w:rsidRDefault="00F20ABF">
            <w:pPr>
              <w:rPr>
                <w:rFonts w:ascii="宋体"/>
              </w:rPr>
            </w:pPr>
          </w:p>
        </w:tc>
        <w:tc>
          <w:tcPr>
            <w:tcW w:w="5" w:type="pct"/>
            <w:shd w:val="clear" w:color="auto" w:fill="auto"/>
          </w:tcPr>
          <w:p w14:paraId="1E804FF7" w14:textId="77777777" w:rsidR="00F20ABF" w:rsidRDefault="00F20ABF">
            <w:pPr>
              <w:rPr>
                <w:rFonts w:ascii="宋体"/>
              </w:rPr>
            </w:pPr>
          </w:p>
        </w:tc>
        <w:tc>
          <w:tcPr>
            <w:tcW w:w="26" w:type="pct"/>
            <w:shd w:val="clear" w:color="auto" w:fill="auto"/>
          </w:tcPr>
          <w:p w14:paraId="1E804FF8" w14:textId="77777777" w:rsidR="00F20ABF" w:rsidRDefault="00F20ABF">
            <w:pPr>
              <w:rPr>
                <w:rFonts w:ascii="宋体"/>
              </w:rPr>
            </w:pPr>
          </w:p>
        </w:tc>
        <w:tc>
          <w:tcPr>
            <w:tcW w:w="5" w:type="pct"/>
            <w:shd w:val="clear" w:color="auto" w:fill="auto"/>
          </w:tcPr>
          <w:p w14:paraId="1E804FF9" w14:textId="77777777" w:rsidR="00F20ABF" w:rsidRDefault="00F20ABF">
            <w:pPr>
              <w:rPr>
                <w:rFonts w:ascii="宋体"/>
              </w:rPr>
            </w:pPr>
          </w:p>
        </w:tc>
        <w:tc>
          <w:tcPr>
            <w:tcW w:w="50" w:type="pct"/>
            <w:shd w:val="clear" w:color="auto" w:fill="auto"/>
          </w:tcPr>
          <w:p w14:paraId="1E804FFA" w14:textId="77777777" w:rsidR="00F20ABF" w:rsidRDefault="00F20ABF">
            <w:pPr>
              <w:rPr>
                <w:rFonts w:ascii="宋体"/>
              </w:rPr>
            </w:pPr>
          </w:p>
        </w:tc>
        <w:tc>
          <w:tcPr>
            <w:tcW w:w="700" w:type="pct"/>
            <w:shd w:val="clear" w:color="auto" w:fill="auto"/>
          </w:tcPr>
          <w:p w14:paraId="1E804FFB" w14:textId="77777777" w:rsidR="00F20ABF" w:rsidRDefault="00F20ABF">
            <w:pPr>
              <w:rPr>
                <w:rFonts w:ascii="宋体"/>
              </w:rPr>
            </w:pPr>
          </w:p>
        </w:tc>
        <w:tc>
          <w:tcPr>
            <w:tcW w:w="5" w:type="pct"/>
            <w:shd w:val="clear" w:color="auto" w:fill="auto"/>
          </w:tcPr>
          <w:p w14:paraId="1E804FFC" w14:textId="77777777" w:rsidR="00F20ABF" w:rsidRDefault="00F20ABF">
            <w:pPr>
              <w:rPr>
                <w:rFonts w:ascii="宋体"/>
              </w:rPr>
            </w:pPr>
          </w:p>
        </w:tc>
        <w:tc>
          <w:tcPr>
            <w:tcW w:w="5" w:type="pct"/>
            <w:shd w:val="clear" w:color="auto" w:fill="auto"/>
          </w:tcPr>
          <w:p w14:paraId="1E804FFD" w14:textId="77777777" w:rsidR="00F20ABF" w:rsidRDefault="00F20ABF">
            <w:pPr>
              <w:rPr>
                <w:rFonts w:ascii="宋体"/>
              </w:rPr>
            </w:pPr>
          </w:p>
        </w:tc>
        <w:tc>
          <w:tcPr>
            <w:tcW w:w="26" w:type="pct"/>
            <w:shd w:val="clear" w:color="auto" w:fill="auto"/>
          </w:tcPr>
          <w:p w14:paraId="1E804FFE" w14:textId="77777777" w:rsidR="00F20ABF" w:rsidRDefault="00F20ABF">
            <w:pPr>
              <w:rPr>
                <w:rFonts w:ascii="宋体"/>
              </w:rPr>
            </w:pPr>
          </w:p>
        </w:tc>
        <w:tc>
          <w:tcPr>
            <w:tcW w:w="5" w:type="pct"/>
            <w:shd w:val="clear" w:color="auto" w:fill="auto"/>
          </w:tcPr>
          <w:p w14:paraId="1E804FFF" w14:textId="77777777" w:rsidR="00F20ABF" w:rsidRDefault="00F20ABF">
            <w:pPr>
              <w:rPr>
                <w:rFonts w:ascii="宋体"/>
              </w:rPr>
            </w:pPr>
          </w:p>
        </w:tc>
        <w:tc>
          <w:tcPr>
            <w:tcW w:w="50" w:type="pct"/>
            <w:shd w:val="clear" w:color="auto" w:fill="auto"/>
          </w:tcPr>
          <w:p w14:paraId="1E805000" w14:textId="77777777" w:rsidR="00F20ABF" w:rsidRDefault="00F20ABF">
            <w:pPr>
              <w:rPr>
                <w:rFonts w:ascii="宋体"/>
              </w:rPr>
            </w:pPr>
          </w:p>
        </w:tc>
        <w:tc>
          <w:tcPr>
            <w:tcW w:w="700" w:type="pct"/>
            <w:shd w:val="clear" w:color="auto" w:fill="auto"/>
          </w:tcPr>
          <w:p w14:paraId="1E805001" w14:textId="77777777" w:rsidR="00F20ABF" w:rsidRDefault="00F20ABF">
            <w:pPr>
              <w:rPr>
                <w:rFonts w:ascii="宋体"/>
              </w:rPr>
            </w:pPr>
          </w:p>
        </w:tc>
        <w:tc>
          <w:tcPr>
            <w:tcW w:w="5" w:type="pct"/>
            <w:shd w:val="clear" w:color="auto" w:fill="auto"/>
          </w:tcPr>
          <w:p w14:paraId="1E805002" w14:textId="77777777" w:rsidR="00F20ABF" w:rsidRDefault="00F20ABF">
            <w:pPr>
              <w:rPr>
                <w:rFonts w:ascii="宋体"/>
              </w:rPr>
            </w:pPr>
          </w:p>
        </w:tc>
      </w:tr>
      <w:tr w:rsidR="00F20ABF" w14:paraId="1E80500A" w14:textId="77777777">
        <w:tc>
          <w:tcPr>
            <w:tcW w:w="0" w:type="auto"/>
            <w:gridSpan w:val="3"/>
            <w:shd w:val="clear" w:color="auto" w:fill="auto"/>
            <w:tcMar>
              <w:top w:w="0" w:type="dxa"/>
              <w:left w:w="20" w:type="dxa"/>
              <w:bottom w:w="0" w:type="dxa"/>
              <w:right w:w="20" w:type="dxa"/>
            </w:tcMar>
          </w:tcPr>
          <w:p w14:paraId="1E805004" w14:textId="77777777" w:rsidR="00F20ABF" w:rsidRDefault="00F20ABF">
            <w:pPr>
              <w:rPr>
                <w:rFonts w:ascii="宋体"/>
              </w:rPr>
            </w:pPr>
          </w:p>
        </w:tc>
        <w:tc>
          <w:tcPr>
            <w:tcW w:w="0" w:type="auto"/>
            <w:gridSpan w:val="15"/>
            <w:shd w:val="clear" w:color="auto" w:fill="auto"/>
            <w:tcMar>
              <w:top w:w="40" w:type="dxa"/>
              <w:left w:w="20" w:type="dxa"/>
              <w:bottom w:w="40" w:type="dxa"/>
              <w:right w:w="20" w:type="dxa"/>
            </w:tcMar>
            <w:vAlign w:val="bottom"/>
          </w:tcPr>
          <w:p w14:paraId="1E805005" w14:textId="77777777" w:rsidR="00F20ABF" w:rsidRDefault="00CA4D2F">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1E805006"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007"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008"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009" w14:textId="77777777" w:rsidR="00F20ABF" w:rsidRDefault="00F20ABF">
            <w:pPr>
              <w:rPr>
                <w:rFonts w:ascii="宋体"/>
              </w:rPr>
            </w:pPr>
          </w:p>
        </w:tc>
      </w:tr>
      <w:tr w:rsidR="00F20ABF" w14:paraId="1E805015" w14:textId="77777777">
        <w:tc>
          <w:tcPr>
            <w:tcW w:w="0" w:type="auto"/>
            <w:gridSpan w:val="3"/>
            <w:shd w:val="clear" w:color="auto" w:fill="auto"/>
            <w:tcMar>
              <w:top w:w="40" w:type="dxa"/>
              <w:left w:w="20" w:type="dxa"/>
              <w:bottom w:w="40" w:type="dxa"/>
              <w:right w:w="20" w:type="dxa"/>
            </w:tcMar>
            <w:vAlign w:val="bottom"/>
          </w:tcPr>
          <w:p w14:paraId="1E80500B"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500C" w14:textId="77777777" w:rsidR="00F20ABF" w:rsidRDefault="00CA4D2F">
            <w:pPr>
              <w:jc w:val="center"/>
              <w:textAlignment w:val="bottom"/>
            </w:pPr>
            <w:r>
              <w:rPr>
                <w:rFonts w:ascii="sans-serif" w:eastAsia="sans-serif" w:hAnsi="sans-serif" w:cs="sans-serif"/>
                <w:b/>
                <w:bCs/>
                <w:color w:val="000000"/>
                <w:sz w:val="20"/>
                <w:szCs w:val="20"/>
              </w:rPr>
              <w:t>October 25, 2020</w:t>
            </w:r>
          </w:p>
        </w:tc>
        <w:tc>
          <w:tcPr>
            <w:tcW w:w="0" w:type="auto"/>
            <w:gridSpan w:val="3"/>
            <w:tcBorders>
              <w:top w:val="single" w:sz="8" w:space="0" w:color="000000"/>
            </w:tcBorders>
            <w:shd w:val="clear" w:color="auto" w:fill="auto"/>
            <w:tcMar>
              <w:top w:w="0" w:type="dxa"/>
              <w:left w:w="20" w:type="dxa"/>
              <w:bottom w:w="0" w:type="dxa"/>
              <w:right w:w="20" w:type="dxa"/>
            </w:tcMar>
          </w:tcPr>
          <w:p w14:paraId="1E80500D"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500E" w14:textId="77777777" w:rsidR="00F20ABF" w:rsidRDefault="00CA4D2F">
            <w:pPr>
              <w:jc w:val="center"/>
              <w:textAlignment w:val="bottom"/>
            </w:pPr>
            <w:r>
              <w:rPr>
                <w:rFonts w:ascii="sans-serif" w:eastAsia="sans-serif" w:hAnsi="sans-serif" w:cs="sans-serif"/>
                <w:b/>
                <w:bCs/>
                <w:color w:val="000000"/>
                <w:sz w:val="20"/>
                <w:szCs w:val="20"/>
              </w:rPr>
              <w:t>July 26, 2020</w:t>
            </w:r>
          </w:p>
        </w:tc>
        <w:tc>
          <w:tcPr>
            <w:tcW w:w="0" w:type="auto"/>
            <w:gridSpan w:val="3"/>
            <w:tcBorders>
              <w:top w:val="single" w:sz="8" w:space="0" w:color="000000"/>
            </w:tcBorders>
            <w:shd w:val="clear" w:color="auto" w:fill="auto"/>
            <w:tcMar>
              <w:top w:w="0" w:type="dxa"/>
              <w:left w:w="20" w:type="dxa"/>
              <w:bottom w:w="0" w:type="dxa"/>
              <w:right w:w="20" w:type="dxa"/>
            </w:tcMar>
          </w:tcPr>
          <w:p w14:paraId="1E80500F"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5010" w14:textId="77777777" w:rsidR="00F20ABF" w:rsidRDefault="00CA4D2F">
            <w:pPr>
              <w:jc w:val="center"/>
              <w:textAlignment w:val="bottom"/>
            </w:pPr>
            <w:r>
              <w:rPr>
                <w:rFonts w:ascii="sans-serif" w:eastAsia="sans-serif" w:hAnsi="sans-serif" w:cs="sans-serif"/>
                <w:b/>
                <w:bCs/>
                <w:color w:val="000000"/>
                <w:sz w:val="20"/>
                <w:szCs w:val="20"/>
              </w:rPr>
              <w:t>October 27, 2019</w:t>
            </w:r>
          </w:p>
        </w:tc>
        <w:tc>
          <w:tcPr>
            <w:tcW w:w="0" w:type="auto"/>
            <w:gridSpan w:val="3"/>
            <w:shd w:val="clear" w:color="auto" w:fill="auto"/>
            <w:tcMar>
              <w:top w:w="0" w:type="dxa"/>
              <w:left w:w="20" w:type="dxa"/>
              <w:bottom w:w="0" w:type="dxa"/>
              <w:right w:w="20" w:type="dxa"/>
            </w:tcMar>
          </w:tcPr>
          <w:p w14:paraId="1E805011"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012" w14:textId="77777777" w:rsidR="00F20ABF" w:rsidRDefault="00CA4D2F">
            <w:pPr>
              <w:jc w:val="center"/>
              <w:textAlignment w:val="bottom"/>
            </w:pPr>
            <w:r>
              <w:rPr>
                <w:rFonts w:ascii="sans-serif" w:eastAsia="sans-serif" w:hAnsi="sans-serif" w:cs="sans-serif"/>
                <w:b/>
                <w:bCs/>
                <w:color w:val="000000"/>
                <w:sz w:val="20"/>
                <w:szCs w:val="20"/>
              </w:rPr>
              <w:t>Quarter-over-Quarter Change</w:t>
            </w:r>
          </w:p>
        </w:tc>
        <w:tc>
          <w:tcPr>
            <w:tcW w:w="0" w:type="auto"/>
            <w:gridSpan w:val="3"/>
            <w:shd w:val="clear" w:color="auto" w:fill="auto"/>
            <w:tcMar>
              <w:top w:w="0" w:type="dxa"/>
              <w:left w:w="20" w:type="dxa"/>
              <w:bottom w:w="0" w:type="dxa"/>
              <w:right w:w="20" w:type="dxa"/>
            </w:tcMar>
          </w:tcPr>
          <w:p w14:paraId="1E805013"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014" w14:textId="77777777" w:rsidR="00F20ABF" w:rsidRDefault="00CA4D2F">
            <w:pPr>
              <w:jc w:val="center"/>
              <w:textAlignment w:val="bottom"/>
            </w:pPr>
            <w:r>
              <w:rPr>
                <w:rFonts w:ascii="sans-serif" w:eastAsia="sans-serif" w:hAnsi="sans-serif" w:cs="sans-serif"/>
                <w:b/>
                <w:bCs/>
                <w:color w:val="000000"/>
                <w:sz w:val="20"/>
                <w:szCs w:val="20"/>
              </w:rPr>
              <w:t>Year-over-Year Change</w:t>
            </w:r>
          </w:p>
        </w:tc>
      </w:tr>
      <w:tr w:rsidR="00F20ABF" w14:paraId="1E805020" w14:textId="77777777">
        <w:trPr>
          <w:trHeight w:val="60"/>
        </w:trPr>
        <w:tc>
          <w:tcPr>
            <w:tcW w:w="0" w:type="auto"/>
            <w:gridSpan w:val="3"/>
            <w:shd w:val="clear" w:color="auto" w:fill="auto"/>
            <w:tcMar>
              <w:top w:w="0" w:type="dxa"/>
              <w:left w:w="20" w:type="dxa"/>
              <w:bottom w:w="0" w:type="dxa"/>
              <w:right w:w="20" w:type="dxa"/>
            </w:tcMar>
          </w:tcPr>
          <w:p w14:paraId="1E805016"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017"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018"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01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01A"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01B"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01C"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01D"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01E"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01F" w14:textId="77777777" w:rsidR="00F20ABF" w:rsidRDefault="00F20ABF">
            <w:pPr>
              <w:rPr>
                <w:rFonts w:ascii="宋体"/>
              </w:rPr>
            </w:pPr>
          </w:p>
        </w:tc>
      </w:tr>
      <w:tr w:rsidR="00F20ABF" w14:paraId="1E805027" w14:textId="77777777">
        <w:tc>
          <w:tcPr>
            <w:tcW w:w="0" w:type="auto"/>
            <w:gridSpan w:val="3"/>
            <w:shd w:val="clear" w:color="auto" w:fill="auto"/>
            <w:tcMar>
              <w:top w:w="0" w:type="dxa"/>
              <w:left w:w="20" w:type="dxa"/>
              <w:bottom w:w="0" w:type="dxa"/>
              <w:right w:w="20" w:type="dxa"/>
            </w:tcMar>
          </w:tcPr>
          <w:p w14:paraId="1E805021" w14:textId="77777777" w:rsidR="00F20ABF" w:rsidRDefault="00F20ABF">
            <w:pPr>
              <w:rPr>
                <w:rFonts w:ascii="宋体"/>
              </w:rPr>
            </w:pPr>
          </w:p>
        </w:tc>
        <w:tc>
          <w:tcPr>
            <w:tcW w:w="0" w:type="auto"/>
            <w:gridSpan w:val="15"/>
            <w:shd w:val="clear" w:color="auto" w:fill="auto"/>
            <w:tcMar>
              <w:top w:w="40" w:type="dxa"/>
              <w:left w:w="20" w:type="dxa"/>
              <w:bottom w:w="40" w:type="dxa"/>
              <w:right w:w="20" w:type="dxa"/>
            </w:tcMar>
            <w:vAlign w:val="bottom"/>
          </w:tcPr>
          <w:p w14:paraId="1E805022" w14:textId="77777777" w:rsidR="00F20ABF" w:rsidRDefault="00CA4D2F">
            <w:pPr>
              <w:jc w:val="center"/>
              <w:textAlignment w:val="bottom"/>
            </w:pPr>
            <w:r>
              <w:rPr>
                <w:rFonts w:ascii="sans-serif" w:eastAsia="sans-serif" w:hAnsi="sans-serif" w:cs="sans-serif"/>
                <w:i/>
                <w:iCs/>
                <w:color w:val="000000"/>
                <w:sz w:val="20"/>
                <w:szCs w:val="20"/>
              </w:rPr>
              <w:t xml:space="preserve">($ in </w:t>
            </w:r>
            <w:r>
              <w:rPr>
                <w:rFonts w:ascii="sans-serif" w:eastAsia="sans-serif" w:hAnsi="sans-serif" w:cs="sans-serif"/>
                <w:i/>
                <w:iCs/>
                <w:color w:val="000000"/>
                <w:sz w:val="20"/>
                <w:szCs w:val="20"/>
              </w:rPr>
              <w:t>millions, except per share data)</w:t>
            </w:r>
          </w:p>
        </w:tc>
        <w:tc>
          <w:tcPr>
            <w:tcW w:w="0" w:type="auto"/>
            <w:gridSpan w:val="3"/>
            <w:shd w:val="clear" w:color="auto" w:fill="auto"/>
            <w:tcMar>
              <w:top w:w="0" w:type="dxa"/>
              <w:left w:w="20" w:type="dxa"/>
              <w:bottom w:w="0" w:type="dxa"/>
              <w:right w:w="20" w:type="dxa"/>
            </w:tcMar>
          </w:tcPr>
          <w:p w14:paraId="1E805023"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024"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025"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026" w14:textId="77777777" w:rsidR="00F20ABF" w:rsidRDefault="00F20ABF">
            <w:pPr>
              <w:rPr>
                <w:rFonts w:ascii="宋体"/>
              </w:rPr>
            </w:pPr>
          </w:p>
        </w:tc>
      </w:tr>
      <w:tr w:rsidR="00F20ABF" w14:paraId="1E80503A" w14:textId="77777777">
        <w:tc>
          <w:tcPr>
            <w:tcW w:w="0" w:type="auto"/>
            <w:gridSpan w:val="3"/>
            <w:shd w:val="clear" w:color="auto" w:fill="E2EFD9"/>
            <w:tcMar>
              <w:top w:w="40" w:type="dxa"/>
              <w:left w:w="20" w:type="dxa"/>
              <w:bottom w:w="40" w:type="dxa"/>
              <w:right w:w="20" w:type="dxa"/>
            </w:tcMar>
            <w:vAlign w:val="bottom"/>
          </w:tcPr>
          <w:p w14:paraId="1E805028" w14:textId="77777777" w:rsidR="00F20ABF" w:rsidRDefault="00CA4D2F">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1E805029"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02A" w14:textId="77777777" w:rsidR="00F20ABF" w:rsidRDefault="00CA4D2F">
            <w:pPr>
              <w:jc w:val="right"/>
              <w:textAlignment w:val="bottom"/>
            </w:pPr>
            <w:r>
              <w:rPr>
                <w:rFonts w:ascii="sans-serif" w:eastAsia="sans-serif" w:hAnsi="sans-serif" w:cs="sans-serif"/>
                <w:color w:val="000000"/>
                <w:sz w:val="20"/>
                <w:szCs w:val="20"/>
              </w:rPr>
              <w:t>4,726 </w:t>
            </w:r>
          </w:p>
        </w:tc>
        <w:tc>
          <w:tcPr>
            <w:tcW w:w="0" w:type="auto"/>
            <w:shd w:val="clear" w:color="auto" w:fill="E2EFD9"/>
            <w:tcMar>
              <w:top w:w="40" w:type="dxa"/>
              <w:left w:w="0" w:type="dxa"/>
              <w:bottom w:w="40" w:type="dxa"/>
              <w:right w:w="20" w:type="dxa"/>
            </w:tcMar>
            <w:vAlign w:val="bottom"/>
          </w:tcPr>
          <w:p w14:paraId="1E80502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02C"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02D"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02E" w14:textId="77777777" w:rsidR="00F20ABF" w:rsidRDefault="00CA4D2F">
            <w:pPr>
              <w:jc w:val="right"/>
              <w:textAlignment w:val="bottom"/>
            </w:pPr>
            <w:r>
              <w:rPr>
                <w:rFonts w:ascii="sans-serif" w:eastAsia="sans-serif" w:hAnsi="sans-serif" w:cs="sans-serif"/>
                <w:color w:val="000000"/>
                <w:sz w:val="20"/>
                <w:szCs w:val="20"/>
              </w:rPr>
              <w:t>3,866 </w:t>
            </w:r>
          </w:p>
        </w:tc>
        <w:tc>
          <w:tcPr>
            <w:tcW w:w="0" w:type="auto"/>
            <w:shd w:val="clear" w:color="auto" w:fill="E2EFD9"/>
            <w:tcMar>
              <w:top w:w="40" w:type="dxa"/>
              <w:left w:w="0" w:type="dxa"/>
              <w:bottom w:w="40" w:type="dxa"/>
              <w:right w:w="20" w:type="dxa"/>
            </w:tcMar>
            <w:vAlign w:val="bottom"/>
          </w:tcPr>
          <w:p w14:paraId="1E80502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030"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031"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032" w14:textId="77777777" w:rsidR="00F20ABF" w:rsidRDefault="00CA4D2F">
            <w:pPr>
              <w:jc w:val="right"/>
              <w:textAlignment w:val="bottom"/>
            </w:pPr>
            <w:r>
              <w:rPr>
                <w:rFonts w:ascii="sans-serif" w:eastAsia="sans-serif" w:hAnsi="sans-serif" w:cs="sans-serif"/>
                <w:color w:val="000000"/>
                <w:sz w:val="20"/>
                <w:szCs w:val="20"/>
              </w:rPr>
              <w:t>3,014 </w:t>
            </w:r>
          </w:p>
        </w:tc>
        <w:tc>
          <w:tcPr>
            <w:tcW w:w="0" w:type="auto"/>
            <w:shd w:val="clear" w:color="auto" w:fill="E2EFD9"/>
            <w:tcMar>
              <w:top w:w="40" w:type="dxa"/>
              <w:left w:w="0" w:type="dxa"/>
              <w:bottom w:w="40" w:type="dxa"/>
              <w:right w:w="20" w:type="dxa"/>
            </w:tcMar>
            <w:vAlign w:val="bottom"/>
          </w:tcPr>
          <w:p w14:paraId="1E80503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034"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035" w14:textId="77777777" w:rsidR="00F20ABF" w:rsidRDefault="00CA4D2F">
            <w:pPr>
              <w:jc w:val="right"/>
              <w:textAlignment w:val="bottom"/>
            </w:pPr>
            <w:r>
              <w:rPr>
                <w:rFonts w:ascii="sans-serif" w:eastAsia="sans-serif" w:hAnsi="sans-serif" w:cs="sans-serif"/>
                <w:color w:val="000000"/>
                <w:sz w:val="20"/>
                <w:szCs w:val="20"/>
              </w:rPr>
              <w:t>22 </w:t>
            </w:r>
          </w:p>
        </w:tc>
        <w:tc>
          <w:tcPr>
            <w:tcW w:w="0" w:type="auto"/>
            <w:shd w:val="clear" w:color="auto" w:fill="E2EFD9"/>
            <w:tcMar>
              <w:top w:w="40" w:type="dxa"/>
              <w:left w:w="0" w:type="dxa"/>
              <w:bottom w:w="40" w:type="dxa"/>
              <w:right w:w="20" w:type="dxa"/>
            </w:tcMar>
            <w:vAlign w:val="bottom"/>
          </w:tcPr>
          <w:p w14:paraId="1E805036"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tcPr>
          <w:p w14:paraId="1E805037"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038" w14:textId="77777777" w:rsidR="00F20ABF" w:rsidRDefault="00CA4D2F">
            <w:pPr>
              <w:jc w:val="right"/>
              <w:textAlignment w:val="bottom"/>
            </w:pPr>
            <w:r>
              <w:rPr>
                <w:rFonts w:ascii="sans-serif" w:eastAsia="sans-serif" w:hAnsi="sans-serif" w:cs="sans-serif"/>
                <w:color w:val="000000"/>
                <w:sz w:val="20"/>
                <w:szCs w:val="20"/>
              </w:rPr>
              <w:t>57 </w:t>
            </w:r>
          </w:p>
        </w:tc>
        <w:tc>
          <w:tcPr>
            <w:tcW w:w="0" w:type="auto"/>
            <w:shd w:val="clear" w:color="auto" w:fill="E2EFD9"/>
            <w:tcMar>
              <w:top w:w="40" w:type="dxa"/>
              <w:left w:w="0" w:type="dxa"/>
              <w:bottom w:w="40" w:type="dxa"/>
              <w:right w:w="20" w:type="dxa"/>
            </w:tcMar>
            <w:vAlign w:val="bottom"/>
          </w:tcPr>
          <w:p w14:paraId="1E805039" w14:textId="77777777" w:rsidR="00F20ABF" w:rsidRDefault="00CA4D2F">
            <w:pPr>
              <w:jc w:val="right"/>
              <w:textAlignment w:val="bottom"/>
            </w:pPr>
            <w:r>
              <w:rPr>
                <w:rFonts w:ascii="sans-serif" w:eastAsia="sans-serif" w:hAnsi="sans-serif" w:cs="sans-serif"/>
                <w:color w:val="000000"/>
                <w:sz w:val="20"/>
                <w:szCs w:val="20"/>
              </w:rPr>
              <w:t>%</w:t>
            </w:r>
          </w:p>
        </w:tc>
      </w:tr>
      <w:tr w:rsidR="00F20ABF" w14:paraId="1E805048" w14:textId="77777777">
        <w:tc>
          <w:tcPr>
            <w:tcW w:w="0" w:type="auto"/>
            <w:gridSpan w:val="3"/>
            <w:shd w:val="clear" w:color="auto" w:fill="FFFFFF"/>
            <w:tcMar>
              <w:top w:w="40" w:type="dxa"/>
              <w:left w:w="20" w:type="dxa"/>
              <w:bottom w:w="40" w:type="dxa"/>
              <w:right w:w="20" w:type="dxa"/>
            </w:tcMar>
            <w:vAlign w:val="bottom"/>
          </w:tcPr>
          <w:p w14:paraId="1E80503B" w14:textId="77777777" w:rsidR="00F20ABF" w:rsidRDefault="00CA4D2F">
            <w:pPr>
              <w:textAlignment w:val="bottom"/>
            </w:pPr>
            <w:r>
              <w:rPr>
                <w:rFonts w:ascii="sans-serif" w:eastAsia="sans-serif" w:hAnsi="sans-serif" w:cs="sans-serif"/>
                <w:color w:val="000000"/>
                <w:sz w:val="20"/>
                <w:szCs w:val="20"/>
              </w:rPr>
              <w:t>Gross margin</w:t>
            </w:r>
          </w:p>
        </w:tc>
        <w:tc>
          <w:tcPr>
            <w:tcW w:w="0" w:type="auto"/>
            <w:gridSpan w:val="2"/>
            <w:shd w:val="clear" w:color="auto" w:fill="FFFFFF"/>
            <w:tcMar>
              <w:top w:w="40" w:type="dxa"/>
              <w:left w:w="20" w:type="dxa"/>
              <w:bottom w:w="40" w:type="dxa"/>
              <w:right w:w="0" w:type="dxa"/>
            </w:tcMar>
            <w:vAlign w:val="bottom"/>
          </w:tcPr>
          <w:p w14:paraId="1E80503C" w14:textId="77777777" w:rsidR="00F20ABF" w:rsidRDefault="00CA4D2F">
            <w:pPr>
              <w:jc w:val="right"/>
              <w:textAlignment w:val="bottom"/>
            </w:pPr>
            <w:r>
              <w:rPr>
                <w:rFonts w:ascii="sans-serif" w:eastAsia="sans-serif" w:hAnsi="sans-serif" w:cs="sans-serif"/>
                <w:color w:val="000000"/>
                <w:sz w:val="20"/>
                <w:szCs w:val="20"/>
              </w:rPr>
              <w:t>62.6 </w:t>
            </w:r>
          </w:p>
        </w:tc>
        <w:tc>
          <w:tcPr>
            <w:tcW w:w="0" w:type="auto"/>
            <w:shd w:val="clear" w:color="auto" w:fill="FFFFFF"/>
            <w:tcMar>
              <w:top w:w="40" w:type="dxa"/>
              <w:left w:w="0" w:type="dxa"/>
              <w:bottom w:w="40" w:type="dxa"/>
              <w:right w:w="20" w:type="dxa"/>
            </w:tcMar>
            <w:vAlign w:val="bottom"/>
          </w:tcPr>
          <w:p w14:paraId="1E80503D"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tcPr>
          <w:p w14:paraId="1E80503E"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center"/>
          </w:tcPr>
          <w:p w14:paraId="1E80503F" w14:textId="77777777" w:rsidR="00F20ABF" w:rsidRDefault="00CA4D2F">
            <w:pPr>
              <w:jc w:val="right"/>
              <w:textAlignment w:val="center"/>
            </w:pPr>
            <w:r>
              <w:rPr>
                <w:rFonts w:ascii="sans-serif" w:eastAsia="sans-serif" w:hAnsi="sans-serif" w:cs="sans-serif"/>
                <w:color w:val="000000"/>
                <w:sz w:val="20"/>
                <w:szCs w:val="20"/>
              </w:rPr>
              <w:t>58.8 </w:t>
            </w:r>
          </w:p>
        </w:tc>
        <w:tc>
          <w:tcPr>
            <w:tcW w:w="0" w:type="auto"/>
            <w:shd w:val="clear" w:color="auto" w:fill="FFFFFF"/>
            <w:tcMar>
              <w:top w:w="40" w:type="dxa"/>
              <w:left w:w="0" w:type="dxa"/>
              <w:bottom w:w="40" w:type="dxa"/>
              <w:right w:w="20" w:type="dxa"/>
            </w:tcMar>
            <w:vAlign w:val="center"/>
          </w:tcPr>
          <w:p w14:paraId="1E805040" w14:textId="77777777" w:rsidR="00F20ABF" w:rsidRDefault="00CA4D2F">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tcPr>
          <w:p w14:paraId="1E805041"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center"/>
          </w:tcPr>
          <w:p w14:paraId="1E805042" w14:textId="77777777" w:rsidR="00F20ABF" w:rsidRDefault="00CA4D2F">
            <w:pPr>
              <w:jc w:val="right"/>
              <w:textAlignment w:val="center"/>
            </w:pPr>
            <w:r>
              <w:rPr>
                <w:rFonts w:ascii="sans-serif" w:eastAsia="sans-serif" w:hAnsi="sans-serif" w:cs="sans-serif"/>
                <w:color w:val="000000"/>
                <w:sz w:val="20"/>
                <w:szCs w:val="20"/>
              </w:rPr>
              <w:t>63.6 </w:t>
            </w:r>
          </w:p>
        </w:tc>
        <w:tc>
          <w:tcPr>
            <w:tcW w:w="0" w:type="auto"/>
            <w:shd w:val="clear" w:color="auto" w:fill="FFFFFF"/>
            <w:tcMar>
              <w:top w:w="40" w:type="dxa"/>
              <w:left w:w="0" w:type="dxa"/>
              <w:bottom w:w="40" w:type="dxa"/>
              <w:right w:w="20" w:type="dxa"/>
            </w:tcMar>
            <w:vAlign w:val="center"/>
          </w:tcPr>
          <w:p w14:paraId="1E805043" w14:textId="77777777" w:rsidR="00F20ABF" w:rsidRDefault="00CA4D2F">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tcPr>
          <w:p w14:paraId="1E805044"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5045" w14:textId="77777777" w:rsidR="00F20ABF" w:rsidRDefault="00CA4D2F">
            <w:pPr>
              <w:jc w:val="right"/>
              <w:textAlignment w:val="bottom"/>
            </w:pPr>
            <w:r>
              <w:rPr>
                <w:rFonts w:ascii="sans-serif" w:eastAsia="sans-serif" w:hAnsi="sans-serif" w:cs="sans-serif"/>
                <w:color w:val="000000"/>
                <w:sz w:val="20"/>
                <w:szCs w:val="20"/>
              </w:rPr>
              <w:t>380 bps</w:t>
            </w:r>
          </w:p>
        </w:tc>
        <w:tc>
          <w:tcPr>
            <w:tcW w:w="0" w:type="auto"/>
            <w:gridSpan w:val="3"/>
            <w:shd w:val="clear" w:color="auto" w:fill="FFFFFF"/>
            <w:tcMar>
              <w:top w:w="0" w:type="dxa"/>
              <w:left w:w="20" w:type="dxa"/>
              <w:bottom w:w="0" w:type="dxa"/>
              <w:right w:w="20" w:type="dxa"/>
            </w:tcMar>
          </w:tcPr>
          <w:p w14:paraId="1E805046"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5047" w14:textId="77777777" w:rsidR="00F20ABF" w:rsidRDefault="00CA4D2F">
            <w:pPr>
              <w:jc w:val="right"/>
              <w:textAlignment w:val="bottom"/>
            </w:pPr>
            <w:r>
              <w:rPr>
                <w:rFonts w:ascii="sans-serif" w:eastAsia="sans-serif" w:hAnsi="sans-serif" w:cs="sans-serif"/>
                <w:color w:val="000000"/>
                <w:sz w:val="20"/>
                <w:szCs w:val="20"/>
              </w:rPr>
              <w:t>(100) bps</w:t>
            </w:r>
          </w:p>
        </w:tc>
      </w:tr>
      <w:tr w:rsidR="00F20ABF" w14:paraId="1E80505B" w14:textId="77777777">
        <w:tc>
          <w:tcPr>
            <w:tcW w:w="0" w:type="auto"/>
            <w:gridSpan w:val="3"/>
            <w:shd w:val="clear" w:color="auto" w:fill="E2EFD9"/>
            <w:tcMar>
              <w:top w:w="40" w:type="dxa"/>
              <w:left w:w="20" w:type="dxa"/>
              <w:bottom w:w="40" w:type="dxa"/>
              <w:right w:w="20" w:type="dxa"/>
            </w:tcMar>
            <w:vAlign w:val="bottom"/>
          </w:tcPr>
          <w:p w14:paraId="1E805049" w14:textId="77777777" w:rsidR="00F20ABF" w:rsidRDefault="00CA4D2F">
            <w:pPr>
              <w:textAlignment w:val="bottom"/>
            </w:pPr>
            <w:r>
              <w:rPr>
                <w:rFonts w:ascii="sans-serif" w:eastAsia="sans-serif" w:hAnsi="sans-serif" w:cs="sans-serif"/>
                <w:color w:val="000000"/>
                <w:sz w:val="20"/>
                <w:szCs w:val="20"/>
              </w:rPr>
              <w:t>Operating expenses</w:t>
            </w:r>
          </w:p>
        </w:tc>
        <w:tc>
          <w:tcPr>
            <w:tcW w:w="0" w:type="auto"/>
            <w:shd w:val="clear" w:color="auto" w:fill="E2EFD9"/>
            <w:tcMar>
              <w:top w:w="40" w:type="dxa"/>
              <w:left w:w="20" w:type="dxa"/>
              <w:bottom w:w="40" w:type="dxa"/>
              <w:right w:w="0" w:type="dxa"/>
            </w:tcMar>
            <w:vAlign w:val="bottom"/>
          </w:tcPr>
          <w:p w14:paraId="1E80504A"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04B" w14:textId="77777777" w:rsidR="00F20ABF" w:rsidRDefault="00CA4D2F">
            <w:pPr>
              <w:jc w:val="right"/>
              <w:textAlignment w:val="bottom"/>
            </w:pPr>
            <w:r>
              <w:rPr>
                <w:rFonts w:ascii="sans-serif" w:eastAsia="sans-serif" w:hAnsi="sans-serif" w:cs="sans-serif"/>
                <w:color w:val="000000"/>
                <w:sz w:val="20"/>
                <w:szCs w:val="20"/>
              </w:rPr>
              <w:t>1,562 </w:t>
            </w:r>
          </w:p>
        </w:tc>
        <w:tc>
          <w:tcPr>
            <w:tcW w:w="0" w:type="auto"/>
            <w:shd w:val="clear" w:color="auto" w:fill="E2EFD9"/>
            <w:tcMar>
              <w:top w:w="40" w:type="dxa"/>
              <w:left w:w="0" w:type="dxa"/>
              <w:bottom w:w="40" w:type="dxa"/>
              <w:right w:w="20" w:type="dxa"/>
            </w:tcMar>
            <w:vAlign w:val="bottom"/>
          </w:tcPr>
          <w:p w14:paraId="1E80504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04D"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04E"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04F" w14:textId="77777777" w:rsidR="00F20ABF" w:rsidRDefault="00CA4D2F">
            <w:pPr>
              <w:jc w:val="right"/>
              <w:textAlignment w:val="bottom"/>
            </w:pPr>
            <w:r>
              <w:rPr>
                <w:rFonts w:ascii="sans-serif" w:eastAsia="sans-serif" w:hAnsi="sans-serif" w:cs="sans-serif"/>
                <w:color w:val="000000"/>
                <w:sz w:val="20"/>
                <w:szCs w:val="20"/>
              </w:rPr>
              <w:t>1,624 </w:t>
            </w:r>
          </w:p>
        </w:tc>
        <w:tc>
          <w:tcPr>
            <w:tcW w:w="0" w:type="auto"/>
            <w:shd w:val="clear" w:color="auto" w:fill="E2EFD9"/>
            <w:tcMar>
              <w:top w:w="40" w:type="dxa"/>
              <w:left w:w="0" w:type="dxa"/>
              <w:bottom w:w="40" w:type="dxa"/>
              <w:right w:w="20" w:type="dxa"/>
            </w:tcMar>
            <w:vAlign w:val="bottom"/>
          </w:tcPr>
          <w:p w14:paraId="1E805050"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051"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052"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053" w14:textId="77777777" w:rsidR="00F20ABF" w:rsidRDefault="00CA4D2F">
            <w:pPr>
              <w:jc w:val="right"/>
              <w:textAlignment w:val="bottom"/>
            </w:pPr>
            <w:r>
              <w:rPr>
                <w:rFonts w:ascii="sans-serif" w:eastAsia="sans-serif" w:hAnsi="sans-serif" w:cs="sans-serif"/>
                <w:color w:val="000000"/>
                <w:sz w:val="20"/>
                <w:szCs w:val="20"/>
              </w:rPr>
              <w:t>989 </w:t>
            </w:r>
          </w:p>
        </w:tc>
        <w:tc>
          <w:tcPr>
            <w:tcW w:w="0" w:type="auto"/>
            <w:shd w:val="clear" w:color="auto" w:fill="E2EFD9"/>
            <w:tcMar>
              <w:top w:w="40" w:type="dxa"/>
              <w:left w:w="0" w:type="dxa"/>
              <w:bottom w:w="40" w:type="dxa"/>
              <w:right w:w="20" w:type="dxa"/>
            </w:tcMar>
            <w:vAlign w:val="bottom"/>
          </w:tcPr>
          <w:p w14:paraId="1E80505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055"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056" w14:textId="77777777" w:rsidR="00F20ABF" w:rsidRDefault="00CA4D2F">
            <w:pPr>
              <w:jc w:val="right"/>
              <w:textAlignment w:val="bottom"/>
            </w:pPr>
            <w:r>
              <w:rPr>
                <w:rFonts w:ascii="sans-serif" w:eastAsia="sans-serif" w:hAnsi="sans-serif" w:cs="sans-serif"/>
                <w:color w:val="000000"/>
                <w:sz w:val="20"/>
                <w:szCs w:val="20"/>
              </w:rPr>
              <w:t>(4)</w:t>
            </w:r>
          </w:p>
        </w:tc>
        <w:tc>
          <w:tcPr>
            <w:tcW w:w="0" w:type="auto"/>
            <w:shd w:val="clear" w:color="auto" w:fill="E2EFD9"/>
            <w:tcMar>
              <w:top w:w="40" w:type="dxa"/>
              <w:left w:w="0" w:type="dxa"/>
              <w:bottom w:w="40" w:type="dxa"/>
              <w:right w:w="20" w:type="dxa"/>
            </w:tcMar>
            <w:vAlign w:val="bottom"/>
          </w:tcPr>
          <w:p w14:paraId="1E805057"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tcPr>
          <w:p w14:paraId="1E805058"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059" w14:textId="77777777" w:rsidR="00F20ABF" w:rsidRDefault="00CA4D2F">
            <w:pPr>
              <w:jc w:val="right"/>
              <w:textAlignment w:val="bottom"/>
            </w:pPr>
            <w:r>
              <w:rPr>
                <w:rFonts w:ascii="sans-serif" w:eastAsia="sans-serif" w:hAnsi="sans-serif" w:cs="sans-serif"/>
                <w:color w:val="000000"/>
                <w:sz w:val="20"/>
                <w:szCs w:val="20"/>
              </w:rPr>
              <w:t>58 </w:t>
            </w:r>
          </w:p>
        </w:tc>
        <w:tc>
          <w:tcPr>
            <w:tcW w:w="0" w:type="auto"/>
            <w:shd w:val="clear" w:color="auto" w:fill="E2EFD9"/>
            <w:tcMar>
              <w:top w:w="40" w:type="dxa"/>
              <w:left w:w="0" w:type="dxa"/>
              <w:bottom w:w="40" w:type="dxa"/>
              <w:right w:w="20" w:type="dxa"/>
            </w:tcMar>
            <w:vAlign w:val="bottom"/>
          </w:tcPr>
          <w:p w14:paraId="1E80505A" w14:textId="77777777" w:rsidR="00F20ABF" w:rsidRDefault="00CA4D2F">
            <w:pPr>
              <w:jc w:val="right"/>
              <w:textAlignment w:val="bottom"/>
            </w:pPr>
            <w:r>
              <w:rPr>
                <w:rFonts w:ascii="sans-serif" w:eastAsia="sans-serif" w:hAnsi="sans-serif" w:cs="sans-serif"/>
                <w:color w:val="000000"/>
                <w:sz w:val="20"/>
                <w:szCs w:val="20"/>
              </w:rPr>
              <w:t>%</w:t>
            </w:r>
          </w:p>
        </w:tc>
      </w:tr>
      <w:tr w:rsidR="00F20ABF" w14:paraId="1E80506E" w14:textId="77777777">
        <w:tc>
          <w:tcPr>
            <w:tcW w:w="0" w:type="auto"/>
            <w:gridSpan w:val="3"/>
            <w:shd w:val="clear" w:color="auto" w:fill="FFFFFF"/>
            <w:tcMar>
              <w:top w:w="40" w:type="dxa"/>
              <w:left w:w="20" w:type="dxa"/>
              <w:bottom w:w="40" w:type="dxa"/>
              <w:right w:w="20" w:type="dxa"/>
            </w:tcMar>
            <w:vAlign w:val="bottom"/>
          </w:tcPr>
          <w:p w14:paraId="1E80505C" w14:textId="77777777" w:rsidR="00F20ABF" w:rsidRDefault="00CA4D2F">
            <w:pPr>
              <w:textAlignment w:val="bottom"/>
            </w:pPr>
            <w:r>
              <w:rPr>
                <w:rFonts w:ascii="sans-serif" w:eastAsia="sans-serif" w:hAnsi="sans-serif" w:cs="sans-serif"/>
                <w:color w:val="000000"/>
                <w:sz w:val="20"/>
                <w:szCs w:val="20"/>
              </w:rPr>
              <w:t>Income from operations</w:t>
            </w:r>
          </w:p>
        </w:tc>
        <w:tc>
          <w:tcPr>
            <w:tcW w:w="0" w:type="auto"/>
            <w:shd w:val="clear" w:color="auto" w:fill="FFFFFF"/>
            <w:tcMar>
              <w:top w:w="40" w:type="dxa"/>
              <w:left w:w="20" w:type="dxa"/>
              <w:bottom w:w="40" w:type="dxa"/>
              <w:right w:w="0" w:type="dxa"/>
            </w:tcMar>
            <w:vAlign w:val="bottom"/>
          </w:tcPr>
          <w:p w14:paraId="1E80505D"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505E" w14:textId="77777777" w:rsidR="00F20ABF" w:rsidRDefault="00CA4D2F">
            <w:pPr>
              <w:jc w:val="right"/>
              <w:textAlignment w:val="bottom"/>
            </w:pPr>
            <w:r>
              <w:rPr>
                <w:rFonts w:ascii="sans-serif" w:eastAsia="sans-serif" w:hAnsi="sans-serif" w:cs="sans-serif"/>
                <w:color w:val="000000"/>
                <w:sz w:val="20"/>
                <w:szCs w:val="20"/>
              </w:rPr>
              <w:t>1,398 </w:t>
            </w:r>
          </w:p>
        </w:tc>
        <w:tc>
          <w:tcPr>
            <w:tcW w:w="0" w:type="auto"/>
            <w:shd w:val="clear" w:color="auto" w:fill="FFFFFF"/>
            <w:tcMar>
              <w:top w:w="40" w:type="dxa"/>
              <w:left w:w="0" w:type="dxa"/>
              <w:bottom w:w="40" w:type="dxa"/>
              <w:right w:w="20" w:type="dxa"/>
            </w:tcMar>
            <w:vAlign w:val="bottom"/>
          </w:tcPr>
          <w:p w14:paraId="1E80505F"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060"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5061"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5062" w14:textId="77777777" w:rsidR="00F20ABF" w:rsidRDefault="00CA4D2F">
            <w:pPr>
              <w:jc w:val="right"/>
              <w:textAlignment w:val="bottom"/>
            </w:pPr>
            <w:r>
              <w:rPr>
                <w:rFonts w:ascii="sans-serif" w:eastAsia="sans-serif" w:hAnsi="sans-serif" w:cs="sans-serif"/>
                <w:color w:val="000000"/>
                <w:sz w:val="20"/>
                <w:szCs w:val="20"/>
              </w:rPr>
              <w:t>651 </w:t>
            </w:r>
          </w:p>
        </w:tc>
        <w:tc>
          <w:tcPr>
            <w:tcW w:w="0" w:type="auto"/>
            <w:shd w:val="clear" w:color="auto" w:fill="FFFFFF"/>
            <w:tcMar>
              <w:top w:w="40" w:type="dxa"/>
              <w:left w:w="0" w:type="dxa"/>
              <w:bottom w:w="40" w:type="dxa"/>
              <w:right w:w="20" w:type="dxa"/>
            </w:tcMar>
            <w:vAlign w:val="bottom"/>
          </w:tcPr>
          <w:p w14:paraId="1E805063"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064"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5065"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5066" w14:textId="77777777" w:rsidR="00F20ABF" w:rsidRDefault="00CA4D2F">
            <w:pPr>
              <w:jc w:val="right"/>
              <w:textAlignment w:val="bottom"/>
            </w:pPr>
            <w:r>
              <w:rPr>
                <w:rFonts w:ascii="sans-serif" w:eastAsia="sans-serif" w:hAnsi="sans-serif" w:cs="sans-serif"/>
                <w:color w:val="000000"/>
                <w:sz w:val="20"/>
                <w:szCs w:val="20"/>
              </w:rPr>
              <w:t>927 </w:t>
            </w:r>
          </w:p>
        </w:tc>
        <w:tc>
          <w:tcPr>
            <w:tcW w:w="0" w:type="auto"/>
            <w:shd w:val="clear" w:color="auto" w:fill="FFFFFF"/>
            <w:tcMar>
              <w:top w:w="40" w:type="dxa"/>
              <w:left w:w="0" w:type="dxa"/>
              <w:bottom w:w="40" w:type="dxa"/>
              <w:right w:w="20" w:type="dxa"/>
            </w:tcMar>
            <w:vAlign w:val="bottom"/>
          </w:tcPr>
          <w:p w14:paraId="1E805067"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068"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069" w14:textId="77777777" w:rsidR="00F20ABF" w:rsidRDefault="00CA4D2F">
            <w:pPr>
              <w:jc w:val="right"/>
              <w:textAlignment w:val="bottom"/>
            </w:pPr>
            <w:r>
              <w:rPr>
                <w:rFonts w:ascii="sans-serif" w:eastAsia="sans-serif" w:hAnsi="sans-serif" w:cs="sans-serif"/>
                <w:color w:val="000000"/>
                <w:sz w:val="20"/>
                <w:szCs w:val="20"/>
              </w:rPr>
              <w:t>115 </w:t>
            </w:r>
          </w:p>
        </w:tc>
        <w:tc>
          <w:tcPr>
            <w:tcW w:w="0" w:type="auto"/>
            <w:shd w:val="clear" w:color="auto" w:fill="FFFFFF"/>
            <w:tcMar>
              <w:top w:w="40" w:type="dxa"/>
              <w:left w:w="0" w:type="dxa"/>
              <w:bottom w:w="40" w:type="dxa"/>
              <w:right w:w="20" w:type="dxa"/>
            </w:tcMar>
            <w:vAlign w:val="bottom"/>
          </w:tcPr>
          <w:p w14:paraId="1E80506A"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tcPr>
          <w:p w14:paraId="1E80506B"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06C" w14:textId="77777777" w:rsidR="00F20ABF" w:rsidRDefault="00CA4D2F">
            <w:pPr>
              <w:jc w:val="right"/>
              <w:textAlignment w:val="bottom"/>
            </w:pPr>
            <w:r>
              <w:rPr>
                <w:rFonts w:ascii="sans-serif" w:eastAsia="sans-serif" w:hAnsi="sans-serif" w:cs="sans-serif"/>
                <w:color w:val="000000"/>
                <w:sz w:val="20"/>
                <w:szCs w:val="20"/>
              </w:rPr>
              <w:t>51 </w:t>
            </w:r>
          </w:p>
        </w:tc>
        <w:tc>
          <w:tcPr>
            <w:tcW w:w="0" w:type="auto"/>
            <w:shd w:val="clear" w:color="auto" w:fill="FFFFFF"/>
            <w:tcMar>
              <w:top w:w="40" w:type="dxa"/>
              <w:left w:w="0" w:type="dxa"/>
              <w:bottom w:w="40" w:type="dxa"/>
              <w:right w:w="20" w:type="dxa"/>
            </w:tcMar>
            <w:vAlign w:val="bottom"/>
          </w:tcPr>
          <w:p w14:paraId="1E80506D" w14:textId="77777777" w:rsidR="00F20ABF" w:rsidRDefault="00CA4D2F">
            <w:pPr>
              <w:jc w:val="right"/>
              <w:textAlignment w:val="bottom"/>
            </w:pPr>
            <w:r>
              <w:rPr>
                <w:rFonts w:ascii="sans-serif" w:eastAsia="sans-serif" w:hAnsi="sans-serif" w:cs="sans-serif"/>
                <w:color w:val="000000"/>
                <w:sz w:val="20"/>
                <w:szCs w:val="20"/>
              </w:rPr>
              <w:t>%</w:t>
            </w:r>
          </w:p>
        </w:tc>
      </w:tr>
      <w:tr w:rsidR="00F20ABF" w14:paraId="1E805081" w14:textId="77777777">
        <w:tc>
          <w:tcPr>
            <w:tcW w:w="0" w:type="auto"/>
            <w:gridSpan w:val="3"/>
            <w:shd w:val="clear" w:color="auto" w:fill="E2EFD9"/>
            <w:tcMar>
              <w:top w:w="40" w:type="dxa"/>
              <w:left w:w="20" w:type="dxa"/>
              <w:bottom w:w="40" w:type="dxa"/>
              <w:right w:w="20" w:type="dxa"/>
            </w:tcMar>
            <w:vAlign w:val="bottom"/>
          </w:tcPr>
          <w:p w14:paraId="1E80506F" w14:textId="77777777" w:rsidR="00F20ABF" w:rsidRDefault="00CA4D2F">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right w:w="0" w:type="dxa"/>
            </w:tcMar>
            <w:vAlign w:val="bottom"/>
          </w:tcPr>
          <w:p w14:paraId="1E805070"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071" w14:textId="77777777" w:rsidR="00F20ABF" w:rsidRDefault="00CA4D2F">
            <w:pPr>
              <w:jc w:val="right"/>
              <w:textAlignment w:val="bottom"/>
            </w:pPr>
            <w:r>
              <w:rPr>
                <w:rFonts w:ascii="sans-serif" w:eastAsia="sans-serif" w:hAnsi="sans-serif" w:cs="sans-serif"/>
                <w:color w:val="000000"/>
                <w:sz w:val="20"/>
                <w:szCs w:val="20"/>
              </w:rPr>
              <w:t>1,336 </w:t>
            </w:r>
          </w:p>
        </w:tc>
        <w:tc>
          <w:tcPr>
            <w:tcW w:w="0" w:type="auto"/>
            <w:shd w:val="clear" w:color="auto" w:fill="E2EFD9"/>
            <w:tcMar>
              <w:top w:w="40" w:type="dxa"/>
              <w:left w:w="0" w:type="dxa"/>
              <w:bottom w:w="40" w:type="dxa"/>
              <w:right w:w="20" w:type="dxa"/>
            </w:tcMar>
            <w:vAlign w:val="bottom"/>
          </w:tcPr>
          <w:p w14:paraId="1E805072"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073"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074"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075" w14:textId="77777777" w:rsidR="00F20ABF" w:rsidRDefault="00CA4D2F">
            <w:pPr>
              <w:jc w:val="right"/>
              <w:textAlignment w:val="bottom"/>
            </w:pPr>
            <w:r>
              <w:rPr>
                <w:rFonts w:ascii="sans-serif" w:eastAsia="sans-serif" w:hAnsi="sans-serif" w:cs="sans-serif"/>
                <w:color w:val="000000"/>
                <w:sz w:val="20"/>
                <w:szCs w:val="20"/>
              </w:rPr>
              <w:t>622 </w:t>
            </w:r>
          </w:p>
        </w:tc>
        <w:tc>
          <w:tcPr>
            <w:tcW w:w="0" w:type="auto"/>
            <w:shd w:val="clear" w:color="auto" w:fill="E2EFD9"/>
            <w:tcMar>
              <w:top w:w="40" w:type="dxa"/>
              <w:left w:w="0" w:type="dxa"/>
              <w:bottom w:w="40" w:type="dxa"/>
              <w:right w:w="20" w:type="dxa"/>
            </w:tcMar>
            <w:vAlign w:val="bottom"/>
          </w:tcPr>
          <w:p w14:paraId="1E80507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077"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078"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079" w14:textId="77777777" w:rsidR="00F20ABF" w:rsidRDefault="00CA4D2F">
            <w:pPr>
              <w:jc w:val="right"/>
              <w:textAlignment w:val="bottom"/>
            </w:pPr>
            <w:r>
              <w:rPr>
                <w:rFonts w:ascii="sans-serif" w:eastAsia="sans-serif" w:hAnsi="sans-serif" w:cs="sans-serif"/>
                <w:color w:val="000000"/>
                <w:sz w:val="20"/>
                <w:szCs w:val="20"/>
              </w:rPr>
              <w:t>899 </w:t>
            </w:r>
          </w:p>
        </w:tc>
        <w:tc>
          <w:tcPr>
            <w:tcW w:w="0" w:type="auto"/>
            <w:shd w:val="clear" w:color="auto" w:fill="E2EFD9"/>
            <w:tcMar>
              <w:top w:w="40" w:type="dxa"/>
              <w:left w:w="0" w:type="dxa"/>
              <w:bottom w:w="40" w:type="dxa"/>
              <w:right w:w="20" w:type="dxa"/>
            </w:tcMar>
            <w:vAlign w:val="bottom"/>
          </w:tcPr>
          <w:p w14:paraId="1E80507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07B"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07C" w14:textId="77777777" w:rsidR="00F20ABF" w:rsidRDefault="00CA4D2F">
            <w:pPr>
              <w:jc w:val="right"/>
              <w:textAlignment w:val="bottom"/>
            </w:pPr>
            <w:r>
              <w:rPr>
                <w:rFonts w:ascii="sans-serif" w:eastAsia="sans-serif" w:hAnsi="sans-serif" w:cs="sans-serif"/>
                <w:color w:val="000000"/>
                <w:sz w:val="20"/>
                <w:szCs w:val="20"/>
              </w:rPr>
              <w:t>115 </w:t>
            </w:r>
          </w:p>
        </w:tc>
        <w:tc>
          <w:tcPr>
            <w:tcW w:w="0" w:type="auto"/>
            <w:shd w:val="clear" w:color="auto" w:fill="E2EFD9"/>
            <w:tcMar>
              <w:top w:w="40" w:type="dxa"/>
              <w:left w:w="0" w:type="dxa"/>
              <w:bottom w:w="40" w:type="dxa"/>
              <w:right w:w="20" w:type="dxa"/>
            </w:tcMar>
            <w:vAlign w:val="bottom"/>
          </w:tcPr>
          <w:p w14:paraId="1E80507D"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tcPr>
          <w:p w14:paraId="1E80507E"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07F" w14:textId="77777777" w:rsidR="00F20ABF" w:rsidRDefault="00CA4D2F">
            <w:pPr>
              <w:jc w:val="right"/>
              <w:textAlignment w:val="bottom"/>
            </w:pPr>
            <w:r>
              <w:rPr>
                <w:rFonts w:ascii="sans-serif" w:eastAsia="sans-serif" w:hAnsi="sans-serif" w:cs="sans-serif"/>
                <w:color w:val="000000"/>
                <w:sz w:val="20"/>
                <w:szCs w:val="20"/>
              </w:rPr>
              <w:t>49 </w:t>
            </w:r>
          </w:p>
        </w:tc>
        <w:tc>
          <w:tcPr>
            <w:tcW w:w="0" w:type="auto"/>
            <w:shd w:val="clear" w:color="auto" w:fill="E2EFD9"/>
            <w:tcMar>
              <w:top w:w="40" w:type="dxa"/>
              <w:left w:w="0" w:type="dxa"/>
              <w:bottom w:w="40" w:type="dxa"/>
              <w:right w:w="20" w:type="dxa"/>
            </w:tcMar>
            <w:vAlign w:val="bottom"/>
          </w:tcPr>
          <w:p w14:paraId="1E805080" w14:textId="77777777" w:rsidR="00F20ABF" w:rsidRDefault="00CA4D2F">
            <w:pPr>
              <w:jc w:val="right"/>
              <w:textAlignment w:val="bottom"/>
            </w:pPr>
            <w:r>
              <w:rPr>
                <w:rFonts w:ascii="sans-serif" w:eastAsia="sans-serif" w:hAnsi="sans-serif" w:cs="sans-serif"/>
                <w:color w:val="000000"/>
                <w:sz w:val="20"/>
                <w:szCs w:val="20"/>
              </w:rPr>
              <w:t>%</w:t>
            </w:r>
          </w:p>
        </w:tc>
      </w:tr>
      <w:tr w:rsidR="00F20ABF" w14:paraId="1E805094" w14:textId="77777777">
        <w:tc>
          <w:tcPr>
            <w:tcW w:w="0" w:type="auto"/>
            <w:gridSpan w:val="3"/>
            <w:shd w:val="clear" w:color="auto" w:fill="FFFFFF"/>
            <w:tcMar>
              <w:top w:w="40" w:type="dxa"/>
              <w:left w:w="20" w:type="dxa"/>
              <w:bottom w:w="40" w:type="dxa"/>
              <w:right w:w="20" w:type="dxa"/>
            </w:tcMar>
            <w:vAlign w:val="bottom"/>
          </w:tcPr>
          <w:p w14:paraId="1E805082" w14:textId="77777777" w:rsidR="00F20ABF" w:rsidRDefault="00CA4D2F">
            <w:pPr>
              <w:textAlignment w:val="bottom"/>
            </w:pPr>
            <w:r>
              <w:rPr>
                <w:rFonts w:ascii="sans-serif" w:eastAsia="sans-serif" w:hAnsi="sans-serif" w:cs="sans-serif"/>
                <w:color w:val="000000"/>
                <w:sz w:val="20"/>
                <w:szCs w:val="20"/>
              </w:rPr>
              <w:t>Net income per diluted share</w:t>
            </w:r>
          </w:p>
        </w:tc>
        <w:tc>
          <w:tcPr>
            <w:tcW w:w="0" w:type="auto"/>
            <w:shd w:val="clear" w:color="auto" w:fill="FFFFFF"/>
            <w:tcMar>
              <w:top w:w="40" w:type="dxa"/>
              <w:left w:w="20" w:type="dxa"/>
              <w:bottom w:w="40" w:type="dxa"/>
              <w:right w:w="0" w:type="dxa"/>
            </w:tcMar>
            <w:vAlign w:val="bottom"/>
          </w:tcPr>
          <w:p w14:paraId="1E805083"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5084" w14:textId="77777777" w:rsidR="00F20ABF" w:rsidRDefault="00CA4D2F">
            <w:pPr>
              <w:jc w:val="right"/>
              <w:textAlignment w:val="bottom"/>
            </w:pPr>
            <w:r>
              <w:rPr>
                <w:rFonts w:ascii="sans-serif" w:eastAsia="sans-serif" w:hAnsi="sans-serif" w:cs="sans-serif"/>
                <w:color w:val="000000"/>
                <w:sz w:val="20"/>
                <w:szCs w:val="20"/>
              </w:rPr>
              <w:t>2.12 </w:t>
            </w:r>
          </w:p>
        </w:tc>
        <w:tc>
          <w:tcPr>
            <w:tcW w:w="0" w:type="auto"/>
            <w:shd w:val="clear" w:color="auto" w:fill="FFFFFF"/>
            <w:tcMar>
              <w:top w:w="40" w:type="dxa"/>
              <w:left w:w="0" w:type="dxa"/>
              <w:bottom w:w="40" w:type="dxa"/>
              <w:right w:w="20" w:type="dxa"/>
            </w:tcMar>
            <w:vAlign w:val="bottom"/>
          </w:tcPr>
          <w:p w14:paraId="1E805085"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086"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5087"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5088" w14:textId="77777777" w:rsidR="00F20ABF" w:rsidRDefault="00CA4D2F">
            <w:pPr>
              <w:jc w:val="right"/>
              <w:textAlignment w:val="bottom"/>
            </w:pPr>
            <w:r>
              <w:rPr>
                <w:rFonts w:ascii="sans-serif" w:eastAsia="sans-serif" w:hAnsi="sans-serif" w:cs="sans-serif"/>
                <w:color w:val="000000"/>
                <w:sz w:val="20"/>
                <w:szCs w:val="20"/>
              </w:rPr>
              <w:t>0.99 </w:t>
            </w:r>
          </w:p>
        </w:tc>
        <w:tc>
          <w:tcPr>
            <w:tcW w:w="0" w:type="auto"/>
            <w:shd w:val="clear" w:color="auto" w:fill="FFFFFF"/>
            <w:tcMar>
              <w:top w:w="40" w:type="dxa"/>
              <w:left w:w="0" w:type="dxa"/>
              <w:bottom w:w="40" w:type="dxa"/>
              <w:right w:w="20" w:type="dxa"/>
            </w:tcMar>
            <w:vAlign w:val="bottom"/>
          </w:tcPr>
          <w:p w14:paraId="1E805089"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08A"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508B"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508C" w14:textId="77777777" w:rsidR="00F20ABF" w:rsidRDefault="00CA4D2F">
            <w:pPr>
              <w:jc w:val="right"/>
              <w:textAlignment w:val="bottom"/>
            </w:pPr>
            <w:r>
              <w:rPr>
                <w:rFonts w:ascii="sans-serif" w:eastAsia="sans-serif" w:hAnsi="sans-serif" w:cs="sans-serif"/>
                <w:color w:val="000000"/>
                <w:sz w:val="20"/>
                <w:szCs w:val="20"/>
              </w:rPr>
              <w:t>1.45 </w:t>
            </w:r>
          </w:p>
        </w:tc>
        <w:tc>
          <w:tcPr>
            <w:tcW w:w="0" w:type="auto"/>
            <w:shd w:val="clear" w:color="auto" w:fill="FFFFFF"/>
            <w:tcMar>
              <w:top w:w="40" w:type="dxa"/>
              <w:left w:w="0" w:type="dxa"/>
              <w:bottom w:w="40" w:type="dxa"/>
              <w:right w:w="20" w:type="dxa"/>
            </w:tcMar>
            <w:vAlign w:val="bottom"/>
          </w:tcPr>
          <w:p w14:paraId="1E80508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08E"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08F" w14:textId="77777777" w:rsidR="00F20ABF" w:rsidRDefault="00CA4D2F">
            <w:pPr>
              <w:jc w:val="right"/>
              <w:textAlignment w:val="bottom"/>
            </w:pPr>
            <w:r>
              <w:rPr>
                <w:rFonts w:ascii="sans-serif" w:eastAsia="sans-serif" w:hAnsi="sans-serif" w:cs="sans-serif"/>
                <w:color w:val="000000"/>
                <w:sz w:val="20"/>
                <w:szCs w:val="20"/>
              </w:rPr>
              <w:t>114 </w:t>
            </w:r>
          </w:p>
        </w:tc>
        <w:tc>
          <w:tcPr>
            <w:tcW w:w="0" w:type="auto"/>
            <w:shd w:val="clear" w:color="auto" w:fill="FFFFFF"/>
            <w:tcMar>
              <w:top w:w="40" w:type="dxa"/>
              <w:left w:w="0" w:type="dxa"/>
              <w:bottom w:w="40" w:type="dxa"/>
              <w:right w:w="20" w:type="dxa"/>
            </w:tcMar>
            <w:vAlign w:val="bottom"/>
          </w:tcPr>
          <w:p w14:paraId="1E805090"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tcPr>
          <w:p w14:paraId="1E805091"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092" w14:textId="77777777" w:rsidR="00F20ABF" w:rsidRDefault="00CA4D2F">
            <w:pPr>
              <w:jc w:val="right"/>
              <w:textAlignment w:val="bottom"/>
            </w:pPr>
            <w:r>
              <w:rPr>
                <w:rFonts w:ascii="sans-serif" w:eastAsia="sans-serif" w:hAnsi="sans-serif" w:cs="sans-serif"/>
                <w:color w:val="000000"/>
                <w:sz w:val="20"/>
                <w:szCs w:val="20"/>
              </w:rPr>
              <w:t>46 </w:t>
            </w:r>
          </w:p>
        </w:tc>
        <w:tc>
          <w:tcPr>
            <w:tcW w:w="0" w:type="auto"/>
            <w:shd w:val="clear" w:color="auto" w:fill="FFFFFF"/>
            <w:tcMar>
              <w:top w:w="40" w:type="dxa"/>
              <w:left w:w="0" w:type="dxa"/>
              <w:bottom w:w="40" w:type="dxa"/>
              <w:right w:w="20" w:type="dxa"/>
            </w:tcMar>
            <w:vAlign w:val="bottom"/>
          </w:tcPr>
          <w:p w14:paraId="1E805093" w14:textId="77777777" w:rsidR="00F20ABF" w:rsidRDefault="00CA4D2F">
            <w:pPr>
              <w:jc w:val="right"/>
              <w:textAlignment w:val="bottom"/>
            </w:pPr>
            <w:r>
              <w:rPr>
                <w:rFonts w:ascii="sans-serif" w:eastAsia="sans-serif" w:hAnsi="sans-serif" w:cs="sans-serif"/>
                <w:color w:val="000000"/>
                <w:sz w:val="20"/>
                <w:szCs w:val="20"/>
              </w:rPr>
              <w:t>%</w:t>
            </w:r>
          </w:p>
        </w:tc>
      </w:tr>
    </w:tbl>
    <w:p w14:paraId="1E805095" w14:textId="77777777" w:rsidR="00F20ABF" w:rsidRDefault="00CA4D2F">
      <w:pPr>
        <w:spacing w:after="180"/>
        <w:jc w:val="center"/>
      </w:pPr>
      <w:r>
        <w:rPr>
          <w:rFonts w:ascii="sans-serif" w:eastAsia="sans-serif" w:hAnsi="sans-serif" w:cs="sans-serif"/>
          <w:color w:val="000000"/>
          <w:sz w:val="20"/>
          <w:szCs w:val="20"/>
        </w:rPr>
        <w:t>27</w:t>
      </w:r>
    </w:p>
    <w:p w14:paraId="1E805096" w14:textId="77777777" w:rsidR="00F20ABF" w:rsidRDefault="00CA4D2F">
      <w:r>
        <w:pict w14:anchorId="1E805596">
          <v:rect id="_x0000_i1051" style="width:415.3pt;height:1.5pt" o:hralign="center" o:hrstd="t" o:hr="t" fillcolor="#a0a0a0" stroked="f"/>
        </w:pict>
      </w:r>
    </w:p>
    <w:p w14:paraId="1E805097" w14:textId="77777777" w:rsidR="00F20ABF" w:rsidRDefault="00F20ABF">
      <w:pPr>
        <w:spacing w:after="180"/>
        <w:jc w:val="both"/>
      </w:pPr>
    </w:p>
    <w:p w14:paraId="1E805098" w14:textId="77777777" w:rsidR="00F20ABF" w:rsidRDefault="00F20ABF">
      <w:pPr>
        <w:spacing w:after="180"/>
        <w:jc w:val="both"/>
      </w:pPr>
    </w:p>
    <w:p w14:paraId="1E805099" w14:textId="77777777" w:rsidR="00F20ABF" w:rsidRDefault="00F20ABF">
      <w:pPr>
        <w:spacing w:after="180"/>
        <w:jc w:val="both"/>
      </w:pPr>
    </w:p>
    <w:p w14:paraId="1E80509A" w14:textId="77777777" w:rsidR="00F20ABF" w:rsidRDefault="00CA4D2F">
      <w:pPr>
        <w:spacing w:after="180"/>
        <w:jc w:val="both"/>
      </w:pPr>
      <w:r>
        <w:rPr>
          <w:rFonts w:ascii="sans-serif" w:eastAsia="sans-serif" w:hAnsi="sans-serif" w:cs="sans-serif"/>
          <w:color w:val="000000"/>
          <w:sz w:val="20"/>
          <w:szCs w:val="20"/>
        </w:rPr>
        <w:t>Revenue for the third quarter of fiscal year 2021 was $4.73 billion, up 57% from a year earlier and up 2</w:t>
      </w:r>
      <w:r>
        <w:rPr>
          <w:rFonts w:ascii="sans-serif" w:eastAsia="sans-serif" w:hAnsi="sans-serif" w:cs="sans-serif"/>
          <w:color w:val="000000"/>
          <w:sz w:val="20"/>
          <w:szCs w:val="20"/>
        </w:rPr>
        <w:t>2% sequentially.</w:t>
      </w:r>
    </w:p>
    <w:p w14:paraId="1E80509B" w14:textId="77777777" w:rsidR="00F20ABF" w:rsidRDefault="00CA4D2F">
      <w:pPr>
        <w:spacing w:after="180"/>
        <w:jc w:val="both"/>
      </w:pPr>
      <w:r>
        <w:rPr>
          <w:rFonts w:ascii="sans-serif" w:eastAsia="sans-serif" w:hAnsi="sans-serif" w:cs="sans-serif"/>
          <w:color w:val="000000"/>
          <w:sz w:val="20"/>
          <w:szCs w:val="20"/>
        </w:rPr>
        <w:t>Graphics segment revenue was $2.79 billion, up 25% from a year earlier and up 34% sequentially.</w:t>
      </w:r>
    </w:p>
    <w:p w14:paraId="1E80509C" w14:textId="77777777" w:rsidR="00F20ABF" w:rsidRDefault="00CA4D2F">
      <w:pPr>
        <w:spacing w:after="180"/>
        <w:jc w:val="both"/>
      </w:pPr>
      <w:r>
        <w:rPr>
          <w:rFonts w:ascii="sans-serif" w:eastAsia="sans-serif" w:hAnsi="sans-serif" w:cs="sans-serif"/>
          <w:color w:val="000000"/>
          <w:sz w:val="20"/>
          <w:szCs w:val="20"/>
        </w:rPr>
        <w:t>Compute &amp; Networking segment revenue was $1.94 billion, up 146% from a year ago and up 9% sequentially.</w:t>
      </w:r>
    </w:p>
    <w:p w14:paraId="1E80509D" w14:textId="77777777" w:rsidR="00F20ABF" w:rsidRDefault="00CA4D2F">
      <w:pPr>
        <w:spacing w:after="180"/>
        <w:jc w:val="both"/>
      </w:pPr>
      <w:r>
        <w:rPr>
          <w:rFonts w:ascii="sans-serif" w:eastAsia="sans-serif" w:hAnsi="sans-serif" w:cs="sans-serif"/>
          <w:color w:val="000000"/>
          <w:sz w:val="20"/>
          <w:szCs w:val="20"/>
        </w:rPr>
        <w:t xml:space="preserve">From a market-platform </w:t>
      </w:r>
      <w:r>
        <w:rPr>
          <w:rFonts w:ascii="sans-serif" w:eastAsia="sans-serif" w:hAnsi="sans-serif" w:cs="sans-serif"/>
          <w:color w:val="000000"/>
          <w:sz w:val="20"/>
          <w:szCs w:val="20"/>
        </w:rPr>
        <w:t>perspective, Gaming revenue was $2.27 billion, up 37% both from a year ago and sequentially. The increases reflect higher sales across desktop and notebook gaming GPUs, and game console SOCs. Desktop gaming sales benefited from the launch of our GeForce RT</w:t>
      </w:r>
      <w:r>
        <w:rPr>
          <w:rFonts w:ascii="sans-serif" w:eastAsia="sans-serif" w:hAnsi="sans-serif" w:cs="sans-serif"/>
          <w:color w:val="000000"/>
          <w:sz w:val="20"/>
          <w:szCs w:val="20"/>
        </w:rPr>
        <w:t>X 30 Series based on the NVIDIA Ampere architecture.</w:t>
      </w:r>
    </w:p>
    <w:p w14:paraId="1E80509E" w14:textId="77777777" w:rsidR="00F20ABF" w:rsidRDefault="00CA4D2F">
      <w:pPr>
        <w:spacing w:after="180"/>
        <w:jc w:val="both"/>
      </w:pPr>
      <w:r>
        <w:rPr>
          <w:rFonts w:ascii="sans-serif" w:eastAsia="sans-serif" w:hAnsi="sans-serif" w:cs="sans-serif"/>
          <w:color w:val="000000"/>
          <w:sz w:val="20"/>
          <w:szCs w:val="20"/>
        </w:rPr>
        <w:t>Professional Visualization revenue was $236 million, down 27% from a year earlier and up 16% sequentially. The year-on-year decline was influenced by COVID-19, with reduced demand for desktop workstation</w:t>
      </w:r>
      <w:r>
        <w:rPr>
          <w:rFonts w:ascii="sans-serif" w:eastAsia="sans-serif" w:hAnsi="sans-serif" w:cs="sans-serif"/>
          <w:color w:val="000000"/>
          <w:sz w:val="20"/>
          <w:szCs w:val="20"/>
        </w:rPr>
        <w:t>s. The sequential increase reflects a sharp rebound in mobile workstations due to work from home trends.</w:t>
      </w:r>
    </w:p>
    <w:p w14:paraId="1E80509F" w14:textId="77777777" w:rsidR="00F20ABF" w:rsidRDefault="00CA4D2F">
      <w:pPr>
        <w:spacing w:after="180"/>
        <w:jc w:val="both"/>
      </w:pPr>
      <w:r>
        <w:rPr>
          <w:rFonts w:ascii="sans-serif" w:eastAsia="sans-serif" w:hAnsi="sans-serif" w:cs="sans-serif"/>
          <w:color w:val="000000"/>
          <w:sz w:val="20"/>
          <w:szCs w:val="20"/>
        </w:rPr>
        <w:t>Data Center revenue was $1.90 billion, up 162% from a year ago and up 8% sequentially. Our recent acquisition of Mellanox contributed 13% of total comp</w:t>
      </w:r>
      <w:r>
        <w:rPr>
          <w:rFonts w:ascii="sans-serif" w:eastAsia="sans-serif" w:hAnsi="sans-serif" w:cs="sans-serif"/>
          <w:color w:val="000000"/>
          <w:sz w:val="20"/>
          <w:szCs w:val="20"/>
        </w:rPr>
        <w:t>any revenue and approximately a third of Data Center revenue. In addition to Mellanox, the year-on-year and sequential increases were driven by the ramp of NVIDIA Ampere architecture products.</w:t>
      </w:r>
    </w:p>
    <w:p w14:paraId="1E8050A0" w14:textId="77777777" w:rsidR="00F20ABF" w:rsidRDefault="00CA4D2F">
      <w:pPr>
        <w:spacing w:after="180"/>
        <w:jc w:val="both"/>
      </w:pPr>
      <w:r>
        <w:rPr>
          <w:rFonts w:ascii="sans-serif" w:eastAsia="sans-serif" w:hAnsi="sans-serif" w:cs="sans-serif"/>
          <w:color w:val="000000"/>
          <w:sz w:val="20"/>
          <w:szCs w:val="20"/>
        </w:rPr>
        <w:t>Automotive revenue was $125 million, down 23% from a year earli</w:t>
      </w:r>
      <w:r>
        <w:rPr>
          <w:rFonts w:ascii="sans-serif" w:eastAsia="sans-serif" w:hAnsi="sans-serif" w:cs="sans-serif"/>
          <w:color w:val="000000"/>
          <w:sz w:val="20"/>
          <w:szCs w:val="20"/>
        </w:rPr>
        <w:t>er and up 13% sequentially. The year-on-year decrease reflects a decline in revenue from legacy infotainment modules and autonomous driving development agreements. The sequential increase reflects higher sales of AI cockpit solutions.</w:t>
      </w:r>
    </w:p>
    <w:p w14:paraId="1E8050A1" w14:textId="77777777" w:rsidR="00F20ABF" w:rsidRDefault="00CA4D2F">
      <w:pPr>
        <w:spacing w:after="180"/>
        <w:jc w:val="both"/>
      </w:pPr>
      <w:r>
        <w:rPr>
          <w:rFonts w:ascii="sans-serif" w:eastAsia="sans-serif" w:hAnsi="sans-serif" w:cs="sans-serif"/>
          <w:color w:val="000000"/>
          <w:sz w:val="20"/>
          <w:szCs w:val="20"/>
        </w:rPr>
        <w:t>OEM and Other revenue</w:t>
      </w:r>
      <w:r>
        <w:rPr>
          <w:rFonts w:ascii="sans-serif" w:eastAsia="sans-serif" w:hAnsi="sans-serif" w:cs="sans-serif"/>
          <w:color w:val="000000"/>
          <w:sz w:val="20"/>
          <w:szCs w:val="20"/>
        </w:rPr>
        <w:t xml:space="preserve"> was $194 million, up 36% from a year ago and up 33% sequentially, primarily due to higher volume of entry-level laptop GPUs.</w:t>
      </w:r>
    </w:p>
    <w:p w14:paraId="1E8050A2" w14:textId="77777777" w:rsidR="00F20ABF" w:rsidRDefault="00CA4D2F">
      <w:pPr>
        <w:spacing w:after="180"/>
        <w:jc w:val="both"/>
      </w:pPr>
      <w:r>
        <w:rPr>
          <w:rFonts w:ascii="sans-serif" w:eastAsia="sans-serif" w:hAnsi="sans-serif" w:cs="sans-serif"/>
          <w:color w:val="000000"/>
          <w:sz w:val="20"/>
          <w:szCs w:val="20"/>
        </w:rPr>
        <w:t>Gross margin was 62.6% in the third quarter, down 100 basis points from a year earlier and up 380 basis points sequentially. The y</w:t>
      </w:r>
      <w:r>
        <w:rPr>
          <w:rFonts w:ascii="sans-serif" w:eastAsia="sans-serif" w:hAnsi="sans-serif" w:cs="sans-serif"/>
          <w:color w:val="000000"/>
          <w:sz w:val="20"/>
          <w:szCs w:val="20"/>
        </w:rPr>
        <w:t>ear-on-year decline reflects charges related to the Mellanox acquisition and lower margins in Gaming, partially offset by a shift in product mix with higher Data Center and lower Automotive sales. The sequential increase was primarily driven by the absence</w:t>
      </w:r>
      <w:r>
        <w:rPr>
          <w:rFonts w:ascii="sans-serif" w:eastAsia="sans-serif" w:hAnsi="sans-serif" w:cs="sans-serif"/>
          <w:color w:val="000000"/>
          <w:sz w:val="20"/>
          <w:szCs w:val="20"/>
        </w:rPr>
        <w:t xml:space="preserve"> of a non-recurring inventory step-up expense related to the Mellanox acquisition in the prior quarter. </w:t>
      </w:r>
    </w:p>
    <w:p w14:paraId="1E8050A3" w14:textId="77777777" w:rsidR="00F20ABF" w:rsidRDefault="00CA4D2F">
      <w:pPr>
        <w:spacing w:after="180"/>
        <w:jc w:val="both"/>
      </w:pPr>
      <w:r>
        <w:rPr>
          <w:rFonts w:ascii="sans-serif" w:eastAsia="sans-serif" w:hAnsi="sans-serif" w:cs="sans-serif"/>
          <w:color w:val="000000"/>
          <w:sz w:val="20"/>
          <w:szCs w:val="20"/>
        </w:rPr>
        <w:t>Operating expenses were $1.56 billion, up 58% from a year earlier and down 4% sequentially. The year-on-year increase was primarily driven by compensat</w:t>
      </w:r>
      <w:r>
        <w:rPr>
          <w:rFonts w:ascii="sans-serif" w:eastAsia="sans-serif" w:hAnsi="sans-serif" w:cs="sans-serif"/>
          <w:color w:val="000000"/>
          <w:sz w:val="20"/>
          <w:szCs w:val="20"/>
        </w:rPr>
        <w:t xml:space="preserve">ion-related costs, the Mellanox acquisition, infrastructure costs, and employee growth. The sequential decrease was due to a reduction in acquisition-related costs. </w:t>
      </w:r>
    </w:p>
    <w:p w14:paraId="1E8050A4" w14:textId="77777777" w:rsidR="00F20ABF" w:rsidRDefault="00CA4D2F">
      <w:pPr>
        <w:spacing w:after="180"/>
        <w:jc w:val="both"/>
      </w:pPr>
      <w:r>
        <w:rPr>
          <w:rFonts w:ascii="sans-serif" w:eastAsia="sans-serif" w:hAnsi="sans-serif" w:cs="sans-serif"/>
          <w:color w:val="000000"/>
          <w:sz w:val="20"/>
          <w:szCs w:val="20"/>
        </w:rPr>
        <w:t>Income from operations was $1.40 billion, up 51% from a year earlier and up 115% sequentia</w:t>
      </w:r>
      <w:r>
        <w:rPr>
          <w:rFonts w:ascii="sans-serif" w:eastAsia="sans-serif" w:hAnsi="sans-serif" w:cs="sans-serif"/>
          <w:color w:val="000000"/>
          <w:sz w:val="20"/>
          <w:szCs w:val="20"/>
        </w:rPr>
        <w:t>lly. Net income was $1.34 billion. Net income per diluted share was $2.12, up 46% from a year earlier and up 114% sequentially.</w:t>
      </w:r>
    </w:p>
    <w:p w14:paraId="1E8050A5" w14:textId="77777777" w:rsidR="00F20ABF" w:rsidRDefault="00CA4D2F">
      <w:pPr>
        <w:spacing w:after="180"/>
        <w:jc w:val="both"/>
      </w:pPr>
      <w:r>
        <w:rPr>
          <w:rFonts w:ascii="sans-serif" w:eastAsia="sans-serif" w:hAnsi="sans-serif" w:cs="sans-serif"/>
          <w:color w:val="000000"/>
          <w:sz w:val="20"/>
          <w:szCs w:val="20"/>
        </w:rPr>
        <w:t>Cash, cash equivalents and marketable securities at the end of the third quarter were $10.14 billion, up from $9.77 billion a ye</w:t>
      </w:r>
      <w:r>
        <w:rPr>
          <w:rFonts w:ascii="sans-serif" w:eastAsia="sans-serif" w:hAnsi="sans-serif" w:cs="sans-serif"/>
          <w:color w:val="000000"/>
          <w:sz w:val="20"/>
          <w:szCs w:val="20"/>
        </w:rPr>
        <w:t>ar earlier and down from $10.98 billion in the prior quarter. The year-on-year increase primarily reflects the issuance of the $5 billion of notes in March 2020 and cash flow generation, partially offset by acquisitions. The sequential decrease primarily r</w:t>
      </w:r>
      <w:r>
        <w:rPr>
          <w:rFonts w:ascii="sans-serif" w:eastAsia="sans-serif" w:hAnsi="sans-serif" w:cs="sans-serif"/>
          <w:color w:val="000000"/>
          <w:sz w:val="20"/>
          <w:szCs w:val="20"/>
        </w:rPr>
        <w:t xml:space="preserve">eflects the $2 billion payment under the Purchase Agreement to acquire Arm. </w:t>
      </w:r>
    </w:p>
    <w:p w14:paraId="1E8050A6" w14:textId="77777777" w:rsidR="00F20ABF" w:rsidRDefault="00CA4D2F">
      <w:pPr>
        <w:spacing w:after="180"/>
        <w:jc w:val="both"/>
      </w:pPr>
      <w:r>
        <w:rPr>
          <w:rFonts w:ascii="sans-serif" w:eastAsia="sans-serif" w:hAnsi="sans-serif" w:cs="sans-serif"/>
          <w:color w:val="000000"/>
          <w:sz w:val="20"/>
          <w:szCs w:val="20"/>
        </w:rPr>
        <w:t>We paid $99 million in quarterly cash dividends in the third quarter.</w:t>
      </w:r>
    </w:p>
    <w:p w14:paraId="1E8050A7" w14:textId="77777777" w:rsidR="00F20ABF" w:rsidRDefault="00CA4D2F">
      <w:pPr>
        <w:spacing w:before="120" w:after="120"/>
        <w:jc w:val="both"/>
      </w:pPr>
      <w:r>
        <w:rPr>
          <w:rFonts w:ascii="sans-serif" w:eastAsia="sans-serif" w:hAnsi="sans-serif" w:cs="sans-serif"/>
          <w:b/>
          <w:bCs/>
          <w:color w:val="000000"/>
          <w:sz w:val="20"/>
          <w:szCs w:val="20"/>
        </w:rPr>
        <w:t>Market Platform Highlights</w:t>
      </w:r>
    </w:p>
    <w:p w14:paraId="1E8050A8" w14:textId="77777777" w:rsidR="00F20ABF" w:rsidRDefault="00CA4D2F">
      <w:pPr>
        <w:spacing w:before="120" w:after="120"/>
        <w:jc w:val="both"/>
      </w:pPr>
      <w:r>
        <w:rPr>
          <w:rFonts w:ascii="sans-serif" w:eastAsia="sans-serif" w:hAnsi="sans-serif" w:cs="sans-serif"/>
          <w:color w:val="000000"/>
          <w:sz w:val="20"/>
          <w:szCs w:val="20"/>
        </w:rPr>
        <w:t xml:space="preserve">During the third quarter of fiscal year 2021, in our Gaming platform, we unveiled </w:t>
      </w:r>
      <w:r>
        <w:rPr>
          <w:rFonts w:ascii="sans-serif" w:eastAsia="sans-serif" w:hAnsi="sans-serif" w:cs="sans-serif"/>
          <w:color w:val="000000"/>
          <w:sz w:val="20"/>
          <w:szCs w:val="20"/>
        </w:rPr>
        <w:t>GeForce RTX 30 Series GPUs; announced that Fortnite will support NVIDA RTX real-time ray tracing and DLSS AI super-resolution; introduced NVIDIA Reflex; and unveiled NVIDIA Broadcast.</w:t>
      </w:r>
    </w:p>
    <w:p w14:paraId="1E8050A9" w14:textId="77777777" w:rsidR="00F20ABF" w:rsidRDefault="00CA4D2F">
      <w:pPr>
        <w:spacing w:before="120" w:after="120"/>
        <w:jc w:val="both"/>
      </w:pPr>
      <w:r>
        <w:rPr>
          <w:rFonts w:ascii="sans-serif" w:eastAsia="sans-serif" w:hAnsi="sans-serif" w:cs="sans-serif"/>
          <w:color w:val="000000"/>
          <w:sz w:val="20"/>
          <w:szCs w:val="20"/>
        </w:rPr>
        <w:t>In our Professional Visualization platform, we brought to open beta NVID</w:t>
      </w:r>
      <w:r>
        <w:rPr>
          <w:rFonts w:ascii="sans-serif" w:eastAsia="sans-serif" w:hAnsi="sans-serif" w:cs="sans-serif"/>
          <w:color w:val="000000"/>
          <w:sz w:val="20"/>
          <w:szCs w:val="20"/>
        </w:rPr>
        <w:t>IA Omniverse; announced NVIDIA Omniverse Machinima; and collaborated with Adobe to bring GPU-accelerated neural filters to Adobe Photoshop AI-powered tools.</w:t>
      </w:r>
    </w:p>
    <w:p w14:paraId="1E8050AA" w14:textId="77777777" w:rsidR="00F20ABF" w:rsidRDefault="00CA4D2F">
      <w:pPr>
        <w:spacing w:before="120" w:after="120"/>
        <w:jc w:val="both"/>
      </w:pPr>
      <w:r>
        <w:rPr>
          <w:rFonts w:ascii="sans-serif" w:eastAsia="sans-serif" w:hAnsi="sans-serif" w:cs="sans-serif"/>
          <w:color w:val="000000"/>
          <w:sz w:val="20"/>
          <w:szCs w:val="20"/>
        </w:rPr>
        <w:t>In our Data Center platform, we shared news that Amazon Web Services and Oracle Cloud Infrastructur</w:t>
      </w:r>
      <w:r>
        <w:rPr>
          <w:rFonts w:ascii="sans-serif" w:eastAsia="sans-serif" w:hAnsi="sans-serif" w:cs="sans-serif"/>
          <w:color w:val="000000"/>
          <w:sz w:val="20"/>
          <w:szCs w:val="20"/>
        </w:rPr>
        <w:t>e announced general availability of cloud computing instances based on the NVIDIA A100 GPU; announced the NVIDIA DGX SuperPOD Solution for Enterprise; announced that five supercomputers backed by EuroHPC will use NVIDIA’s data center accelerators or networ</w:t>
      </w:r>
      <w:r>
        <w:rPr>
          <w:rFonts w:ascii="sans-serif" w:eastAsia="sans-serif" w:hAnsi="sans-serif" w:cs="sans-serif"/>
          <w:color w:val="000000"/>
          <w:sz w:val="20"/>
          <w:szCs w:val="20"/>
        </w:rPr>
        <w:t>king; introduced the new family of NVIDIA BlueField-2 DPUs (data processing units); announced a broad partnership with VMware to create an end-to-end enterprise platform for AI and a new architecture for data center, cloud and edge; unveiled NVIDIA Maxine;</w:t>
      </w:r>
      <w:r>
        <w:rPr>
          <w:rFonts w:ascii="sans-serif" w:eastAsia="sans-serif" w:hAnsi="sans-serif" w:cs="sans-serif"/>
          <w:color w:val="000000"/>
          <w:sz w:val="20"/>
          <w:szCs w:val="20"/>
        </w:rPr>
        <w:t xml:space="preserve"> introduced the NVIDIA RTX A6000 and NVIDIA A40 GPUs; extended our lead on MLPerf performance benchmarks for inference; announced a partnership with GSK to integrate computing </w:t>
      </w:r>
    </w:p>
    <w:p w14:paraId="1E8050AB" w14:textId="77777777" w:rsidR="00F20ABF" w:rsidRDefault="00CA4D2F">
      <w:pPr>
        <w:spacing w:after="180"/>
        <w:jc w:val="center"/>
      </w:pPr>
      <w:r>
        <w:rPr>
          <w:rFonts w:ascii="sans-serif" w:eastAsia="sans-serif" w:hAnsi="sans-serif" w:cs="sans-serif"/>
          <w:color w:val="000000"/>
          <w:sz w:val="20"/>
          <w:szCs w:val="20"/>
        </w:rPr>
        <w:t>28</w:t>
      </w:r>
    </w:p>
    <w:p w14:paraId="1E8050AC" w14:textId="77777777" w:rsidR="00F20ABF" w:rsidRDefault="00CA4D2F">
      <w:r>
        <w:pict w14:anchorId="1E805597">
          <v:rect id="_x0000_i1052" style="width:415.3pt;height:1.5pt" o:hralign="center" o:hrstd="t" o:hr="t" fillcolor="#a0a0a0" stroked="f"/>
        </w:pict>
      </w:r>
    </w:p>
    <w:p w14:paraId="1E8050AD" w14:textId="77777777" w:rsidR="00F20ABF" w:rsidRDefault="00F20ABF">
      <w:pPr>
        <w:spacing w:after="180"/>
        <w:jc w:val="both"/>
      </w:pPr>
    </w:p>
    <w:p w14:paraId="1E8050AE" w14:textId="77777777" w:rsidR="00F20ABF" w:rsidRDefault="00F20ABF">
      <w:pPr>
        <w:spacing w:after="180"/>
        <w:jc w:val="both"/>
      </w:pPr>
    </w:p>
    <w:p w14:paraId="1E8050AF" w14:textId="77777777" w:rsidR="00F20ABF" w:rsidRDefault="00F20ABF">
      <w:pPr>
        <w:spacing w:after="180"/>
        <w:jc w:val="both"/>
      </w:pPr>
    </w:p>
    <w:p w14:paraId="1E8050B0" w14:textId="77777777" w:rsidR="00F20ABF" w:rsidRDefault="00CA4D2F">
      <w:pPr>
        <w:spacing w:before="120" w:after="120"/>
        <w:jc w:val="both"/>
      </w:pPr>
      <w:r>
        <w:rPr>
          <w:rFonts w:ascii="sans-serif" w:eastAsia="sans-serif" w:hAnsi="sans-serif" w:cs="sans-serif"/>
          <w:color w:val="000000"/>
          <w:sz w:val="20"/>
          <w:szCs w:val="20"/>
        </w:rPr>
        <w:t>platforms for imaging, genomics and AI into the drug and vaccine discov</w:t>
      </w:r>
      <w:r>
        <w:rPr>
          <w:rFonts w:ascii="sans-serif" w:eastAsia="sans-serif" w:hAnsi="sans-serif" w:cs="sans-serif"/>
          <w:color w:val="000000"/>
          <w:sz w:val="20"/>
          <w:szCs w:val="20"/>
        </w:rPr>
        <w:t>ery process; and introduced NVIDIA A100 80GB GPU, NVIDIA DGX Station A100, and NVIDIA Mellanox InfiniBand.</w:t>
      </w:r>
    </w:p>
    <w:p w14:paraId="1E8050B1" w14:textId="77777777" w:rsidR="00F20ABF" w:rsidRDefault="00CA4D2F">
      <w:pPr>
        <w:spacing w:before="120" w:after="120"/>
        <w:jc w:val="both"/>
      </w:pPr>
      <w:r>
        <w:rPr>
          <w:rFonts w:ascii="sans-serif" w:eastAsia="sans-serif" w:hAnsi="sans-serif" w:cs="sans-serif"/>
          <w:color w:val="000000"/>
          <w:sz w:val="20"/>
          <w:szCs w:val="20"/>
        </w:rPr>
        <w:t>In our Automotive platform, we announced with Mercedes-Benz that NVIDIA is powering the next-generation MBUX AI cockpit system; announced with Hyunda</w:t>
      </w:r>
      <w:r>
        <w:rPr>
          <w:rFonts w:ascii="sans-serif" w:eastAsia="sans-serif" w:hAnsi="sans-serif" w:cs="sans-serif"/>
          <w:color w:val="000000"/>
          <w:sz w:val="20"/>
          <w:szCs w:val="20"/>
        </w:rPr>
        <w:t>i Motor Group that the Korean automaker’s entire lineup of Hyundai, Kia and Genesis models will come standard with NVIDIA DRIVE in-vehicle infotainment systems, starting in 2022; and announced that China’s Li Auto will develop its next-generation of electr</w:t>
      </w:r>
      <w:r>
        <w:rPr>
          <w:rFonts w:ascii="sans-serif" w:eastAsia="sans-serif" w:hAnsi="sans-serif" w:cs="sans-serif"/>
          <w:color w:val="000000"/>
          <w:sz w:val="20"/>
          <w:szCs w:val="20"/>
        </w:rPr>
        <w:t>ic vehicles using NVIDIA DRIVE AGX Orin, a software-defined platform for autonomous vehicles.</w:t>
      </w:r>
    </w:p>
    <w:p w14:paraId="1E8050B2" w14:textId="77777777" w:rsidR="00F20ABF" w:rsidRDefault="00CA4D2F">
      <w:pPr>
        <w:spacing w:before="120" w:after="120"/>
        <w:jc w:val="both"/>
      </w:pPr>
      <w:r>
        <w:rPr>
          <w:rFonts w:ascii="sans-serif" w:eastAsia="sans-serif" w:hAnsi="sans-serif" w:cs="sans-serif"/>
          <w:b/>
          <w:bCs/>
          <w:color w:val="000000"/>
          <w:sz w:val="20"/>
          <w:szCs w:val="20"/>
        </w:rPr>
        <w:t>Financial Information by Business Segment and Geographic Data</w:t>
      </w:r>
    </w:p>
    <w:p w14:paraId="1E8050B3" w14:textId="77777777" w:rsidR="00F20ABF" w:rsidRDefault="00CA4D2F">
      <w:pPr>
        <w:spacing w:after="180"/>
        <w:jc w:val="both"/>
      </w:pPr>
      <w:r>
        <w:rPr>
          <w:rFonts w:ascii="sans-serif" w:eastAsia="sans-serif" w:hAnsi="sans-serif" w:cs="sans-serif"/>
          <w:color w:val="000000"/>
          <w:sz w:val="20"/>
          <w:szCs w:val="20"/>
        </w:rPr>
        <w:t xml:space="preserve">Refer to Note 15 of the Notes to Condensed Consolidated Financial Statements for </w:t>
      </w:r>
      <w:r>
        <w:rPr>
          <w:rFonts w:ascii="sans-serif" w:eastAsia="sans-serif" w:hAnsi="sans-serif" w:cs="sans-serif"/>
          <w:color w:val="000000"/>
          <w:sz w:val="20"/>
          <w:szCs w:val="20"/>
        </w:rPr>
        <w:t>disclosure regarding segment information.</w:t>
      </w:r>
    </w:p>
    <w:p w14:paraId="1E8050B4" w14:textId="77777777" w:rsidR="00F20ABF" w:rsidRDefault="00CA4D2F">
      <w:pPr>
        <w:spacing w:before="240" w:after="120"/>
        <w:jc w:val="both"/>
      </w:pPr>
      <w:r>
        <w:rPr>
          <w:rFonts w:ascii="sans-serif" w:eastAsia="sans-serif" w:hAnsi="sans-serif" w:cs="sans-serif"/>
          <w:b/>
          <w:bCs/>
          <w:color w:val="76B900"/>
          <w:sz w:val="22"/>
          <w:szCs w:val="22"/>
        </w:rPr>
        <w:t>Critical Accounting Policies and Estimates</w:t>
      </w:r>
    </w:p>
    <w:p w14:paraId="1E8050B5" w14:textId="77777777" w:rsidR="00F20ABF" w:rsidRDefault="00CA4D2F">
      <w:pPr>
        <w:spacing w:after="180"/>
        <w:jc w:val="both"/>
      </w:pPr>
      <w:r>
        <w:rPr>
          <w:rFonts w:ascii="sans-serif" w:eastAsia="sans-serif" w:hAnsi="sans-serif" w:cs="sans-serif"/>
          <w:color w:val="000000"/>
          <w:sz w:val="20"/>
          <w:szCs w:val="20"/>
        </w:rPr>
        <w:t xml:space="preserve">Management’s discussion and analysis of financial condition and results of operations are based upon our consolidated financial statements, which have been </w:t>
      </w:r>
      <w:r>
        <w:rPr>
          <w:rFonts w:ascii="sans-serif" w:eastAsia="sans-serif" w:hAnsi="sans-serif" w:cs="sans-serif"/>
          <w:color w:val="000000"/>
          <w:sz w:val="20"/>
          <w:szCs w:val="20"/>
        </w:rPr>
        <w:t>prepared in accordance with accounting principles generally accepted in the United States, or U.S. GAAP. The preparation of these financial statements requires us to make estimates and judgments that affect the reported amounts of assets, liabilities, reve</w:t>
      </w:r>
      <w:r>
        <w:rPr>
          <w:rFonts w:ascii="sans-serif" w:eastAsia="sans-serif" w:hAnsi="sans-serif" w:cs="sans-serif"/>
          <w:color w:val="000000"/>
          <w:sz w:val="20"/>
          <w:szCs w:val="20"/>
        </w:rPr>
        <w:t>nue, cost of revenue, expenses and related disclosure of contingencies. We base our estimates on historical experience and on various other assumptions that are believed to be reasonable under the circumstances, the results of which form the basis for maki</w:t>
      </w:r>
      <w:r>
        <w:rPr>
          <w:rFonts w:ascii="sans-serif" w:eastAsia="sans-serif" w:hAnsi="sans-serif" w:cs="sans-serif"/>
          <w:color w:val="000000"/>
          <w:sz w:val="20"/>
          <w:szCs w:val="20"/>
        </w:rPr>
        <w:t>ng judgments about the carrying values of assets and liabilities. Our management has discussed the development and selection of these critical accounting policies and estimates with the Audit Committee of our Board of Directors. The Audit Committee has rev</w:t>
      </w:r>
      <w:r>
        <w:rPr>
          <w:rFonts w:ascii="sans-serif" w:eastAsia="sans-serif" w:hAnsi="sans-serif" w:cs="sans-serif"/>
          <w:color w:val="000000"/>
          <w:sz w:val="20"/>
          <w:szCs w:val="20"/>
        </w:rPr>
        <w:t>iewed our disclosures relating to our critical accounting policies and estimates in this Quarterly Report on Form 10-Q. Due to the Mellanox acquisition, we added the following critical accounting policy:</w:t>
      </w:r>
    </w:p>
    <w:p w14:paraId="1E8050B6" w14:textId="77777777" w:rsidR="00F20ABF" w:rsidRDefault="00CA4D2F">
      <w:pPr>
        <w:spacing w:before="120" w:after="120"/>
        <w:jc w:val="both"/>
      </w:pPr>
      <w:r>
        <w:rPr>
          <w:rFonts w:ascii="sans-serif" w:eastAsia="sans-serif" w:hAnsi="sans-serif" w:cs="sans-serif"/>
          <w:b/>
          <w:bCs/>
          <w:color w:val="000000"/>
          <w:sz w:val="20"/>
          <w:szCs w:val="20"/>
        </w:rPr>
        <w:t>Business Combinations</w:t>
      </w:r>
    </w:p>
    <w:p w14:paraId="1E8050B7" w14:textId="77777777" w:rsidR="00F20ABF" w:rsidRDefault="00CA4D2F">
      <w:pPr>
        <w:spacing w:after="180"/>
        <w:jc w:val="both"/>
      </w:pPr>
      <w:r>
        <w:rPr>
          <w:rFonts w:ascii="sans-serif" w:eastAsia="sans-serif" w:hAnsi="sans-serif" w:cs="sans-serif"/>
          <w:color w:val="000000"/>
          <w:sz w:val="20"/>
          <w:szCs w:val="20"/>
        </w:rPr>
        <w:t>The application of acquisition</w:t>
      </w:r>
      <w:r>
        <w:rPr>
          <w:rFonts w:ascii="sans-serif" w:eastAsia="sans-serif" w:hAnsi="sans-serif" w:cs="sans-serif"/>
          <w:color w:val="000000"/>
          <w:sz w:val="20"/>
          <w:szCs w:val="20"/>
        </w:rPr>
        <w:t xml:space="preserve"> accounting to a business acquisition requires that we identify the individual assets acquired and liabilities assumed and estimate the fair value of each. The fair value of assets acquired and liabilities assumed in a business acquisition are recognized a</w:t>
      </w:r>
      <w:r>
        <w:rPr>
          <w:rFonts w:ascii="sans-serif" w:eastAsia="sans-serif" w:hAnsi="sans-serif" w:cs="sans-serif"/>
          <w:color w:val="000000"/>
          <w:sz w:val="20"/>
          <w:szCs w:val="20"/>
        </w:rPr>
        <w:t xml:space="preserve">t the acquisition date, with the purchase price exceeding the fair values being recognized as goodwill. Determining fair value of identifiable assets, particularly intangibles, liabilities acquired and contingent obligations assumed requires management to </w:t>
      </w:r>
      <w:r>
        <w:rPr>
          <w:rFonts w:ascii="sans-serif" w:eastAsia="sans-serif" w:hAnsi="sans-serif" w:cs="sans-serif"/>
          <w:color w:val="000000"/>
          <w:sz w:val="20"/>
          <w:szCs w:val="20"/>
        </w:rPr>
        <w:t>make estimates. In certain circumstances, the allocations of the purchase price are based upon preliminary estimates and assumptions and subject to revision when we receive final information, including appraisals and other analysis. Accordingly, the measur</w:t>
      </w:r>
      <w:r>
        <w:rPr>
          <w:rFonts w:ascii="sans-serif" w:eastAsia="sans-serif" w:hAnsi="sans-serif" w:cs="sans-serif"/>
          <w:color w:val="000000"/>
          <w:sz w:val="20"/>
          <w:szCs w:val="20"/>
        </w:rPr>
        <w:t>ement period for such purchase price allocations will end when the information, or the facts and circumstances, becomes available, but will not exceed twelve months. We will recognize measurement-period adjustments during the period of resolution, includin</w:t>
      </w:r>
      <w:r>
        <w:rPr>
          <w:rFonts w:ascii="sans-serif" w:eastAsia="sans-serif" w:hAnsi="sans-serif" w:cs="sans-serif"/>
          <w:color w:val="000000"/>
          <w:sz w:val="20"/>
          <w:szCs w:val="20"/>
        </w:rPr>
        <w:t>g the effect on earnings of any amounts that would have been recorded in previous periods if the accounting had been completed at the acquisition date.</w:t>
      </w:r>
    </w:p>
    <w:p w14:paraId="1E8050B8" w14:textId="77777777" w:rsidR="00F20ABF" w:rsidRDefault="00CA4D2F">
      <w:pPr>
        <w:spacing w:after="180"/>
        <w:jc w:val="both"/>
      </w:pPr>
      <w:r>
        <w:rPr>
          <w:rFonts w:ascii="sans-serif" w:eastAsia="sans-serif" w:hAnsi="sans-serif" w:cs="sans-serif"/>
          <w:color w:val="000000"/>
          <w:sz w:val="20"/>
          <w:szCs w:val="20"/>
        </w:rPr>
        <w:t>Goodwill and intangible assets often represent a significant portion of the assets acquired in a busines</w:t>
      </w:r>
      <w:r>
        <w:rPr>
          <w:rFonts w:ascii="sans-serif" w:eastAsia="sans-serif" w:hAnsi="sans-serif" w:cs="sans-serif"/>
          <w:color w:val="000000"/>
          <w:sz w:val="20"/>
          <w:szCs w:val="20"/>
        </w:rPr>
        <w:t>s combination. We recognize the fair value of an acquired intangible apart from goodwill whenever the intangible arises from contractual or other legal rights, or when it can be separated or divided from the acquired entity and sold, transferred, licensed,</w:t>
      </w:r>
      <w:r>
        <w:rPr>
          <w:rFonts w:ascii="sans-serif" w:eastAsia="sans-serif" w:hAnsi="sans-serif" w:cs="sans-serif"/>
          <w:color w:val="000000"/>
          <w:sz w:val="20"/>
          <w:szCs w:val="20"/>
        </w:rPr>
        <w:t xml:space="preserve"> rented or exchanged, either individually or in combination with a related contract, asset or liability. Intangible assets consist primarily of technology, customer relationships, order backlog and trade name acquired in a business combination and IPR&amp;D. W</w:t>
      </w:r>
      <w:r>
        <w:rPr>
          <w:rFonts w:ascii="sans-serif" w:eastAsia="sans-serif" w:hAnsi="sans-serif" w:cs="sans-serif"/>
          <w:color w:val="000000"/>
          <w:sz w:val="20"/>
          <w:szCs w:val="20"/>
        </w:rPr>
        <w:t>e generally assess the estimated fair values of acquired intangibles using a combination of valuation techniques. To estimate fair value, we are required to make certain estimates and assumptions, including future economic and market conditions, revenue gr</w:t>
      </w:r>
      <w:r>
        <w:rPr>
          <w:rFonts w:ascii="sans-serif" w:eastAsia="sans-serif" w:hAnsi="sans-serif" w:cs="sans-serif"/>
          <w:color w:val="000000"/>
          <w:sz w:val="20"/>
          <w:szCs w:val="20"/>
        </w:rPr>
        <w:t>owth, technology migration curve, and risk-adjusted discount rates. Our estimates require significant judgment and are based on historical data, various internal estimates, and external sources. Our assessment of IPR&amp;D also includes consideration of the ri</w:t>
      </w:r>
      <w:r>
        <w:rPr>
          <w:rFonts w:ascii="sans-serif" w:eastAsia="sans-serif" w:hAnsi="sans-serif" w:cs="sans-serif"/>
          <w:color w:val="000000"/>
          <w:sz w:val="20"/>
          <w:szCs w:val="20"/>
        </w:rPr>
        <w:t>sk of the projects not achieving technological feasibility.</w:t>
      </w:r>
    </w:p>
    <w:p w14:paraId="1E8050B9" w14:textId="77777777" w:rsidR="00F20ABF" w:rsidRDefault="00CA4D2F">
      <w:pPr>
        <w:spacing w:after="180"/>
        <w:jc w:val="both"/>
      </w:pPr>
      <w:r>
        <w:rPr>
          <w:rFonts w:ascii="sans-serif" w:eastAsia="sans-serif" w:hAnsi="sans-serif" w:cs="sans-serif"/>
          <w:color w:val="000000"/>
          <w:sz w:val="20"/>
          <w:szCs w:val="20"/>
        </w:rPr>
        <w:t xml:space="preserve">There have been no other material changes in our critical accounting policies and estimates since our Annual Report on Form 10-K for the fiscal year ended January 26, 2020. Refer to Note 1 “Basis </w:t>
      </w:r>
      <w:r>
        <w:rPr>
          <w:rFonts w:ascii="sans-serif" w:eastAsia="sans-serif" w:hAnsi="sans-serif" w:cs="sans-serif"/>
          <w:color w:val="000000"/>
          <w:sz w:val="20"/>
          <w:szCs w:val="20"/>
        </w:rPr>
        <w:t>of Presentation” to the condensed consolidated financial statements for additional details. In addition, please refer to Management’s Discussion and Analysis of Financial Condition and Results of Operations contained in Part II, Item 7 of our Annual Report</w:t>
      </w:r>
      <w:r>
        <w:rPr>
          <w:rFonts w:ascii="sans-serif" w:eastAsia="sans-serif" w:hAnsi="sans-serif" w:cs="sans-serif"/>
          <w:color w:val="000000"/>
          <w:sz w:val="20"/>
          <w:szCs w:val="20"/>
        </w:rPr>
        <w:t xml:space="preserve"> on Form 10-K for our fiscal year ended January 26, 2020 for a more complete discussion of our critical accounting policies and estimates.</w:t>
      </w:r>
    </w:p>
    <w:p w14:paraId="1E8050BA" w14:textId="77777777" w:rsidR="00F20ABF" w:rsidRDefault="00CA4D2F">
      <w:pPr>
        <w:spacing w:after="180"/>
        <w:jc w:val="center"/>
      </w:pPr>
      <w:r>
        <w:rPr>
          <w:rFonts w:ascii="sans-serif" w:eastAsia="sans-serif" w:hAnsi="sans-serif" w:cs="sans-serif"/>
          <w:color w:val="000000"/>
          <w:sz w:val="20"/>
          <w:szCs w:val="20"/>
        </w:rPr>
        <w:t>29</w:t>
      </w:r>
    </w:p>
    <w:p w14:paraId="1E8050BB" w14:textId="77777777" w:rsidR="00F20ABF" w:rsidRDefault="00CA4D2F">
      <w:r>
        <w:pict w14:anchorId="1E805598">
          <v:rect id="_x0000_i1053" style="width:415.3pt;height:1.5pt" o:hralign="center" o:hrstd="t" o:hr="t" fillcolor="#a0a0a0" stroked="f"/>
        </w:pict>
      </w:r>
    </w:p>
    <w:p w14:paraId="1E8050BC" w14:textId="77777777" w:rsidR="00F20ABF" w:rsidRDefault="00F20ABF">
      <w:pPr>
        <w:spacing w:after="180"/>
        <w:jc w:val="both"/>
      </w:pPr>
    </w:p>
    <w:p w14:paraId="1E8050BD" w14:textId="77777777" w:rsidR="00F20ABF" w:rsidRDefault="00F20ABF">
      <w:pPr>
        <w:spacing w:after="180"/>
        <w:jc w:val="both"/>
      </w:pPr>
    </w:p>
    <w:p w14:paraId="1E8050BE" w14:textId="77777777" w:rsidR="00F20ABF" w:rsidRDefault="00F20ABF">
      <w:pPr>
        <w:spacing w:after="180"/>
        <w:jc w:val="both"/>
      </w:pPr>
    </w:p>
    <w:p w14:paraId="1E8050BF" w14:textId="77777777" w:rsidR="00F20ABF" w:rsidRDefault="00CA4D2F">
      <w:pPr>
        <w:spacing w:before="240" w:after="120"/>
        <w:jc w:val="both"/>
      </w:pPr>
      <w:r>
        <w:rPr>
          <w:rFonts w:ascii="sans-serif" w:eastAsia="sans-serif" w:hAnsi="sans-serif" w:cs="sans-serif"/>
          <w:b/>
          <w:bCs/>
          <w:color w:val="76B900"/>
          <w:sz w:val="22"/>
          <w:szCs w:val="22"/>
        </w:rPr>
        <w:t>Results of Operations</w:t>
      </w:r>
    </w:p>
    <w:p w14:paraId="1E8050C0" w14:textId="77777777" w:rsidR="00F20ABF" w:rsidRDefault="00CA4D2F">
      <w:pPr>
        <w:spacing w:after="180"/>
        <w:jc w:val="both"/>
      </w:pPr>
      <w:r>
        <w:rPr>
          <w:rFonts w:ascii="sans-serif" w:eastAsia="sans-serif" w:hAnsi="sans-serif" w:cs="sans-serif"/>
          <w:color w:val="000000"/>
          <w:sz w:val="20"/>
          <w:szCs w:val="20"/>
        </w:rPr>
        <w:t>The following table sets forth, for the periods indicated, certain items in our Condens</w:t>
      </w:r>
      <w:r>
        <w:rPr>
          <w:rFonts w:ascii="sans-serif" w:eastAsia="sans-serif" w:hAnsi="sans-serif" w:cs="sans-serif"/>
          <w:color w:val="000000"/>
          <w:sz w:val="20"/>
          <w:szCs w:val="20"/>
        </w:rPr>
        <w:t>ed Consolidated Statements of Income expressed as a percentage of revenue.</w:t>
      </w:r>
    </w:p>
    <w:tbl>
      <w:tblPr>
        <w:tblW w:w="5000" w:type="pct"/>
        <w:tblCellMar>
          <w:top w:w="15" w:type="dxa"/>
          <w:left w:w="15" w:type="dxa"/>
          <w:bottom w:w="15" w:type="dxa"/>
          <w:right w:w="15" w:type="dxa"/>
        </w:tblCellMar>
        <w:tblLook w:val="04A0" w:firstRow="1" w:lastRow="0" w:firstColumn="1" w:lastColumn="0" w:noHBand="0" w:noVBand="1"/>
      </w:tblPr>
      <w:tblGrid>
        <w:gridCol w:w="40"/>
        <w:gridCol w:w="3543"/>
        <w:gridCol w:w="39"/>
        <w:gridCol w:w="54"/>
        <w:gridCol w:w="920"/>
        <w:gridCol w:w="165"/>
        <w:gridCol w:w="37"/>
        <w:gridCol w:w="36"/>
        <w:gridCol w:w="36"/>
        <w:gridCol w:w="54"/>
        <w:gridCol w:w="864"/>
        <w:gridCol w:w="164"/>
        <w:gridCol w:w="36"/>
        <w:gridCol w:w="36"/>
        <w:gridCol w:w="36"/>
        <w:gridCol w:w="54"/>
        <w:gridCol w:w="864"/>
        <w:gridCol w:w="165"/>
        <w:gridCol w:w="37"/>
        <w:gridCol w:w="36"/>
        <w:gridCol w:w="36"/>
        <w:gridCol w:w="54"/>
        <w:gridCol w:w="866"/>
        <w:gridCol w:w="164"/>
      </w:tblGrid>
      <w:tr w:rsidR="00F20ABF" w14:paraId="1E8050D9" w14:textId="77777777">
        <w:tc>
          <w:tcPr>
            <w:tcW w:w="50" w:type="pct"/>
            <w:shd w:val="clear" w:color="auto" w:fill="auto"/>
          </w:tcPr>
          <w:p w14:paraId="1E8050C1" w14:textId="77777777" w:rsidR="00F20ABF" w:rsidRDefault="00F20ABF">
            <w:pPr>
              <w:rPr>
                <w:rFonts w:ascii="宋体"/>
              </w:rPr>
            </w:pPr>
          </w:p>
        </w:tc>
        <w:tc>
          <w:tcPr>
            <w:tcW w:w="2174" w:type="pct"/>
            <w:shd w:val="clear" w:color="auto" w:fill="auto"/>
          </w:tcPr>
          <w:p w14:paraId="1E8050C2" w14:textId="77777777" w:rsidR="00F20ABF" w:rsidRDefault="00F20ABF">
            <w:pPr>
              <w:rPr>
                <w:rFonts w:ascii="宋体"/>
              </w:rPr>
            </w:pPr>
          </w:p>
        </w:tc>
        <w:tc>
          <w:tcPr>
            <w:tcW w:w="5" w:type="pct"/>
            <w:shd w:val="clear" w:color="auto" w:fill="auto"/>
          </w:tcPr>
          <w:p w14:paraId="1E8050C3" w14:textId="77777777" w:rsidR="00F20ABF" w:rsidRDefault="00F20ABF">
            <w:pPr>
              <w:rPr>
                <w:rFonts w:ascii="宋体"/>
              </w:rPr>
            </w:pPr>
          </w:p>
        </w:tc>
        <w:tc>
          <w:tcPr>
            <w:tcW w:w="50" w:type="pct"/>
            <w:shd w:val="clear" w:color="auto" w:fill="auto"/>
          </w:tcPr>
          <w:p w14:paraId="1E8050C4" w14:textId="77777777" w:rsidR="00F20ABF" w:rsidRDefault="00F20ABF">
            <w:pPr>
              <w:rPr>
                <w:rFonts w:ascii="宋体"/>
              </w:rPr>
            </w:pPr>
          </w:p>
        </w:tc>
        <w:tc>
          <w:tcPr>
            <w:tcW w:w="610" w:type="pct"/>
            <w:shd w:val="clear" w:color="auto" w:fill="auto"/>
          </w:tcPr>
          <w:p w14:paraId="1E8050C5" w14:textId="77777777" w:rsidR="00F20ABF" w:rsidRDefault="00F20ABF">
            <w:pPr>
              <w:rPr>
                <w:rFonts w:ascii="宋体"/>
              </w:rPr>
            </w:pPr>
          </w:p>
        </w:tc>
        <w:tc>
          <w:tcPr>
            <w:tcW w:w="5" w:type="pct"/>
            <w:shd w:val="clear" w:color="auto" w:fill="auto"/>
          </w:tcPr>
          <w:p w14:paraId="1E8050C6" w14:textId="77777777" w:rsidR="00F20ABF" w:rsidRDefault="00F20ABF">
            <w:pPr>
              <w:rPr>
                <w:rFonts w:ascii="宋体"/>
              </w:rPr>
            </w:pPr>
          </w:p>
        </w:tc>
        <w:tc>
          <w:tcPr>
            <w:tcW w:w="5" w:type="pct"/>
            <w:shd w:val="clear" w:color="auto" w:fill="auto"/>
          </w:tcPr>
          <w:p w14:paraId="1E8050C7" w14:textId="77777777" w:rsidR="00F20ABF" w:rsidRDefault="00F20ABF">
            <w:pPr>
              <w:rPr>
                <w:rFonts w:ascii="宋体"/>
              </w:rPr>
            </w:pPr>
          </w:p>
        </w:tc>
        <w:tc>
          <w:tcPr>
            <w:tcW w:w="26" w:type="pct"/>
            <w:shd w:val="clear" w:color="auto" w:fill="auto"/>
          </w:tcPr>
          <w:p w14:paraId="1E8050C8" w14:textId="77777777" w:rsidR="00F20ABF" w:rsidRDefault="00F20ABF">
            <w:pPr>
              <w:rPr>
                <w:rFonts w:ascii="宋体"/>
              </w:rPr>
            </w:pPr>
          </w:p>
        </w:tc>
        <w:tc>
          <w:tcPr>
            <w:tcW w:w="5" w:type="pct"/>
            <w:shd w:val="clear" w:color="auto" w:fill="auto"/>
          </w:tcPr>
          <w:p w14:paraId="1E8050C9" w14:textId="77777777" w:rsidR="00F20ABF" w:rsidRDefault="00F20ABF">
            <w:pPr>
              <w:rPr>
                <w:rFonts w:ascii="宋体"/>
              </w:rPr>
            </w:pPr>
          </w:p>
        </w:tc>
        <w:tc>
          <w:tcPr>
            <w:tcW w:w="50" w:type="pct"/>
            <w:shd w:val="clear" w:color="auto" w:fill="auto"/>
          </w:tcPr>
          <w:p w14:paraId="1E8050CA" w14:textId="77777777" w:rsidR="00F20ABF" w:rsidRDefault="00F20ABF">
            <w:pPr>
              <w:rPr>
                <w:rFonts w:ascii="宋体"/>
              </w:rPr>
            </w:pPr>
          </w:p>
        </w:tc>
        <w:tc>
          <w:tcPr>
            <w:tcW w:w="610" w:type="pct"/>
            <w:shd w:val="clear" w:color="auto" w:fill="auto"/>
          </w:tcPr>
          <w:p w14:paraId="1E8050CB" w14:textId="77777777" w:rsidR="00F20ABF" w:rsidRDefault="00F20ABF">
            <w:pPr>
              <w:rPr>
                <w:rFonts w:ascii="宋体"/>
              </w:rPr>
            </w:pPr>
          </w:p>
        </w:tc>
        <w:tc>
          <w:tcPr>
            <w:tcW w:w="5" w:type="pct"/>
            <w:shd w:val="clear" w:color="auto" w:fill="auto"/>
          </w:tcPr>
          <w:p w14:paraId="1E8050CC" w14:textId="77777777" w:rsidR="00F20ABF" w:rsidRDefault="00F20ABF">
            <w:pPr>
              <w:rPr>
                <w:rFonts w:ascii="宋体"/>
              </w:rPr>
            </w:pPr>
          </w:p>
        </w:tc>
        <w:tc>
          <w:tcPr>
            <w:tcW w:w="5" w:type="pct"/>
            <w:shd w:val="clear" w:color="auto" w:fill="auto"/>
          </w:tcPr>
          <w:p w14:paraId="1E8050CD" w14:textId="77777777" w:rsidR="00F20ABF" w:rsidRDefault="00F20ABF">
            <w:pPr>
              <w:rPr>
                <w:rFonts w:ascii="宋体"/>
              </w:rPr>
            </w:pPr>
          </w:p>
        </w:tc>
        <w:tc>
          <w:tcPr>
            <w:tcW w:w="26" w:type="pct"/>
            <w:shd w:val="clear" w:color="auto" w:fill="auto"/>
          </w:tcPr>
          <w:p w14:paraId="1E8050CE" w14:textId="77777777" w:rsidR="00F20ABF" w:rsidRDefault="00F20ABF">
            <w:pPr>
              <w:rPr>
                <w:rFonts w:ascii="宋体"/>
              </w:rPr>
            </w:pPr>
          </w:p>
        </w:tc>
        <w:tc>
          <w:tcPr>
            <w:tcW w:w="5" w:type="pct"/>
            <w:shd w:val="clear" w:color="auto" w:fill="auto"/>
          </w:tcPr>
          <w:p w14:paraId="1E8050CF" w14:textId="77777777" w:rsidR="00F20ABF" w:rsidRDefault="00F20ABF">
            <w:pPr>
              <w:rPr>
                <w:rFonts w:ascii="宋体"/>
              </w:rPr>
            </w:pPr>
          </w:p>
        </w:tc>
        <w:tc>
          <w:tcPr>
            <w:tcW w:w="50" w:type="pct"/>
            <w:shd w:val="clear" w:color="auto" w:fill="auto"/>
          </w:tcPr>
          <w:p w14:paraId="1E8050D0" w14:textId="77777777" w:rsidR="00F20ABF" w:rsidRDefault="00F20ABF">
            <w:pPr>
              <w:rPr>
                <w:rFonts w:ascii="宋体"/>
              </w:rPr>
            </w:pPr>
          </w:p>
        </w:tc>
        <w:tc>
          <w:tcPr>
            <w:tcW w:w="610" w:type="pct"/>
            <w:shd w:val="clear" w:color="auto" w:fill="auto"/>
          </w:tcPr>
          <w:p w14:paraId="1E8050D1" w14:textId="77777777" w:rsidR="00F20ABF" w:rsidRDefault="00F20ABF">
            <w:pPr>
              <w:rPr>
                <w:rFonts w:ascii="宋体"/>
              </w:rPr>
            </w:pPr>
          </w:p>
        </w:tc>
        <w:tc>
          <w:tcPr>
            <w:tcW w:w="5" w:type="pct"/>
            <w:shd w:val="clear" w:color="auto" w:fill="auto"/>
          </w:tcPr>
          <w:p w14:paraId="1E8050D2" w14:textId="77777777" w:rsidR="00F20ABF" w:rsidRDefault="00F20ABF">
            <w:pPr>
              <w:rPr>
                <w:rFonts w:ascii="宋体"/>
              </w:rPr>
            </w:pPr>
          </w:p>
        </w:tc>
        <w:tc>
          <w:tcPr>
            <w:tcW w:w="5" w:type="pct"/>
            <w:shd w:val="clear" w:color="auto" w:fill="auto"/>
          </w:tcPr>
          <w:p w14:paraId="1E8050D3" w14:textId="77777777" w:rsidR="00F20ABF" w:rsidRDefault="00F20ABF">
            <w:pPr>
              <w:rPr>
                <w:rFonts w:ascii="宋体"/>
              </w:rPr>
            </w:pPr>
          </w:p>
        </w:tc>
        <w:tc>
          <w:tcPr>
            <w:tcW w:w="26" w:type="pct"/>
            <w:shd w:val="clear" w:color="auto" w:fill="auto"/>
          </w:tcPr>
          <w:p w14:paraId="1E8050D4" w14:textId="77777777" w:rsidR="00F20ABF" w:rsidRDefault="00F20ABF">
            <w:pPr>
              <w:rPr>
                <w:rFonts w:ascii="宋体"/>
              </w:rPr>
            </w:pPr>
          </w:p>
        </w:tc>
        <w:tc>
          <w:tcPr>
            <w:tcW w:w="5" w:type="pct"/>
            <w:shd w:val="clear" w:color="auto" w:fill="auto"/>
          </w:tcPr>
          <w:p w14:paraId="1E8050D5" w14:textId="77777777" w:rsidR="00F20ABF" w:rsidRDefault="00F20ABF">
            <w:pPr>
              <w:rPr>
                <w:rFonts w:ascii="宋体"/>
              </w:rPr>
            </w:pPr>
          </w:p>
        </w:tc>
        <w:tc>
          <w:tcPr>
            <w:tcW w:w="50" w:type="pct"/>
            <w:shd w:val="clear" w:color="auto" w:fill="auto"/>
          </w:tcPr>
          <w:p w14:paraId="1E8050D6" w14:textId="77777777" w:rsidR="00F20ABF" w:rsidRDefault="00F20ABF">
            <w:pPr>
              <w:rPr>
                <w:rFonts w:ascii="宋体"/>
              </w:rPr>
            </w:pPr>
          </w:p>
        </w:tc>
        <w:tc>
          <w:tcPr>
            <w:tcW w:w="610" w:type="pct"/>
            <w:shd w:val="clear" w:color="auto" w:fill="auto"/>
          </w:tcPr>
          <w:p w14:paraId="1E8050D7" w14:textId="77777777" w:rsidR="00F20ABF" w:rsidRDefault="00F20ABF">
            <w:pPr>
              <w:rPr>
                <w:rFonts w:ascii="宋体"/>
              </w:rPr>
            </w:pPr>
          </w:p>
        </w:tc>
        <w:tc>
          <w:tcPr>
            <w:tcW w:w="5" w:type="pct"/>
            <w:shd w:val="clear" w:color="auto" w:fill="auto"/>
          </w:tcPr>
          <w:p w14:paraId="1E8050D8" w14:textId="77777777" w:rsidR="00F20ABF" w:rsidRDefault="00F20ABF">
            <w:pPr>
              <w:rPr>
                <w:rFonts w:ascii="宋体"/>
              </w:rPr>
            </w:pPr>
          </w:p>
        </w:tc>
      </w:tr>
      <w:tr w:rsidR="00F20ABF" w14:paraId="1E8050DE" w14:textId="77777777">
        <w:tc>
          <w:tcPr>
            <w:tcW w:w="0" w:type="auto"/>
            <w:gridSpan w:val="3"/>
            <w:shd w:val="clear" w:color="auto" w:fill="auto"/>
            <w:tcMar>
              <w:top w:w="40" w:type="dxa"/>
              <w:left w:w="20" w:type="dxa"/>
              <w:bottom w:w="40" w:type="dxa"/>
              <w:right w:w="20" w:type="dxa"/>
            </w:tcMar>
            <w:vAlign w:val="bottom"/>
          </w:tcPr>
          <w:p w14:paraId="1E8050DA" w14:textId="77777777" w:rsidR="00F20ABF" w:rsidRDefault="00CA4D2F">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E8050DB" w14:textId="77777777" w:rsidR="00F20ABF" w:rsidRDefault="00CA4D2F">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1E8050DC" w14:textId="77777777" w:rsidR="00F20ABF" w:rsidRDefault="00F20ABF">
            <w:pPr>
              <w:rPr>
                <w:rFonts w:ascii="宋体"/>
              </w:rPr>
            </w:pPr>
          </w:p>
        </w:tc>
        <w:tc>
          <w:tcPr>
            <w:tcW w:w="0" w:type="auto"/>
            <w:gridSpan w:val="9"/>
            <w:shd w:val="clear" w:color="auto" w:fill="auto"/>
            <w:tcMar>
              <w:top w:w="40" w:type="dxa"/>
              <w:left w:w="20" w:type="dxa"/>
              <w:bottom w:w="40" w:type="dxa"/>
              <w:right w:w="20" w:type="dxa"/>
            </w:tcMar>
            <w:vAlign w:val="bottom"/>
          </w:tcPr>
          <w:p w14:paraId="1E8050DD" w14:textId="77777777" w:rsidR="00F20ABF" w:rsidRDefault="00CA4D2F">
            <w:pPr>
              <w:jc w:val="center"/>
              <w:textAlignment w:val="bottom"/>
            </w:pPr>
            <w:r>
              <w:rPr>
                <w:rFonts w:ascii="sans-serif" w:eastAsia="sans-serif" w:hAnsi="sans-serif" w:cs="sans-serif"/>
                <w:b/>
                <w:bCs/>
                <w:color w:val="000000"/>
                <w:sz w:val="20"/>
                <w:szCs w:val="20"/>
              </w:rPr>
              <w:t>Nine Months Ended</w:t>
            </w:r>
          </w:p>
        </w:tc>
      </w:tr>
      <w:tr w:rsidR="00F20ABF" w14:paraId="1E8050E7" w14:textId="77777777">
        <w:tc>
          <w:tcPr>
            <w:tcW w:w="0" w:type="auto"/>
            <w:gridSpan w:val="3"/>
            <w:shd w:val="clear" w:color="auto" w:fill="auto"/>
            <w:tcMar>
              <w:top w:w="40" w:type="dxa"/>
              <w:left w:w="20" w:type="dxa"/>
              <w:bottom w:w="40" w:type="dxa"/>
              <w:right w:w="20" w:type="dxa"/>
            </w:tcMar>
            <w:vAlign w:val="bottom"/>
          </w:tcPr>
          <w:p w14:paraId="1E8050DF" w14:textId="77777777" w:rsidR="00F20ABF" w:rsidRDefault="00CA4D2F">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50E0" w14:textId="77777777" w:rsidR="00F20ABF" w:rsidRDefault="00CA4D2F">
            <w:pPr>
              <w:jc w:val="center"/>
              <w:textAlignment w:val="bottom"/>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1E8050E1"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50E2" w14:textId="77777777" w:rsidR="00F20ABF" w:rsidRDefault="00CA4D2F">
            <w:pPr>
              <w:jc w:val="center"/>
              <w:textAlignment w:val="bottom"/>
            </w:pPr>
            <w:r>
              <w:rPr>
                <w:rFonts w:ascii="sans-serif" w:eastAsia="sans-serif" w:hAnsi="sans-serif" w:cs="sans-serif"/>
                <w:b/>
                <w:bCs/>
                <w:color w:val="000000"/>
                <w:sz w:val="20"/>
                <w:szCs w:val="20"/>
              </w:rPr>
              <w:t>October 27,</w:t>
            </w:r>
            <w:r>
              <w:rPr>
                <w:rFonts w:ascii="sans-serif" w:eastAsia="sans-serif" w:hAnsi="sans-serif" w:cs="sans-serif"/>
                <w:b/>
                <w:bCs/>
                <w:color w:val="000000"/>
                <w:sz w:val="20"/>
                <w:szCs w:val="20"/>
              </w:rPr>
              <w:br/>
              <w:t>2019</w:t>
            </w:r>
          </w:p>
        </w:tc>
        <w:tc>
          <w:tcPr>
            <w:tcW w:w="0" w:type="auto"/>
            <w:gridSpan w:val="3"/>
            <w:shd w:val="clear" w:color="auto" w:fill="auto"/>
            <w:tcMar>
              <w:top w:w="0" w:type="dxa"/>
              <w:left w:w="20" w:type="dxa"/>
              <w:bottom w:w="0" w:type="dxa"/>
              <w:right w:w="20" w:type="dxa"/>
            </w:tcMar>
          </w:tcPr>
          <w:p w14:paraId="1E8050E3"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50E4" w14:textId="77777777" w:rsidR="00F20ABF" w:rsidRDefault="00CA4D2F">
            <w:pPr>
              <w:jc w:val="center"/>
              <w:textAlignment w:val="bottom"/>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1E8050E5"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50E6" w14:textId="77777777" w:rsidR="00F20ABF" w:rsidRDefault="00CA4D2F">
            <w:pPr>
              <w:jc w:val="center"/>
              <w:textAlignment w:val="bottom"/>
            </w:pPr>
            <w:r>
              <w:rPr>
                <w:rFonts w:ascii="sans-serif" w:eastAsia="sans-serif" w:hAnsi="sans-serif" w:cs="sans-serif"/>
                <w:b/>
                <w:bCs/>
                <w:color w:val="000000"/>
                <w:sz w:val="20"/>
                <w:szCs w:val="20"/>
              </w:rPr>
              <w:t>October 27,</w:t>
            </w:r>
            <w:r>
              <w:rPr>
                <w:rFonts w:ascii="sans-serif" w:eastAsia="sans-serif" w:hAnsi="sans-serif" w:cs="sans-serif"/>
                <w:b/>
                <w:bCs/>
                <w:color w:val="000000"/>
                <w:sz w:val="20"/>
                <w:szCs w:val="20"/>
              </w:rPr>
              <w:br/>
              <w:t>2019</w:t>
            </w:r>
          </w:p>
        </w:tc>
      </w:tr>
      <w:tr w:rsidR="00F20ABF" w14:paraId="1E8050F4" w14:textId="77777777">
        <w:tc>
          <w:tcPr>
            <w:tcW w:w="0" w:type="auto"/>
            <w:gridSpan w:val="3"/>
            <w:shd w:val="clear" w:color="auto" w:fill="E2EFD9"/>
            <w:tcMar>
              <w:top w:w="40" w:type="dxa"/>
              <w:left w:w="20" w:type="dxa"/>
              <w:bottom w:w="40" w:type="dxa"/>
              <w:right w:w="20" w:type="dxa"/>
            </w:tcMar>
            <w:vAlign w:val="bottom"/>
          </w:tcPr>
          <w:p w14:paraId="1E8050E8" w14:textId="77777777" w:rsidR="00F20ABF" w:rsidRDefault="00CA4D2F">
            <w:pPr>
              <w:textAlignment w:val="bottom"/>
            </w:pPr>
            <w:r>
              <w:rPr>
                <w:rFonts w:ascii="sans-serif" w:eastAsia="sans-serif" w:hAnsi="sans-serif" w:cs="sans-serif"/>
                <w:color w:val="000000"/>
                <w:sz w:val="20"/>
                <w:szCs w:val="20"/>
              </w:rPr>
              <w:t>Revenue</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50E9" w14:textId="77777777" w:rsidR="00F20ABF" w:rsidRDefault="00CA4D2F">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50EA"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tcPr>
          <w:p w14:paraId="1E8050EB"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50EC" w14:textId="77777777" w:rsidR="00F20ABF" w:rsidRDefault="00CA4D2F">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50ED"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tcPr>
          <w:p w14:paraId="1E8050EE"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50EF" w14:textId="77777777" w:rsidR="00F20ABF" w:rsidRDefault="00CA4D2F">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50F0"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tcPr>
          <w:p w14:paraId="1E8050F1"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50F2" w14:textId="77777777" w:rsidR="00F20ABF" w:rsidRDefault="00CA4D2F">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50F3" w14:textId="77777777" w:rsidR="00F20ABF" w:rsidRDefault="00CA4D2F">
            <w:pPr>
              <w:jc w:val="right"/>
              <w:textAlignment w:val="bottom"/>
            </w:pPr>
            <w:r>
              <w:rPr>
                <w:rFonts w:ascii="sans-serif" w:eastAsia="sans-serif" w:hAnsi="sans-serif" w:cs="sans-serif"/>
                <w:color w:val="000000"/>
                <w:sz w:val="20"/>
                <w:szCs w:val="20"/>
              </w:rPr>
              <w:t>%</w:t>
            </w:r>
          </w:p>
        </w:tc>
      </w:tr>
      <w:tr w:rsidR="00F20ABF" w14:paraId="1E805101" w14:textId="77777777">
        <w:tc>
          <w:tcPr>
            <w:tcW w:w="0" w:type="auto"/>
            <w:gridSpan w:val="3"/>
            <w:shd w:val="clear" w:color="auto" w:fill="FFFFFF"/>
            <w:tcMar>
              <w:top w:w="40" w:type="dxa"/>
              <w:left w:w="20" w:type="dxa"/>
              <w:bottom w:w="40" w:type="dxa"/>
              <w:right w:w="20" w:type="dxa"/>
            </w:tcMar>
            <w:vAlign w:val="bottom"/>
          </w:tcPr>
          <w:p w14:paraId="1E8050F5" w14:textId="77777777" w:rsidR="00F20ABF" w:rsidRDefault="00CA4D2F">
            <w:pPr>
              <w:textAlignment w:val="bottom"/>
            </w:pPr>
            <w:r>
              <w:rPr>
                <w:rFonts w:ascii="sans-serif" w:eastAsia="sans-serif" w:hAnsi="sans-serif" w:cs="sans-serif"/>
                <w:color w:val="000000"/>
                <w:sz w:val="20"/>
                <w:szCs w:val="20"/>
              </w:rPr>
              <w:t>     Cost of revenue</w:t>
            </w:r>
          </w:p>
        </w:tc>
        <w:tc>
          <w:tcPr>
            <w:tcW w:w="0" w:type="auto"/>
            <w:gridSpan w:val="2"/>
            <w:shd w:val="clear" w:color="auto" w:fill="FFFFFF"/>
            <w:tcMar>
              <w:top w:w="40" w:type="dxa"/>
              <w:left w:w="20" w:type="dxa"/>
              <w:bottom w:w="40" w:type="dxa"/>
              <w:right w:w="0" w:type="dxa"/>
            </w:tcMar>
            <w:vAlign w:val="bottom"/>
          </w:tcPr>
          <w:p w14:paraId="1E8050F6" w14:textId="77777777" w:rsidR="00F20ABF" w:rsidRDefault="00CA4D2F">
            <w:pPr>
              <w:jc w:val="right"/>
              <w:textAlignment w:val="bottom"/>
            </w:pPr>
            <w:r>
              <w:rPr>
                <w:rFonts w:ascii="sans-serif" w:eastAsia="sans-serif" w:hAnsi="sans-serif" w:cs="sans-serif"/>
                <w:color w:val="000000"/>
                <w:sz w:val="20"/>
                <w:szCs w:val="20"/>
              </w:rPr>
              <w:t>37.4 </w:t>
            </w:r>
          </w:p>
        </w:tc>
        <w:tc>
          <w:tcPr>
            <w:tcW w:w="0" w:type="auto"/>
            <w:shd w:val="clear" w:color="auto" w:fill="FFFFFF"/>
            <w:tcMar>
              <w:top w:w="40" w:type="dxa"/>
              <w:left w:w="0" w:type="dxa"/>
              <w:bottom w:w="40" w:type="dxa"/>
              <w:right w:w="20" w:type="dxa"/>
            </w:tcMar>
            <w:vAlign w:val="bottom"/>
          </w:tcPr>
          <w:p w14:paraId="1E8050F7"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0F8"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0F9" w14:textId="77777777" w:rsidR="00F20ABF" w:rsidRDefault="00CA4D2F">
            <w:pPr>
              <w:jc w:val="right"/>
              <w:textAlignment w:val="bottom"/>
            </w:pPr>
            <w:r>
              <w:rPr>
                <w:rFonts w:ascii="sans-serif" w:eastAsia="sans-serif" w:hAnsi="sans-serif" w:cs="sans-serif"/>
                <w:color w:val="000000"/>
                <w:sz w:val="20"/>
                <w:szCs w:val="20"/>
              </w:rPr>
              <w:t>36.4 </w:t>
            </w:r>
          </w:p>
        </w:tc>
        <w:tc>
          <w:tcPr>
            <w:tcW w:w="0" w:type="auto"/>
            <w:shd w:val="clear" w:color="auto" w:fill="FFFFFF"/>
            <w:tcMar>
              <w:top w:w="40" w:type="dxa"/>
              <w:left w:w="0" w:type="dxa"/>
              <w:bottom w:w="40" w:type="dxa"/>
              <w:right w:w="20" w:type="dxa"/>
            </w:tcMar>
            <w:vAlign w:val="bottom"/>
          </w:tcPr>
          <w:p w14:paraId="1E8050F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0FB"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0FC" w14:textId="77777777" w:rsidR="00F20ABF" w:rsidRDefault="00CA4D2F">
            <w:pPr>
              <w:jc w:val="right"/>
              <w:textAlignment w:val="bottom"/>
            </w:pPr>
            <w:r>
              <w:rPr>
                <w:rFonts w:ascii="sans-serif" w:eastAsia="sans-serif" w:hAnsi="sans-serif" w:cs="sans-serif"/>
                <w:color w:val="000000"/>
                <w:sz w:val="20"/>
                <w:szCs w:val="20"/>
              </w:rPr>
              <w:t>38.0 </w:t>
            </w:r>
          </w:p>
        </w:tc>
        <w:tc>
          <w:tcPr>
            <w:tcW w:w="0" w:type="auto"/>
            <w:shd w:val="clear" w:color="auto" w:fill="FFFFFF"/>
            <w:tcMar>
              <w:top w:w="40" w:type="dxa"/>
              <w:left w:w="0" w:type="dxa"/>
              <w:bottom w:w="40" w:type="dxa"/>
              <w:right w:w="20" w:type="dxa"/>
            </w:tcMar>
            <w:vAlign w:val="bottom"/>
          </w:tcPr>
          <w:p w14:paraId="1E8050F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0FE"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0FF" w14:textId="77777777" w:rsidR="00F20ABF" w:rsidRDefault="00CA4D2F">
            <w:pPr>
              <w:jc w:val="right"/>
              <w:textAlignment w:val="bottom"/>
            </w:pPr>
            <w:r>
              <w:rPr>
                <w:rFonts w:ascii="sans-serif" w:eastAsia="sans-serif" w:hAnsi="sans-serif" w:cs="sans-serif"/>
                <w:color w:val="000000"/>
                <w:sz w:val="20"/>
                <w:szCs w:val="20"/>
              </w:rPr>
              <w:t>39.2 </w:t>
            </w:r>
          </w:p>
        </w:tc>
        <w:tc>
          <w:tcPr>
            <w:tcW w:w="0" w:type="auto"/>
            <w:shd w:val="clear" w:color="auto" w:fill="FFFFFF"/>
            <w:tcMar>
              <w:top w:w="40" w:type="dxa"/>
              <w:left w:w="0" w:type="dxa"/>
              <w:bottom w:w="40" w:type="dxa"/>
              <w:right w:w="20" w:type="dxa"/>
            </w:tcMar>
            <w:vAlign w:val="bottom"/>
          </w:tcPr>
          <w:p w14:paraId="1E805100" w14:textId="77777777" w:rsidR="00F20ABF" w:rsidRDefault="00F20ABF">
            <w:pPr>
              <w:jc w:val="right"/>
              <w:rPr>
                <w:rFonts w:ascii="宋体"/>
              </w:rPr>
            </w:pPr>
          </w:p>
        </w:tc>
      </w:tr>
      <w:tr w:rsidR="00F20ABF" w14:paraId="1E80510E" w14:textId="77777777">
        <w:tc>
          <w:tcPr>
            <w:tcW w:w="0" w:type="auto"/>
            <w:gridSpan w:val="3"/>
            <w:shd w:val="clear" w:color="auto" w:fill="E2EFD9"/>
            <w:tcMar>
              <w:top w:w="40" w:type="dxa"/>
              <w:left w:w="20" w:type="dxa"/>
              <w:bottom w:w="40" w:type="dxa"/>
              <w:right w:w="20" w:type="dxa"/>
            </w:tcMar>
            <w:vAlign w:val="bottom"/>
          </w:tcPr>
          <w:p w14:paraId="1E805102" w14:textId="77777777" w:rsidR="00F20ABF" w:rsidRDefault="00CA4D2F">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5103" w14:textId="77777777" w:rsidR="00F20ABF" w:rsidRDefault="00CA4D2F">
            <w:pPr>
              <w:jc w:val="right"/>
              <w:textAlignment w:val="bottom"/>
            </w:pPr>
            <w:r>
              <w:rPr>
                <w:rFonts w:ascii="sans-serif" w:eastAsia="sans-serif" w:hAnsi="sans-serif" w:cs="sans-serif"/>
                <w:color w:val="000000"/>
                <w:sz w:val="20"/>
                <w:szCs w:val="20"/>
              </w:rPr>
              <w:t>62.6 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510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05"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5106" w14:textId="77777777" w:rsidR="00F20ABF" w:rsidRDefault="00CA4D2F">
            <w:pPr>
              <w:jc w:val="right"/>
              <w:textAlignment w:val="bottom"/>
            </w:pPr>
            <w:r>
              <w:rPr>
                <w:rFonts w:ascii="sans-serif" w:eastAsia="sans-serif" w:hAnsi="sans-serif" w:cs="sans-serif"/>
                <w:color w:val="000000"/>
                <w:sz w:val="20"/>
                <w:szCs w:val="20"/>
              </w:rPr>
              <w:t>63.6 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510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08"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5109" w14:textId="77777777" w:rsidR="00F20ABF" w:rsidRDefault="00CA4D2F">
            <w:pPr>
              <w:jc w:val="right"/>
              <w:textAlignment w:val="bottom"/>
            </w:pPr>
            <w:r>
              <w:rPr>
                <w:rFonts w:ascii="sans-serif" w:eastAsia="sans-serif" w:hAnsi="sans-serif" w:cs="sans-serif"/>
                <w:color w:val="000000"/>
                <w:sz w:val="20"/>
                <w:szCs w:val="20"/>
              </w:rPr>
              <w:t>62.0 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510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0B"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510C" w14:textId="77777777" w:rsidR="00F20ABF" w:rsidRDefault="00CA4D2F">
            <w:pPr>
              <w:jc w:val="right"/>
              <w:textAlignment w:val="bottom"/>
            </w:pPr>
            <w:r>
              <w:rPr>
                <w:rFonts w:ascii="sans-serif" w:eastAsia="sans-serif" w:hAnsi="sans-serif" w:cs="sans-serif"/>
                <w:color w:val="000000"/>
                <w:sz w:val="20"/>
                <w:szCs w:val="20"/>
              </w:rPr>
              <w:t>60.8 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510D" w14:textId="77777777" w:rsidR="00F20ABF" w:rsidRDefault="00F20ABF">
            <w:pPr>
              <w:jc w:val="right"/>
              <w:rPr>
                <w:rFonts w:ascii="宋体"/>
              </w:rPr>
            </w:pPr>
          </w:p>
        </w:tc>
      </w:tr>
      <w:tr w:rsidR="00F20ABF" w14:paraId="1E805117" w14:textId="77777777">
        <w:tc>
          <w:tcPr>
            <w:tcW w:w="0" w:type="auto"/>
            <w:gridSpan w:val="3"/>
            <w:shd w:val="clear" w:color="auto" w:fill="FFFFFF"/>
            <w:tcMar>
              <w:top w:w="40" w:type="dxa"/>
              <w:left w:w="20" w:type="dxa"/>
              <w:bottom w:w="40" w:type="dxa"/>
              <w:right w:w="20" w:type="dxa"/>
            </w:tcMar>
            <w:vAlign w:val="bottom"/>
          </w:tcPr>
          <w:p w14:paraId="1E80510F" w14:textId="77777777" w:rsidR="00F20ABF" w:rsidRDefault="00CA4D2F">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1E805110" w14:textId="77777777" w:rsidR="00F20ABF" w:rsidRDefault="00CA4D2F">
            <w:pPr>
              <w:jc w:val="right"/>
              <w:textAlignment w:val="bottom"/>
            </w:pPr>
            <w:r>
              <w:rPr>
                <w:rFonts w:ascii="sans-serif" w:eastAsia="sans-serif" w:hAnsi="sans-serif" w:cs="sans-serif"/>
                <w:color w:val="EE2724"/>
                <w:sz w:val="20"/>
                <w:szCs w:val="20"/>
              </w:rPr>
              <w:t> </w:t>
            </w:r>
          </w:p>
        </w:tc>
        <w:tc>
          <w:tcPr>
            <w:tcW w:w="0" w:type="auto"/>
            <w:gridSpan w:val="3"/>
            <w:shd w:val="clear" w:color="auto" w:fill="FFFFFF"/>
            <w:tcMar>
              <w:top w:w="0" w:type="dxa"/>
              <w:left w:w="20" w:type="dxa"/>
              <w:bottom w:w="0" w:type="dxa"/>
              <w:right w:w="20" w:type="dxa"/>
            </w:tcMar>
          </w:tcPr>
          <w:p w14:paraId="1E805111"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5112"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5113"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5114" w14:textId="77777777" w:rsidR="00F20ABF" w:rsidRDefault="00CA4D2F">
            <w:pPr>
              <w:textAlignment w:val="bottom"/>
            </w:pPr>
            <w:r>
              <w:rPr>
                <w:rFonts w:ascii="sans-serif" w:eastAsia="sans-serif" w:hAnsi="sans-serif" w:cs="sans-serif"/>
                <w:color w:val="EE2724"/>
                <w:sz w:val="20"/>
                <w:szCs w:val="20"/>
              </w:rPr>
              <w:t> </w:t>
            </w:r>
          </w:p>
        </w:tc>
        <w:tc>
          <w:tcPr>
            <w:tcW w:w="0" w:type="auto"/>
            <w:gridSpan w:val="3"/>
            <w:shd w:val="clear" w:color="auto" w:fill="FFFFFF"/>
            <w:tcMar>
              <w:top w:w="0" w:type="dxa"/>
              <w:left w:w="20" w:type="dxa"/>
              <w:bottom w:w="0" w:type="dxa"/>
              <w:right w:w="20" w:type="dxa"/>
            </w:tcMar>
          </w:tcPr>
          <w:p w14:paraId="1E805115" w14:textId="77777777" w:rsidR="00F20ABF" w:rsidRDefault="00F20ABF">
            <w:pPr>
              <w:rPr>
                <w:rFonts w:ascii="宋体"/>
              </w:rPr>
            </w:pPr>
          </w:p>
        </w:tc>
        <w:tc>
          <w:tcPr>
            <w:tcW w:w="0" w:type="auto"/>
            <w:gridSpan w:val="3"/>
            <w:shd w:val="clear" w:color="auto" w:fill="FFFFFF"/>
            <w:tcMar>
              <w:top w:w="40" w:type="dxa"/>
              <w:left w:w="20" w:type="dxa"/>
              <w:bottom w:w="40" w:type="dxa"/>
              <w:right w:w="20" w:type="dxa"/>
            </w:tcMar>
            <w:vAlign w:val="bottom"/>
          </w:tcPr>
          <w:p w14:paraId="1E805116" w14:textId="77777777" w:rsidR="00F20ABF" w:rsidRDefault="00CA4D2F">
            <w:pPr>
              <w:textAlignment w:val="bottom"/>
            </w:pPr>
            <w:r>
              <w:rPr>
                <w:rFonts w:ascii="sans-serif" w:eastAsia="sans-serif" w:hAnsi="sans-serif" w:cs="sans-serif"/>
                <w:color w:val="EE2724"/>
                <w:sz w:val="20"/>
                <w:szCs w:val="20"/>
              </w:rPr>
              <w:t> </w:t>
            </w:r>
          </w:p>
        </w:tc>
      </w:tr>
      <w:tr w:rsidR="00F20ABF" w14:paraId="1E805124" w14:textId="77777777">
        <w:tc>
          <w:tcPr>
            <w:tcW w:w="0" w:type="auto"/>
            <w:gridSpan w:val="3"/>
            <w:shd w:val="clear" w:color="auto" w:fill="E2EFD9"/>
            <w:tcMar>
              <w:top w:w="40" w:type="dxa"/>
              <w:left w:w="20" w:type="dxa"/>
              <w:bottom w:w="40" w:type="dxa"/>
              <w:right w:w="20" w:type="dxa"/>
            </w:tcMar>
            <w:vAlign w:val="bottom"/>
          </w:tcPr>
          <w:p w14:paraId="1E805118" w14:textId="77777777" w:rsidR="00F20ABF" w:rsidRDefault="00CA4D2F">
            <w:pPr>
              <w:textAlignment w:val="bottom"/>
            </w:pPr>
            <w:r>
              <w:rPr>
                <w:rFonts w:ascii="sans-serif" w:eastAsia="sans-serif" w:hAnsi="sans-serif" w:cs="sans-serif"/>
                <w:color w:val="000000"/>
                <w:sz w:val="20"/>
                <w:szCs w:val="20"/>
              </w:rPr>
              <w:t>     Research and development</w:t>
            </w:r>
          </w:p>
        </w:tc>
        <w:tc>
          <w:tcPr>
            <w:tcW w:w="0" w:type="auto"/>
            <w:gridSpan w:val="2"/>
            <w:shd w:val="clear" w:color="auto" w:fill="E2EFD9"/>
            <w:tcMar>
              <w:top w:w="40" w:type="dxa"/>
              <w:left w:w="20" w:type="dxa"/>
              <w:bottom w:w="40" w:type="dxa"/>
              <w:right w:w="0" w:type="dxa"/>
            </w:tcMar>
            <w:vAlign w:val="bottom"/>
          </w:tcPr>
          <w:p w14:paraId="1E805119" w14:textId="77777777" w:rsidR="00F20ABF" w:rsidRDefault="00CA4D2F">
            <w:pPr>
              <w:jc w:val="right"/>
              <w:textAlignment w:val="bottom"/>
            </w:pPr>
            <w:r>
              <w:rPr>
                <w:rFonts w:ascii="sans-serif" w:eastAsia="sans-serif" w:hAnsi="sans-serif" w:cs="sans-serif"/>
                <w:color w:val="000000"/>
                <w:sz w:val="20"/>
                <w:szCs w:val="20"/>
              </w:rPr>
              <w:t>22.2 </w:t>
            </w:r>
          </w:p>
        </w:tc>
        <w:tc>
          <w:tcPr>
            <w:tcW w:w="0" w:type="auto"/>
            <w:shd w:val="clear" w:color="auto" w:fill="E2EFD9"/>
            <w:tcMar>
              <w:top w:w="40" w:type="dxa"/>
              <w:left w:w="0" w:type="dxa"/>
              <w:bottom w:w="40" w:type="dxa"/>
              <w:right w:w="20" w:type="dxa"/>
            </w:tcMar>
            <w:vAlign w:val="bottom"/>
          </w:tcPr>
          <w:p w14:paraId="1E80511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1B"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11C" w14:textId="77777777" w:rsidR="00F20ABF" w:rsidRDefault="00CA4D2F">
            <w:pPr>
              <w:jc w:val="right"/>
              <w:textAlignment w:val="bottom"/>
            </w:pPr>
            <w:r>
              <w:rPr>
                <w:rFonts w:ascii="sans-serif" w:eastAsia="sans-serif" w:hAnsi="sans-serif" w:cs="sans-serif"/>
                <w:color w:val="000000"/>
                <w:sz w:val="20"/>
                <w:szCs w:val="20"/>
              </w:rPr>
              <w:t>23.6 </w:t>
            </w:r>
          </w:p>
        </w:tc>
        <w:tc>
          <w:tcPr>
            <w:tcW w:w="0" w:type="auto"/>
            <w:shd w:val="clear" w:color="auto" w:fill="E2EFD9"/>
            <w:tcMar>
              <w:top w:w="40" w:type="dxa"/>
              <w:left w:w="0" w:type="dxa"/>
              <w:bottom w:w="40" w:type="dxa"/>
              <w:right w:w="20" w:type="dxa"/>
            </w:tcMar>
            <w:vAlign w:val="bottom"/>
          </w:tcPr>
          <w:p w14:paraId="1E80511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1E"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11F" w14:textId="77777777" w:rsidR="00F20ABF" w:rsidRDefault="00CA4D2F">
            <w:pPr>
              <w:jc w:val="right"/>
              <w:textAlignment w:val="bottom"/>
            </w:pPr>
            <w:r>
              <w:rPr>
                <w:rFonts w:ascii="sans-serif" w:eastAsia="sans-serif" w:hAnsi="sans-serif" w:cs="sans-serif"/>
                <w:color w:val="000000"/>
                <w:sz w:val="20"/>
                <w:szCs w:val="20"/>
              </w:rPr>
              <w:t>23.8 </w:t>
            </w:r>
          </w:p>
        </w:tc>
        <w:tc>
          <w:tcPr>
            <w:tcW w:w="0" w:type="auto"/>
            <w:shd w:val="clear" w:color="auto" w:fill="E2EFD9"/>
            <w:tcMar>
              <w:top w:w="40" w:type="dxa"/>
              <w:left w:w="0" w:type="dxa"/>
              <w:bottom w:w="40" w:type="dxa"/>
              <w:right w:w="20" w:type="dxa"/>
            </w:tcMar>
            <w:vAlign w:val="bottom"/>
          </w:tcPr>
          <w:p w14:paraId="1E805120"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21"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122" w14:textId="77777777" w:rsidR="00F20ABF" w:rsidRDefault="00CA4D2F">
            <w:pPr>
              <w:jc w:val="right"/>
              <w:textAlignment w:val="bottom"/>
            </w:pPr>
            <w:r>
              <w:rPr>
                <w:rFonts w:ascii="sans-serif" w:eastAsia="sans-serif" w:hAnsi="sans-serif" w:cs="sans-serif"/>
                <w:color w:val="000000"/>
                <w:sz w:val="20"/>
                <w:szCs w:val="20"/>
              </w:rPr>
              <w:t>26.8 </w:t>
            </w:r>
          </w:p>
        </w:tc>
        <w:tc>
          <w:tcPr>
            <w:tcW w:w="0" w:type="auto"/>
            <w:shd w:val="clear" w:color="auto" w:fill="E2EFD9"/>
            <w:tcMar>
              <w:top w:w="40" w:type="dxa"/>
              <w:left w:w="0" w:type="dxa"/>
              <w:bottom w:w="40" w:type="dxa"/>
              <w:right w:w="20" w:type="dxa"/>
            </w:tcMar>
            <w:vAlign w:val="bottom"/>
          </w:tcPr>
          <w:p w14:paraId="1E805123" w14:textId="77777777" w:rsidR="00F20ABF" w:rsidRDefault="00F20ABF">
            <w:pPr>
              <w:jc w:val="right"/>
              <w:rPr>
                <w:rFonts w:ascii="宋体"/>
              </w:rPr>
            </w:pPr>
          </w:p>
        </w:tc>
      </w:tr>
      <w:tr w:rsidR="00F20ABF" w14:paraId="1E805131" w14:textId="77777777">
        <w:tc>
          <w:tcPr>
            <w:tcW w:w="0" w:type="auto"/>
            <w:gridSpan w:val="3"/>
            <w:shd w:val="clear" w:color="auto" w:fill="FFFFFF"/>
            <w:tcMar>
              <w:top w:w="40" w:type="dxa"/>
              <w:left w:w="20" w:type="dxa"/>
              <w:bottom w:w="40" w:type="dxa"/>
              <w:right w:w="20" w:type="dxa"/>
            </w:tcMar>
            <w:vAlign w:val="bottom"/>
          </w:tcPr>
          <w:p w14:paraId="1E805125" w14:textId="77777777" w:rsidR="00F20ABF" w:rsidRDefault="00CA4D2F">
            <w:pPr>
              <w:textAlignment w:val="bottom"/>
            </w:pPr>
            <w:r>
              <w:rPr>
                <w:rFonts w:ascii="sans-serif" w:eastAsia="sans-serif" w:hAnsi="sans-serif" w:cs="sans-serif"/>
                <w:color w:val="000000"/>
                <w:sz w:val="20"/>
                <w:szCs w:val="20"/>
              </w:rPr>
              <w:t>     Sales, general and administrative</w:t>
            </w:r>
          </w:p>
        </w:tc>
        <w:tc>
          <w:tcPr>
            <w:tcW w:w="0" w:type="auto"/>
            <w:gridSpan w:val="2"/>
            <w:shd w:val="clear" w:color="auto" w:fill="FFFFFF"/>
            <w:tcMar>
              <w:top w:w="40" w:type="dxa"/>
              <w:left w:w="20" w:type="dxa"/>
              <w:bottom w:w="40" w:type="dxa"/>
              <w:right w:w="0" w:type="dxa"/>
            </w:tcMar>
            <w:vAlign w:val="bottom"/>
          </w:tcPr>
          <w:p w14:paraId="1E805126" w14:textId="77777777" w:rsidR="00F20ABF" w:rsidRDefault="00CA4D2F">
            <w:pPr>
              <w:jc w:val="right"/>
              <w:textAlignment w:val="bottom"/>
            </w:pPr>
            <w:r>
              <w:rPr>
                <w:rFonts w:ascii="sans-serif" w:eastAsia="sans-serif" w:hAnsi="sans-serif" w:cs="sans-serif"/>
                <w:color w:val="000000"/>
                <w:sz w:val="20"/>
                <w:szCs w:val="20"/>
              </w:rPr>
              <w:t>10.9 </w:t>
            </w:r>
          </w:p>
        </w:tc>
        <w:tc>
          <w:tcPr>
            <w:tcW w:w="0" w:type="auto"/>
            <w:shd w:val="clear" w:color="auto" w:fill="FFFFFF"/>
            <w:tcMar>
              <w:top w:w="40" w:type="dxa"/>
              <w:left w:w="0" w:type="dxa"/>
              <w:bottom w:w="40" w:type="dxa"/>
              <w:right w:w="20" w:type="dxa"/>
            </w:tcMar>
            <w:vAlign w:val="bottom"/>
          </w:tcPr>
          <w:p w14:paraId="1E805127"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128"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129" w14:textId="77777777" w:rsidR="00F20ABF" w:rsidRDefault="00CA4D2F">
            <w:pPr>
              <w:jc w:val="right"/>
              <w:textAlignment w:val="bottom"/>
            </w:pPr>
            <w:r>
              <w:rPr>
                <w:rFonts w:ascii="sans-serif" w:eastAsia="sans-serif" w:hAnsi="sans-serif" w:cs="sans-serif"/>
                <w:color w:val="000000"/>
                <w:sz w:val="20"/>
                <w:szCs w:val="20"/>
              </w:rPr>
              <w:t>9.2 </w:t>
            </w:r>
          </w:p>
        </w:tc>
        <w:tc>
          <w:tcPr>
            <w:tcW w:w="0" w:type="auto"/>
            <w:shd w:val="clear" w:color="auto" w:fill="FFFFFF"/>
            <w:tcMar>
              <w:top w:w="40" w:type="dxa"/>
              <w:left w:w="0" w:type="dxa"/>
              <w:bottom w:w="40" w:type="dxa"/>
              <w:right w:w="20" w:type="dxa"/>
            </w:tcMar>
            <w:vAlign w:val="bottom"/>
          </w:tcPr>
          <w:p w14:paraId="1E80512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12B"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12C" w14:textId="77777777" w:rsidR="00F20ABF" w:rsidRDefault="00CA4D2F">
            <w:pPr>
              <w:jc w:val="right"/>
              <w:textAlignment w:val="bottom"/>
            </w:pPr>
            <w:r>
              <w:rPr>
                <w:rFonts w:ascii="sans-serif" w:eastAsia="sans-serif" w:hAnsi="sans-serif" w:cs="sans-serif"/>
                <w:color w:val="000000"/>
                <w:sz w:val="20"/>
                <w:szCs w:val="20"/>
              </w:rPr>
              <w:t>12.3 </w:t>
            </w:r>
          </w:p>
        </w:tc>
        <w:tc>
          <w:tcPr>
            <w:tcW w:w="0" w:type="auto"/>
            <w:shd w:val="clear" w:color="auto" w:fill="FFFFFF"/>
            <w:tcMar>
              <w:top w:w="40" w:type="dxa"/>
              <w:left w:w="0" w:type="dxa"/>
              <w:bottom w:w="40" w:type="dxa"/>
              <w:right w:w="20" w:type="dxa"/>
            </w:tcMar>
            <w:vAlign w:val="bottom"/>
          </w:tcPr>
          <w:p w14:paraId="1E80512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12E"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12F" w14:textId="77777777" w:rsidR="00F20ABF" w:rsidRDefault="00CA4D2F">
            <w:pPr>
              <w:jc w:val="right"/>
              <w:textAlignment w:val="bottom"/>
            </w:pPr>
            <w:r>
              <w:rPr>
                <w:rFonts w:ascii="sans-serif" w:eastAsia="sans-serif" w:hAnsi="sans-serif" w:cs="sans-serif"/>
                <w:color w:val="000000"/>
                <w:sz w:val="20"/>
                <w:szCs w:val="20"/>
              </w:rPr>
              <w:t>10.3 </w:t>
            </w:r>
          </w:p>
        </w:tc>
        <w:tc>
          <w:tcPr>
            <w:tcW w:w="0" w:type="auto"/>
            <w:shd w:val="clear" w:color="auto" w:fill="FFFFFF"/>
            <w:tcMar>
              <w:top w:w="40" w:type="dxa"/>
              <w:left w:w="0" w:type="dxa"/>
              <w:bottom w:w="40" w:type="dxa"/>
              <w:right w:w="20" w:type="dxa"/>
            </w:tcMar>
            <w:vAlign w:val="bottom"/>
          </w:tcPr>
          <w:p w14:paraId="1E805130" w14:textId="77777777" w:rsidR="00F20ABF" w:rsidRDefault="00F20ABF">
            <w:pPr>
              <w:jc w:val="right"/>
              <w:rPr>
                <w:rFonts w:ascii="宋体"/>
              </w:rPr>
            </w:pPr>
          </w:p>
        </w:tc>
      </w:tr>
      <w:tr w:rsidR="00F20ABF" w14:paraId="1E80513A" w14:textId="77777777">
        <w:trPr>
          <w:hidden/>
        </w:trPr>
        <w:tc>
          <w:tcPr>
            <w:tcW w:w="0" w:type="auto"/>
            <w:gridSpan w:val="3"/>
            <w:shd w:val="clear" w:color="auto" w:fill="auto"/>
          </w:tcPr>
          <w:p w14:paraId="1E805132" w14:textId="77777777" w:rsidR="00F20ABF" w:rsidRDefault="00F20ABF">
            <w:pPr>
              <w:rPr>
                <w:rFonts w:ascii="宋体"/>
                <w:vanish/>
              </w:rPr>
            </w:pPr>
          </w:p>
        </w:tc>
        <w:tc>
          <w:tcPr>
            <w:tcW w:w="0" w:type="auto"/>
            <w:gridSpan w:val="3"/>
            <w:shd w:val="clear" w:color="auto" w:fill="auto"/>
          </w:tcPr>
          <w:p w14:paraId="1E805133" w14:textId="77777777" w:rsidR="00F20ABF" w:rsidRDefault="00F20ABF">
            <w:pPr>
              <w:rPr>
                <w:rFonts w:ascii="宋体"/>
                <w:vanish/>
              </w:rPr>
            </w:pPr>
          </w:p>
        </w:tc>
        <w:tc>
          <w:tcPr>
            <w:tcW w:w="0" w:type="auto"/>
            <w:gridSpan w:val="3"/>
            <w:shd w:val="clear" w:color="auto" w:fill="auto"/>
          </w:tcPr>
          <w:p w14:paraId="1E805134" w14:textId="77777777" w:rsidR="00F20ABF" w:rsidRDefault="00F20ABF">
            <w:pPr>
              <w:rPr>
                <w:rFonts w:ascii="宋体"/>
                <w:vanish/>
              </w:rPr>
            </w:pPr>
          </w:p>
        </w:tc>
        <w:tc>
          <w:tcPr>
            <w:tcW w:w="0" w:type="auto"/>
            <w:gridSpan w:val="3"/>
            <w:shd w:val="clear" w:color="auto" w:fill="auto"/>
          </w:tcPr>
          <w:p w14:paraId="1E805135" w14:textId="77777777" w:rsidR="00F20ABF" w:rsidRDefault="00F20ABF">
            <w:pPr>
              <w:rPr>
                <w:rFonts w:ascii="宋体"/>
                <w:vanish/>
              </w:rPr>
            </w:pPr>
          </w:p>
        </w:tc>
        <w:tc>
          <w:tcPr>
            <w:tcW w:w="0" w:type="auto"/>
            <w:gridSpan w:val="3"/>
            <w:shd w:val="clear" w:color="auto" w:fill="auto"/>
          </w:tcPr>
          <w:p w14:paraId="1E805136" w14:textId="77777777" w:rsidR="00F20ABF" w:rsidRDefault="00F20ABF">
            <w:pPr>
              <w:rPr>
                <w:rFonts w:ascii="宋体"/>
                <w:vanish/>
              </w:rPr>
            </w:pPr>
          </w:p>
        </w:tc>
        <w:tc>
          <w:tcPr>
            <w:tcW w:w="0" w:type="auto"/>
            <w:gridSpan w:val="3"/>
            <w:shd w:val="clear" w:color="auto" w:fill="auto"/>
          </w:tcPr>
          <w:p w14:paraId="1E805137" w14:textId="77777777" w:rsidR="00F20ABF" w:rsidRDefault="00F20ABF">
            <w:pPr>
              <w:rPr>
                <w:rFonts w:ascii="宋体"/>
                <w:vanish/>
              </w:rPr>
            </w:pPr>
          </w:p>
        </w:tc>
        <w:tc>
          <w:tcPr>
            <w:tcW w:w="0" w:type="auto"/>
            <w:gridSpan w:val="3"/>
            <w:shd w:val="clear" w:color="auto" w:fill="auto"/>
          </w:tcPr>
          <w:p w14:paraId="1E805138" w14:textId="77777777" w:rsidR="00F20ABF" w:rsidRDefault="00F20ABF">
            <w:pPr>
              <w:rPr>
                <w:rFonts w:ascii="宋体"/>
                <w:vanish/>
              </w:rPr>
            </w:pPr>
          </w:p>
        </w:tc>
        <w:tc>
          <w:tcPr>
            <w:tcW w:w="0" w:type="auto"/>
            <w:gridSpan w:val="3"/>
            <w:shd w:val="clear" w:color="auto" w:fill="auto"/>
          </w:tcPr>
          <w:p w14:paraId="1E805139" w14:textId="77777777" w:rsidR="00F20ABF" w:rsidRDefault="00F20ABF">
            <w:pPr>
              <w:rPr>
                <w:rFonts w:ascii="宋体"/>
                <w:vanish/>
              </w:rPr>
            </w:pPr>
          </w:p>
        </w:tc>
      </w:tr>
      <w:tr w:rsidR="00F20ABF" w14:paraId="1E805147" w14:textId="77777777">
        <w:tc>
          <w:tcPr>
            <w:tcW w:w="0" w:type="auto"/>
            <w:gridSpan w:val="3"/>
            <w:shd w:val="clear" w:color="auto" w:fill="E2EFD9"/>
            <w:tcMar>
              <w:top w:w="40" w:type="dxa"/>
              <w:left w:w="20" w:type="dxa"/>
              <w:bottom w:w="40" w:type="dxa"/>
              <w:right w:w="20" w:type="dxa"/>
            </w:tcMar>
            <w:vAlign w:val="bottom"/>
          </w:tcPr>
          <w:p w14:paraId="1E80513B" w14:textId="77777777" w:rsidR="00F20ABF" w:rsidRDefault="00CA4D2F">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513C" w14:textId="77777777" w:rsidR="00F20ABF" w:rsidRDefault="00CA4D2F">
            <w:pPr>
              <w:jc w:val="right"/>
              <w:textAlignment w:val="bottom"/>
            </w:pPr>
            <w:r>
              <w:rPr>
                <w:rFonts w:ascii="sans-serif" w:eastAsia="sans-serif" w:hAnsi="sans-serif" w:cs="sans-serif"/>
                <w:color w:val="000000"/>
                <w:sz w:val="20"/>
                <w:szCs w:val="20"/>
              </w:rPr>
              <w:t>33.1 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513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3E"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513F" w14:textId="77777777" w:rsidR="00F20ABF" w:rsidRDefault="00CA4D2F">
            <w:pPr>
              <w:jc w:val="right"/>
              <w:textAlignment w:val="bottom"/>
            </w:pPr>
            <w:r>
              <w:rPr>
                <w:rFonts w:ascii="sans-serif" w:eastAsia="sans-serif" w:hAnsi="sans-serif" w:cs="sans-serif"/>
                <w:color w:val="000000"/>
                <w:sz w:val="20"/>
                <w:szCs w:val="20"/>
              </w:rPr>
              <w:t>32.8 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5140"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41"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5142" w14:textId="77777777" w:rsidR="00F20ABF" w:rsidRDefault="00CA4D2F">
            <w:pPr>
              <w:jc w:val="right"/>
              <w:textAlignment w:val="bottom"/>
            </w:pPr>
            <w:r>
              <w:rPr>
                <w:rFonts w:ascii="sans-serif" w:eastAsia="sans-serif" w:hAnsi="sans-serif" w:cs="sans-serif"/>
                <w:color w:val="000000"/>
                <w:sz w:val="20"/>
                <w:szCs w:val="20"/>
              </w:rPr>
              <w:t>36.1 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514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44"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5145" w14:textId="77777777" w:rsidR="00F20ABF" w:rsidRDefault="00CA4D2F">
            <w:pPr>
              <w:jc w:val="right"/>
              <w:textAlignment w:val="bottom"/>
            </w:pPr>
            <w:r>
              <w:rPr>
                <w:rFonts w:ascii="sans-serif" w:eastAsia="sans-serif" w:hAnsi="sans-serif" w:cs="sans-serif"/>
                <w:color w:val="000000"/>
                <w:sz w:val="20"/>
                <w:szCs w:val="20"/>
              </w:rPr>
              <w:t>37.1 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5146" w14:textId="77777777" w:rsidR="00F20ABF" w:rsidRDefault="00F20ABF">
            <w:pPr>
              <w:jc w:val="right"/>
              <w:rPr>
                <w:rFonts w:ascii="宋体"/>
              </w:rPr>
            </w:pPr>
          </w:p>
        </w:tc>
      </w:tr>
      <w:tr w:rsidR="00F20ABF" w14:paraId="1E805154" w14:textId="77777777">
        <w:tc>
          <w:tcPr>
            <w:tcW w:w="0" w:type="auto"/>
            <w:gridSpan w:val="3"/>
            <w:shd w:val="clear" w:color="auto" w:fill="FFFFFF"/>
            <w:tcMar>
              <w:top w:w="40" w:type="dxa"/>
              <w:left w:w="20" w:type="dxa"/>
              <w:bottom w:w="40" w:type="dxa"/>
              <w:right w:w="20" w:type="dxa"/>
            </w:tcMar>
            <w:vAlign w:val="bottom"/>
          </w:tcPr>
          <w:p w14:paraId="1E805148" w14:textId="77777777" w:rsidR="00F20ABF" w:rsidRDefault="00CA4D2F">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5149" w14:textId="77777777" w:rsidR="00F20ABF" w:rsidRDefault="00CA4D2F">
            <w:pPr>
              <w:jc w:val="right"/>
              <w:textAlignment w:val="bottom"/>
            </w:pPr>
            <w:r>
              <w:rPr>
                <w:rFonts w:ascii="sans-serif" w:eastAsia="sans-serif" w:hAnsi="sans-serif" w:cs="sans-serif"/>
                <w:color w:val="000000"/>
                <w:sz w:val="20"/>
                <w:szCs w:val="20"/>
              </w:rPr>
              <w:t>29.5 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514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14B"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514C" w14:textId="77777777" w:rsidR="00F20ABF" w:rsidRDefault="00CA4D2F">
            <w:pPr>
              <w:jc w:val="right"/>
              <w:textAlignment w:val="bottom"/>
            </w:pPr>
            <w:r>
              <w:rPr>
                <w:rFonts w:ascii="sans-serif" w:eastAsia="sans-serif" w:hAnsi="sans-serif" w:cs="sans-serif"/>
                <w:color w:val="000000"/>
                <w:sz w:val="20"/>
                <w:szCs w:val="20"/>
              </w:rPr>
              <w:t>30.8 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514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14E"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514F" w14:textId="77777777" w:rsidR="00F20ABF" w:rsidRDefault="00CA4D2F">
            <w:pPr>
              <w:jc w:val="right"/>
              <w:textAlignment w:val="bottom"/>
            </w:pPr>
            <w:r>
              <w:rPr>
                <w:rFonts w:ascii="sans-serif" w:eastAsia="sans-serif" w:hAnsi="sans-serif" w:cs="sans-serif"/>
                <w:color w:val="000000"/>
                <w:sz w:val="20"/>
                <w:szCs w:val="20"/>
              </w:rPr>
              <w:t>25.9 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5150"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151"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5152" w14:textId="77777777" w:rsidR="00F20ABF" w:rsidRDefault="00CA4D2F">
            <w:pPr>
              <w:jc w:val="right"/>
              <w:textAlignment w:val="bottom"/>
            </w:pPr>
            <w:r>
              <w:rPr>
                <w:rFonts w:ascii="sans-serif" w:eastAsia="sans-serif" w:hAnsi="sans-serif" w:cs="sans-serif"/>
                <w:color w:val="000000"/>
                <w:sz w:val="20"/>
                <w:szCs w:val="20"/>
              </w:rPr>
              <w:t>23.7 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5153" w14:textId="77777777" w:rsidR="00F20ABF" w:rsidRDefault="00F20ABF">
            <w:pPr>
              <w:jc w:val="right"/>
              <w:rPr>
                <w:rFonts w:ascii="宋体"/>
              </w:rPr>
            </w:pPr>
          </w:p>
        </w:tc>
      </w:tr>
      <w:tr w:rsidR="00F20ABF" w14:paraId="1E805161" w14:textId="77777777">
        <w:tc>
          <w:tcPr>
            <w:tcW w:w="0" w:type="auto"/>
            <w:gridSpan w:val="3"/>
            <w:shd w:val="clear" w:color="auto" w:fill="E2EFD9"/>
            <w:tcMar>
              <w:top w:w="40" w:type="dxa"/>
              <w:left w:w="20" w:type="dxa"/>
              <w:bottom w:w="40" w:type="dxa"/>
              <w:right w:w="20" w:type="dxa"/>
            </w:tcMar>
            <w:vAlign w:val="bottom"/>
          </w:tcPr>
          <w:p w14:paraId="1E805155" w14:textId="77777777" w:rsidR="00F20ABF" w:rsidRDefault="00CA4D2F">
            <w:pPr>
              <w:textAlignment w:val="bottom"/>
            </w:pPr>
            <w:r>
              <w:rPr>
                <w:rFonts w:ascii="sans-serif" w:eastAsia="sans-serif" w:hAnsi="sans-serif" w:cs="sans-serif"/>
                <w:color w:val="000000"/>
                <w:sz w:val="20"/>
                <w:szCs w:val="20"/>
              </w:rPr>
              <w:t>     Interest income</w:t>
            </w:r>
          </w:p>
        </w:tc>
        <w:tc>
          <w:tcPr>
            <w:tcW w:w="0" w:type="auto"/>
            <w:gridSpan w:val="2"/>
            <w:shd w:val="clear" w:color="auto" w:fill="E2EFD9"/>
            <w:tcMar>
              <w:top w:w="40" w:type="dxa"/>
              <w:left w:w="20" w:type="dxa"/>
              <w:bottom w:w="40" w:type="dxa"/>
              <w:right w:w="0" w:type="dxa"/>
            </w:tcMar>
            <w:vAlign w:val="bottom"/>
          </w:tcPr>
          <w:p w14:paraId="1E805156" w14:textId="77777777" w:rsidR="00F20ABF" w:rsidRDefault="00CA4D2F">
            <w:pPr>
              <w:jc w:val="right"/>
              <w:textAlignment w:val="bottom"/>
            </w:pPr>
            <w:r>
              <w:rPr>
                <w:rFonts w:ascii="sans-serif" w:eastAsia="sans-serif" w:hAnsi="sans-serif" w:cs="sans-serif"/>
                <w:color w:val="000000"/>
                <w:sz w:val="20"/>
                <w:szCs w:val="20"/>
              </w:rPr>
              <w:t>0.1 </w:t>
            </w:r>
          </w:p>
        </w:tc>
        <w:tc>
          <w:tcPr>
            <w:tcW w:w="0" w:type="auto"/>
            <w:shd w:val="clear" w:color="auto" w:fill="E2EFD9"/>
            <w:tcMar>
              <w:top w:w="40" w:type="dxa"/>
              <w:left w:w="0" w:type="dxa"/>
              <w:bottom w:w="40" w:type="dxa"/>
              <w:right w:w="20" w:type="dxa"/>
            </w:tcMar>
            <w:vAlign w:val="bottom"/>
          </w:tcPr>
          <w:p w14:paraId="1E80515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58"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159" w14:textId="77777777" w:rsidR="00F20ABF" w:rsidRDefault="00CA4D2F">
            <w:pPr>
              <w:jc w:val="right"/>
              <w:textAlignment w:val="bottom"/>
            </w:pPr>
            <w:r>
              <w:rPr>
                <w:rFonts w:ascii="sans-serif" w:eastAsia="sans-serif" w:hAnsi="sans-serif" w:cs="sans-serif"/>
                <w:color w:val="000000"/>
                <w:sz w:val="20"/>
                <w:szCs w:val="20"/>
              </w:rPr>
              <w:t>1.5 </w:t>
            </w:r>
          </w:p>
        </w:tc>
        <w:tc>
          <w:tcPr>
            <w:tcW w:w="0" w:type="auto"/>
            <w:shd w:val="clear" w:color="auto" w:fill="E2EFD9"/>
            <w:tcMar>
              <w:top w:w="40" w:type="dxa"/>
              <w:left w:w="0" w:type="dxa"/>
              <w:bottom w:w="40" w:type="dxa"/>
              <w:right w:w="20" w:type="dxa"/>
            </w:tcMar>
            <w:vAlign w:val="bottom"/>
          </w:tcPr>
          <w:p w14:paraId="1E80515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5B"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15C" w14:textId="77777777" w:rsidR="00F20ABF" w:rsidRDefault="00CA4D2F">
            <w:pPr>
              <w:jc w:val="right"/>
              <w:textAlignment w:val="bottom"/>
            </w:pPr>
            <w:r>
              <w:rPr>
                <w:rFonts w:ascii="sans-serif" w:eastAsia="sans-serif" w:hAnsi="sans-serif" w:cs="sans-serif"/>
                <w:color w:val="000000"/>
                <w:sz w:val="20"/>
                <w:szCs w:val="20"/>
              </w:rPr>
              <w:t>0.4 </w:t>
            </w:r>
          </w:p>
        </w:tc>
        <w:tc>
          <w:tcPr>
            <w:tcW w:w="0" w:type="auto"/>
            <w:shd w:val="clear" w:color="auto" w:fill="E2EFD9"/>
            <w:tcMar>
              <w:top w:w="40" w:type="dxa"/>
              <w:left w:w="0" w:type="dxa"/>
              <w:bottom w:w="40" w:type="dxa"/>
              <w:right w:w="20" w:type="dxa"/>
            </w:tcMar>
            <w:vAlign w:val="bottom"/>
          </w:tcPr>
          <w:p w14:paraId="1E80515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5E"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15F" w14:textId="77777777" w:rsidR="00F20ABF" w:rsidRDefault="00CA4D2F">
            <w:pPr>
              <w:jc w:val="right"/>
              <w:textAlignment w:val="bottom"/>
            </w:pPr>
            <w:r>
              <w:rPr>
                <w:rFonts w:ascii="sans-serif" w:eastAsia="sans-serif" w:hAnsi="sans-serif" w:cs="sans-serif"/>
                <w:color w:val="000000"/>
                <w:sz w:val="20"/>
                <w:szCs w:val="20"/>
              </w:rPr>
              <w:t>1.8 </w:t>
            </w:r>
          </w:p>
        </w:tc>
        <w:tc>
          <w:tcPr>
            <w:tcW w:w="0" w:type="auto"/>
            <w:shd w:val="clear" w:color="auto" w:fill="E2EFD9"/>
            <w:tcMar>
              <w:top w:w="40" w:type="dxa"/>
              <w:left w:w="0" w:type="dxa"/>
              <w:bottom w:w="40" w:type="dxa"/>
              <w:right w:w="20" w:type="dxa"/>
            </w:tcMar>
            <w:vAlign w:val="bottom"/>
          </w:tcPr>
          <w:p w14:paraId="1E805160" w14:textId="77777777" w:rsidR="00F20ABF" w:rsidRDefault="00F20ABF">
            <w:pPr>
              <w:jc w:val="right"/>
              <w:rPr>
                <w:rFonts w:ascii="宋体"/>
              </w:rPr>
            </w:pPr>
          </w:p>
        </w:tc>
      </w:tr>
      <w:tr w:rsidR="00F20ABF" w14:paraId="1E80516E" w14:textId="77777777">
        <w:tc>
          <w:tcPr>
            <w:tcW w:w="0" w:type="auto"/>
            <w:gridSpan w:val="3"/>
            <w:shd w:val="clear" w:color="auto" w:fill="FFFFFF"/>
            <w:tcMar>
              <w:top w:w="40" w:type="dxa"/>
              <w:left w:w="20" w:type="dxa"/>
              <w:bottom w:w="40" w:type="dxa"/>
              <w:right w:w="20" w:type="dxa"/>
            </w:tcMar>
            <w:vAlign w:val="bottom"/>
          </w:tcPr>
          <w:p w14:paraId="1E805162" w14:textId="77777777" w:rsidR="00F20ABF" w:rsidRDefault="00CA4D2F">
            <w:pPr>
              <w:textAlignment w:val="bottom"/>
            </w:pPr>
            <w:r>
              <w:rPr>
                <w:rFonts w:ascii="sans-serif" w:eastAsia="sans-serif" w:hAnsi="sans-serif" w:cs="sans-serif"/>
                <w:color w:val="000000"/>
                <w:sz w:val="20"/>
                <w:szCs w:val="20"/>
              </w:rPr>
              <w:t>     Interest expense</w:t>
            </w:r>
          </w:p>
        </w:tc>
        <w:tc>
          <w:tcPr>
            <w:tcW w:w="0" w:type="auto"/>
            <w:gridSpan w:val="2"/>
            <w:shd w:val="clear" w:color="auto" w:fill="FFFFFF"/>
            <w:tcMar>
              <w:top w:w="40" w:type="dxa"/>
              <w:left w:w="20" w:type="dxa"/>
              <w:bottom w:w="40" w:type="dxa"/>
              <w:right w:w="0" w:type="dxa"/>
            </w:tcMar>
            <w:vAlign w:val="bottom"/>
          </w:tcPr>
          <w:p w14:paraId="1E805163" w14:textId="77777777" w:rsidR="00F20ABF" w:rsidRDefault="00CA4D2F">
            <w:pPr>
              <w:jc w:val="right"/>
              <w:textAlignment w:val="bottom"/>
            </w:pPr>
            <w:r>
              <w:rPr>
                <w:rFonts w:ascii="sans-serif" w:eastAsia="sans-serif" w:hAnsi="sans-serif" w:cs="sans-serif"/>
                <w:color w:val="000000"/>
                <w:sz w:val="20"/>
                <w:szCs w:val="20"/>
              </w:rPr>
              <w:t>(1.1)</w:t>
            </w:r>
          </w:p>
        </w:tc>
        <w:tc>
          <w:tcPr>
            <w:tcW w:w="0" w:type="auto"/>
            <w:shd w:val="clear" w:color="auto" w:fill="FFFFFF"/>
            <w:tcMar>
              <w:top w:w="40" w:type="dxa"/>
              <w:left w:w="0" w:type="dxa"/>
              <w:bottom w:w="40" w:type="dxa"/>
              <w:right w:w="20" w:type="dxa"/>
            </w:tcMar>
            <w:vAlign w:val="bottom"/>
          </w:tcPr>
          <w:p w14:paraId="1E805164"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165"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166" w14:textId="77777777" w:rsidR="00F20ABF" w:rsidRDefault="00CA4D2F">
            <w:pPr>
              <w:jc w:val="right"/>
              <w:textAlignment w:val="bottom"/>
            </w:pPr>
            <w:r>
              <w:rPr>
                <w:rFonts w:ascii="sans-serif" w:eastAsia="sans-serif" w:hAnsi="sans-serif" w:cs="sans-serif"/>
                <w:color w:val="000000"/>
                <w:sz w:val="20"/>
                <w:szCs w:val="20"/>
              </w:rPr>
              <w:t>(0.4)</w:t>
            </w:r>
          </w:p>
        </w:tc>
        <w:tc>
          <w:tcPr>
            <w:tcW w:w="0" w:type="auto"/>
            <w:shd w:val="clear" w:color="auto" w:fill="FFFFFF"/>
            <w:tcMar>
              <w:top w:w="40" w:type="dxa"/>
              <w:left w:w="0" w:type="dxa"/>
              <w:bottom w:w="40" w:type="dxa"/>
              <w:right w:w="20" w:type="dxa"/>
            </w:tcMar>
            <w:vAlign w:val="bottom"/>
          </w:tcPr>
          <w:p w14:paraId="1E805167"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168"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169" w14:textId="77777777" w:rsidR="00F20ABF" w:rsidRDefault="00CA4D2F">
            <w:pPr>
              <w:jc w:val="right"/>
              <w:textAlignment w:val="bottom"/>
            </w:pPr>
            <w:r>
              <w:rPr>
                <w:rFonts w:ascii="sans-serif" w:eastAsia="sans-serif" w:hAnsi="sans-serif" w:cs="sans-serif"/>
                <w:color w:val="000000"/>
                <w:sz w:val="20"/>
                <w:szCs w:val="20"/>
              </w:rPr>
              <w:t>(1.1)</w:t>
            </w:r>
          </w:p>
        </w:tc>
        <w:tc>
          <w:tcPr>
            <w:tcW w:w="0" w:type="auto"/>
            <w:shd w:val="clear" w:color="auto" w:fill="FFFFFF"/>
            <w:tcMar>
              <w:top w:w="40" w:type="dxa"/>
              <w:left w:w="0" w:type="dxa"/>
              <w:bottom w:w="40" w:type="dxa"/>
              <w:right w:w="20" w:type="dxa"/>
            </w:tcMar>
            <w:vAlign w:val="bottom"/>
          </w:tcPr>
          <w:p w14:paraId="1E80516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16B"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16C" w14:textId="77777777" w:rsidR="00F20ABF" w:rsidRDefault="00CA4D2F">
            <w:pPr>
              <w:jc w:val="right"/>
              <w:textAlignment w:val="bottom"/>
            </w:pPr>
            <w:r>
              <w:rPr>
                <w:rFonts w:ascii="sans-serif" w:eastAsia="sans-serif" w:hAnsi="sans-serif" w:cs="sans-serif"/>
                <w:color w:val="000000"/>
                <w:sz w:val="20"/>
                <w:szCs w:val="20"/>
              </w:rPr>
              <w:t>(0.5)</w:t>
            </w:r>
          </w:p>
        </w:tc>
        <w:tc>
          <w:tcPr>
            <w:tcW w:w="0" w:type="auto"/>
            <w:shd w:val="clear" w:color="auto" w:fill="FFFFFF"/>
            <w:tcMar>
              <w:top w:w="40" w:type="dxa"/>
              <w:left w:w="0" w:type="dxa"/>
              <w:bottom w:w="40" w:type="dxa"/>
              <w:right w:w="20" w:type="dxa"/>
            </w:tcMar>
            <w:vAlign w:val="bottom"/>
          </w:tcPr>
          <w:p w14:paraId="1E80516D" w14:textId="77777777" w:rsidR="00F20ABF" w:rsidRDefault="00F20ABF">
            <w:pPr>
              <w:jc w:val="right"/>
              <w:rPr>
                <w:rFonts w:ascii="宋体"/>
              </w:rPr>
            </w:pPr>
          </w:p>
        </w:tc>
      </w:tr>
      <w:tr w:rsidR="00F20ABF" w14:paraId="1E80517B" w14:textId="77777777">
        <w:tc>
          <w:tcPr>
            <w:tcW w:w="0" w:type="auto"/>
            <w:gridSpan w:val="3"/>
            <w:shd w:val="clear" w:color="auto" w:fill="E2EFD9"/>
            <w:tcMar>
              <w:top w:w="40" w:type="dxa"/>
              <w:left w:w="20" w:type="dxa"/>
              <w:bottom w:w="40" w:type="dxa"/>
              <w:right w:w="20" w:type="dxa"/>
            </w:tcMar>
            <w:vAlign w:val="bottom"/>
          </w:tcPr>
          <w:p w14:paraId="1E80516F" w14:textId="77777777" w:rsidR="00F20ABF" w:rsidRDefault="00CA4D2F">
            <w:pPr>
              <w:textAlignment w:val="bottom"/>
            </w:pPr>
            <w:r>
              <w:rPr>
                <w:rFonts w:ascii="sans-serif" w:eastAsia="sans-serif" w:hAnsi="sans-serif" w:cs="sans-serif"/>
                <w:color w:val="000000"/>
                <w:sz w:val="20"/>
                <w:szCs w:val="20"/>
              </w:rPr>
              <w:t>     Other, net</w:t>
            </w:r>
          </w:p>
        </w:tc>
        <w:tc>
          <w:tcPr>
            <w:tcW w:w="0" w:type="auto"/>
            <w:gridSpan w:val="2"/>
            <w:shd w:val="clear" w:color="auto" w:fill="E2EFD9"/>
            <w:tcMar>
              <w:top w:w="40" w:type="dxa"/>
              <w:left w:w="20" w:type="dxa"/>
              <w:bottom w:w="40" w:type="dxa"/>
              <w:right w:w="0" w:type="dxa"/>
            </w:tcMar>
            <w:vAlign w:val="bottom"/>
          </w:tcPr>
          <w:p w14:paraId="1E805170" w14:textId="77777777" w:rsidR="00F20ABF" w:rsidRDefault="00CA4D2F">
            <w:pPr>
              <w:jc w:val="right"/>
              <w:textAlignment w:val="bottom"/>
            </w:pPr>
            <w:r>
              <w:rPr>
                <w:rFonts w:ascii="sans-serif" w:eastAsia="sans-serif" w:hAnsi="sans-serif" w:cs="sans-serif"/>
                <w:color w:val="000000"/>
                <w:sz w:val="20"/>
                <w:szCs w:val="20"/>
              </w:rPr>
              <w:t>(0.1)</w:t>
            </w:r>
          </w:p>
        </w:tc>
        <w:tc>
          <w:tcPr>
            <w:tcW w:w="0" w:type="auto"/>
            <w:shd w:val="clear" w:color="auto" w:fill="E2EFD9"/>
            <w:tcMar>
              <w:top w:w="40" w:type="dxa"/>
              <w:left w:w="0" w:type="dxa"/>
              <w:bottom w:w="40" w:type="dxa"/>
              <w:right w:w="20" w:type="dxa"/>
            </w:tcMar>
            <w:vAlign w:val="bottom"/>
          </w:tcPr>
          <w:p w14:paraId="1E80517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72"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173"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517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75"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176"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517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78"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179" w14:textId="77777777" w:rsidR="00F20ABF" w:rsidRDefault="00CA4D2F">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E80517A" w14:textId="77777777" w:rsidR="00F20ABF" w:rsidRDefault="00F20ABF">
            <w:pPr>
              <w:jc w:val="right"/>
              <w:rPr>
                <w:rFonts w:ascii="宋体"/>
              </w:rPr>
            </w:pPr>
          </w:p>
        </w:tc>
      </w:tr>
      <w:tr w:rsidR="00F20ABF" w14:paraId="1E805188" w14:textId="77777777">
        <w:tc>
          <w:tcPr>
            <w:tcW w:w="0" w:type="auto"/>
            <w:gridSpan w:val="3"/>
            <w:shd w:val="clear" w:color="auto" w:fill="FFFFFF"/>
            <w:tcMar>
              <w:top w:w="40" w:type="dxa"/>
              <w:left w:w="20" w:type="dxa"/>
              <w:bottom w:w="40" w:type="dxa"/>
              <w:right w:w="20" w:type="dxa"/>
            </w:tcMar>
            <w:vAlign w:val="bottom"/>
          </w:tcPr>
          <w:p w14:paraId="1E80517C" w14:textId="77777777" w:rsidR="00F20ABF" w:rsidRDefault="00CA4D2F">
            <w:pP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517D" w14:textId="77777777" w:rsidR="00F20ABF" w:rsidRDefault="00CA4D2F">
            <w:pPr>
              <w:jc w:val="right"/>
              <w:textAlignment w:val="bottom"/>
            </w:pPr>
            <w:r>
              <w:rPr>
                <w:rFonts w:ascii="sans-serif" w:eastAsia="sans-serif" w:hAnsi="sans-serif" w:cs="sans-serif"/>
                <w:color w:val="000000"/>
                <w:sz w:val="20"/>
                <w:szCs w:val="20"/>
              </w:rPr>
              <w:t>(1.1)</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517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17F"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5180" w14:textId="77777777" w:rsidR="00F20ABF" w:rsidRDefault="00CA4D2F">
            <w:pPr>
              <w:jc w:val="right"/>
              <w:textAlignment w:val="bottom"/>
            </w:pPr>
            <w:r>
              <w:rPr>
                <w:rFonts w:ascii="sans-serif" w:eastAsia="sans-serif" w:hAnsi="sans-serif" w:cs="sans-serif"/>
                <w:color w:val="000000"/>
                <w:sz w:val="20"/>
                <w:szCs w:val="20"/>
              </w:rPr>
              <w:t>1.1 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518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182"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5183" w14:textId="77777777" w:rsidR="00F20ABF" w:rsidRDefault="00CA4D2F">
            <w:pPr>
              <w:jc w:val="right"/>
              <w:textAlignment w:val="bottom"/>
            </w:pPr>
            <w:r>
              <w:rPr>
                <w:rFonts w:ascii="sans-serif" w:eastAsia="sans-serif" w:hAnsi="sans-serif" w:cs="sans-serif"/>
                <w:color w:val="000000"/>
                <w:sz w:val="20"/>
                <w:szCs w:val="20"/>
              </w:rPr>
              <w:t>(0.7)</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5184"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185" w14:textId="77777777" w:rsidR="00F20ABF" w:rsidRDefault="00F20A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E805186" w14:textId="77777777" w:rsidR="00F20ABF" w:rsidRDefault="00CA4D2F">
            <w:pPr>
              <w:jc w:val="right"/>
              <w:textAlignment w:val="bottom"/>
            </w:pPr>
            <w:r>
              <w:rPr>
                <w:rFonts w:ascii="sans-serif" w:eastAsia="sans-serif" w:hAnsi="sans-serif" w:cs="sans-serif"/>
                <w:color w:val="000000"/>
                <w:sz w:val="20"/>
                <w:szCs w:val="20"/>
              </w:rPr>
              <w:t>1.3 </w:t>
            </w:r>
          </w:p>
        </w:tc>
        <w:tc>
          <w:tcPr>
            <w:tcW w:w="0" w:type="auto"/>
            <w:tcBorders>
              <w:top w:val="single" w:sz="8" w:space="0" w:color="000000"/>
            </w:tcBorders>
            <w:shd w:val="clear" w:color="auto" w:fill="FFFFFF"/>
            <w:tcMar>
              <w:top w:w="40" w:type="dxa"/>
              <w:left w:w="0" w:type="dxa"/>
              <w:bottom w:w="40" w:type="dxa"/>
              <w:right w:w="20" w:type="dxa"/>
            </w:tcMar>
            <w:vAlign w:val="bottom"/>
          </w:tcPr>
          <w:p w14:paraId="1E805187" w14:textId="77777777" w:rsidR="00F20ABF" w:rsidRDefault="00F20ABF">
            <w:pPr>
              <w:jc w:val="right"/>
              <w:rPr>
                <w:rFonts w:ascii="宋体"/>
              </w:rPr>
            </w:pPr>
          </w:p>
        </w:tc>
      </w:tr>
      <w:tr w:rsidR="00F20ABF" w14:paraId="1E805195" w14:textId="77777777">
        <w:tc>
          <w:tcPr>
            <w:tcW w:w="0" w:type="auto"/>
            <w:gridSpan w:val="3"/>
            <w:shd w:val="clear" w:color="auto" w:fill="E2EFD9"/>
            <w:tcMar>
              <w:top w:w="40" w:type="dxa"/>
              <w:left w:w="20" w:type="dxa"/>
              <w:bottom w:w="40" w:type="dxa"/>
              <w:right w:w="20" w:type="dxa"/>
            </w:tcMar>
            <w:vAlign w:val="bottom"/>
          </w:tcPr>
          <w:p w14:paraId="1E805189" w14:textId="77777777" w:rsidR="00F20ABF" w:rsidRDefault="00CA4D2F">
            <w:pPr>
              <w:textAlignment w:val="bottom"/>
            </w:pPr>
            <w:r>
              <w:rPr>
                <w:rFonts w:ascii="sans-serif" w:eastAsia="sans-serif" w:hAnsi="sans-serif" w:cs="sans-serif"/>
                <w:color w:val="000000"/>
                <w:sz w:val="20"/>
                <w:szCs w:val="20"/>
              </w:rPr>
              <w:t>Income before income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518A" w14:textId="77777777" w:rsidR="00F20ABF" w:rsidRDefault="00CA4D2F">
            <w:pPr>
              <w:jc w:val="right"/>
              <w:textAlignment w:val="bottom"/>
            </w:pPr>
            <w:r>
              <w:rPr>
                <w:rFonts w:ascii="sans-serif" w:eastAsia="sans-serif" w:hAnsi="sans-serif" w:cs="sans-serif"/>
                <w:color w:val="000000"/>
                <w:sz w:val="20"/>
                <w:szCs w:val="20"/>
              </w:rPr>
              <w:t>28.4 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518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8C"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518D" w14:textId="77777777" w:rsidR="00F20ABF" w:rsidRDefault="00CA4D2F">
            <w:pPr>
              <w:jc w:val="right"/>
              <w:textAlignment w:val="bottom"/>
            </w:pPr>
            <w:r>
              <w:rPr>
                <w:rFonts w:ascii="sans-serif" w:eastAsia="sans-serif" w:hAnsi="sans-serif" w:cs="sans-serif"/>
                <w:color w:val="000000"/>
                <w:sz w:val="20"/>
                <w:szCs w:val="20"/>
              </w:rPr>
              <w:t>31.9 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518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8F"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5190" w14:textId="77777777" w:rsidR="00F20ABF" w:rsidRDefault="00CA4D2F">
            <w:pPr>
              <w:jc w:val="right"/>
              <w:textAlignment w:val="bottom"/>
            </w:pPr>
            <w:r>
              <w:rPr>
                <w:rFonts w:ascii="sans-serif" w:eastAsia="sans-serif" w:hAnsi="sans-serif" w:cs="sans-serif"/>
                <w:color w:val="000000"/>
                <w:sz w:val="20"/>
                <w:szCs w:val="20"/>
              </w:rPr>
              <w:t>25.2 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5191"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192" w14:textId="77777777" w:rsidR="00F20ABF" w:rsidRDefault="00F20ABF">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E805193" w14:textId="77777777" w:rsidR="00F20ABF" w:rsidRDefault="00CA4D2F">
            <w:pPr>
              <w:jc w:val="right"/>
              <w:textAlignment w:val="bottom"/>
            </w:pPr>
            <w:r>
              <w:rPr>
                <w:rFonts w:ascii="sans-serif" w:eastAsia="sans-serif" w:hAnsi="sans-serif" w:cs="sans-serif"/>
                <w:color w:val="000000"/>
                <w:sz w:val="20"/>
                <w:szCs w:val="20"/>
              </w:rPr>
              <w:t>25.0 </w:t>
            </w:r>
          </w:p>
        </w:tc>
        <w:tc>
          <w:tcPr>
            <w:tcW w:w="0" w:type="auto"/>
            <w:tcBorders>
              <w:top w:val="single" w:sz="8" w:space="0" w:color="000000"/>
            </w:tcBorders>
            <w:shd w:val="clear" w:color="auto" w:fill="E2EFD9"/>
            <w:tcMar>
              <w:top w:w="40" w:type="dxa"/>
              <w:left w:w="0" w:type="dxa"/>
              <w:bottom w:w="40" w:type="dxa"/>
              <w:right w:w="20" w:type="dxa"/>
            </w:tcMar>
            <w:vAlign w:val="bottom"/>
          </w:tcPr>
          <w:p w14:paraId="1E805194" w14:textId="77777777" w:rsidR="00F20ABF" w:rsidRDefault="00F20ABF">
            <w:pPr>
              <w:jc w:val="right"/>
              <w:rPr>
                <w:rFonts w:ascii="宋体"/>
              </w:rPr>
            </w:pPr>
          </w:p>
        </w:tc>
      </w:tr>
      <w:tr w:rsidR="00F20ABF" w14:paraId="1E8051A2" w14:textId="77777777">
        <w:tc>
          <w:tcPr>
            <w:tcW w:w="0" w:type="auto"/>
            <w:gridSpan w:val="3"/>
            <w:shd w:val="clear" w:color="auto" w:fill="FFFFFF"/>
            <w:tcMar>
              <w:top w:w="40" w:type="dxa"/>
              <w:left w:w="20" w:type="dxa"/>
              <w:bottom w:w="40" w:type="dxa"/>
              <w:right w:w="20" w:type="dxa"/>
            </w:tcMar>
            <w:vAlign w:val="bottom"/>
          </w:tcPr>
          <w:p w14:paraId="1E805196" w14:textId="77777777" w:rsidR="00F20ABF" w:rsidRDefault="00CA4D2F">
            <w:pPr>
              <w:textAlignment w:val="bottom"/>
            </w:pPr>
            <w:r>
              <w:rPr>
                <w:rFonts w:ascii="sans-serif" w:eastAsia="sans-serif" w:hAnsi="sans-serif" w:cs="sans-serif"/>
                <w:color w:val="000000"/>
                <w:sz w:val="20"/>
                <w:szCs w:val="20"/>
              </w:rPr>
              <w:t>Income tax expense</w:t>
            </w:r>
          </w:p>
        </w:tc>
        <w:tc>
          <w:tcPr>
            <w:tcW w:w="0" w:type="auto"/>
            <w:gridSpan w:val="2"/>
            <w:shd w:val="clear" w:color="auto" w:fill="FFFFFF"/>
            <w:tcMar>
              <w:top w:w="40" w:type="dxa"/>
              <w:left w:w="20" w:type="dxa"/>
              <w:bottom w:w="40" w:type="dxa"/>
              <w:right w:w="0" w:type="dxa"/>
            </w:tcMar>
            <w:vAlign w:val="bottom"/>
          </w:tcPr>
          <w:p w14:paraId="1E805197" w14:textId="77777777" w:rsidR="00F20ABF" w:rsidRDefault="00CA4D2F">
            <w:pPr>
              <w:jc w:val="right"/>
              <w:textAlignment w:val="bottom"/>
            </w:pPr>
            <w:r>
              <w:rPr>
                <w:rFonts w:ascii="sans-serif" w:eastAsia="sans-serif" w:hAnsi="sans-serif" w:cs="sans-serif"/>
                <w:color w:val="000000"/>
                <w:sz w:val="20"/>
                <w:szCs w:val="20"/>
              </w:rPr>
              <w:t>0.3 </w:t>
            </w:r>
          </w:p>
        </w:tc>
        <w:tc>
          <w:tcPr>
            <w:tcW w:w="0" w:type="auto"/>
            <w:shd w:val="clear" w:color="auto" w:fill="FFFFFF"/>
            <w:tcMar>
              <w:top w:w="40" w:type="dxa"/>
              <w:left w:w="0" w:type="dxa"/>
              <w:bottom w:w="40" w:type="dxa"/>
              <w:right w:w="20" w:type="dxa"/>
            </w:tcMar>
            <w:vAlign w:val="bottom"/>
          </w:tcPr>
          <w:p w14:paraId="1E805198"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199"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19A" w14:textId="77777777" w:rsidR="00F20ABF" w:rsidRDefault="00CA4D2F">
            <w:pPr>
              <w:jc w:val="right"/>
              <w:textAlignment w:val="bottom"/>
            </w:pPr>
            <w:r>
              <w:rPr>
                <w:rFonts w:ascii="sans-serif" w:eastAsia="sans-serif" w:hAnsi="sans-serif" w:cs="sans-serif"/>
                <w:color w:val="000000"/>
                <w:sz w:val="20"/>
                <w:szCs w:val="20"/>
              </w:rPr>
              <w:t>2.0 </w:t>
            </w:r>
          </w:p>
        </w:tc>
        <w:tc>
          <w:tcPr>
            <w:tcW w:w="0" w:type="auto"/>
            <w:shd w:val="clear" w:color="auto" w:fill="FFFFFF"/>
            <w:tcMar>
              <w:top w:w="40" w:type="dxa"/>
              <w:left w:w="0" w:type="dxa"/>
              <w:bottom w:w="40" w:type="dxa"/>
              <w:right w:w="20" w:type="dxa"/>
            </w:tcMar>
            <w:vAlign w:val="bottom"/>
          </w:tcPr>
          <w:p w14:paraId="1E80519B"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19C"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19D" w14:textId="77777777" w:rsidR="00F20ABF" w:rsidRDefault="00CA4D2F">
            <w:pPr>
              <w:jc w:val="right"/>
              <w:textAlignment w:val="bottom"/>
            </w:pPr>
            <w:r>
              <w:rPr>
                <w:rFonts w:ascii="sans-serif" w:eastAsia="sans-serif" w:hAnsi="sans-serif" w:cs="sans-serif"/>
                <w:color w:val="000000"/>
                <w:sz w:val="20"/>
                <w:szCs w:val="20"/>
              </w:rPr>
              <w:t>0.5 </w:t>
            </w:r>
          </w:p>
        </w:tc>
        <w:tc>
          <w:tcPr>
            <w:tcW w:w="0" w:type="auto"/>
            <w:shd w:val="clear" w:color="auto" w:fill="FFFFFF"/>
            <w:tcMar>
              <w:top w:w="40" w:type="dxa"/>
              <w:left w:w="0" w:type="dxa"/>
              <w:bottom w:w="40" w:type="dxa"/>
              <w:right w:w="20" w:type="dxa"/>
            </w:tcMar>
            <w:vAlign w:val="bottom"/>
          </w:tcPr>
          <w:p w14:paraId="1E80519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19F"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1A0" w14:textId="77777777" w:rsidR="00F20ABF" w:rsidRDefault="00CA4D2F">
            <w:pPr>
              <w:jc w:val="right"/>
              <w:textAlignment w:val="bottom"/>
            </w:pPr>
            <w:r>
              <w:rPr>
                <w:rFonts w:ascii="sans-serif" w:eastAsia="sans-serif" w:hAnsi="sans-serif" w:cs="sans-serif"/>
                <w:color w:val="000000"/>
                <w:sz w:val="20"/>
                <w:szCs w:val="20"/>
              </w:rPr>
              <w:t>1.4 </w:t>
            </w:r>
          </w:p>
        </w:tc>
        <w:tc>
          <w:tcPr>
            <w:tcW w:w="0" w:type="auto"/>
            <w:shd w:val="clear" w:color="auto" w:fill="FFFFFF"/>
            <w:tcMar>
              <w:top w:w="40" w:type="dxa"/>
              <w:left w:w="0" w:type="dxa"/>
              <w:bottom w:w="40" w:type="dxa"/>
              <w:right w:w="20" w:type="dxa"/>
            </w:tcMar>
            <w:vAlign w:val="bottom"/>
          </w:tcPr>
          <w:p w14:paraId="1E8051A1" w14:textId="77777777" w:rsidR="00F20ABF" w:rsidRDefault="00F20ABF">
            <w:pPr>
              <w:jc w:val="right"/>
              <w:rPr>
                <w:rFonts w:ascii="宋体"/>
              </w:rPr>
            </w:pPr>
          </w:p>
        </w:tc>
      </w:tr>
      <w:tr w:rsidR="00F20ABF" w14:paraId="1E8051AF" w14:textId="77777777">
        <w:tc>
          <w:tcPr>
            <w:tcW w:w="0" w:type="auto"/>
            <w:gridSpan w:val="3"/>
            <w:shd w:val="clear" w:color="auto" w:fill="E2EFD9"/>
            <w:tcMar>
              <w:top w:w="40" w:type="dxa"/>
              <w:left w:w="20" w:type="dxa"/>
              <w:bottom w:w="40" w:type="dxa"/>
              <w:right w:w="20" w:type="dxa"/>
            </w:tcMar>
            <w:vAlign w:val="bottom"/>
          </w:tcPr>
          <w:p w14:paraId="1E8051A3" w14:textId="77777777" w:rsidR="00F20ABF" w:rsidRDefault="00CA4D2F">
            <w:pPr>
              <w:textAlignment w:val="bottom"/>
            </w:pPr>
            <w:r>
              <w:rPr>
                <w:rFonts w:ascii="sans-serif" w:eastAsia="sans-serif" w:hAnsi="sans-serif" w:cs="sans-serif"/>
                <w:color w:val="000000"/>
                <w:sz w:val="20"/>
                <w:szCs w:val="20"/>
              </w:rPr>
              <w:t>Net income</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1A4" w14:textId="77777777" w:rsidR="00F20ABF" w:rsidRDefault="00CA4D2F">
            <w:pPr>
              <w:jc w:val="right"/>
              <w:textAlignment w:val="bottom"/>
            </w:pPr>
            <w:r>
              <w:rPr>
                <w:rFonts w:ascii="sans-serif" w:eastAsia="sans-serif" w:hAnsi="sans-serif" w:cs="sans-serif"/>
                <w:color w:val="000000"/>
                <w:sz w:val="20"/>
                <w:szCs w:val="20"/>
              </w:rPr>
              <w:t>28.1 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1A5"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tcPr>
          <w:p w14:paraId="1E8051A6" w14:textId="77777777" w:rsidR="00F20ABF" w:rsidRDefault="00F20ABF">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1A7" w14:textId="77777777" w:rsidR="00F20ABF" w:rsidRDefault="00CA4D2F">
            <w:pPr>
              <w:jc w:val="right"/>
              <w:textAlignment w:val="bottom"/>
            </w:pPr>
            <w:r>
              <w:rPr>
                <w:rFonts w:ascii="sans-serif" w:eastAsia="sans-serif" w:hAnsi="sans-serif" w:cs="sans-serif"/>
                <w:color w:val="000000"/>
                <w:sz w:val="20"/>
                <w:szCs w:val="20"/>
              </w:rPr>
              <w:t>29.9 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1A8"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tcPr>
          <w:p w14:paraId="1E8051A9" w14:textId="77777777" w:rsidR="00F20ABF" w:rsidRDefault="00F20ABF">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1AA" w14:textId="77777777" w:rsidR="00F20ABF" w:rsidRDefault="00CA4D2F">
            <w:pPr>
              <w:jc w:val="right"/>
              <w:textAlignment w:val="bottom"/>
            </w:pPr>
            <w:r>
              <w:rPr>
                <w:rFonts w:ascii="sans-serif" w:eastAsia="sans-serif" w:hAnsi="sans-serif" w:cs="sans-serif"/>
                <w:color w:val="000000"/>
                <w:sz w:val="20"/>
                <w:szCs w:val="20"/>
              </w:rPr>
              <w:t>24.7 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1AB"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tcPr>
          <w:p w14:paraId="1E8051AC" w14:textId="77777777" w:rsidR="00F20ABF" w:rsidRDefault="00F20ABF">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1AD" w14:textId="77777777" w:rsidR="00F20ABF" w:rsidRDefault="00CA4D2F">
            <w:pPr>
              <w:jc w:val="right"/>
              <w:textAlignment w:val="bottom"/>
            </w:pPr>
            <w:r>
              <w:rPr>
                <w:rFonts w:ascii="sans-serif" w:eastAsia="sans-serif" w:hAnsi="sans-serif" w:cs="sans-serif"/>
                <w:color w:val="000000"/>
                <w:sz w:val="20"/>
                <w:szCs w:val="20"/>
              </w:rPr>
              <w:t>23.6 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1AE" w14:textId="77777777" w:rsidR="00F20ABF" w:rsidRDefault="00CA4D2F">
            <w:pPr>
              <w:jc w:val="right"/>
              <w:textAlignment w:val="bottom"/>
            </w:pPr>
            <w:r>
              <w:rPr>
                <w:rFonts w:ascii="sans-serif" w:eastAsia="sans-serif" w:hAnsi="sans-serif" w:cs="sans-serif"/>
                <w:color w:val="000000"/>
                <w:sz w:val="20"/>
                <w:szCs w:val="20"/>
              </w:rPr>
              <w:t>%</w:t>
            </w:r>
          </w:p>
        </w:tc>
      </w:tr>
    </w:tbl>
    <w:p w14:paraId="1E8051B0" w14:textId="77777777" w:rsidR="00F20ABF" w:rsidRDefault="00CA4D2F">
      <w:pPr>
        <w:spacing w:before="240" w:after="60"/>
        <w:jc w:val="both"/>
      </w:pPr>
      <w:r>
        <w:rPr>
          <w:rFonts w:ascii="sans-serif" w:eastAsia="sans-serif" w:hAnsi="sans-serif" w:cs="sans-serif"/>
          <w:b/>
          <w:bCs/>
          <w:color w:val="76B900"/>
          <w:sz w:val="20"/>
          <w:szCs w:val="20"/>
        </w:rPr>
        <w:t>Revenue</w:t>
      </w:r>
    </w:p>
    <w:p w14:paraId="1E8051B1" w14:textId="77777777" w:rsidR="00F20ABF" w:rsidRDefault="00CA4D2F">
      <w:pPr>
        <w:spacing w:before="120" w:after="120"/>
        <w:jc w:val="both"/>
      </w:pPr>
      <w:r>
        <w:rPr>
          <w:rFonts w:ascii="sans-serif" w:eastAsia="sans-serif" w:hAnsi="sans-serif" w:cs="sans-serif"/>
          <w:b/>
          <w:bCs/>
          <w:color w:val="000000"/>
          <w:sz w:val="20"/>
          <w:szCs w:val="20"/>
        </w:rPr>
        <w:t>Revenue by Reportable Segments</w:t>
      </w:r>
    </w:p>
    <w:tbl>
      <w:tblPr>
        <w:tblW w:w="5000" w:type="pct"/>
        <w:tblCellMar>
          <w:top w:w="15" w:type="dxa"/>
          <w:left w:w="15" w:type="dxa"/>
          <w:bottom w:w="15" w:type="dxa"/>
          <w:right w:w="15" w:type="dxa"/>
        </w:tblCellMar>
        <w:tblLook w:val="04A0" w:firstRow="1" w:lastRow="0" w:firstColumn="1" w:lastColumn="0" w:noHBand="0" w:noVBand="1"/>
      </w:tblPr>
      <w:tblGrid>
        <w:gridCol w:w="63"/>
        <w:gridCol w:w="1123"/>
        <w:gridCol w:w="36"/>
        <w:gridCol w:w="123"/>
        <w:gridCol w:w="750"/>
        <w:gridCol w:w="36"/>
        <w:gridCol w:w="36"/>
        <w:gridCol w:w="36"/>
        <w:gridCol w:w="36"/>
        <w:gridCol w:w="123"/>
        <w:gridCol w:w="698"/>
        <w:gridCol w:w="36"/>
        <w:gridCol w:w="36"/>
        <w:gridCol w:w="36"/>
        <w:gridCol w:w="36"/>
        <w:gridCol w:w="122"/>
        <w:gridCol w:w="516"/>
        <w:gridCol w:w="36"/>
        <w:gridCol w:w="36"/>
        <w:gridCol w:w="36"/>
        <w:gridCol w:w="36"/>
        <w:gridCol w:w="75"/>
        <w:gridCol w:w="573"/>
        <w:gridCol w:w="163"/>
        <w:gridCol w:w="36"/>
        <w:gridCol w:w="36"/>
        <w:gridCol w:w="36"/>
        <w:gridCol w:w="122"/>
        <w:gridCol w:w="605"/>
        <w:gridCol w:w="36"/>
        <w:gridCol w:w="36"/>
        <w:gridCol w:w="36"/>
        <w:gridCol w:w="36"/>
        <w:gridCol w:w="123"/>
        <w:gridCol w:w="700"/>
        <w:gridCol w:w="36"/>
        <w:gridCol w:w="36"/>
        <w:gridCol w:w="36"/>
        <w:gridCol w:w="36"/>
        <w:gridCol w:w="122"/>
        <w:gridCol w:w="516"/>
        <w:gridCol w:w="36"/>
        <w:gridCol w:w="36"/>
        <w:gridCol w:w="36"/>
        <w:gridCol w:w="36"/>
        <w:gridCol w:w="75"/>
        <w:gridCol w:w="573"/>
        <w:gridCol w:w="163"/>
      </w:tblGrid>
      <w:tr w:rsidR="00F20ABF" w14:paraId="1E8051E2" w14:textId="77777777">
        <w:tc>
          <w:tcPr>
            <w:tcW w:w="50" w:type="pct"/>
            <w:shd w:val="clear" w:color="auto" w:fill="auto"/>
          </w:tcPr>
          <w:p w14:paraId="1E8051B2" w14:textId="77777777" w:rsidR="00F20ABF" w:rsidRDefault="00F20ABF">
            <w:pPr>
              <w:rPr>
                <w:rFonts w:ascii="宋体"/>
              </w:rPr>
            </w:pPr>
          </w:p>
        </w:tc>
        <w:tc>
          <w:tcPr>
            <w:tcW w:w="741" w:type="pct"/>
            <w:shd w:val="clear" w:color="auto" w:fill="auto"/>
          </w:tcPr>
          <w:p w14:paraId="1E8051B3" w14:textId="77777777" w:rsidR="00F20ABF" w:rsidRDefault="00F20ABF">
            <w:pPr>
              <w:rPr>
                <w:rFonts w:ascii="宋体"/>
              </w:rPr>
            </w:pPr>
          </w:p>
        </w:tc>
        <w:tc>
          <w:tcPr>
            <w:tcW w:w="5" w:type="pct"/>
            <w:shd w:val="clear" w:color="auto" w:fill="auto"/>
          </w:tcPr>
          <w:p w14:paraId="1E8051B4" w14:textId="77777777" w:rsidR="00F20ABF" w:rsidRDefault="00F20ABF">
            <w:pPr>
              <w:rPr>
                <w:rFonts w:ascii="宋体"/>
              </w:rPr>
            </w:pPr>
          </w:p>
        </w:tc>
        <w:tc>
          <w:tcPr>
            <w:tcW w:w="50" w:type="pct"/>
            <w:shd w:val="clear" w:color="auto" w:fill="auto"/>
          </w:tcPr>
          <w:p w14:paraId="1E8051B5" w14:textId="77777777" w:rsidR="00F20ABF" w:rsidRDefault="00F20ABF">
            <w:pPr>
              <w:rPr>
                <w:rFonts w:ascii="宋体"/>
              </w:rPr>
            </w:pPr>
          </w:p>
        </w:tc>
        <w:tc>
          <w:tcPr>
            <w:tcW w:w="493" w:type="pct"/>
            <w:shd w:val="clear" w:color="auto" w:fill="auto"/>
          </w:tcPr>
          <w:p w14:paraId="1E8051B6" w14:textId="77777777" w:rsidR="00F20ABF" w:rsidRDefault="00F20ABF">
            <w:pPr>
              <w:rPr>
                <w:rFonts w:ascii="宋体"/>
              </w:rPr>
            </w:pPr>
          </w:p>
        </w:tc>
        <w:tc>
          <w:tcPr>
            <w:tcW w:w="5" w:type="pct"/>
            <w:shd w:val="clear" w:color="auto" w:fill="auto"/>
          </w:tcPr>
          <w:p w14:paraId="1E8051B7" w14:textId="77777777" w:rsidR="00F20ABF" w:rsidRDefault="00F20ABF">
            <w:pPr>
              <w:rPr>
                <w:rFonts w:ascii="宋体"/>
              </w:rPr>
            </w:pPr>
          </w:p>
        </w:tc>
        <w:tc>
          <w:tcPr>
            <w:tcW w:w="5" w:type="pct"/>
            <w:shd w:val="clear" w:color="auto" w:fill="auto"/>
          </w:tcPr>
          <w:p w14:paraId="1E8051B8" w14:textId="77777777" w:rsidR="00F20ABF" w:rsidRDefault="00F20ABF">
            <w:pPr>
              <w:rPr>
                <w:rFonts w:ascii="宋体"/>
              </w:rPr>
            </w:pPr>
          </w:p>
        </w:tc>
        <w:tc>
          <w:tcPr>
            <w:tcW w:w="26" w:type="pct"/>
            <w:shd w:val="clear" w:color="auto" w:fill="auto"/>
          </w:tcPr>
          <w:p w14:paraId="1E8051B9" w14:textId="77777777" w:rsidR="00F20ABF" w:rsidRDefault="00F20ABF">
            <w:pPr>
              <w:rPr>
                <w:rFonts w:ascii="宋体"/>
              </w:rPr>
            </w:pPr>
          </w:p>
        </w:tc>
        <w:tc>
          <w:tcPr>
            <w:tcW w:w="5" w:type="pct"/>
            <w:shd w:val="clear" w:color="auto" w:fill="auto"/>
          </w:tcPr>
          <w:p w14:paraId="1E8051BA" w14:textId="77777777" w:rsidR="00F20ABF" w:rsidRDefault="00F20ABF">
            <w:pPr>
              <w:rPr>
                <w:rFonts w:ascii="宋体"/>
              </w:rPr>
            </w:pPr>
          </w:p>
        </w:tc>
        <w:tc>
          <w:tcPr>
            <w:tcW w:w="50" w:type="pct"/>
            <w:shd w:val="clear" w:color="auto" w:fill="auto"/>
          </w:tcPr>
          <w:p w14:paraId="1E8051BB" w14:textId="77777777" w:rsidR="00F20ABF" w:rsidRDefault="00F20ABF">
            <w:pPr>
              <w:rPr>
                <w:rFonts w:ascii="宋体"/>
              </w:rPr>
            </w:pPr>
          </w:p>
        </w:tc>
        <w:tc>
          <w:tcPr>
            <w:tcW w:w="493" w:type="pct"/>
            <w:shd w:val="clear" w:color="auto" w:fill="auto"/>
          </w:tcPr>
          <w:p w14:paraId="1E8051BC" w14:textId="77777777" w:rsidR="00F20ABF" w:rsidRDefault="00F20ABF">
            <w:pPr>
              <w:rPr>
                <w:rFonts w:ascii="宋体"/>
              </w:rPr>
            </w:pPr>
          </w:p>
        </w:tc>
        <w:tc>
          <w:tcPr>
            <w:tcW w:w="5" w:type="pct"/>
            <w:shd w:val="clear" w:color="auto" w:fill="auto"/>
          </w:tcPr>
          <w:p w14:paraId="1E8051BD" w14:textId="77777777" w:rsidR="00F20ABF" w:rsidRDefault="00F20ABF">
            <w:pPr>
              <w:rPr>
                <w:rFonts w:ascii="宋体"/>
              </w:rPr>
            </w:pPr>
          </w:p>
        </w:tc>
        <w:tc>
          <w:tcPr>
            <w:tcW w:w="5" w:type="pct"/>
            <w:shd w:val="clear" w:color="auto" w:fill="auto"/>
          </w:tcPr>
          <w:p w14:paraId="1E8051BE" w14:textId="77777777" w:rsidR="00F20ABF" w:rsidRDefault="00F20ABF">
            <w:pPr>
              <w:rPr>
                <w:rFonts w:ascii="宋体"/>
              </w:rPr>
            </w:pPr>
          </w:p>
        </w:tc>
        <w:tc>
          <w:tcPr>
            <w:tcW w:w="26" w:type="pct"/>
            <w:shd w:val="clear" w:color="auto" w:fill="auto"/>
          </w:tcPr>
          <w:p w14:paraId="1E8051BF" w14:textId="77777777" w:rsidR="00F20ABF" w:rsidRDefault="00F20ABF">
            <w:pPr>
              <w:rPr>
                <w:rFonts w:ascii="宋体"/>
              </w:rPr>
            </w:pPr>
          </w:p>
        </w:tc>
        <w:tc>
          <w:tcPr>
            <w:tcW w:w="5" w:type="pct"/>
            <w:shd w:val="clear" w:color="auto" w:fill="auto"/>
          </w:tcPr>
          <w:p w14:paraId="1E8051C0" w14:textId="77777777" w:rsidR="00F20ABF" w:rsidRDefault="00F20ABF">
            <w:pPr>
              <w:rPr>
                <w:rFonts w:ascii="宋体"/>
              </w:rPr>
            </w:pPr>
          </w:p>
        </w:tc>
        <w:tc>
          <w:tcPr>
            <w:tcW w:w="50" w:type="pct"/>
            <w:shd w:val="clear" w:color="auto" w:fill="auto"/>
          </w:tcPr>
          <w:p w14:paraId="1E8051C1" w14:textId="77777777" w:rsidR="00F20ABF" w:rsidRDefault="00F20ABF">
            <w:pPr>
              <w:rPr>
                <w:rFonts w:ascii="宋体"/>
              </w:rPr>
            </w:pPr>
          </w:p>
        </w:tc>
        <w:tc>
          <w:tcPr>
            <w:tcW w:w="383" w:type="pct"/>
            <w:shd w:val="clear" w:color="auto" w:fill="auto"/>
          </w:tcPr>
          <w:p w14:paraId="1E8051C2" w14:textId="77777777" w:rsidR="00F20ABF" w:rsidRDefault="00F20ABF">
            <w:pPr>
              <w:rPr>
                <w:rFonts w:ascii="宋体"/>
              </w:rPr>
            </w:pPr>
          </w:p>
        </w:tc>
        <w:tc>
          <w:tcPr>
            <w:tcW w:w="5" w:type="pct"/>
            <w:shd w:val="clear" w:color="auto" w:fill="auto"/>
          </w:tcPr>
          <w:p w14:paraId="1E8051C3" w14:textId="77777777" w:rsidR="00F20ABF" w:rsidRDefault="00F20ABF">
            <w:pPr>
              <w:rPr>
                <w:rFonts w:ascii="宋体"/>
              </w:rPr>
            </w:pPr>
          </w:p>
        </w:tc>
        <w:tc>
          <w:tcPr>
            <w:tcW w:w="5" w:type="pct"/>
            <w:shd w:val="clear" w:color="auto" w:fill="auto"/>
          </w:tcPr>
          <w:p w14:paraId="1E8051C4" w14:textId="77777777" w:rsidR="00F20ABF" w:rsidRDefault="00F20ABF">
            <w:pPr>
              <w:rPr>
                <w:rFonts w:ascii="宋体"/>
              </w:rPr>
            </w:pPr>
          </w:p>
        </w:tc>
        <w:tc>
          <w:tcPr>
            <w:tcW w:w="26" w:type="pct"/>
            <w:shd w:val="clear" w:color="auto" w:fill="auto"/>
          </w:tcPr>
          <w:p w14:paraId="1E8051C5" w14:textId="77777777" w:rsidR="00F20ABF" w:rsidRDefault="00F20ABF">
            <w:pPr>
              <w:rPr>
                <w:rFonts w:ascii="宋体"/>
              </w:rPr>
            </w:pPr>
          </w:p>
        </w:tc>
        <w:tc>
          <w:tcPr>
            <w:tcW w:w="5" w:type="pct"/>
            <w:shd w:val="clear" w:color="auto" w:fill="auto"/>
          </w:tcPr>
          <w:p w14:paraId="1E8051C6" w14:textId="77777777" w:rsidR="00F20ABF" w:rsidRDefault="00F20ABF">
            <w:pPr>
              <w:rPr>
                <w:rFonts w:ascii="宋体"/>
              </w:rPr>
            </w:pPr>
          </w:p>
        </w:tc>
        <w:tc>
          <w:tcPr>
            <w:tcW w:w="50" w:type="pct"/>
            <w:shd w:val="clear" w:color="auto" w:fill="auto"/>
          </w:tcPr>
          <w:p w14:paraId="1E8051C7" w14:textId="77777777" w:rsidR="00F20ABF" w:rsidRDefault="00F20ABF">
            <w:pPr>
              <w:rPr>
                <w:rFonts w:ascii="宋体"/>
              </w:rPr>
            </w:pPr>
          </w:p>
        </w:tc>
        <w:tc>
          <w:tcPr>
            <w:tcW w:w="383" w:type="pct"/>
            <w:shd w:val="clear" w:color="auto" w:fill="auto"/>
          </w:tcPr>
          <w:p w14:paraId="1E8051C8" w14:textId="77777777" w:rsidR="00F20ABF" w:rsidRDefault="00F20ABF">
            <w:pPr>
              <w:rPr>
                <w:rFonts w:ascii="宋体"/>
              </w:rPr>
            </w:pPr>
          </w:p>
        </w:tc>
        <w:tc>
          <w:tcPr>
            <w:tcW w:w="5" w:type="pct"/>
            <w:shd w:val="clear" w:color="auto" w:fill="auto"/>
          </w:tcPr>
          <w:p w14:paraId="1E8051C9" w14:textId="77777777" w:rsidR="00F20ABF" w:rsidRDefault="00F20ABF">
            <w:pPr>
              <w:rPr>
                <w:rFonts w:ascii="宋体"/>
              </w:rPr>
            </w:pPr>
          </w:p>
        </w:tc>
        <w:tc>
          <w:tcPr>
            <w:tcW w:w="5" w:type="pct"/>
            <w:shd w:val="clear" w:color="auto" w:fill="auto"/>
          </w:tcPr>
          <w:p w14:paraId="1E8051CA" w14:textId="77777777" w:rsidR="00F20ABF" w:rsidRDefault="00F20ABF">
            <w:pPr>
              <w:rPr>
                <w:rFonts w:ascii="宋体"/>
              </w:rPr>
            </w:pPr>
          </w:p>
        </w:tc>
        <w:tc>
          <w:tcPr>
            <w:tcW w:w="26" w:type="pct"/>
            <w:shd w:val="clear" w:color="auto" w:fill="auto"/>
          </w:tcPr>
          <w:p w14:paraId="1E8051CB" w14:textId="77777777" w:rsidR="00F20ABF" w:rsidRDefault="00F20ABF">
            <w:pPr>
              <w:rPr>
                <w:rFonts w:ascii="宋体"/>
              </w:rPr>
            </w:pPr>
          </w:p>
        </w:tc>
        <w:tc>
          <w:tcPr>
            <w:tcW w:w="5" w:type="pct"/>
            <w:shd w:val="clear" w:color="auto" w:fill="auto"/>
          </w:tcPr>
          <w:p w14:paraId="1E8051CC" w14:textId="77777777" w:rsidR="00F20ABF" w:rsidRDefault="00F20ABF">
            <w:pPr>
              <w:rPr>
                <w:rFonts w:ascii="宋体"/>
              </w:rPr>
            </w:pPr>
          </w:p>
        </w:tc>
        <w:tc>
          <w:tcPr>
            <w:tcW w:w="50" w:type="pct"/>
            <w:shd w:val="clear" w:color="auto" w:fill="auto"/>
          </w:tcPr>
          <w:p w14:paraId="1E8051CD" w14:textId="77777777" w:rsidR="00F20ABF" w:rsidRDefault="00F20ABF">
            <w:pPr>
              <w:rPr>
                <w:rFonts w:ascii="宋体"/>
              </w:rPr>
            </w:pPr>
          </w:p>
        </w:tc>
        <w:tc>
          <w:tcPr>
            <w:tcW w:w="493" w:type="pct"/>
            <w:shd w:val="clear" w:color="auto" w:fill="auto"/>
          </w:tcPr>
          <w:p w14:paraId="1E8051CE" w14:textId="77777777" w:rsidR="00F20ABF" w:rsidRDefault="00F20ABF">
            <w:pPr>
              <w:rPr>
                <w:rFonts w:ascii="宋体"/>
              </w:rPr>
            </w:pPr>
          </w:p>
        </w:tc>
        <w:tc>
          <w:tcPr>
            <w:tcW w:w="5" w:type="pct"/>
            <w:shd w:val="clear" w:color="auto" w:fill="auto"/>
          </w:tcPr>
          <w:p w14:paraId="1E8051CF" w14:textId="77777777" w:rsidR="00F20ABF" w:rsidRDefault="00F20ABF">
            <w:pPr>
              <w:rPr>
                <w:rFonts w:ascii="宋体"/>
              </w:rPr>
            </w:pPr>
          </w:p>
        </w:tc>
        <w:tc>
          <w:tcPr>
            <w:tcW w:w="5" w:type="pct"/>
            <w:shd w:val="clear" w:color="auto" w:fill="auto"/>
          </w:tcPr>
          <w:p w14:paraId="1E8051D0" w14:textId="77777777" w:rsidR="00F20ABF" w:rsidRDefault="00F20ABF">
            <w:pPr>
              <w:rPr>
                <w:rFonts w:ascii="宋体"/>
              </w:rPr>
            </w:pPr>
          </w:p>
        </w:tc>
        <w:tc>
          <w:tcPr>
            <w:tcW w:w="26" w:type="pct"/>
            <w:shd w:val="clear" w:color="auto" w:fill="auto"/>
          </w:tcPr>
          <w:p w14:paraId="1E8051D1" w14:textId="77777777" w:rsidR="00F20ABF" w:rsidRDefault="00F20ABF">
            <w:pPr>
              <w:rPr>
                <w:rFonts w:ascii="宋体"/>
              </w:rPr>
            </w:pPr>
          </w:p>
        </w:tc>
        <w:tc>
          <w:tcPr>
            <w:tcW w:w="5" w:type="pct"/>
            <w:shd w:val="clear" w:color="auto" w:fill="auto"/>
          </w:tcPr>
          <w:p w14:paraId="1E8051D2" w14:textId="77777777" w:rsidR="00F20ABF" w:rsidRDefault="00F20ABF">
            <w:pPr>
              <w:rPr>
                <w:rFonts w:ascii="宋体"/>
              </w:rPr>
            </w:pPr>
          </w:p>
        </w:tc>
        <w:tc>
          <w:tcPr>
            <w:tcW w:w="50" w:type="pct"/>
            <w:shd w:val="clear" w:color="auto" w:fill="auto"/>
          </w:tcPr>
          <w:p w14:paraId="1E8051D3" w14:textId="77777777" w:rsidR="00F20ABF" w:rsidRDefault="00F20ABF">
            <w:pPr>
              <w:rPr>
                <w:rFonts w:ascii="宋体"/>
              </w:rPr>
            </w:pPr>
          </w:p>
        </w:tc>
        <w:tc>
          <w:tcPr>
            <w:tcW w:w="493" w:type="pct"/>
            <w:shd w:val="clear" w:color="auto" w:fill="auto"/>
          </w:tcPr>
          <w:p w14:paraId="1E8051D4" w14:textId="77777777" w:rsidR="00F20ABF" w:rsidRDefault="00F20ABF">
            <w:pPr>
              <w:rPr>
                <w:rFonts w:ascii="宋体"/>
              </w:rPr>
            </w:pPr>
          </w:p>
        </w:tc>
        <w:tc>
          <w:tcPr>
            <w:tcW w:w="5" w:type="pct"/>
            <w:shd w:val="clear" w:color="auto" w:fill="auto"/>
          </w:tcPr>
          <w:p w14:paraId="1E8051D5" w14:textId="77777777" w:rsidR="00F20ABF" w:rsidRDefault="00F20ABF">
            <w:pPr>
              <w:rPr>
                <w:rFonts w:ascii="宋体"/>
              </w:rPr>
            </w:pPr>
          </w:p>
        </w:tc>
        <w:tc>
          <w:tcPr>
            <w:tcW w:w="5" w:type="pct"/>
            <w:shd w:val="clear" w:color="auto" w:fill="auto"/>
          </w:tcPr>
          <w:p w14:paraId="1E8051D6" w14:textId="77777777" w:rsidR="00F20ABF" w:rsidRDefault="00F20ABF">
            <w:pPr>
              <w:rPr>
                <w:rFonts w:ascii="宋体"/>
              </w:rPr>
            </w:pPr>
          </w:p>
        </w:tc>
        <w:tc>
          <w:tcPr>
            <w:tcW w:w="26" w:type="pct"/>
            <w:shd w:val="clear" w:color="auto" w:fill="auto"/>
          </w:tcPr>
          <w:p w14:paraId="1E8051D7" w14:textId="77777777" w:rsidR="00F20ABF" w:rsidRDefault="00F20ABF">
            <w:pPr>
              <w:rPr>
                <w:rFonts w:ascii="宋体"/>
              </w:rPr>
            </w:pPr>
          </w:p>
        </w:tc>
        <w:tc>
          <w:tcPr>
            <w:tcW w:w="5" w:type="pct"/>
            <w:shd w:val="clear" w:color="auto" w:fill="auto"/>
          </w:tcPr>
          <w:p w14:paraId="1E8051D8" w14:textId="77777777" w:rsidR="00F20ABF" w:rsidRDefault="00F20ABF">
            <w:pPr>
              <w:rPr>
                <w:rFonts w:ascii="宋体"/>
              </w:rPr>
            </w:pPr>
          </w:p>
        </w:tc>
        <w:tc>
          <w:tcPr>
            <w:tcW w:w="50" w:type="pct"/>
            <w:shd w:val="clear" w:color="auto" w:fill="auto"/>
          </w:tcPr>
          <w:p w14:paraId="1E8051D9" w14:textId="77777777" w:rsidR="00F20ABF" w:rsidRDefault="00F20ABF">
            <w:pPr>
              <w:rPr>
                <w:rFonts w:ascii="宋体"/>
              </w:rPr>
            </w:pPr>
          </w:p>
        </w:tc>
        <w:tc>
          <w:tcPr>
            <w:tcW w:w="383" w:type="pct"/>
            <w:shd w:val="clear" w:color="auto" w:fill="auto"/>
          </w:tcPr>
          <w:p w14:paraId="1E8051DA" w14:textId="77777777" w:rsidR="00F20ABF" w:rsidRDefault="00F20ABF">
            <w:pPr>
              <w:rPr>
                <w:rFonts w:ascii="宋体"/>
              </w:rPr>
            </w:pPr>
          </w:p>
        </w:tc>
        <w:tc>
          <w:tcPr>
            <w:tcW w:w="5" w:type="pct"/>
            <w:shd w:val="clear" w:color="auto" w:fill="auto"/>
          </w:tcPr>
          <w:p w14:paraId="1E8051DB" w14:textId="77777777" w:rsidR="00F20ABF" w:rsidRDefault="00F20ABF">
            <w:pPr>
              <w:rPr>
                <w:rFonts w:ascii="宋体"/>
              </w:rPr>
            </w:pPr>
          </w:p>
        </w:tc>
        <w:tc>
          <w:tcPr>
            <w:tcW w:w="5" w:type="pct"/>
            <w:shd w:val="clear" w:color="auto" w:fill="auto"/>
          </w:tcPr>
          <w:p w14:paraId="1E8051DC" w14:textId="77777777" w:rsidR="00F20ABF" w:rsidRDefault="00F20ABF">
            <w:pPr>
              <w:rPr>
                <w:rFonts w:ascii="宋体"/>
              </w:rPr>
            </w:pPr>
          </w:p>
        </w:tc>
        <w:tc>
          <w:tcPr>
            <w:tcW w:w="26" w:type="pct"/>
            <w:shd w:val="clear" w:color="auto" w:fill="auto"/>
          </w:tcPr>
          <w:p w14:paraId="1E8051DD" w14:textId="77777777" w:rsidR="00F20ABF" w:rsidRDefault="00F20ABF">
            <w:pPr>
              <w:rPr>
                <w:rFonts w:ascii="宋体"/>
              </w:rPr>
            </w:pPr>
          </w:p>
        </w:tc>
        <w:tc>
          <w:tcPr>
            <w:tcW w:w="5" w:type="pct"/>
            <w:shd w:val="clear" w:color="auto" w:fill="auto"/>
          </w:tcPr>
          <w:p w14:paraId="1E8051DE" w14:textId="77777777" w:rsidR="00F20ABF" w:rsidRDefault="00F20ABF">
            <w:pPr>
              <w:rPr>
                <w:rFonts w:ascii="宋体"/>
              </w:rPr>
            </w:pPr>
          </w:p>
        </w:tc>
        <w:tc>
          <w:tcPr>
            <w:tcW w:w="50" w:type="pct"/>
            <w:shd w:val="clear" w:color="auto" w:fill="auto"/>
          </w:tcPr>
          <w:p w14:paraId="1E8051DF" w14:textId="77777777" w:rsidR="00F20ABF" w:rsidRDefault="00F20ABF">
            <w:pPr>
              <w:rPr>
                <w:rFonts w:ascii="宋体"/>
              </w:rPr>
            </w:pPr>
          </w:p>
        </w:tc>
        <w:tc>
          <w:tcPr>
            <w:tcW w:w="384" w:type="pct"/>
            <w:shd w:val="clear" w:color="auto" w:fill="auto"/>
          </w:tcPr>
          <w:p w14:paraId="1E8051E0" w14:textId="77777777" w:rsidR="00F20ABF" w:rsidRDefault="00F20ABF">
            <w:pPr>
              <w:rPr>
                <w:rFonts w:ascii="宋体"/>
              </w:rPr>
            </w:pPr>
          </w:p>
        </w:tc>
        <w:tc>
          <w:tcPr>
            <w:tcW w:w="5" w:type="pct"/>
            <w:shd w:val="clear" w:color="auto" w:fill="auto"/>
          </w:tcPr>
          <w:p w14:paraId="1E8051E1" w14:textId="77777777" w:rsidR="00F20ABF" w:rsidRDefault="00F20ABF">
            <w:pPr>
              <w:rPr>
                <w:rFonts w:ascii="宋体"/>
              </w:rPr>
            </w:pPr>
          </w:p>
        </w:tc>
      </w:tr>
      <w:tr w:rsidR="00F20ABF" w14:paraId="1E8051E7" w14:textId="77777777">
        <w:tc>
          <w:tcPr>
            <w:tcW w:w="0" w:type="auto"/>
            <w:gridSpan w:val="3"/>
            <w:shd w:val="clear" w:color="auto" w:fill="auto"/>
            <w:tcMar>
              <w:top w:w="0" w:type="dxa"/>
              <w:left w:w="20" w:type="dxa"/>
              <w:bottom w:w="0" w:type="dxa"/>
              <w:right w:w="20" w:type="dxa"/>
            </w:tcMar>
          </w:tcPr>
          <w:p w14:paraId="1E8051E3" w14:textId="77777777" w:rsidR="00F20ABF" w:rsidRDefault="00F20ABF">
            <w:pPr>
              <w:rPr>
                <w:rFonts w:ascii="宋体"/>
              </w:rPr>
            </w:pPr>
          </w:p>
        </w:tc>
        <w:tc>
          <w:tcPr>
            <w:tcW w:w="0" w:type="auto"/>
            <w:gridSpan w:val="21"/>
            <w:shd w:val="clear" w:color="auto" w:fill="auto"/>
            <w:tcMar>
              <w:top w:w="40" w:type="dxa"/>
              <w:left w:w="20" w:type="dxa"/>
              <w:bottom w:w="40" w:type="dxa"/>
              <w:right w:w="20" w:type="dxa"/>
            </w:tcMar>
            <w:vAlign w:val="bottom"/>
          </w:tcPr>
          <w:p w14:paraId="1E8051E4" w14:textId="77777777" w:rsidR="00F20ABF" w:rsidRDefault="00CA4D2F">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1E8051E5" w14:textId="77777777" w:rsidR="00F20ABF" w:rsidRDefault="00F20ABF">
            <w:pPr>
              <w:rPr>
                <w:rFonts w:ascii="宋体"/>
              </w:rPr>
            </w:pPr>
          </w:p>
        </w:tc>
        <w:tc>
          <w:tcPr>
            <w:tcW w:w="0" w:type="auto"/>
            <w:gridSpan w:val="21"/>
            <w:shd w:val="clear" w:color="auto" w:fill="auto"/>
            <w:tcMar>
              <w:top w:w="40" w:type="dxa"/>
              <w:left w:w="20" w:type="dxa"/>
              <w:bottom w:w="40" w:type="dxa"/>
              <w:right w:w="20" w:type="dxa"/>
            </w:tcMar>
            <w:vAlign w:val="bottom"/>
          </w:tcPr>
          <w:p w14:paraId="1E8051E6" w14:textId="77777777" w:rsidR="00F20ABF" w:rsidRDefault="00CA4D2F">
            <w:pPr>
              <w:jc w:val="center"/>
              <w:textAlignment w:val="bottom"/>
            </w:pPr>
            <w:r>
              <w:rPr>
                <w:rFonts w:ascii="sans-serif" w:eastAsia="sans-serif" w:hAnsi="sans-serif" w:cs="sans-serif"/>
                <w:b/>
                <w:bCs/>
                <w:color w:val="000000"/>
                <w:sz w:val="20"/>
                <w:szCs w:val="20"/>
              </w:rPr>
              <w:t>Nine Months Ended</w:t>
            </w:r>
          </w:p>
        </w:tc>
      </w:tr>
      <w:tr w:rsidR="00F20ABF" w14:paraId="1E8051F8" w14:textId="77777777">
        <w:tc>
          <w:tcPr>
            <w:tcW w:w="0" w:type="auto"/>
            <w:gridSpan w:val="3"/>
            <w:shd w:val="clear" w:color="auto" w:fill="auto"/>
            <w:tcMar>
              <w:top w:w="40" w:type="dxa"/>
              <w:left w:w="20" w:type="dxa"/>
              <w:bottom w:w="40" w:type="dxa"/>
              <w:right w:w="20" w:type="dxa"/>
            </w:tcMar>
            <w:vAlign w:val="center"/>
          </w:tcPr>
          <w:p w14:paraId="1E8051E8" w14:textId="77777777" w:rsidR="00F20ABF" w:rsidRDefault="00CA4D2F">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E8051E9" w14:textId="77777777" w:rsidR="00F20ABF" w:rsidRDefault="00CA4D2F">
            <w:pPr>
              <w:jc w:val="center"/>
              <w:textAlignment w:val="center"/>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1E8051EA"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E8051EB" w14:textId="77777777" w:rsidR="00F20ABF" w:rsidRDefault="00CA4D2F">
            <w:pPr>
              <w:jc w:val="center"/>
              <w:textAlignment w:val="center"/>
            </w:pPr>
            <w:r>
              <w:rPr>
                <w:rFonts w:ascii="sans-serif" w:eastAsia="sans-serif" w:hAnsi="sans-serif" w:cs="sans-serif"/>
                <w:b/>
                <w:bCs/>
                <w:color w:val="000000"/>
                <w:sz w:val="20"/>
                <w:szCs w:val="20"/>
              </w:rPr>
              <w:t>October 27,</w:t>
            </w:r>
            <w:r>
              <w:rPr>
                <w:rFonts w:ascii="sans-serif" w:eastAsia="sans-serif" w:hAnsi="sans-serif" w:cs="sans-serif"/>
                <w:b/>
                <w:bCs/>
                <w:color w:val="000000"/>
                <w:sz w:val="20"/>
                <w:szCs w:val="20"/>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1E8051EC"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E8051ED" w14:textId="77777777" w:rsidR="00F20ABF" w:rsidRDefault="00CA4D2F">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tcPr>
          <w:p w14:paraId="1E8051EE"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E8051EF" w14:textId="77777777" w:rsidR="00F20ABF" w:rsidRDefault="00CA4D2F">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tcMar>
              <w:top w:w="0" w:type="dxa"/>
              <w:left w:w="20" w:type="dxa"/>
              <w:bottom w:w="0" w:type="dxa"/>
              <w:right w:w="20" w:type="dxa"/>
            </w:tcMar>
          </w:tcPr>
          <w:p w14:paraId="1E8051F0"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E8051F1" w14:textId="77777777" w:rsidR="00F20ABF" w:rsidRDefault="00CA4D2F">
            <w:pPr>
              <w:jc w:val="center"/>
              <w:textAlignment w:val="center"/>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1E8051F2"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E8051F3" w14:textId="77777777" w:rsidR="00F20ABF" w:rsidRDefault="00CA4D2F">
            <w:pPr>
              <w:jc w:val="center"/>
              <w:textAlignment w:val="center"/>
            </w:pPr>
            <w:r>
              <w:rPr>
                <w:rFonts w:ascii="sans-serif" w:eastAsia="sans-serif" w:hAnsi="sans-serif" w:cs="sans-serif"/>
                <w:b/>
                <w:bCs/>
                <w:color w:val="000000"/>
                <w:sz w:val="20"/>
                <w:szCs w:val="20"/>
              </w:rPr>
              <w:t>October 27,</w:t>
            </w:r>
            <w:r>
              <w:rPr>
                <w:rFonts w:ascii="sans-serif" w:eastAsia="sans-serif" w:hAnsi="sans-serif" w:cs="sans-serif"/>
                <w:b/>
                <w:bCs/>
                <w:color w:val="000000"/>
                <w:sz w:val="20"/>
                <w:szCs w:val="20"/>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1E8051F4"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E8051F5" w14:textId="77777777" w:rsidR="00F20ABF" w:rsidRDefault="00CA4D2F">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tcPr>
          <w:p w14:paraId="1E8051F6"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E8051F7" w14:textId="77777777" w:rsidR="00F20ABF" w:rsidRDefault="00CA4D2F">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r>
      <w:tr w:rsidR="00F20ABF" w14:paraId="1E805209" w14:textId="77777777">
        <w:trPr>
          <w:trHeight w:val="60"/>
        </w:trPr>
        <w:tc>
          <w:tcPr>
            <w:tcW w:w="0" w:type="auto"/>
            <w:gridSpan w:val="3"/>
            <w:shd w:val="clear" w:color="auto" w:fill="auto"/>
            <w:tcMar>
              <w:top w:w="0" w:type="dxa"/>
              <w:left w:w="20" w:type="dxa"/>
              <w:bottom w:w="0" w:type="dxa"/>
              <w:right w:w="20" w:type="dxa"/>
            </w:tcMar>
          </w:tcPr>
          <w:p w14:paraId="1E8051F9"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1FA"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1FB"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1FC"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1FD"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1FE"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1FF"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200"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201"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202"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203"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204"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205"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206"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207"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208" w14:textId="77777777" w:rsidR="00F20ABF" w:rsidRDefault="00F20ABF">
            <w:pPr>
              <w:rPr>
                <w:rFonts w:ascii="宋体"/>
              </w:rPr>
            </w:pPr>
          </w:p>
        </w:tc>
      </w:tr>
      <w:tr w:rsidR="00F20ABF" w14:paraId="1E80520C" w14:textId="77777777">
        <w:tc>
          <w:tcPr>
            <w:tcW w:w="0" w:type="auto"/>
            <w:gridSpan w:val="3"/>
            <w:shd w:val="clear" w:color="auto" w:fill="auto"/>
            <w:tcMar>
              <w:top w:w="40" w:type="dxa"/>
              <w:left w:w="20" w:type="dxa"/>
              <w:bottom w:w="40" w:type="dxa"/>
              <w:right w:w="20" w:type="dxa"/>
            </w:tcMar>
            <w:vAlign w:val="bottom"/>
          </w:tcPr>
          <w:p w14:paraId="1E80520A" w14:textId="77777777" w:rsidR="00F20ABF" w:rsidRDefault="00CA4D2F">
            <w:pPr>
              <w:textAlignment w:val="bottom"/>
            </w:pPr>
            <w:r>
              <w:rPr>
                <w:rFonts w:ascii="sans-serif" w:eastAsia="sans-serif" w:hAnsi="sans-serif" w:cs="sans-serif"/>
                <w:color w:val="000000"/>
                <w:sz w:val="20"/>
                <w:szCs w:val="20"/>
              </w:rPr>
              <w:t> </w:t>
            </w:r>
          </w:p>
        </w:tc>
        <w:tc>
          <w:tcPr>
            <w:tcW w:w="0" w:type="auto"/>
            <w:gridSpan w:val="45"/>
            <w:shd w:val="clear" w:color="auto" w:fill="auto"/>
            <w:tcMar>
              <w:top w:w="40" w:type="dxa"/>
              <w:left w:w="20" w:type="dxa"/>
              <w:bottom w:w="40" w:type="dxa"/>
              <w:right w:w="20" w:type="dxa"/>
            </w:tcMar>
            <w:vAlign w:val="bottom"/>
          </w:tcPr>
          <w:p w14:paraId="1E80520B" w14:textId="77777777" w:rsidR="00F20ABF" w:rsidRDefault="00CA4D2F">
            <w:pPr>
              <w:jc w:val="center"/>
              <w:textAlignment w:val="bottom"/>
            </w:pPr>
            <w:r>
              <w:rPr>
                <w:rFonts w:ascii="sans-serif" w:eastAsia="sans-serif" w:hAnsi="sans-serif" w:cs="sans-serif"/>
                <w:i/>
                <w:iCs/>
                <w:color w:val="000000"/>
                <w:sz w:val="20"/>
                <w:szCs w:val="20"/>
              </w:rPr>
              <w:t>($ in millions)</w:t>
            </w:r>
          </w:p>
        </w:tc>
      </w:tr>
      <w:tr w:rsidR="00CA4D2F" w14:paraId="1E80522B" w14:textId="77777777">
        <w:tc>
          <w:tcPr>
            <w:tcW w:w="0" w:type="auto"/>
            <w:gridSpan w:val="3"/>
            <w:shd w:val="clear" w:color="auto" w:fill="E2EFD9"/>
            <w:tcMar>
              <w:top w:w="40" w:type="dxa"/>
              <w:left w:w="20" w:type="dxa"/>
              <w:bottom w:w="40" w:type="dxa"/>
              <w:right w:w="20" w:type="dxa"/>
            </w:tcMar>
            <w:vAlign w:val="bottom"/>
          </w:tcPr>
          <w:p w14:paraId="1E80520D" w14:textId="77777777" w:rsidR="00F20ABF" w:rsidRDefault="00CA4D2F">
            <w:pPr>
              <w:textAlignment w:val="bottom"/>
            </w:pPr>
            <w:r>
              <w:rPr>
                <w:rFonts w:ascii="sans-serif" w:eastAsia="sans-serif" w:hAnsi="sans-serif" w:cs="sans-serif"/>
                <w:color w:val="000000"/>
                <w:sz w:val="20"/>
                <w:szCs w:val="20"/>
              </w:rPr>
              <w:t>Graphics</w:t>
            </w:r>
          </w:p>
        </w:tc>
        <w:tc>
          <w:tcPr>
            <w:tcW w:w="0" w:type="auto"/>
            <w:shd w:val="clear" w:color="auto" w:fill="E2EFD9"/>
            <w:tcMar>
              <w:top w:w="40" w:type="dxa"/>
              <w:left w:w="20" w:type="dxa"/>
              <w:bottom w:w="40" w:type="dxa"/>
              <w:right w:w="0" w:type="dxa"/>
            </w:tcMar>
            <w:vAlign w:val="bottom"/>
          </w:tcPr>
          <w:p w14:paraId="1E80520E"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20F" w14:textId="77777777" w:rsidR="00F20ABF" w:rsidRDefault="00CA4D2F">
            <w:pPr>
              <w:jc w:val="right"/>
              <w:textAlignment w:val="bottom"/>
            </w:pPr>
            <w:r>
              <w:rPr>
                <w:rFonts w:ascii="sans-serif" w:eastAsia="sans-serif" w:hAnsi="sans-serif" w:cs="sans-serif"/>
                <w:color w:val="000000"/>
                <w:sz w:val="20"/>
                <w:szCs w:val="20"/>
              </w:rPr>
              <w:t>2,787 </w:t>
            </w:r>
          </w:p>
        </w:tc>
        <w:tc>
          <w:tcPr>
            <w:tcW w:w="0" w:type="auto"/>
            <w:shd w:val="clear" w:color="auto" w:fill="E2EFD9"/>
            <w:tcMar>
              <w:top w:w="40" w:type="dxa"/>
              <w:left w:w="0" w:type="dxa"/>
              <w:bottom w:w="40" w:type="dxa"/>
              <w:right w:w="20" w:type="dxa"/>
            </w:tcMar>
            <w:vAlign w:val="bottom"/>
          </w:tcPr>
          <w:p w14:paraId="1E805210"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11"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212"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213" w14:textId="77777777" w:rsidR="00F20ABF" w:rsidRDefault="00CA4D2F">
            <w:pPr>
              <w:jc w:val="right"/>
              <w:textAlignment w:val="bottom"/>
            </w:pPr>
            <w:r>
              <w:rPr>
                <w:rFonts w:ascii="sans-serif" w:eastAsia="sans-serif" w:hAnsi="sans-serif" w:cs="sans-serif"/>
                <w:color w:val="000000"/>
                <w:sz w:val="20"/>
                <w:szCs w:val="20"/>
              </w:rPr>
              <w:t>2,226 </w:t>
            </w:r>
          </w:p>
        </w:tc>
        <w:tc>
          <w:tcPr>
            <w:tcW w:w="0" w:type="auto"/>
            <w:shd w:val="clear" w:color="auto" w:fill="E2EFD9"/>
            <w:tcMar>
              <w:top w:w="40" w:type="dxa"/>
              <w:left w:w="0" w:type="dxa"/>
              <w:bottom w:w="40" w:type="dxa"/>
              <w:right w:w="20" w:type="dxa"/>
            </w:tcMar>
            <w:vAlign w:val="bottom"/>
          </w:tcPr>
          <w:p w14:paraId="1E80521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15"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216"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217" w14:textId="77777777" w:rsidR="00F20ABF" w:rsidRDefault="00CA4D2F">
            <w:pPr>
              <w:jc w:val="right"/>
              <w:textAlignment w:val="bottom"/>
            </w:pPr>
            <w:r>
              <w:rPr>
                <w:rFonts w:ascii="sans-serif" w:eastAsia="sans-serif" w:hAnsi="sans-serif" w:cs="sans-serif"/>
                <w:color w:val="000000"/>
                <w:sz w:val="20"/>
                <w:szCs w:val="20"/>
              </w:rPr>
              <w:t>561 </w:t>
            </w:r>
          </w:p>
        </w:tc>
        <w:tc>
          <w:tcPr>
            <w:tcW w:w="0" w:type="auto"/>
            <w:shd w:val="clear" w:color="auto" w:fill="E2EFD9"/>
            <w:tcMar>
              <w:top w:w="40" w:type="dxa"/>
              <w:left w:w="0" w:type="dxa"/>
              <w:bottom w:w="40" w:type="dxa"/>
              <w:right w:w="20" w:type="dxa"/>
            </w:tcMar>
            <w:vAlign w:val="bottom"/>
          </w:tcPr>
          <w:p w14:paraId="1E80521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19"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21A" w14:textId="77777777" w:rsidR="00F20ABF" w:rsidRDefault="00CA4D2F">
            <w:pPr>
              <w:jc w:val="right"/>
              <w:textAlignment w:val="bottom"/>
            </w:pPr>
            <w:r>
              <w:rPr>
                <w:rFonts w:ascii="sans-serif" w:eastAsia="sans-serif" w:hAnsi="sans-serif" w:cs="sans-serif"/>
                <w:color w:val="000000"/>
                <w:sz w:val="20"/>
                <w:szCs w:val="20"/>
              </w:rPr>
              <w:t>25 </w:t>
            </w:r>
          </w:p>
        </w:tc>
        <w:tc>
          <w:tcPr>
            <w:tcW w:w="0" w:type="auto"/>
            <w:shd w:val="clear" w:color="auto" w:fill="E2EFD9"/>
            <w:tcMar>
              <w:top w:w="40" w:type="dxa"/>
              <w:left w:w="0" w:type="dxa"/>
              <w:bottom w:w="40" w:type="dxa"/>
              <w:right w:w="20" w:type="dxa"/>
            </w:tcMar>
            <w:vAlign w:val="bottom"/>
          </w:tcPr>
          <w:p w14:paraId="1E80521B"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tcPr>
          <w:p w14:paraId="1E80521C"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21D"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21E" w14:textId="77777777" w:rsidR="00F20ABF" w:rsidRDefault="00CA4D2F">
            <w:pPr>
              <w:jc w:val="right"/>
              <w:textAlignment w:val="bottom"/>
            </w:pPr>
            <w:r>
              <w:rPr>
                <w:rFonts w:ascii="sans-serif" w:eastAsia="sans-serif" w:hAnsi="sans-serif" w:cs="sans-serif"/>
                <w:color w:val="000000"/>
                <w:sz w:val="20"/>
                <w:szCs w:val="20"/>
              </w:rPr>
              <w:t>6,778 </w:t>
            </w:r>
          </w:p>
        </w:tc>
        <w:tc>
          <w:tcPr>
            <w:tcW w:w="0" w:type="auto"/>
            <w:shd w:val="clear" w:color="auto" w:fill="E2EFD9"/>
            <w:tcMar>
              <w:top w:w="40" w:type="dxa"/>
              <w:left w:w="0" w:type="dxa"/>
              <w:bottom w:w="40" w:type="dxa"/>
              <w:right w:w="20" w:type="dxa"/>
            </w:tcMar>
            <w:vAlign w:val="bottom"/>
          </w:tcPr>
          <w:p w14:paraId="1E80521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20"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221"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222" w14:textId="77777777" w:rsidR="00F20ABF" w:rsidRDefault="00CA4D2F">
            <w:pPr>
              <w:jc w:val="right"/>
              <w:textAlignment w:val="bottom"/>
            </w:pPr>
            <w:r>
              <w:rPr>
                <w:rFonts w:ascii="sans-serif" w:eastAsia="sans-serif" w:hAnsi="sans-serif" w:cs="sans-serif"/>
                <w:color w:val="000000"/>
                <w:sz w:val="20"/>
                <w:szCs w:val="20"/>
              </w:rPr>
              <w:t>5,555 </w:t>
            </w:r>
          </w:p>
        </w:tc>
        <w:tc>
          <w:tcPr>
            <w:tcW w:w="0" w:type="auto"/>
            <w:shd w:val="clear" w:color="auto" w:fill="E2EFD9"/>
            <w:tcMar>
              <w:top w:w="40" w:type="dxa"/>
              <w:left w:w="0" w:type="dxa"/>
              <w:bottom w:w="40" w:type="dxa"/>
              <w:right w:w="20" w:type="dxa"/>
            </w:tcMar>
            <w:vAlign w:val="bottom"/>
          </w:tcPr>
          <w:p w14:paraId="1E80522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24"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225"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226" w14:textId="77777777" w:rsidR="00F20ABF" w:rsidRDefault="00CA4D2F">
            <w:pPr>
              <w:jc w:val="right"/>
              <w:textAlignment w:val="bottom"/>
            </w:pPr>
            <w:r>
              <w:rPr>
                <w:rFonts w:ascii="sans-serif" w:eastAsia="sans-serif" w:hAnsi="sans-serif" w:cs="sans-serif"/>
                <w:color w:val="000000"/>
                <w:sz w:val="20"/>
                <w:szCs w:val="20"/>
              </w:rPr>
              <w:t>1,223 </w:t>
            </w:r>
          </w:p>
        </w:tc>
        <w:tc>
          <w:tcPr>
            <w:tcW w:w="0" w:type="auto"/>
            <w:shd w:val="clear" w:color="auto" w:fill="E2EFD9"/>
            <w:tcMar>
              <w:top w:w="40" w:type="dxa"/>
              <w:left w:w="0" w:type="dxa"/>
              <w:bottom w:w="40" w:type="dxa"/>
              <w:right w:w="20" w:type="dxa"/>
            </w:tcMar>
            <w:vAlign w:val="bottom"/>
          </w:tcPr>
          <w:p w14:paraId="1E80522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28"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229" w14:textId="77777777" w:rsidR="00F20ABF" w:rsidRDefault="00CA4D2F">
            <w:pPr>
              <w:jc w:val="right"/>
              <w:textAlignment w:val="bottom"/>
            </w:pPr>
            <w:r>
              <w:rPr>
                <w:rFonts w:ascii="sans-serif" w:eastAsia="sans-serif" w:hAnsi="sans-serif" w:cs="sans-serif"/>
                <w:color w:val="000000"/>
                <w:sz w:val="20"/>
                <w:szCs w:val="20"/>
              </w:rPr>
              <w:t>22 </w:t>
            </w:r>
          </w:p>
        </w:tc>
        <w:tc>
          <w:tcPr>
            <w:tcW w:w="0" w:type="auto"/>
            <w:shd w:val="clear" w:color="auto" w:fill="E2EFD9"/>
            <w:tcMar>
              <w:top w:w="40" w:type="dxa"/>
              <w:left w:w="0" w:type="dxa"/>
              <w:bottom w:w="40" w:type="dxa"/>
              <w:right w:w="20" w:type="dxa"/>
            </w:tcMar>
            <w:vAlign w:val="bottom"/>
          </w:tcPr>
          <w:p w14:paraId="1E80522A" w14:textId="77777777" w:rsidR="00F20ABF" w:rsidRDefault="00CA4D2F">
            <w:pPr>
              <w:jc w:val="right"/>
              <w:textAlignment w:val="bottom"/>
            </w:pPr>
            <w:r>
              <w:rPr>
                <w:rFonts w:ascii="sans-serif" w:eastAsia="sans-serif" w:hAnsi="sans-serif" w:cs="sans-serif"/>
                <w:color w:val="000000"/>
                <w:sz w:val="20"/>
                <w:szCs w:val="20"/>
              </w:rPr>
              <w:t>%</w:t>
            </w:r>
          </w:p>
        </w:tc>
      </w:tr>
      <w:tr w:rsidR="00F20ABF" w14:paraId="1E805244" w14:textId="77777777">
        <w:tc>
          <w:tcPr>
            <w:tcW w:w="0" w:type="auto"/>
            <w:gridSpan w:val="3"/>
            <w:shd w:val="clear" w:color="auto" w:fill="FFFFFF"/>
            <w:tcMar>
              <w:top w:w="40" w:type="dxa"/>
              <w:left w:w="20" w:type="dxa"/>
              <w:bottom w:w="40" w:type="dxa"/>
              <w:right w:w="20" w:type="dxa"/>
            </w:tcMar>
            <w:vAlign w:val="bottom"/>
          </w:tcPr>
          <w:p w14:paraId="1E80522C" w14:textId="77777777" w:rsidR="00F20ABF" w:rsidRDefault="00CA4D2F">
            <w:pPr>
              <w:textAlignment w:val="bottom"/>
            </w:pPr>
            <w:r>
              <w:rPr>
                <w:rFonts w:ascii="sans-serif" w:eastAsia="sans-serif" w:hAnsi="sans-serif" w:cs="sans-serif"/>
                <w:color w:val="000000"/>
                <w:sz w:val="20"/>
                <w:szCs w:val="20"/>
              </w:rPr>
              <w:t>Compute &amp; Networking</w:t>
            </w:r>
          </w:p>
        </w:tc>
        <w:tc>
          <w:tcPr>
            <w:tcW w:w="0" w:type="auto"/>
            <w:gridSpan w:val="2"/>
            <w:shd w:val="clear" w:color="auto" w:fill="FFFFFF"/>
            <w:tcMar>
              <w:top w:w="40" w:type="dxa"/>
              <w:left w:w="20" w:type="dxa"/>
              <w:bottom w:w="40" w:type="dxa"/>
              <w:right w:w="0" w:type="dxa"/>
            </w:tcMar>
            <w:vAlign w:val="bottom"/>
          </w:tcPr>
          <w:p w14:paraId="1E80522D" w14:textId="77777777" w:rsidR="00F20ABF" w:rsidRDefault="00CA4D2F">
            <w:pPr>
              <w:jc w:val="right"/>
              <w:textAlignment w:val="bottom"/>
            </w:pPr>
            <w:r>
              <w:rPr>
                <w:rFonts w:ascii="sans-serif" w:eastAsia="sans-serif" w:hAnsi="sans-serif" w:cs="sans-serif"/>
                <w:color w:val="000000"/>
                <w:sz w:val="20"/>
                <w:szCs w:val="20"/>
              </w:rPr>
              <w:t>1,939 </w:t>
            </w:r>
          </w:p>
        </w:tc>
        <w:tc>
          <w:tcPr>
            <w:tcW w:w="0" w:type="auto"/>
            <w:shd w:val="clear" w:color="auto" w:fill="FFFFFF"/>
            <w:tcMar>
              <w:top w:w="40" w:type="dxa"/>
              <w:left w:w="0" w:type="dxa"/>
              <w:bottom w:w="40" w:type="dxa"/>
              <w:right w:w="20" w:type="dxa"/>
            </w:tcMar>
            <w:vAlign w:val="bottom"/>
          </w:tcPr>
          <w:p w14:paraId="1E80522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22F"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230" w14:textId="77777777" w:rsidR="00F20ABF" w:rsidRDefault="00CA4D2F">
            <w:pPr>
              <w:jc w:val="right"/>
              <w:textAlignment w:val="bottom"/>
            </w:pPr>
            <w:r>
              <w:rPr>
                <w:rFonts w:ascii="sans-serif" w:eastAsia="sans-serif" w:hAnsi="sans-serif" w:cs="sans-serif"/>
                <w:color w:val="000000"/>
                <w:sz w:val="20"/>
                <w:szCs w:val="20"/>
              </w:rPr>
              <w:t>788 </w:t>
            </w:r>
          </w:p>
        </w:tc>
        <w:tc>
          <w:tcPr>
            <w:tcW w:w="0" w:type="auto"/>
            <w:shd w:val="clear" w:color="auto" w:fill="FFFFFF"/>
            <w:tcMar>
              <w:top w:w="40" w:type="dxa"/>
              <w:left w:w="0" w:type="dxa"/>
              <w:bottom w:w="40" w:type="dxa"/>
              <w:right w:w="20" w:type="dxa"/>
            </w:tcMar>
            <w:vAlign w:val="bottom"/>
          </w:tcPr>
          <w:p w14:paraId="1E805231"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232"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233" w14:textId="77777777" w:rsidR="00F20ABF" w:rsidRDefault="00CA4D2F">
            <w:pPr>
              <w:jc w:val="right"/>
              <w:textAlignment w:val="bottom"/>
            </w:pPr>
            <w:r>
              <w:rPr>
                <w:rFonts w:ascii="sans-serif" w:eastAsia="sans-serif" w:hAnsi="sans-serif" w:cs="sans-serif"/>
                <w:color w:val="000000"/>
                <w:sz w:val="20"/>
                <w:szCs w:val="20"/>
              </w:rPr>
              <w:t>1,151 </w:t>
            </w:r>
          </w:p>
        </w:tc>
        <w:tc>
          <w:tcPr>
            <w:tcW w:w="0" w:type="auto"/>
            <w:shd w:val="clear" w:color="auto" w:fill="FFFFFF"/>
            <w:tcMar>
              <w:top w:w="40" w:type="dxa"/>
              <w:left w:w="0" w:type="dxa"/>
              <w:bottom w:w="40" w:type="dxa"/>
              <w:right w:w="20" w:type="dxa"/>
            </w:tcMar>
            <w:vAlign w:val="bottom"/>
          </w:tcPr>
          <w:p w14:paraId="1E805234"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235"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236" w14:textId="77777777" w:rsidR="00F20ABF" w:rsidRDefault="00CA4D2F">
            <w:pPr>
              <w:jc w:val="right"/>
              <w:textAlignment w:val="bottom"/>
            </w:pPr>
            <w:r>
              <w:rPr>
                <w:rFonts w:ascii="sans-serif" w:eastAsia="sans-serif" w:hAnsi="sans-serif" w:cs="sans-serif"/>
                <w:color w:val="000000"/>
                <w:sz w:val="20"/>
                <w:szCs w:val="20"/>
              </w:rPr>
              <w:t>146 </w:t>
            </w:r>
          </w:p>
        </w:tc>
        <w:tc>
          <w:tcPr>
            <w:tcW w:w="0" w:type="auto"/>
            <w:shd w:val="clear" w:color="auto" w:fill="FFFFFF"/>
            <w:tcMar>
              <w:top w:w="40" w:type="dxa"/>
              <w:left w:w="0" w:type="dxa"/>
              <w:bottom w:w="40" w:type="dxa"/>
              <w:right w:w="20" w:type="dxa"/>
            </w:tcMar>
            <w:vAlign w:val="bottom"/>
          </w:tcPr>
          <w:p w14:paraId="1E805237"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tcPr>
          <w:p w14:paraId="1E805238"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239" w14:textId="77777777" w:rsidR="00F20ABF" w:rsidRDefault="00CA4D2F">
            <w:pPr>
              <w:jc w:val="right"/>
              <w:textAlignment w:val="bottom"/>
            </w:pPr>
            <w:r>
              <w:rPr>
                <w:rFonts w:ascii="sans-serif" w:eastAsia="sans-serif" w:hAnsi="sans-serif" w:cs="sans-serif"/>
                <w:color w:val="000000"/>
                <w:sz w:val="20"/>
                <w:szCs w:val="20"/>
              </w:rPr>
              <w:t>4,894 </w:t>
            </w:r>
          </w:p>
        </w:tc>
        <w:tc>
          <w:tcPr>
            <w:tcW w:w="0" w:type="auto"/>
            <w:shd w:val="clear" w:color="auto" w:fill="FFFFFF"/>
            <w:tcMar>
              <w:top w:w="40" w:type="dxa"/>
              <w:left w:w="0" w:type="dxa"/>
              <w:bottom w:w="40" w:type="dxa"/>
              <w:right w:w="20" w:type="dxa"/>
            </w:tcMar>
            <w:vAlign w:val="bottom"/>
          </w:tcPr>
          <w:p w14:paraId="1E80523A"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23B"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23C" w14:textId="77777777" w:rsidR="00F20ABF" w:rsidRDefault="00CA4D2F">
            <w:pPr>
              <w:jc w:val="right"/>
              <w:textAlignment w:val="bottom"/>
            </w:pPr>
            <w:r>
              <w:rPr>
                <w:rFonts w:ascii="sans-serif" w:eastAsia="sans-serif" w:hAnsi="sans-serif" w:cs="sans-serif"/>
                <w:color w:val="000000"/>
                <w:sz w:val="20"/>
                <w:szCs w:val="20"/>
              </w:rPr>
              <w:t>2,258 </w:t>
            </w:r>
          </w:p>
        </w:tc>
        <w:tc>
          <w:tcPr>
            <w:tcW w:w="0" w:type="auto"/>
            <w:shd w:val="clear" w:color="auto" w:fill="FFFFFF"/>
            <w:tcMar>
              <w:top w:w="40" w:type="dxa"/>
              <w:left w:w="0" w:type="dxa"/>
              <w:bottom w:w="40" w:type="dxa"/>
              <w:right w:w="20" w:type="dxa"/>
            </w:tcMar>
            <w:vAlign w:val="bottom"/>
          </w:tcPr>
          <w:p w14:paraId="1E80523D"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23E"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23F" w14:textId="77777777" w:rsidR="00F20ABF" w:rsidRDefault="00CA4D2F">
            <w:pPr>
              <w:jc w:val="right"/>
              <w:textAlignment w:val="bottom"/>
            </w:pPr>
            <w:r>
              <w:rPr>
                <w:rFonts w:ascii="sans-serif" w:eastAsia="sans-serif" w:hAnsi="sans-serif" w:cs="sans-serif"/>
                <w:color w:val="000000"/>
                <w:sz w:val="20"/>
                <w:szCs w:val="20"/>
              </w:rPr>
              <w:t>2,636 </w:t>
            </w:r>
          </w:p>
        </w:tc>
        <w:tc>
          <w:tcPr>
            <w:tcW w:w="0" w:type="auto"/>
            <w:shd w:val="clear" w:color="auto" w:fill="FFFFFF"/>
            <w:tcMar>
              <w:top w:w="40" w:type="dxa"/>
              <w:left w:w="0" w:type="dxa"/>
              <w:bottom w:w="40" w:type="dxa"/>
              <w:right w:w="20" w:type="dxa"/>
            </w:tcMar>
            <w:vAlign w:val="bottom"/>
          </w:tcPr>
          <w:p w14:paraId="1E805240"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241"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242" w14:textId="77777777" w:rsidR="00F20ABF" w:rsidRDefault="00CA4D2F">
            <w:pPr>
              <w:jc w:val="right"/>
              <w:textAlignment w:val="bottom"/>
            </w:pPr>
            <w:r>
              <w:rPr>
                <w:rFonts w:ascii="sans-serif" w:eastAsia="sans-serif" w:hAnsi="sans-serif" w:cs="sans-serif"/>
                <w:color w:val="000000"/>
                <w:sz w:val="20"/>
                <w:szCs w:val="20"/>
              </w:rPr>
              <w:t>117 </w:t>
            </w:r>
          </w:p>
        </w:tc>
        <w:tc>
          <w:tcPr>
            <w:tcW w:w="0" w:type="auto"/>
            <w:shd w:val="clear" w:color="auto" w:fill="FFFFFF"/>
            <w:tcMar>
              <w:top w:w="40" w:type="dxa"/>
              <w:left w:w="0" w:type="dxa"/>
              <w:bottom w:w="40" w:type="dxa"/>
              <w:right w:w="20" w:type="dxa"/>
            </w:tcMar>
            <w:vAlign w:val="bottom"/>
          </w:tcPr>
          <w:p w14:paraId="1E805243" w14:textId="77777777" w:rsidR="00F20ABF" w:rsidRDefault="00CA4D2F">
            <w:pPr>
              <w:jc w:val="right"/>
              <w:textAlignment w:val="bottom"/>
            </w:pPr>
            <w:r>
              <w:rPr>
                <w:rFonts w:ascii="sans-serif" w:eastAsia="sans-serif" w:hAnsi="sans-serif" w:cs="sans-serif"/>
                <w:color w:val="000000"/>
                <w:sz w:val="20"/>
                <w:szCs w:val="20"/>
              </w:rPr>
              <w:t>%</w:t>
            </w:r>
          </w:p>
        </w:tc>
      </w:tr>
      <w:tr w:rsidR="00CA4D2F" w14:paraId="1E805263" w14:textId="77777777">
        <w:tc>
          <w:tcPr>
            <w:tcW w:w="0" w:type="auto"/>
            <w:gridSpan w:val="3"/>
            <w:shd w:val="clear" w:color="auto" w:fill="E2EFD9"/>
            <w:tcMar>
              <w:top w:w="40" w:type="dxa"/>
              <w:left w:w="20" w:type="dxa"/>
              <w:bottom w:w="40" w:type="dxa"/>
              <w:right w:w="20" w:type="dxa"/>
            </w:tcMar>
            <w:vAlign w:val="bottom"/>
          </w:tcPr>
          <w:p w14:paraId="1E805245" w14:textId="77777777" w:rsidR="00F20ABF" w:rsidRDefault="00CA4D2F">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246"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5247" w14:textId="77777777" w:rsidR="00F20ABF" w:rsidRDefault="00CA4D2F">
            <w:pPr>
              <w:jc w:val="right"/>
              <w:textAlignment w:val="bottom"/>
            </w:pPr>
            <w:r>
              <w:rPr>
                <w:rFonts w:ascii="sans-serif" w:eastAsia="sans-serif" w:hAnsi="sans-serif" w:cs="sans-serif"/>
                <w:color w:val="000000"/>
                <w:sz w:val="20"/>
                <w:szCs w:val="20"/>
              </w:rPr>
              <w:t>4,726 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24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49"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24A"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524B" w14:textId="77777777" w:rsidR="00F20ABF" w:rsidRDefault="00CA4D2F">
            <w:pPr>
              <w:jc w:val="right"/>
              <w:textAlignment w:val="bottom"/>
            </w:pPr>
            <w:r>
              <w:rPr>
                <w:rFonts w:ascii="sans-serif" w:eastAsia="sans-serif" w:hAnsi="sans-serif" w:cs="sans-serif"/>
                <w:color w:val="000000"/>
                <w:sz w:val="20"/>
                <w:szCs w:val="20"/>
              </w:rPr>
              <w:t>3,014 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24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4D"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24E"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524F" w14:textId="77777777" w:rsidR="00F20ABF" w:rsidRDefault="00CA4D2F">
            <w:pPr>
              <w:jc w:val="right"/>
              <w:textAlignment w:val="bottom"/>
            </w:pPr>
            <w:r>
              <w:rPr>
                <w:rFonts w:ascii="sans-serif" w:eastAsia="sans-serif" w:hAnsi="sans-serif" w:cs="sans-serif"/>
                <w:color w:val="000000"/>
                <w:sz w:val="20"/>
                <w:szCs w:val="20"/>
              </w:rPr>
              <w:t>1,712 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250"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51" w14:textId="77777777" w:rsidR="00F20ABF" w:rsidRDefault="00F20ABF">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252" w14:textId="77777777" w:rsidR="00F20ABF" w:rsidRDefault="00CA4D2F">
            <w:pPr>
              <w:jc w:val="right"/>
              <w:textAlignment w:val="bottom"/>
            </w:pPr>
            <w:r>
              <w:rPr>
                <w:rFonts w:ascii="sans-serif" w:eastAsia="sans-serif" w:hAnsi="sans-serif" w:cs="sans-serif"/>
                <w:color w:val="000000"/>
                <w:sz w:val="20"/>
                <w:szCs w:val="20"/>
              </w:rPr>
              <w:t>57 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253"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tcPr>
          <w:p w14:paraId="1E805254"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255"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5256" w14:textId="77777777" w:rsidR="00F20ABF" w:rsidRDefault="00CA4D2F">
            <w:pPr>
              <w:jc w:val="right"/>
              <w:textAlignment w:val="bottom"/>
            </w:pPr>
            <w:r>
              <w:rPr>
                <w:rFonts w:ascii="sans-serif" w:eastAsia="sans-serif" w:hAnsi="sans-serif" w:cs="sans-serif"/>
                <w:color w:val="000000"/>
                <w:sz w:val="20"/>
                <w:szCs w:val="20"/>
              </w:rPr>
              <w:t>11,672 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25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58"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259"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525A" w14:textId="77777777" w:rsidR="00F20ABF" w:rsidRDefault="00CA4D2F">
            <w:pPr>
              <w:jc w:val="right"/>
              <w:textAlignment w:val="bottom"/>
            </w:pPr>
            <w:r>
              <w:rPr>
                <w:rFonts w:ascii="sans-serif" w:eastAsia="sans-serif" w:hAnsi="sans-serif" w:cs="sans-serif"/>
                <w:color w:val="000000"/>
                <w:sz w:val="20"/>
                <w:szCs w:val="20"/>
              </w:rPr>
              <w:t>7,813 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25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5C"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25D"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525E" w14:textId="77777777" w:rsidR="00F20ABF" w:rsidRDefault="00CA4D2F">
            <w:pPr>
              <w:jc w:val="right"/>
              <w:textAlignment w:val="bottom"/>
            </w:pPr>
            <w:r>
              <w:rPr>
                <w:rFonts w:ascii="sans-serif" w:eastAsia="sans-serif" w:hAnsi="sans-serif" w:cs="sans-serif"/>
                <w:color w:val="000000"/>
                <w:sz w:val="20"/>
                <w:szCs w:val="20"/>
              </w:rPr>
              <w:t>3,859 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25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60" w14:textId="77777777" w:rsidR="00F20ABF" w:rsidRDefault="00F20ABF">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261" w14:textId="77777777" w:rsidR="00F20ABF" w:rsidRDefault="00CA4D2F">
            <w:pPr>
              <w:jc w:val="right"/>
              <w:textAlignment w:val="bottom"/>
            </w:pPr>
            <w:r>
              <w:rPr>
                <w:rFonts w:ascii="sans-serif" w:eastAsia="sans-serif" w:hAnsi="sans-serif" w:cs="sans-serif"/>
                <w:color w:val="000000"/>
                <w:sz w:val="20"/>
                <w:szCs w:val="20"/>
              </w:rPr>
              <w:t>49 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262" w14:textId="77777777" w:rsidR="00F20ABF" w:rsidRDefault="00CA4D2F">
            <w:pPr>
              <w:jc w:val="right"/>
              <w:textAlignment w:val="bottom"/>
            </w:pPr>
            <w:r>
              <w:rPr>
                <w:rFonts w:ascii="sans-serif" w:eastAsia="sans-serif" w:hAnsi="sans-serif" w:cs="sans-serif"/>
                <w:color w:val="000000"/>
                <w:sz w:val="20"/>
                <w:szCs w:val="20"/>
              </w:rPr>
              <w:t>%</w:t>
            </w:r>
          </w:p>
        </w:tc>
      </w:tr>
    </w:tbl>
    <w:p w14:paraId="1E805264" w14:textId="77777777" w:rsidR="00F20ABF" w:rsidRDefault="00CA4D2F">
      <w:pPr>
        <w:spacing w:before="360" w:after="18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Gra</w:t>
      </w:r>
      <w:r>
        <w:rPr>
          <w:rFonts w:ascii="sans-serif" w:eastAsia="sans-serif" w:hAnsi="sans-serif" w:cs="sans-serif"/>
          <w:color w:val="000000"/>
          <w:sz w:val="20"/>
          <w:szCs w:val="20"/>
        </w:rPr>
        <w:t xml:space="preserve">phics segment revenue for the third quarter of fiscal year 2021 compared to the third quarter of fiscal year 2020 increased by 25% and revenue for the first nine months of fiscal year 2021 compared to the first nine months of fiscal year 2020 increased by </w:t>
      </w:r>
      <w:r>
        <w:rPr>
          <w:rFonts w:ascii="sans-serif" w:eastAsia="sans-serif" w:hAnsi="sans-serif" w:cs="sans-serif"/>
          <w:color w:val="000000"/>
          <w:sz w:val="20"/>
          <w:szCs w:val="20"/>
        </w:rPr>
        <w:t>22%. These increases reflect growth in GeForce GPUs and game console SOCs, partially offset by lower sales of Quadro workstations.</w:t>
      </w:r>
    </w:p>
    <w:p w14:paraId="1E805265" w14:textId="77777777" w:rsidR="00F20ABF" w:rsidRDefault="00CA4D2F">
      <w:pPr>
        <w:spacing w:before="180" w:after="120"/>
        <w:jc w:val="both"/>
      </w:pPr>
      <w:r>
        <w:rPr>
          <w:rFonts w:ascii="sans-serif" w:eastAsia="sans-serif" w:hAnsi="sans-serif" w:cs="sans-serif"/>
          <w:b/>
          <w:bCs/>
          <w:color w:val="000000"/>
          <w:sz w:val="20"/>
          <w:szCs w:val="20"/>
        </w:rPr>
        <w:t xml:space="preserve">Compute &amp; Networking - </w:t>
      </w:r>
      <w:r>
        <w:rPr>
          <w:rFonts w:ascii="sans-serif" w:eastAsia="sans-serif" w:hAnsi="sans-serif" w:cs="sans-serif"/>
          <w:color w:val="000000"/>
          <w:sz w:val="20"/>
          <w:szCs w:val="20"/>
        </w:rPr>
        <w:t>Compute &amp; Networking segment revenue for the third quarter of fiscal year 2021 compared to the third q</w:t>
      </w:r>
      <w:r>
        <w:rPr>
          <w:rFonts w:ascii="sans-serif" w:eastAsia="sans-serif" w:hAnsi="sans-serif" w:cs="sans-serif"/>
          <w:color w:val="000000"/>
          <w:sz w:val="20"/>
          <w:szCs w:val="20"/>
        </w:rPr>
        <w:t xml:space="preserve">uarter of fiscal year 2020 increased by 146% and revenue for the first nine months of fiscal year 2021 compared to the first nine months of fiscal year 2020 increased by 117%. These increases reflect the addition of Mellanox acquired on April 27, 2020 and </w:t>
      </w:r>
      <w:r>
        <w:rPr>
          <w:rFonts w:ascii="sans-serif" w:eastAsia="sans-serif" w:hAnsi="sans-serif" w:cs="sans-serif"/>
          <w:color w:val="000000"/>
          <w:sz w:val="20"/>
          <w:szCs w:val="20"/>
        </w:rPr>
        <w:t>the continued ramp of NVIDIA Ampere GPU architecture systems and new products, partially offset by lower autonomous driving development agreement revenue.</w:t>
      </w:r>
    </w:p>
    <w:p w14:paraId="1E805266" w14:textId="77777777" w:rsidR="00F20ABF" w:rsidRDefault="00CA4D2F">
      <w:pPr>
        <w:spacing w:before="120" w:after="120"/>
      </w:pPr>
      <w:r>
        <w:rPr>
          <w:rFonts w:ascii="sans-serif" w:eastAsia="sans-serif" w:hAnsi="sans-serif" w:cs="sans-serif"/>
          <w:b/>
          <w:bCs/>
          <w:color w:val="000000"/>
          <w:sz w:val="20"/>
          <w:szCs w:val="20"/>
        </w:rPr>
        <w:t>Concentration of Revenue </w:t>
      </w:r>
    </w:p>
    <w:p w14:paraId="1E805267" w14:textId="77777777" w:rsidR="00F20ABF" w:rsidRDefault="00CA4D2F">
      <w:pPr>
        <w:spacing w:after="180"/>
        <w:jc w:val="center"/>
      </w:pPr>
      <w:r>
        <w:rPr>
          <w:rFonts w:ascii="sans-serif" w:eastAsia="sans-serif" w:hAnsi="sans-serif" w:cs="sans-serif"/>
          <w:color w:val="000000"/>
          <w:sz w:val="20"/>
          <w:szCs w:val="20"/>
        </w:rPr>
        <w:t>30</w:t>
      </w:r>
    </w:p>
    <w:p w14:paraId="1E805268" w14:textId="77777777" w:rsidR="00F20ABF" w:rsidRDefault="00CA4D2F">
      <w:r>
        <w:pict w14:anchorId="1E805599">
          <v:rect id="_x0000_i1054" style="width:415.3pt;height:1.5pt" o:hralign="center" o:hrstd="t" o:hr="t" fillcolor="#a0a0a0" stroked="f"/>
        </w:pict>
      </w:r>
    </w:p>
    <w:p w14:paraId="1E805269" w14:textId="77777777" w:rsidR="00F20ABF" w:rsidRDefault="00F20ABF">
      <w:pPr>
        <w:spacing w:after="180"/>
        <w:jc w:val="both"/>
      </w:pPr>
    </w:p>
    <w:p w14:paraId="1E80526A" w14:textId="77777777" w:rsidR="00F20ABF" w:rsidRDefault="00F20ABF">
      <w:pPr>
        <w:spacing w:after="180"/>
        <w:jc w:val="both"/>
      </w:pPr>
    </w:p>
    <w:p w14:paraId="1E80526B" w14:textId="77777777" w:rsidR="00F20ABF" w:rsidRDefault="00F20ABF">
      <w:pPr>
        <w:spacing w:after="180"/>
        <w:jc w:val="both"/>
      </w:pPr>
    </w:p>
    <w:p w14:paraId="1E80526C" w14:textId="77777777" w:rsidR="00F20ABF" w:rsidRDefault="00CA4D2F">
      <w:pPr>
        <w:spacing w:before="120" w:after="120"/>
        <w:jc w:val="both"/>
      </w:pPr>
      <w:r>
        <w:rPr>
          <w:rFonts w:ascii="sans-serif" w:eastAsia="sans-serif" w:hAnsi="sans-serif" w:cs="sans-serif"/>
          <w:color w:val="000000"/>
          <w:sz w:val="20"/>
          <w:szCs w:val="20"/>
        </w:rPr>
        <w:t>Revenue from sales to customers outside of the United States accoun</w:t>
      </w:r>
      <w:r>
        <w:rPr>
          <w:rFonts w:ascii="sans-serif" w:eastAsia="sans-serif" w:hAnsi="sans-serif" w:cs="sans-serif"/>
          <w:color w:val="000000"/>
          <w:sz w:val="20"/>
          <w:szCs w:val="20"/>
        </w:rPr>
        <w:t>ted for 81% and 80% of total revenue for the third quarter and first nine months of fiscal year 2021, respectively, and 92% of total revenue for the third quarter and first nine months of fiscal year 2020. Revenue by geographic region is allocated to indiv</w:t>
      </w:r>
      <w:r>
        <w:rPr>
          <w:rFonts w:ascii="sans-serif" w:eastAsia="sans-serif" w:hAnsi="sans-serif" w:cs="sans-serif"/>
          <w:color w:val="000000"/>
          <w:sz w:val="20"/>
          <w:szCs w:val="20"/>
        </w:rPr>
        <w:t>idual countries based on the location to which the products are initially billed even if the revenue is attributable to end customers in a different location.</w:t>
      </w:r>
    </w:p>
    <w:p w14:paraId="1E80526D" w14:textId="77777777" w:rsidR="00F20ABF" w:rsidRDefault="00CA4D2F">
      <w:pPr>
        <w:spacing w:after="180"/>
        <w:jc w:val="both"/>
      </w:pPr>
      <w:r>
        <w:rPr>
          <w:rFonts w:ascii="sans-serif" w:eastAsia="sans-serif" w:hAnsi="sans-serif" w:cs="sans-serif"/>
          <w:color w:val="000000"/>
          <w:sz w:val="20"/>
          <w:szCs w:val="20"/>
        </w:rPr>
        <w:t xml:space="preserve">No customer represented 10% or more of total revenue for the third quarter and first nine </w:t>
      </w:r>
      <w:r>
        <w:rPr>
          <w:rFonts w:ascii="sans-serif" w:eastAsia="sans-serif" w:hAnsi="sans-serif" w:cs="sans-serif"/>
          <w:color w:val="000000"/>
          <w:sz w:val="20"/>
          <w:szCs w:val="20"/>
        </w:rPr>
        <w:t>months of fiscal year 2021. One customer represented 10% and 11% of our total revenue for the third quarter and first nine months of fiscal year 2020, respectively, and was attributable primarily to the Graphics segment.</w:t>
      </w:r>
    </w:p>
    <w:p w14:paraId="1E80526E" w14:textId="77777777" w:rsidR="00F20ABF" w:rsidRDefault="00CA4D2F">
      <w:pPr>
        <w:spacing w:before="240" w:after="60"/>
        <w:jc w:val="both"/>
      </w:pPr>
      <w:r>
        <w:rPr>
          <w:rFonts w:ascii="sans-serif" w:eastAsia="sans-serif" w:hAnsi="sans-serif" w:cs="sans-serif"/>
          <w:b/>
          <w:bCs/>
          <w:color w:val="76B900"/>
          <w:sz w:val="20"/>
          <w:szCs w:val="20"/>
        </w:rPr>
        <w:t>Gross Margin</w:t>
      </w:r>
    </w:p>
    <w:p w14:paraId="1E80526F" w14:textId="77777777" w:rsidR="00F20ABF" w:rsidRDefault="00CA4D2F">
      <w:pPr>
        <w:spacing w:before="120" w:after="120"/>
        <w:jc w:val="both"/>
      </w:pPr>
      <w:r>
        <w:rPr>
          <w:rFonts w:ascii="sans-serif" w:eastAsia="sans-serif" w:hAnsi="sans-serif" w:cs="sans-serif"/>
          <w:color w:val="000000"/>
          <w:sz w:val="20"/>
          <w:szCs w:val="20"/>
        </w:rPr>
        <w:t xml:space="preserve">Our overall gross </w:t>
      </w:r>
      <w:r>
        <w:rPr>
          <w:rFonts w:ascii="sans-serif" w:eastAsia="sans-serif" w:hAnsi="sans-serif" w:cs="sans-serif"/>
          <w:color w:val="000000"/>
          <w:sz w:val="20"/>
          <w:szCs w:val="20"/>
        </w:rPr>
        <w:t>margin decreased to 62.6% for the third quarter of fiscal year 2021 from 63.6% for the third quarter of fiscal year 2020, reflecting charges related to the Mellanox acquisition and lower margins in Gaming, partially offset by a shift in product mix with hi</w:t>
      </w:r>
      <w:r>
        <w:rPr>
          <w:rFonts w:ascii="sans-serif" w:eastAsia="sans-serif" w:hAnsi="sans-serif" w:cs="sans-serif"/>
          <w:color w:val="000000"/>
          <w:sz w:val="20"/>
          <w:szCs w:val="20"/>
        </w:rPr>
        <w:t>gher Data Center and lower Automotive sales. Our overall gross margin increased to 62.0% for the first nine months of fiscal year 2021 from 60.8% for the first nine months of fiscal year 2020, primarily driven by Mellanox products, lower Automotive sales a</w:t>
      </w:r>
      <w:r>
        <w:rPr>
          <w:rFonts w:ascii="sans-serif" w:eastAsia="sans-serif" w:hAnsi="sans-serif" w:cs="sans-serif"/>
          <w:color w:val="000000"/>
          <w:sz w:val="20"/>
          <w:szCs w:val="20"/>
        </w:rPr>
        <w:t>nd lower product costs within Compute &amp; Networking, partially offset by Mellanox acquisition-related costs including a non-recurring inventory step-up charge of $161 million and ongoing intangible asset amortization of $171 million.</w:t>
      </w:r>
    </w:p>
    <w:p w14:paraId="1E805270" w14:textId="77777777" w:rsidR="00F20ABF" w:rsidRDefault="00CA4D2F">
      <w:pPr>
        <w:spacing w:after="180"/>
        <w:jc w:val="both"/>
      </w:pPr>
      <w:r>
        <w:rPr>
          <w:rFonts w:ascii="sans-serif" w:eastAsia="sans-serif" w:hAnsi="sans-serif" w:cs="sans-serif"/>
          <w:color w:val="000000"/>
          <w:sz w:val="20"/>
          <w:szCs w:val="20"/>
        </w:rPr>
        <w:t>Inventory provisions to</w:t>
      </w:r>
      <w:r>
        <w:rPr>
          <w:rFonts w:ascii="sans-serif" w:eastAsia="sans-serif" w:hAnsi="sans-serif" w:cs="sans-serif"/>
          <w:color w:val="000000"/>
          <w:sz w:val="20"/>
          <w:szCs w:val="20"/>
        </w:rPr>
        <w:t>taled $15 million and $42 million for the third quarter of fiscal years 2021 and 2020, respectively. Sales of inventory that was previously written-off or -down totaled $29 million and $78 million for the third quarter of fiscal years 2021 and 2020, respec</w:t>
      </w:r>
      <w:r>
        <w:rPr>
          <w:rFonts w:ascii="sans-serif" w:eastAsia="sans-serif" w:hAnsi="sans-serif" w:cs="sans-serif"/>
          <w:color w:val="000000"/>
          <w:sz w:val="20"/>
          <w:szCs w:val="20"/>
        </w:rPr>
        <w:t>tively. As a result, the overall net effect on our gross margin was a favorable impact of 0.3% and 1.2% in the third quarter of fiscal years 2021 and 2020, respectively.</w:t>
      </w:r>
    </w:p>
    <w:p w14:paraId="1E805271" w14:textId="77777777" w:rsidR="00F20ABF" w:rsidRDefault="00CA4D2F">
      <w:pPr>
        <w:spacing w:before="120" w:after="120"/>
        <w:jc w:val="both"/>
      </w:pPr>
      <w:r>
        <w:rPr>
          <w:rFonts w:ascii="sans-serif" w:eastAsia="sans-serif" w:hAnsi="sans-serif" w:cs="sans-serif"/>
          <w:color w:val="000000"/>
          <w:sz w:val="20"/>
          <w:szCs w:val="20"/>
        </w:rPr>
        <w:t>Inventory provisions totaled $96 million and $114 million for the first nine months of</w:t>
      </w:r>
      <w:r>
        <w:rPr>
          <w:rFonts w:ascii="sans-serif" w:eastAsia="sans-serif" w:hAnsi="sans-serif" w:cs="sans-serif"/>
          <w:color w:val="000000"/>
          <w:sz w:val="20"/>
          <w:szCs w:val="20"/>
        </w:rPr>
        <w:t xml:space="preserve"> fiscal years 2021 and 2020, respectively. Sales of inventory that was previously written-off or -down totaled $116 million and $109 million for the first nine months of fiscal years 2021 and 2020, respectively. As a result, the overall net effect on our g</w:t>
      </w:r>
      <w:r>
        <w:rPr>
          <w:rFonts w:ascii="sans-serif" w:eastAsia="sans-serif" w:hAnsi="sans-serif" w:cs="sans-serif"/>
          <w:color w:val="000000"/>
          <w:sz w:val="20"/>
          <w:szCs w:val="20"/>
        </w:rPr>
        <w:t>ross margin was a favorable impact of 0.2% in the first nine months of fiscal year 2021 and an unfavorable impact of 0.1% for the first nine months of fiscal year 2020.</w:t>
      </w:r>
    </w:p>
    <w:p w14:paraId="1E805272" w14:textId="77777777" w:rsidR="00F20ABF" w:rsidRDefault="00CA4D2F">
      <w:pPr>
        <w:spacing w:after="180"/>
        <w:jc w:val="both"/>
      </w:pPr>
      <w:r>
        <w:rPr>
          <w:rFonts w:ascii="sans-serif" w:eastAsia="sans-serif" w:hAnsi="sans-serif" w:cs="sans-serif"/>
          <w:color w:val="000000"/>
          <w:sz w:val="20"/>
          <w:szCs w:val="20"/>
        </w:rPr>
        <w:t>A discussion of our gross margin results for each of our reportable segments is as foll</w:t>
      </w:r>
      <w:r>
        <w:rPr>
          <w:rFonts w:ascii="sans-serif" w:eastAsia="sans-serif" w:hAnsi="sans-serif" w:cs="sans-serif"/>
          <w:color w:val="000000"/>
          <w:sz w:val="20"/>
          <w:szCs w:val="20"/>
        </w:rPr>
        <w:t>ows:</w:t>
      </w:r>
    </w:p>
    <w:p w14:paraId="1E805273" w14:textId="77777777" w:rsidR="00F20ABF" w:rsidRDefault="00CA4D2F">
      <w:pPr>
        <w:spacing w:before="120" w:after="12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The gross margin of our Graphics segment decreased during the third quarter of fiscal year 2021 compared to the third quarter of fiscal year 2020, primarily driven by a shift in product mix and higher product costs. The gross margin of our </w:t>
      </w:r>
      <w:r>
        <w:rPr>
          <w:rFonts w:ascii="sans-serif" w:eastAsia="sans-serif" w:hAnsi="sans-serif" w:cs="sans-serif"/>
          <w:color w:val="000000"/>
          <w:sz w:val="20"/>
          <w:szCs w:val="20"/>
        </w:rPr>
        <w:t xml:space="preserve">Graphics segment increased during the first nine months of fiscal year 2021 compared to the first nine months of fiscal year 2020, primarily driven by lower legacy infotainment sales and product mix within Quadro. </w:t>
      </w:r>
    </w:p>
    <w:p w14:paraId="1E805274" w14:textId="77777777" w:rsidR="00F20ABF" w:rsidRDefault="00CA4D2F">
      <w:pPr>
        <w:spacing w:before="120" w:after="120"/>
        <w:jc w:val="both"/>
      </w:pPr>
      <w:r>
        <w:rPr>
          <w:rFonts w:ascii="sans-serif" w:eastAsia="sans-serif" w:hAnsi="sans-serif" w:cs="sans-serif"/>
          <w:b/>
          <w:bCs/>
          <w:color w:val="000000"/>
          <w:sz w:val="20"/>
          <w:szCs w:val="20"/>
        </w:rPr>
        <w:t>Compute &amp; Networking -</w:t>
      </w:r>
      <w:r>
        <w:rPr>
          <w:rFonts w:ascii="sans-serif" w:eastAsia="sans-serif" w:hAnsi="sans-serif" w:cs="sans-serif"/>
          <w:color w:val="000000"/>
          <w:sz w:val="20"/>
          <w:szCs w:val="20"/>
        </w:rPr>
        <w:t> The gross margin o</w:t>
      </w:r>
      <w:r>
        <w:rPr>
          <w:rFonts w:ascii="sans-serif" w:eastAsia="sans-serif" w:hAnsi="sans-serif" w:cs="sans-serif"/>
          <w:color w:val="000000"/>
          <w:sz w:val="20"/>
          <w:szCs w:val="20"/>
        </w:rPr>
        <w:t xml:space="preserve">f our Compute &amp; Networking segment increased during the third quarter and first nine months of fiscal year 2021 compared to the third quarter and first nine months of fiscal year 2020, primarily driven by Mellanox products and lower product costs. </w:t>
      </w:r>
    </w:p>
    <w:p w14:paraId="1E805275" w14:textId="77777777" w:rsidR="00F20ABF" w:rsidRDefault="00CA4D2F">
      <w:pPr>
        <w:spacing w:before="240" w:after="60"/>
        <w:jc w:val="both"/>
      </w:pPr>
      <w:r>
        <w:rPr>
          <w:rFonts w:ascii="sans-serif" w:eastAsia="sans-serif" w:hAnsi="sans-serif" w:cs="sans-serif"/>
          <w:b/>
          <w:bCs/>
          <w:color w:val="76B900"/>
          <w:sz w:val="20"/>
          <w:szCs w:val="20"/>
        </w:rPr>
        <w:t>Operati</w:t>
      </w:r>
      <w:r>
        <w:rPr>
          <w:rFonts w:ascii="sans-serif" w:eastAsia="sans-serif" w:hAnsi="sans-serif" w:cs="sans-serif"/>
          <w:b/>
          <w:bCs/>
          <w:color w:val="76B900"/>
          <w:sz w:val="20"/>
          <w:szCs w:val="20"/>
        </w:rPr>
        <w:t>ng Expenses </w:t>
      </w:r>
    </w:p>
    <w:tbl>
      <w:tblPr>
        <w:tblW w:w="5000" w:type="pct"/>
        <w:tblCellMar>
          <w:top w:w="15" w:type="dxa"/>
          <w:left w:w="15" w:type="dxa"/>
          <w:bottom w:w="15" w:type="dxa"/>
          <w:right w:w="15" w:type="dxa"/>
        </w:tblCellMar>
        <w:tblLook w:val="04A0" w:firstRow="1" w:lastRow="0" w:firstColumn="1" w:lastColumn="0" w:noHBand="0" w:noVBand="1"/>
      </w:tblPr>
      <w:tblGrid>
        <w:gridCol w:w="62"/>
        <w:gridCol w:w="1166"/>
        <w:gridCol w:w="37"/>
        <w:gridCol w:w="122"/>
        <w:gridCol w:w="526"/>
        <w:gridCol w:w="163"/>
        <w:gridCol w:w="36"/>
        <w:gridCol w:w="36"/>
        <w:gridCol w:w="36"/>
        <w:gridCol w:w="123"/>
        <w:gridCol w:w="643"/>
        <w:gridCol w:w="163"/>
        <w:gridCol w:w="36"/>
        <w:gridCol w:w="36"/>
        <w:gridCol w:w="36"/>
        <w:gridCol w:w="123"/>
        <w:gridCol w:w="565"/>
        <w:gridCol w:w="36"/>
        <w:gridCol w:w="36"/>
        <w:gridCol w:w="36"/>
        <w:gridCol w:w="36"/>
        <w:gridCol w:w="82"/>
        <w:gridCol w:w="565"/>
        <w:gridCol w:w="163"/>
        <w:gridCol w:w="36"/>
        <w:gridCol w:w="36"/>
        <w:gridCol w:w="36"/>
        <w:gridCol w:w="122"/>
        <w:gridCol w:w="501"/>
        <w:gridCol w:w="163"/>
        <w:gridCol w:w="36"/>
        <w:gridCol w:w="36"/>
        <w:gridCol w:w="36"/>
        <w:gridCol w:w="122"/>
        <w:gridCol w:w="501"/>
        <w:gridCol w:w="163"/>
        <w:gridCol w:w="36"/>
        <w:gridCol w:w="36"/>
        <w:gridCol w:w="36"/>
        <w:gridCol w:w="122"/>
        <w:gridCol w:w="501"/>
        <w:gridCol w:w="36"/>
        <w:gridCol w:w="36"/>
        <w:gridCol w:w="36"/>
        <w:gridCol w:w="36"/>
        <w:gridCol w:w="87"/>
        <w:gridCol w:w="560"/>
        <w:gridCol w:w="163"/>
      </w:tblGrid>
      <w:tr w:rsidR="00F20ABF" w14:paraId="1E8052A6" w14:textId="77777777">
        <w:tc>
          <w:tcPr>
            <w:tcW w:w="50" w:type="pct"/>
            <w:shd w:val="clear" w:color="auto" w:fill="auto"/>
          </w:tcPr>
          <w:p w14:paraId="1E805276" w14:textId="77777777" w:rsidR="00F20ABF" w:rsidRDefault="00F20ABF">
            <w:pPr>
              <w:rPr>
                <w:rFonts w:ascii="宋体"/>
              </w:rPr>
            </w:pPr>
          </w:p>
        </w:tc>
        <w:tc>
          <w:tcPr>
            <w:tcW w:w="924" w:type="pct"/>
            <w:shd w:val="clear" w:color="auto" w:fill="auto"/>
          </w:tcPr>
          <w:p w14:paraId="1E805277" w14:textId="77777777" w:rsidR="00F20ABF" w:rsidRDefault="00F20ABF">
            <w:pPr>
              <w:rPr>
                <w:rFonts w:ascii="宋体"/>
              </w:rPr>
            </w:pPr>
          </w:p>
        </w:tc>
        <w:tc>
          <w:tcPr>
            <w:tcW w:w="5" w:type="pct"/>
            <w:shd w:val="clear" w:color="auto" w:fill="auto"/>
          </w:tcPr>
          <w:p w14:paraId="1E805278" w14:textId="77777777" w:rsidR="00F20ABF" w:rsidRDefault="00F20ABF">
            <w:pPr>
              <w:rPr>
                <w:rFonts w:ascii="宋体"/>
              </w:rPr>
            </w:pPr>
          </w:p>
        </w:tc>
        <w:tc>
          <w:tcPr>
            <w:tcW w:w="50" w:type="pct"/>
            <w:shd w:val="clear" w:color="auto" w:fill="auto"/>
          </w:tcPr>
          <w:p w14:paraId="1E805279" w14:textId="77777777" w:rsidR="00F20ABF" w:rsidRDefault="00F20ABF">
            <w:pPr>
              <w:rPr>
                <w:rFonts w:ascii="宋体"/>
              </w:rPr>
            </w:pPr>
          </w:p>
        </w:tc>
        <w:tc>
          <w:tcPr>
            <w:tcW w:w="493" w:type="pct"/>
            <w:shd w:val="clear" w:color="auto" w:fill="auto"/>
          </w:tcPr>
          <w:p w14:paraId="1E80527A" w14:textId="77777777" w:rsidR="00F20ABF" w:rsidRDefault="00F20ABF">
            <w:pPr>
              <w:rPr>
                <w:rFonts w:ascii="宋体"/>
              </w:rPr>
            </w:pPr>
          </w:p>
        </w:tc>
        <w:tc>
          <w:tcPr>
            <w:tcW w:w="5" w:type="pct"/>
            <w:shd w:val="clear" w:color="auto" w:fill="auto"/>
          </w:tcPr>
          <w:p w14:paraId="1E80527B" w14:textId="77777777" w:rsidR="00F20ABF" w:rsidRDefault="00F20ABF">
            <w:pPr>
              <w:rPr>
                <w:rFonts w:ascii="宋体"/>
              </w:rPr>
            </w:pPr>
          </w:p>
        </w:tc>
        <w:tc>
          <w:tcPr>
            <w:tcW w:w="5" w:type="pct"/>
            <w:shd w:val="clear" w:color="auto" w:fill="auto"/>
          </w:tcPr>
          <w:p w14:paraId="1E80527C" w14:textId="77777777" w:rsidR="00F20ABF" w:rsidRDefault="00F20ABF">
            <w:pPr>
              <w:rPr>
                <w:rFonts w:ascii="宋体"/>
              </w:rPr>
            </w:pPr>
          </w:p>
        </w:tc>
        <w:tc>
          <w:tcPr>
            <w:tcW w:w="26" w:type="pct"/>
            <w:shd w:val="clear" w:color="auto" w:fill="auto"/>
          </w:tcPr>
          <w:p w14:paraId="1E80527D" w14:textId="77777777" w:rsidR="00F20ABF" w:rsidRDefault="00F20ABF">
            <w:pPr>
              <w:rPr>
                <w:rFonts w:ascii="宋体"/>
              </w:rPr>
            </w:pPr>
          </w:p>
        </w:tc>
        <w:tc>
          <w:tcPr>
            <w:tcW w:w="5" w:type="pct"/>
            <w:shd w:val="clear" w:color="auto" w:fill="auto"/>
          </w:tcPr>
          <w:p w14:paraId="1E80527E" w14:textId="77777777" w:rsidR="00F20ABF" w:rsidRDefault="00F20ABF">
            <w:pPr>
              <w:rPr>
                <w:rFonts w:ascii="宋体"/>
              </w:rPr>
            </w:pPr>
          </w:p>
        </w:tc>
        <w:tc>
          <w:tcPr>
            <w:tcW w:w="50" w:type="pct"/>
            <w:shd w:val="clear" w:color="auto" w:fill="auto"/>
          </w:tcPr>
          <w:p w14:paraId="1E80527F" w14:textId="77777777" w:rsidR="00F20ABF" w:rsidRDefault="00F20ABF">
            <w:pPr>
              <w:rPr>
                <w:rFonts w:ascii="宋体"/>
              </w:rPr>
            </w:pPr>
          </w:p>
        </w:tc>
        <w:tc>
          <w:tcPr>
            <w:tcW w:w="493" w:type="pct"/>
            <w:shd w:val="clear" w:color="auto" w:fill="auto"/>
          </w:tcPr>
          <w:p w14:paraId="1E805280" w14:textId="77777777" w:rsidR="00F20ABF" w:rsidRDefault="00F20ABF">
            <w:pPr>
              <w:rPr>
                <w:rFonts w:ascii="宋体"/>
              </w:rPr>
            </w:pPr>
          </w:p>
        </w:tc>
        <w:tc>
          <w:tcPr>
            <w:tcW w:w="5" w:type="pct"/>
            <w:shd w:val="clear" w:color="auto" w:fill="auto"/>
          </w:tcPr>
          <w:p w14:paraId="1E805281" w14:textId="77777777" w:rsidR="00F20ABF" w:rsidRDefault="00F20ABF">
            <w:pPr>
              <w:rPr>
                <w:rFonts w:ascii="宋体"/>
              </w:rPr>
            </w:pPr>
          </w:p>
        </w:tc>
        <w:tc>
          <w:tcPr>
            <w:tcW w:w="5" w:type="pct"/>
            <w:shd w:val="clear" w:color="auto" w:fill="auto"/>
          </w:tcPr>
          <w:p w14:paraId="1E805282" w14:textId="77777777" w:rsidR="00F20ABF" w:rsidRDefault="00F20ABF">
            <w:pPr>
              <w:rPr>
                <w:rFonts w:ascii="宋体"/>
              </w:rPr>
            </w:pPr>
          </w:p>
        </w:tc>
        <w:tc>
          <w:tcPr>
            <w:tcW w:w="26" w:type="pct"/>
            <w:shd w:val="clear" w:color="auto" w:fill="auto"/>
          </w:tcPr>
          <w:p w14:paraId="1E805283" w14:textId="77777777" w:rsidR="00F20ABF" w:rsidRDefault="00F20ABF">
            <w:pPr>
              <w:rPr>
                <w:rFonts w:ascii="宋体"/>
              </w:rPr>
            </w:pPr>
          </w:p>
        </w:tc>
        <w:tc>
          <w:tcPr>
            <w:tcW w:w="5" w:type="pct"/>
            <w:shd w:val="clear" w:color="auto" w:fill="auto"/>
          </w:tcPr>
          <w:p w14:paraId="1E805284" w14:textId="77777777" w:rsidR="00F20ABF" w:rsidRDefault="00F20ABF">
            <w:pPr>
              <w:rPr>
                <w:rFonts w:ascii="宋体"/>
              </w:rPr>
            </w:pPr>
          </w:p>
        </w:tc>
        <w:tc>
          <w:tcPr>
            <w:tcW w:w="50" w:type="pct"/>
            <w:shd w:val="clear" w:color="auto" w:fill="auto"/>
          </w:tcPr>
          <w:p w14:paraId="1E805285" w14:textId="77777777" w:rsidR="00F20ABF" w:rsidRDefault="00F20ABF">
            <w:pPr>
              <w:rPr>
                <w:rFonts w:ascii="宋体"/>
              </w:rPr>
            </w:pPr>
          </w:p>
        </w:tc>
        <w:tc>
          <w:tcPr>
            <w:tcW w:w="347" w:type="pct"/>
            <w:shd w:val="clear" w:color="auto" w:fill="auto"/>
          </w:tcPr>
          <w:p w14:paraId="1E805286" w14:textId="77777777" w:rsidR="00F20ABF" w:rsidRDefault="00F20ABF">
            <w:pPr>
              <w:rPr>
                <w:rFonts w:ascii="宋体"/>
              </w:rPr>
            </w:pPr>
          </w:p>
        </w:tc>
        <w:tc>
          <w:tcPr>
            <w:tcW w:w="5" w:type="pct"/>
            <w:shd w:val="clear" w:color="auto" w:fill="auto"/>
          </w:tcPr>
          <w:p w14:paraId="1E805287" w14:textId="77777777" w:rsidR="00F20ABF" w:rsidRDefault="00F20ABF">
            <w:pPr>
              <w:rPr>
                <w:rFonts w:ascii="宋体"/>
              </w:rPr>
            </w:pPr>
          </w:p>
        </w:tc>
        <w:tc>
          <w:tcPr>
            <w:tcW w:w="5" w:type="pct"/>
            <w:shd w:val="clear" w:color="auto" w:fill="auto"/>
          </w:tcPr>
          <w:p w14:paraId="1E805288" w14:textId="77777777" w:rsidR="00F20ABF" w:rsidRDefault="00F20ABF">
            <w:pPr>
              <w:rPr>
                <w:rFonts w:ascii="宋体"/>
              </w:rPr>
            </w:pPr>
          </w:p>
        </w:tc>
        <w:tc>
          <w:tcPr>
            <w:tcW w:w="26" w:type="pct"/>
            <w:shd w:val="clear" w:color="auto" w:fill="auto"/>
          </w:tcPr>
          <w:p w14:paraId="1E805289" w14:textId="77777777" w:rsidR="00F20ABF" w:rsidRDefault="00F20ABF">
            <w:pPr>
              <w:rPr>
                <w:rFonts w:ascii="宋体"/>
              </w:rPr>
            </w:pPr>
          </w:p>
        </w:tc>
        <w:tc>
          <w:tcPr>
            <w:tcW w:w="5" w:type="pct"/>
            <w:shd w:val="clear" w:color="auto" w:fill="auto"/>
          </w:tcPr>
          <w:p w14:paraId="1E80528A" w14:textId="77777777" w:rsidR="00F20ABF" w:rsidRDefault="00F20ABF">
            <w:pPr>
              <w:rPr>
                <w:rFonts w:ascii="宋体"/>
              </w:rPr>
            </w:pPr>
          </w:p>
        </w:tc>
        <w:tc>
          <w:tcPr>
            <w:tcW w:w="50" w:type="pct"/>
            <w:shd w:val="clear" w:color="auto" w:fill="auto"/>
          </w:tcPr>
          <w:p w14:paraId="1E80528B" w14:textId="77777777" w:rsidR="00F20ABF" w:rsidRDefault="00F20ABF">
            <w:pPr>
              <w:rPr>
                <w:rFonts w:ascii="宋体"/>
              </w:rPr>
            </w:pPr>
          </w:p>
        </w:tc>
        <w:tc>
          <w:tcPr>
            <w:tcW w:w="347" w:type="pct"/>
            <w:shd w:val="clear" w:color="auto" w:fill="auto"/>
          </w:tcPr>
          <w:p w14:paraId="1E80528C" w14:textId="77777777" w:rsidR="00F20ABF" w:rsidRDefault="00F20ABF">
            <w:pPr>
              <w:rPr>
                <w:rFonts w:ascii="宋体"/>
              </w:rPr>
            </w:pPr>
          </w:p>
        </w:tc>
        <w:tc>
          <w:tcPr>
            <w:tcW w:w="5" w:type="pct"/>
            <w:shd w:val="clear" w:color="auto" w:fill="auto"/>
          </w:tcPr>
          <w:p w14:paraId="1E80528D" w14:textId="77777777" w:rsidR="00F20ABF" w:rsidRDefault="00F20ABF">
            <w:pPr>
              <w:rPr>
                <w:rFonts w:ascii="宋体"/>
              </w:rPr>
            </w:pPr>
          </w:p>
        </w:tc>
        <w:tc>
          <w:tcPr>
            <w:tcW w:w="5" w:type="pct"/>
            <w:shd w:val="clear" w:color="auto" w:fill="auto"/>
          </w:tcPr>
          <w:p w14:paraId="1E80528E" w14:textId="77777777" w:rsidR="00F20ABF" w:rsidRDefault="00F20ABF">
            <w:pPr>
              <w:rPr>
                <w:rFonts w:ascii="宋体"/>
              </w:rPr>
            </w:pPr>
          </w:p>
        </w:tc>
        <w:tc>
          <w:tcPr>
            <w:tcW w:w="26" w:type="pct"/>
            <w:shd w:val="clear" w:color="auto" w:fill="auto"/>
          </w:tcPr>
          <w:p w14:paraId="1E80528F" w14:textId="77777777" w:rsidR="00F20ABF" w:rsidRDefault="00F20ABF">
            <w:pPr>
              <w:rPr>
                <w:rFonts w:ascii="宋体"/>
              </w:rPr>
            </w:pPr>
          </w:p>
        </w:tc>
        <w:tc>
          <w:tcPr>
            <w:tcW w:w="5" w:type="pct"/>
            <w:shd w:val="clear" w:color="auto" w:fill="auto"/>
          </w:tcPr>
          <w:p w14:paraId="1E805290" w14:textId="77777777" w:rsidR="00F20ABF" w:rsidRDefault="00F20ABF">
            <w:pPr>
              <w:rPr>
                <w:rFonts w:ascii="宋体"/>
              </w:rPr>
            </w:pPr>
          </w:p>
        </w:tc>
        <w:tc>
          <w:tcPr>
            <w:tcW w:w="50" w:type="pct"/>
            <w:shd w:val="clear" w:color="auto" w:fill="auto"/>
          </w:tcPr>
          <w:p w14:paraId="1E805291" w14:textId="77777777" w:rsidR="00F20ABF" w:rsidRDefault="00F20ABF">
            <w:pPr>
              <w:rPr>
                <w:rFonts w:ascii="宋体"/>
              </w:rPr>
            </w:pPr>
          </w:p>
        </w:tc>
        <w:tc>
          <w:tcPr>
            <w:tcW w:w="500" w:type="pct"/>
            <w:shd w:val="clear" w:color="auto" w:fill="auto"/>
          </w:tcPr>
          <w:p w14:paraId="1E805292" w14:textId="77777777" w:rsidR="00F20ABF" w:rsidRDefault="00F20ABF">
            <w:pPr>
              <w:rPr>
                <w:rFonts w:ascii="宋体"/>
              </w:rPr>
            </w:pPr>
          </w:p>
        </w:tc>
        <w:tc>
          <w:tcPr>
            <w:tcW w:w="5" w:type="pct"/>
            <w:shd w:val="clear" w:color="auto" w:fill="auto"/>
          </w:tcPr>
          <w:p w14:paraId="1E805293" w14:textId="77777777" w:rsidR="00F20ABF" w:rsidRDefault="00F20ABF">
            <w:pPr>
              <w:rPr>
                <w:rFonts w:ascii="宋体"/>
              </w:rPr>
            </w:pPr>
          </w:p>
        </w:tc>
        <w:tc>
          <w:tcPr>
            <w:tcW w:w="5" w:type="pct"/>
            <w:shd w:val="clear" w:color="auto" w:fill="auto"/>
          </w:tcPr>
          <w:p w14:paraId="1E805294" w14:textId="77777777" w:rsidR="00F20ABF" w:rsidRDefault="00F20ABF">
            <w:pPr>
              <w:rPr>
                <w:rFonts w:ascii="宋体"/>
              </w:rPr>
            </w:pPr>
          </w:p>
        </w:tc>
        <w:tc>
          <w:tcPr>
            <w:tcW w:w="26" w:type="pct"/>
            <w:shd w:val="clear" w:color="auto" w:fill="auto"/>
          </w:tcPr>
          <w:p w14:paraId="1E805295" w14:textId="77777777" w:rsidR="00F20ABF" w:rsidRDefault="00F20ABF">
            <w:pPr>
              <w:rPr>
                <w:rFonts w:ascii="宋体"/>
              </w:rPr>
            </w:pPr>
          </w:p>
        </w:tc>
        <w:tc>
          <w:tcPr>
            <w:tcW w:w="5" w:type="pct"/>
            <w:shd w:val="clear" w:color="auto" w:fill="auto"/>
          </w:tcPr>
          <w:p w14:paraId="1E805296" w14:textId="77777777" w:rsidR="00F20ABF" w:rsidRDefault="00F20ABF">
            <w:pPr>
              <w:rPr>
                <w:rFonts w:ascii="宋体"/>
              </w:rPr>
            </w:pPr>
          </w:p>
        </w:tc>
        <w:tc>
          <w:tcPr>
            <w:tcW w:w="50" w:type="pct"/>
            <w:shd w:val="clear" w:color="auto" w:fill="auto"/>
          </w:tcPr>
          <w:p w14:paraId="1E805297" w14:textId="77777777" w:rsidR="00F20ABF" w:rsidRDefault="00F20ABF">
            <w:pPr>
              <w:rPr>
                <w:rFonts w:ascii="宋体"/>
              </w:rPr>
            </w:pPr>
          </w:p>
        </w:tc>
        <w:tc>
          <w:tcPr>
            <w:tcW w:w="493" w:type="pct"/>
            <w:shd w:val="clear" w:color="auto" w:fill="auto"/>
          </w:tcPr>
          <w:p w14:paraId="1E805298" w14:textId="77777777" w:rsidR="00F20ABF" w:rsidRDefault="00F20ABF">
            <w:pPr>
              <w:rPr>
                <w:rFonts w:ascii="宋体"/>
              </w:rPr>
            </w:pPr>
          </w:p>
        </w:tc>
        <w:tc>
          <w:tcPr>
            <w:tcW w:w="5" w:type="pct"/>
            <w:shd w:val="clear" w:color="auto" w:fill="auto"/>
          </w:tcPr>
          <w:p w14:paraId="1E805299" w14:textId="77777777" w:rsidR="00F20ABF" w:rsidRDefault="00F20ABF">
            <w:pPr>
              <w:rPr>
                <w:rFonts w:ascii="宋体"/>
              </w:rPr>
            </w:pPr>
          </w:p>
        </w:tc>
        <w:tc>
          <w:tcPr>
            <w:tcW w:w="5" w:type="pct"/>
            <w:shd w:val="clear" w:color="auto" w:fill="auto"/>
          </w:tcPr>
          <w:p w14:paraId="1E80529A" w14:textId="77777777" w:rsidR="00F20ABF" w:rsidRDefault="00F20ABF">
            <w:pPr>
              <w:rPr>
                <w:rFonts w:ascii="宋体"/>
              </w:rPr>
            </w:pPr>
          </w:p>
        </w:tc>
        <w:tc>
          <w:tcPr>
            <w:tcW w:w="26" w:type="pct"/>
            <w:shd w:val="clear" w:color="auto" w:fill="auto"/>
          </w:tcPr>
          <w:p w14:paraId="1E80529B" w14:textId="77777777" w:rsidR="00F20ABF" w:rsidRDefault="00F20ABF">
            <w:pPr>
              <w:rPr>
                <w:rFonts w:ascii="宋体"/>
              </w:rPr>
            </w:pPr>
          </w:p>
        </w:tc>
        <w:tc>
          <w:tcPr>
            <w:tcW w:w="5" w:type="pct"/>
            <w:shd w:val="clear" w:color="auto" w:fill="auto"/>
          </w:tcPr>
          <w:p w14:paraId="1E80529C" w14:textId="77777777" w:rsidR="00F20ABF" w:rsidRDefault="00F20ABF">
            <w:pPr>
              <w:rPr>
                <w:rFonts w:ascii="宋体"/>
              </w:rPr>
            </w:pPr>
          </w:p>
        </w:tc>
        <w:tc>
          <w:tcPr>
            <w:tcW w:w="50" w:type="pct"/>
            <w:shd w:val="clear" w:color="auto" w:fill="auto"/>
          </w:tcPr>
          <w:p w14:paraId="1E80529D" w14:textId="77777777" w:rsidR="00F20ABF" w:rsidRDefault="00F20ABF">
            <w:pPr>
              <w:rPr>
                <w:rFonts w:ascii="宋体"/>
              </w:rPr>
            </w:pPr>
          </w:p>
        </w:tc>
        <w:tc>
          <w:tcPr>
            <w:tcW w:w="325" w:type="pct"/>
            <w:shd w:val="clear" w:color="auto" w:fill="auto"/>
          </w:tcPr>
          <w:p w14:paraId="1E80529E" w14:textId="77777777" w:rsidR="00F20ABF" w:rsidRDefault="00F20ABF">
            <w:pPr>
              <w:rPr>
                <w:rFonts w:ascii="宋体"/>
              </w:rPr>
            </w:pPr>
          </w:p>
        </w:tc>
        <w:tc>
          <w:tcPr>
            <w:tcW w:w="5" w:type="pct"/>
            <w:shd w:val="clear" w:color="auto" w:fill="auto"/>
          </w:tcPr>
          <w:p w14:paraId="1E80529F" w14:textId="77777777" w:rsidR="00F20ABF" w:rsidRDefault="00F20ABF">
            <w:pPr>
              <w:rPr>
                <w:rFonts w:ascii="宋体"/>
              </w:rPr>
            </w:pPr>
          </w:p>
        </w:tc>
        <w:tc>
          <w:tcPr>
            <w:tcW w:w="5" w:type="pct"/>
            <w:shd w:val="clear" w:color="auto" w:fill="auto"/>
          </w:tcPr>
          <w:p w14:paraId="1E8052A0" w14:textId="77777777" w:rsidR="00F20ABF" w:rsidRDefault="00F20ABF">
            <w:pPr>
              <w:rPr>
                <w:rFonts w:ascii="宋体"/>
              </w:rPr>
            </w:pPr>
          </w:p>
        </w:tc>
        <w:tc>
          <w:tcPr>
            <w:tcW w:w="26" w:type="pct"/>
            <w:shd w:val="clear" w:color="auto" w:fill="auto"/>
          </w:tcPr>
          <w:p w14:paraId="1E8052A1" w14:textId="77777777" w:rsidR="00F20ABF" w:rsidRDefault="00F20ABF">
            <w:pPr>
              <w:rPr>
                <w:rFonts w:ascii="宋体"/>
              </w:rPr>
            </w:pPr>
          </w:p>
        </w:tc>
        <w:tc>
          <w:tcPr>
            <w:tcW w:w="5" w:type="pct"/>
            <w:shd w:val="clear" w:color="auto" w:fill="auto"/>
          </w:tcPr>
          <w:p w14:paraId="1E8052A2" w14:textId="77777777" w:rsidR="00F20ABF" w:rsidRDefault="00F20ABF">
            <w:pPr>
              <w:rPr>
                <w:rFonts w:ascii="宋体"/>
              </w:rPr>
            </w:pPr>
          </w:p>
        </w:tc>
        <w:tc>
          <w:tcPr>
            <w:tcW w:w="50" w:type="pct"/>
            <w:shd w:val="clear" w:color="auto" w:fill="auto"/>
          </w:tcPr>
          <w:p w14:paraId="1E8052A3" w14:textId="77777777" w:rsidR="00F20ABF" w:rsidRDefault="00F20ABF">
            <w:pPr>
              <w:rPr>
                <w:rFonts w:ascii="宋体"/>
              </w:rPr>
            </w:pPr>
          </w:p>
        </w:tc>
        <w:tc>
          <w:tcPr>
            <w:tcW w:w="325" w:type="pct"/>
            <w:shd w:val="clear" w:color="auto" w:fill="auto"/>
          </w:tcPr>
          <w:p w14:paraId="1E8052A4" w14:textId="77777777" w:rsidR="00F20ABF" w:rsidRDefault="00F20ABF">
            <w:pPr>
              <w:rPr>
                <w:rFonts w:ascii="宋体"/>
              </w:rPr>
            </w:pPr>
          </w:p>
        </w:tc>
        <w:tc>
          <w:tcPr>
            <w:tcW w:w="5" w:type="pct"/>
            <w:shd w:val="clear" w:color="auto" w:fill="auto"/>
          </w:tcPr>
          <w:p w14:paraId="1E8052A5" w14:textId="77777777" w:rsidR="00F20ABF" w:rsidRDefault="00F20ABF">
            <w:pPr>
              <w:rPr>
                <w:rFonts w:ascii="宋体"/>
              </w:rPr>
            </w:pPr>
          </w:p>
        </w:tc>
      </w:tr>
      <w:tr w:rsidR="00F20ABF" w14:paraId="1E8052AB" w14:textId="77777777">
        <w:tc>
          <w:tcPr>
            <w:tcW w:w="0" w:type="auto"/>
            <w:gridSpan w:val="3"/>
            <w:shd w:val="clear" w:color="auto" w:fill="auto"/>
            <w:tcMar>
              <w:top w:w="40" w:type="dxa"/>
              <w:left w:w="20" w:type="dxa"/>
              <w:bottom w:w="40" w:type="dxa"/>
              <w:right w:w="20" w:type="dxa"/>
            </w:tcMar>
            <w:vAlign w:val="center"/>
          </w:tcPr>
          <w:p w14:paraId="1E8052A7" w14:textId="77777777" w:rsidR="00F20ABF" w:rsidRDefault="00CA4D2F">
            <w:pPr>
              <w:textAlignment w:val="center"/>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center"/>
          </w:tcPr>
          <w:p w14:paraId="1E8052A8" w14:textId="77777777" w:rsidR="00F20ABF" w:rsidRDefault="00CA4D2F">
            <w:pPr>
              <w:jc w:val="center"/>
              <w:textAlignment w:val="center"/>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1E8052A9" w14:textId="77777777" w:rsidR="00F20ABF" w:rsidRDefault="00F20ABF">
            <w:pPr>
              <w:rPr>
                <w:rFonts w:ascii="宋体"/>
              </w:rPr>
            </w:pPr>
          </w:p>
        </w:tc>
        <w:tc>
          <w:tcPr>
            <w:tcW w:w="0" w:type="auto"/>
            <w:gridSpan w:val="21"/>
            <w:shd w:val="clear" w:color="auto" w:fill="auto"/>
            <w:tcMar>
              <w:top w:w="40" w:type="dxa"/>
              <w:left w:w="20" w:type="dxa"/>
              <w:bottom w:w="40" w:type="dxa"/>
              <w:right w:w="20" w:type="dxa"/>
            </w:tcMar>
            <w:vAlign w:val="center"/>
          </w:tcPr>
          <w:p w14:paraId="1E8052AA" w14:textId="77777777" w:rsidR="00F20ABF" w:rsidRDefault="00CA4D2F">
            <w:pPr>
              <w:jc w:val="center"/>
              <w:textAlignment w:val="center"/>
            </w:pPr>
            <w:r>
              <w:rPr>
                <w:rFonts w:ascii="sans-serif" w:eastAsia="sans-serif" w:hAnsi="sans-serif" w:cs="sans-serif"/>
                <w:b/>
                <w:bCs/>
                <w:color w:val="000000"/>
                <w:sz w:val="20"/>
                <w:szCs w:val="20"/>
              </w:rPr>
              <w:t>Nine Months Ended</w:t>
            </w:r>
          </w:p>
        </w:tc>
      </w:tr>
      <w:tr w:rsidR="00F20ABF" w14:paraId="1E8052BC" w14:textId="77777777">
        <w:tc>
          <w:tcPr>
            <w:tcW w:w="0" w:type="auto"/>
            <w:gridSpan w:val="3"/>
            <w:shd w:val="clear" w:color="auto" w:fill="auto"/>
            <w:tcMar>
              <w:top w:w="40" w:type="dxa"/>
              <w:left w:w="20" w:type="dxa"/>
              <w:bottom w:w="40" w:type="dxa"/>
              <w:right w:w="20" w:type="dxa"/>
            </w:tcMar>
            <w:vAlign w:val="center"/>
          </w:tcPr>
          <w:p w14:paraId="1E8052AC" w14:textId="77777777" w:rsidR="00F20ABF" w:rsidRDefault="00CA4D2F">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E8052AD" w14:textId="77777777" w:rsidR="00F20ABF" w:rsidRDefault="00CA4D2F">
            <w:pPr>
              <w:jc w:val="center"/>
              <w:textAlignment w:val="center"/>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1E8052AE"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E8052AF" w14:textId="77777777" w:rsidR="00F20ABF" w:rsidRDefault="00CA4D2F">
            <w:pPr>
              <w:jc w:val="center"/>
              <w:textAlignment w:val="center"/>
            </w:pPr>
            <w:r>
              <w:rPr>
                <w:rFonts w:ascii="sans-serif" w:eastAsia="sans-serif" w:hAnsi="sans-serif" w:cs="sans-serif"/>
                <w:b/>
                <w:bCs/>
                <w:color w:val="000000"/>
                <w:sz w:val="20"/>
                <w:szCs w:val="20"/>
              </w:rPr>
              <w:t>October 27,</w:t>
            </w:r>
            <w:r>
              <w:rPr>
                <w:rFonts w:ascii="sans-serif" w:eastAsia="sans-serif" w:hAnsi="sans-serif" w:cs="sans-serif"/>
                <w:b/>
                <w:bCs/>
                <w:color w:val="000000"/>
                <w:sz w:val="20"/>
                <w:szCs w:val="20"/>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1E8052B0"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E8052B1" w14:textId="77777777" w:rsidR="00F20ABF" w:rsidRDefault="00CA4D2F">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tcPr>
          <w:p w14:paraId="1E8052B2"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E8052B3" w14:textId="77777777" w:rsidR="00F20ABF" w:rsidRDefault="00CA4D2F">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tcMar>
              <w:top w:w="0" w:type="dxa"/>
              <w:left w:w="20" w:type="dxa"/>
              <w:bottom w:w="0" w:type="dxa"/>
              <w:right w:w="20" w:type="dxa"/>
            </w:tcMar>
          </w:tcPr>
          <w:p w14:paraId="1E8052B4"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E8052B5" w14:textId="77777777" w:rsidR="00F20ABF" w:rsidRDefault="00CA4D2F">
            <w:pPr>
              <w:jc w:val="center"/>
              <w:textAlignment w:val="center"/>
            </w:pPr>
            <w:r>
              <w:rPr>
                <w:rFonts w:ascii="sans-serif" w:eastAsia="sans-serif" w:hAnsi="sans-serif" w:cs="sans-serif"/>
                <w:b/>
                <w:bCs/>
                <w:color w:val="000000"/>
                <w:sz w:val="20"/>
                <w:szCs w:val="20"/>
              </w:rPr>
              <w:t>October 25,</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1E8052B6"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E8052B7" w14:textId="77777777" w:rsidR="00F20ABF" w:rsidRDefault="00CA4D2F">
            <w:pPr>
              <w:jc w:val="center"/>
              <w:textAlignment w:val="center"/>
            </w:pPr>
            <w:r>
              <w:rPr>
                <w:rFonts w:ascii="sans-serif" w:eastAsia="sans-serif" w:hAnsi="sans-serif" w:cs="sans-serif"/>
                <w:b/>
                <w:bCs/>
                <w:color w:val="000000"/>
                <w:sz w:val="20"/>
                <w:szCs w:val="20"/>
              </w:rPr>
              <w:t>October 27,</w:t>
            </w:r>
            <w:r>
              <w:rPr>
                <w:rFonts w:ascii="sans-serif" w:eastAsia="sans-serif" w:hAnsi="sans-serif" w:cs="sans-serif"/>
                <w:b/>
                <w:bCs/>
                <w:color w:val="000000"/>
                <w:sz w:val="20"/>
                <w:szCs w:val="20"/>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1E8052B8"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E8052B9" w14:textId="77777777" w:rsidR="00F20ABF" w:rsidRDefault="00CA4D2F">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tcPr>
          <w:p w14:paraId="1E8052BA"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E8052BB" w14:textId="77777777" w:rsidR="00F20ABF" w:rsidRDefault="00CA4D2F">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r>
      <w:tr w:rsidR="00F20ABF" w14:paraId="1E8052CD" w14:textId="77777777">
        <w:trPr>
          <w:trHeight w:val="60"/>
        </w:trPr>
        <w:tc>
          <w:tcPr>
            <w:tcW w:w="0" w:type="auto"/>
            <w:gridSpan w:val="3"/>
            <w:shd w:val="clear" w:color="auto" w:fill="auto"/>
            <w:tcMar>
              <w:top w:w="0" w:type="dxa"/>
              <w:left w:w="20" w:type="dxa"/>
              <w:bottom w:w="0" w:type="dxa"/>
              <w:right w:w="20" w:type="dxa"/>
            </w:tcMar>
          </w:tcPr>
          <w:p w14:paraId="1E8052BD"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2BE"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2BF"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2C0"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2C1"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2C2"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2C3"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2C4"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2C5"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2C6"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2C7"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2C8"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2C9"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2CA"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2CB"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2CC" w14:textId="77777777" w:rsidR="00F20ABF" w:rsidRDefault="00F20ABF">
            <w:pPr>
              <w:rPr>
                <w:rFonts w:ascii="宋体"/>
              </w:rPr>
            </w:pPr>
          </w:p>
        </w:tc>
      </w:tr>
      <w:tr w:rsidR="00F20ABF" w14:paraId="1E8052D0" w14:textId="77777777">
        <w:tc>
          <w:tcPr>
            <w:tcW w:w="0" w:type="auto"/>
            <w:gridSpan w:val="3"/>
            <w:shd w:val="clear" w:color="auto" w:fill="auto"/>
            <w:tcMar>
              <w:top w:w="40" w:type="dxa"/>
              <w:left w:w="20" w:type="dxa"/>
              <w:bottom w:w="40" w:type="dxa"/>
              <w:right w:w="20" w:type="dxa"/>
            </w:tcMar>
            <w:vAlign w:val="bottom"/>
          </w:tcPr>
          <w:p w14:paraId="1E8052CE" w14:textId="77777777" w:rsidR="00F20ABF" w:rsidRDefault="00CA4D2F">
            <w:pPr>
              <w:textAlignment w:val="bottom"/>
            </w:pPr>
            <w:r>
              <w:rPr>
                <w:rFonts w:ascii="sans-serif" w:eastAsia="sans-serif" w:hAnsi="sans-serif" w:cs="sans-serif"/>
                <w:color w:val="000000"/>
                <w:sz w:val="20"/>
                <w:szCs w:val="20"/>
              </w:rPr>
              <w:t> </w:t>
            </w:r>
          </w:p>
        </w:tc>
        <w:tc>
          <w:tcPr>
            <w:tcW w:w="0" w:type="auto"/>
            <w:gridSpan w:val="45"/>
            <w:shd w:val="clear" w:color="auto" w:fill="auto"/>
            <w:tcMar>
              <w:top w:w="40" w:type="dxa"/>
              <w:left w:w="20" w:type="dxa"/>
              <w:bottom w:w="40" w:type="dxa"/>
              <w:right w:w="20" w:type="dxa"/>
            </w:tcMar>
            <w:vAlign w:val="bottom"/>
          </w:tcPr>
          <w:p w14:paraId="1E8052CF" w14:textId="77777777" w:rsidR="00F20ABF" w:rsidRDefault="00CA4D2F">
            <w:pPr>
              <w:jc w:val="center"/>
              <w:textAlignment w:val="bottom"/>
            </w:pPr>
            <w:r>
              <w:rPr>
                <w:rFonts w:ascii="sans-serif" w:eastAsia="sans-serif" w:hAnsi="sans-serif" w:cs="sans-serif"/>
                <w:i/>
                <w:iCs/>
                <w:color w:val="000000"/>
                <w:sz w:val="20"/>
                <w:szCs w:val="20"/>
              </w:rPr>
              <w:t>($ in millions)</w:t>
            </w:r>
          </w:p>
        </w:tc>
      </w:tr>
      <w:tr w:rsidR="00CA4D2F" w14:paraId="1E8052EF" w14:textId="77777777">
        <w:tc>
          <w:tcPr>
            <w:tcW w:w="0" w:type="auto"/>
            <w:gridSpan w:val="3"/>
            <w:shd w:val="clear" w:color="auto" w:fill="E2EFD9"/>
            <w:tcMar>
              <w:top w:w="40" w:type="dxa"/>
              <w:left w:w="20" w:type="dxa"/>
              <w:bottom w:w="40" w:type="dxa"/>
              <w:right w:w="20" w:type="dxa"/>
            </w:tcMar>
            <w:vAlign w:val="bottom"/>
          </w:tcPr>
          <w:p w14:paraId="1E8052D1" w14:textId="77777777" w:rsidR="00F20ABF" w:rsidRDefault="00CA4D2F">
            <w:pPr>
              <w:textAlignment w:val="bottom"/>
            </w:pPr>
            <w:r>
              <w:rPr>
                <w:rFonts w:ascii="sans-serif" w:eastAsia="sans-serif" w:hAnsi="sans-serif" w:cs="sans-serif"/>
                <w:color w:val="000000"/>
                <w:sz w:val="20"/>
                <w:szCs w:val="20"/>
              </w:rPr>
              <w:t>Research and development expenses</w:t>
            </w:r>
          </w:p>
        </w:tc>
        <w:tc>
          <w:tcPr>
            <w:tcW w:w="0" w:type="auto"/>
            <w:shd w:val="clear" w:color="auto" w:fill="E2EFD9"/>
            <w:tcMar>
              <w:top w:w="40" w:type="dxa"/>
              <w:left w:w="20" w:type="dxa"/>
              <w:bottom w:w="40" w:type="dxa"/>
              <w:right w:w="0" w:type="dxa"/>
            </w:tcMar>
            <w:vAlign w:val="bottom"/>
          </w:tcPr>
          <w:p w14:paraId="1E8052D2"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2D3" w14:textId="77777777" w:rsidR="00F20ABF" w:rsidRDefault="00CA4D2F">
            <w:pPr>
              <w:jc w:val="right"/>
              <w:textAlignment w:val="bottom"/>
            </w:pPr>
            <w:r>
              <w:rPr>
                <w:rFonts w:ascii="sans-serif" w:eastAsia="sans-serif" w:hAnsi="sans-serif" w:cs="sans-serif"/>
                <w:color w:val="000000"/>
                <w:sz w:val="20"/>
                <w:szCs w:val="20"/>
              </w:rPr>
              <w:t>1,047 </w:t>
            </w:r>
          </w:p>
        </w:tc>
        <w:tc>
          <w:tcPr>
            <w:tcW w:w="0" w:type="auto"/>
            <w:shd w:val="clear" w:color="auto" w:fill="E2EFD9"/>
            <w:tcMar>
              <w:top w:w="40" w:type="dxa"/>
              <w:left w:w="0" w:type="dxa"/>
              <w:bottom w:w="40" w:type="dxa"/>
              <w:right w:w="20" w:type="dxa"/>
            </w:tcMar>
            <w:vAlign w:val="bottom"/>
          </w:tcPr>
          <w:p w14:paraId="1E8052D4"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D5"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2D6"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2D7" w14:textId="77777777" w:rsidR="00F20ABF" w:rsidRDefault="00CA4D2F">
            <w:pPr>
              <w:jc w:val="right"/>
              <w:textAlignment w:val="bottom"/>
            </w:pPr>
            <w:r>
              <w:rPr>
                <w:rFonts w:ascii="sans-serif" w:eastAsia="sans-serif" w:hAnsi="sans-serif" w:cs="sans-serif"/>
                <w:color w:val="000000"/>
                <w:sz w:val="20"/>
                <w:szCs w:val="20"/>
              </w:rPr>
              <w:t>712 </w:t>
            </w:r>
          </w:p>
        </w:tc>
        <w:tc>
          <w:tcPr>
            <w:tcW w:w="0" w:type="auto"/>
            <w:shd w:val="clear" w:color="auto" w:fill="E2EFD9"/>
            <w:tcMar>
              <w:top w:w="40" w:type="dxa"/>
              <w:left w:w="0" w:type="dxa"/>
              <w:bottom w:w="40" w:type="dxa"/>
              <w:right w:w="20" w:type="dxa"/>
            </w:tcMar>
            <w:vAlign w:val="bottom"/>
          </w:tcPr>
          <w:p w14:paraId="1E8052D8"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D9"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2DA"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2DB" w14:textId="77777777" w:rsidR="00F20ABF" w:rsidRDefault="00CA4D2F">
            <w:pPr>
              <w:jc w:val="right"/>
              <w:textAlignment w:val="bottom"/>
            </w:pPr>
            <w:r>
              <w:rPr>
                <w:rFonts w:ascii="sans-serif" w:eastAsia="sans-serif" w:hAnsi="sans-serif" w:cs="sans-serif"/>
                <w:color w:val="000000"/>
                <w:sz w:val="20"/>
                <w:szCs w:val="20"/>
              </w:rPr>
              <w:t>335 </w:t>
            </w:r>
          </w:p>
        </w:tc>
        <w:tc>
          <w:tcPr>
            <w:tcW w:w="0" w:type="auto"/>
            <w:shd w:val="clear" w:color="auto" w:fill="E2EFD9"/>
            <w:tcMar>
              <w:top w:w="40" w:type="dxa"/>
              <w:left w:w="0" w:type="dxa"/>
              <w:bottom w:w="40" w:type="dxa"/>
              <w:right w:w="20" w:type="dxa"/>
            </w:tcMar>
            <w:vAlign w:val="bottom"/>
          </w:tcPr>
          <w:p w14:paraId="1E8052DC"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DD"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2DE" w14:textId="77777777" w:rsidR="00F20ABF" w:rsidRDefault="00CA4D2F">
            <w:pPr>
              <w:jc w:val="right"/>
              <w:textAlignment w:val="bottom"/>
            </w:pPr>
            <w:r>
              <w:rPr>
                <w:rFonts w:ascii="sans-serif" w:eastAsia="sans-serif" w:hAnsi="sans-serif" w:cs="sans-serif"/>
                <w:color w:val="000000"/>
                <w:sz w:val="20"/>
                <w:szCs w:val="20"/>
              </w:rPr>
              <w:t>47 </w:t>
            </w:r>
          </w:p>
        </w:tc>
        <w:tc>
          <w:tcPr>
            <w:tcW w:w="0" w:type="auto"/>
            <w:shd w:val="clear" w:color="auto" w:fill="E2EFD9"/>
            <w:tcMar>
              <w:top w:w="40" w:type="dxa"/>
              <w:left w:w="0" w:type="dxa"/>
              <w:bottom w:w="40" w:type="dxa"/>
              <w:right w:w="20" w:type="dxa"/>
            </w:tcMar>
            <w:vAlign w:val="bottom"/>
          </w:tcPr>
          <w:p w14:paraId="1E8052DF"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tcPr>
          <w:p w14:paraId="1E8052E0"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2E1"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2E2" w14:textId="77777777" w:rsidR="00F20ABF" w:rsidRDefault="00CA4D2F">
            <w:pPr>
              <w:jc w:val="right"/>
              <w:textAlignment w:val="bottom"/>
            </w:pPr>
            <w:r>
              <w:rPr>
                <w:rFonts w:ascii="sans-serif" w:eastAsia="sans-serif" w:hAnsi="sans-serif" w:cs="sans-serif"/>
                <w:color w:val="000000"/>
                <w:sz w:val="20"/>
                <w:szCs w:val="20"/>
              </w:rPr>
              <w:t>2,778 </w:t>
            </w:r>
          </w:p>
        </w:tc>
        <w:tc>
          <w:tcPr>
            <w:tcW w:w="0" w:type="auto"/>
            <w:shd w:val="clear" w:color="auto" w:fill="E2EFD9"/>
            <w:tcMar>
              <w:top w:w="40" w:type="dxa"/>
              <w:left w:w="0" w:type="dxa"/>
              <w:bottom w:w="40" w:type="dxa"/>
              <w:right w:w="20" w:type="dxa"/>
            </w:tcMar>
            <w:vAlign w:val="bottom"/>
          </w:tcPr>
          <w:p w14:paraId="1E8052E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E4"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2E5"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2E6" w14:textId="77777777" w:rsidR="00F20ABF" w:rsidRDefault="00CA4D2F">
            <w:pPr>
              <w:jc w:val="right"/>
              <w:textAlignment w:val="bottom"/>
            </w:pPr>
            <w:r>
              <w:rPr>
                <w:rFonts w:ascii="sans-serif" w:eastAsia="sans-serif" w:hAnsi="sans-serif" w:cs="sans-serif"/>
                <w:color w:val="000000"/>
                <w:sz w:val="20"/>
                <w:szCs w:val="20"/>
              </w:rPr>
              <w:t>2,091 </w:t>
            </w:r>
          </w:p>
        </w:tc>
        <w:tc>
          <w:tcPr>
            <w:tcW w:w="0" w:type="auto"/>
            <w:shd w:val="clear" w:color="auto" w:fill="E2EFD9"/>
            <w:tcMar>
              <w:top w:w="40" w:type="dxa"/>
              <w:left w:w="0" w:type="dxa"/>
              <w:bottom w:w="40" w:type="dxa"/>
              <w:right w:w="20" w:type="dxa"/>
            </w:tcMar>
            <w:vAlign w:val="bottom"/>
          </w:tcPr>
          <w:p w14:paraId="1E8052E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E8"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2E9"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2EA" w14:textId="77777777" w:rsidR="00F20ABF" w:rsidRDefault="00CA4D2F">
            <w:pPr>
              <w:jc w:val="right"/>
              <w:textAlignment w:val="bottom"/>
            </w:pPr>
            <w:r>
              <w:rPr>
                <w:rFonts w:ascii="sans-serif" w:eastAsia="sans-serif" w:hAnsi="sans-serif" w:cs="sans-serif"/>
                <w:color w:val="000000"/>
                <w:sz w:val="20"/>
                <w:szCs w:val="20"/>
              </w:rPr>
              <w:t>687 </w:t>
            </w:r>
          </w:p>
        </w:tc>
        <w:tc>
          <w:tcPr>
            <w:tcW w:w="0" w:type="auto"/>
            <w:shd w:val="clear" w:color="auto" w:fill="E2EFD9"/>
            <w:tcMar>
              <w:top w:w="40" w:type="dxa"/>
              <w:left w:w="0" w:type="dxa"/>
              <w:bottom w:w="40" w:type="dxa"/>
              <w:right w:w="20" w:type="dxa"/>
            </w:tcMar>
            <w:vAlign w:val="bottom"/>
          </w:tcPr>
          <w:p w14:paraId="1E8052EB"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2EC"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2ED" w14:textId="77777777" w:rsidR="00F20ABF" w:rsidRDefault="00CA4D2F">
            <w:pPr>
              <w:jc w:val="right"/>
              <w:textAlignment w:val="bottom"/>
            </w:pPr>
            <w:r>
              <w:rPr>
                <w:rFonts w:ascii="sans-serif" w:eastAsia="sans-serif" w:hAnsi="sans-serif" w:cs="sans-serif"/>
                <w:color w:val="000000"/>
                <w:sz w:val="20"/>
                <w:szCs w:val="20"/>
              </w:rPr>
              <w:t>33 </w:t>
            </w:r>
          </w:p>
        </w:tc>
        <w:tc>
          <w:tcPr>
            <w:tcW w:w="0" w:type="auto"/>
            <w:shd w:val="clear" w:color="auto" w:fill="E2EFD9"/>
            <w:tcMar>
              <w:top w:w="40" w:type="dxa"/>
              <w:left w:w="0" w:type="dxa"/>
              <w:bottom w:w="40" w:type="dxa"/>
              <w:right w:w="20" w:type="dxa"/>
            </w:tcMar>
            <w:vAlign w:val="bottom"/>
          </w:tcPr>
          <w:p w14:paraId="1E8052EE" w14:textId="77777777" w:rsidR="00F20ABF" w:rsidRDefault="00CA4D2F">
            <w:pPr>
              <w:jc w:val="right"/>
              <w:textAlignment w:val="bottom"/>
            </w:pPr>
            <w:r>
              <w:rPr>
                <w:rFonts w:ascii="sans-serif" w:eastAsia="sans-serif" w:hAnsi="sans-serif" w:cs="sans-serif"/>
                <w:color w:val="000000"/>
                <w:sz w:val="20"/>
                <w:szCs w:val="20"/>
              </w:rPr>
              <w:t>%</w:t>
            </w:r>
          </w:p>
        </w:tc>
      </w:tr>
      <w:tr w:rsidR="00F20ABF" w14:paraId="1E805304" w14:textId="77777777">
        <w:tc>
          <w:tcPr>
            <w:tcW w:w="0" w:type="auto"/>
            <w:gridSpan w:val="3"/>
            <w:shd w:val="clear" w:color="auto" w:fill="FFFFFF"/>
            <w:tcMar>
              <w:top w:w="40" w:type="dxa"/>
              <w:left w:w="20" w:type="dxa"/>
              <w:bottom w:w="40" w:type="dxa"/>
              <w:right w:w="20" w:type="dxa"/>
            </w:tcMar>
            <w:vAlign w:val="bottom"/>
          </w:tcPr>
          <w:p w14:paraId="1E8052F0" w14:textId="77777777" w:rsidR="00F20ABF" w:rsidRDefault="00CA4D2F">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1E8052F1" w14:textId="77777777" w:rsidR="00F20ABF" w:rsidRDefault="00CA4D2F">
            <w:pPr>
              <w:jc w:val="right"/>
              <w:textAlignment w:val="bottom"/>
            </w:pPr>
            <w:r>
              <w:rPr>
                <w:rFonts w:ascii="sans-serif" w:eastAsia="sans-serif" w:hAnsi="sans-serif" w:cs="sans-serif"/>
                <w:i/>
                <w:iCs/>
                <w:color w:val="000000"/>
                <w:sz w:val="20"/>
                <w:szCs w:val="20"/>
              </w:rPr>
              <w:t>22 </w:t>
            </w:r>
          </w:p>
        </w:tc>
        <w:tc>
          <w:tcPr>
            <w:tcW w:w="0" w:type="auto"/>
            <w:shd w:val="clear" w:color="auto" w:fill="FFFFFF"/>
            <w:tcMar>
              <w:top w:w="40" w:type="dxa"/>
              <w:left w:w="0" w:type="dxa"/>
              <w:bottom w:w="40" w:type="dxa"/>
              <w:right w:w="20" w:type="dxa"/>
            </w:tcMar>
            <w:vAlign w:val="bottom"/>
          </w:tcPr>
          <w:p w14:paraId="1E8052F2" w14:textId="77777777" w:rsidR="00F20ABF" w:rsidRDefault="00CA4D2F">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tcPr>
          <w:p w14:paraId="1E8052F3"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2F4" w14:textId="77777777" w:rsidR="00F20ABF" w:rsidRDefault="00CA4D2F">
            <w:pPr>
              <w:jc w:val="right"/>
              <w:textAlignment w:val="bottom"/>
            </w:pPr>
            <w:r>
              <w:rPr>
                <w:rFonts w:ascii="sans-serif" w:eastAsia="sans-serif" w:hAnsi="sans-serif" w:cs="sans-serif"/>
                <w:i/>
                <w:iCs/>
                <w:color w:val="000000"/>
                <w:sz w:val="20"/>
                <w:szCs w:val="20"/>
              </w:rPr>
              <w:t>24 </w:t>
            </w:r>
          </w:p>
        </w:tc>
        <w:tc>
          <w:tcPr>
            <w:tcW w:w="0" w:type="auto"/>
            <w:shd w:val="clear" w:color="auto" w:fill="FFFFFF"/>
            <w:tcMar>
              <w:top w:w="40" w:type="dxa"/>
              <w:left w:w="0" w:type="dxa"/>
              <w:bottom w:w="40" w:type="dxa"/>
              <w:right w:w="20" w:type="dxa"/>
            </w:tcMar>
            <w:vAlign w:val="bottom"/>
          </w:tcPr>
          <w:p w14:paraId="1E8052F5" w14:textId="77777777" w:rsidR="00F20ABF" w:rsidRDefault="00CA4D2F">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tcPr>
          <w:p w14:paraId="1E8052F6"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52F7"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52F8"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52F9"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52FA"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2FB" w14:textId="77777777" w:rsidR="00F20ABF" w:rsidRDefault="00CA4D2F">
            <w:pPr>
              <w:jc w:val="right"/>
              <w:textAlignment w:val="bottom"/>
            </w:pPr>
            <w:r>
              <w:rPr>
                <w:rFonts w:ascii="sans-serif" w:eastAsia="sans-serif" w:hAnsi="sans-serif" w:cs="sans-serif"/>
                <w:i/>
                <w:iCs/>
                <w:color w:val="000000"/>
                <w:sz w:val="20"/>
                <w:szCs w:val="20"/>
              </w:rPr>
              <w:t>24 </w:t>
            </w:r>
          </w:p>
        </w:tc>
        <w:tc>
          <w:tcPr>
            <w:tcW w:w="0" w:type="auto"/>
            <w:shd w:val="clear" w:color="auto" w:fill="FFFFFF"/>
            <w:tcMar>
              <w:top w:w="40" w:type="dxa"/>
              <w:left w:w="0" w:type="dxa"/>
              <w:bottom w:w="40" w:type="dxa"/>
              <w:right w:w="20" w:type="dxa"/>
            </w:tcMar>
            <w:vAlign w:val="bottom"/>
          </w:tcPr>
          <w:p w14:paraId="1E8052FC" w14:textId="77777777" w:rsidR="00F20ABF" w:rsidRDefault="00CA4D2F">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tcPr>
          <w:p w14:paraId="1E8052FD"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2FE" w14:textId="77777777" w:rsidR="00F20ABF" w:rsidRDefault="00CA4D2F">
            <w:pPr>
              <w:jc w:val="right"/>
              <w:textAlignment w:val="bottom"/>
            </w:pPr>
            <w:r>
              <w:rPr>
                <w:rFonts w:ascii="sans-serif" w:eastAsia="sans-serif" w:hAnsi="sans-serif" w:cs="sans-serif"/>
                <w:i/>
                <w:iCs/>
                <w:color w:val="000000"/>
                <w:sz w:val="20"/>
                <w:szCs w:val="20"/>
              </w:rPr>
              <w:t>27 </w:t>
            </w:r>
          </w:p>
        </w:tc>
        <w:tc>
          <w:tcPr>
            <w:tcW w:w="0" w:type="auto"/>
            <w:shd w:val="clear" w:color="auto" w:fill="FFFFFF"/>
            <w:tcMar>
              <w:top w:w="40" w:type="dxa"/>
              <w:left w:w="0" w:type="dxa"/>
              <w:bottom w:w="40" w:type="dxa"/>
              <w:right w:w="20" w:type="dxa"/>
            </w:tcMar>
            <w:vAlign w:val="bottom"/>
          </w:tcPr>
          <w:p w14:paraId="1E8052FF" w14:textId="77777777" w:rsidR="00F20ABF" w:rsidRDefault="00CA4D2F">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tcPr>
          <w:p w14:paraId="1E805300"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5301"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5302"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5303" w14:textId="77777777" w:rsidR="00F20ABF" w:rsidRDefault="00F20ABF">
            <w:pPr>
              <w:rPr>
                <w:rFonts w:ascii="宋体"/>
              </w:rPr>
            </w:pPr>
          </w:p>
        </w:tc>
      </w:tr>
      <w:tr w:rsidR="00F20ABF" w14:paraId="1E80531D" w14:textId="77777777">
        <w:tc>
          <w:tcPr>
            <w:tcW w:w="0" w:type="auto"/>
            <w:gridSpan w:val="3"/>
            <w:shd w:val="clear" w:color="auto" w:fill="E2EFD9"/>
            <w:tcMar>
              <w:top w:w="40" w:type="dxa"/>
              <w:left w:w="20" w:type="dxa"/>
              <w:bottom w:w="40" w:type="dxa"/>
              <w:right w:w="20" w:type="dxa"/>
            </w:tcMar>
            <w:vAlign w:val="bottom"/>
          </w:tcPr>
          <w:p w14:paraId="1E805305" w14:textId="77777777" w:rsidR="00F20ABF" w:rsidRDefault="00CA4D2F">
            <w:pPr>
              <w:textAlignment w:val="bottom"/>
            </w:pPr>
            <w:r>
              <w:rPr>
                <w:rFonts w:ascii="sans-serif" w:eastAsia="sans-serif" w:hAnsi="sans-serif" w:cs="sans-serif"/>
                <w:color w:val="000000"/>
                <w:sz w:val="20"/>
                <w:szCs w:val="20"/>
              </w:rPr>
              <w:t>Sales, general and administrative expenses</w:t>
            </w:r>
          </w:p>
        </w:tc>
        <w:tc>
          <w:tcPr>
            <w:tcW w:w="0" w:type="auto"/>
            <w:gridSpan w:val="2"/>
            <w:shd w:val="clear" w:color="auto" w:fill="E2EFD9"/>
            <w:tcMar>
              <w:top w:w="40" w:type="dxa"/>
              <w:left w:w="20" w:type="dxa"/>
              <w:bottom w:w="40" w:type="dxa"/>
              <w:right w:w="0" w:type="dxa"/>
            </w:tcMar>
            <w:vAlign w:val="bottom"/>
          </w:tcPr>
          <w:p w14:paraId="1E805306" w14:textId="77777777" w:rsidR="00F20ABF" w:rsidRDefault="00CA4D2F">
            <w:pPr>
              <w:jc w:val="right"/>
              <w:textAlignment w:val="bottom"/>
            </w:pPr>
            <w:r>
              <w:rPr>
                <w:rFonts w:ascii="sans-serif" w:eastAsia="sans-serif" w:hAnsi="sans-serif" w:cs="sans-serif"/>
                <w:color w:val="000000"/>
                <w:sz w:val="20"/>
                <w:szCs w:val="20"/>
              </w:rPr>
              <w:t>515 </w:t>
            </w:r>
          </w:p>
        </w:tc>
        <w:tc>
          <w:tcPr>
            <w:tcW w:w="0" w:type="auto"/>
            <w:shd w:val="clear" w:color="auto" w:fill="E2EFD9"/>
            <w:tcMar>
              <w:top w:w="40" w:type="dxa"/>
              <w:left w:w="0" w:type="dxa"/>
              <w:bottom w:w="40" w:type="dxa"/>
              <w:right w:w="20" w:type="dxa"/>
            </w:tcMar>
            <w:vAlign w:val="bottom"/>
          </w:tcPr>
          <w:p w14:paraId="1E805307"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308"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309" w14:textId="77777777" w:rsidR="00F20ABF" w:rsidRDefault="00CA4D2F">
            <w:pPr>
              <w:jc w:val="right"/>
              <w:textAlignment w:val="bottom"/>
            </w:pPr>
            <w:r>
              <w:rPr>
                <w:rFonts w:ascii="sans-serif" w:eastAsia="sans-serif" w:hAnsi="sans-serif" w:cs="sans-serif"/>
                <w:color w:val="000000"/>
                <w:sz w:val="20"/>
                <w:szCs w:val="20"/>
              </w:rPr>
              <w:t>277 </w:t>
            </w:r>
          </w:p>
        </w:tc>
        <w:tc>
          <w:tcPr>
            <w:tcW w:w="0" w:type="auto"/>
            <w:shd w:val="clear" w:color="auto" w:fill="E2EFD9"/>
            <w:tcMar>
              <w:top w:w="40" w:type="dxa"/>
              <w:left w:w="0" w:type="dxa"/>
              <w:bottom w:w="40" w:type="dxa"/>
              <w:right w:w="20" w:type="dxa"/>
            </w:tcMar>
            <w:vAlign w:val="bottom"/>
          </w:tcPr>
          <w:p w14:paraId="1E80530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30B"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30C" w14:textId="77777777" w:rsidR="00F20ABF" w:rsidRDefault="00CA4D2F">
            <w:pPr>
              <w:jc w:val="right"/>
              <w:textAlignment w:val="bottom"/>
            </w:pPr>
            <w:r>
              <w:rPr>
                <w:rFonts w:ascii="sans-serif" w:eastAsia="sans-serif" w:hAnsi="sans-serif" w:cs="sans-serif"/>
                <w:color w:val="000000"/>
                <w:sz w:val="20"/>
                <w:szCs w:val="20"/>
              </w:rPr>
              <w:t>238 </w:t>
            </w:r>
          </w:p>
        </w:tc>
        <w:tc>
          <w:tcPr>
            <w:tcW w:w="0" w:type="auto"/>
            <w:shd w:val="clear" w:color="auto" w:fill="E2EFD9"/>
            <w:tcMar>
              <w:top w:w="40" w:type="dxa"/>
              <w:left w:w="0" w:type="dxa"/>
              <w:bottom w:w="40" w:type="dxa"/>
              <w:right w:w="20" w:type="dxa"/>
            </w:tcMar>
            <w:vAlign w:val="bottom"/>
          </w:tcPr>
          <w:p w14:paraId="1E80530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30E"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30F" w14:textId="77777777" w:rsidR="00F20ABF" w:rsidRDefault="00CA4D2F">
            <w:pPr>
              <w:jc w:val="right"/>
              <w:textAlignment w:val="bottom"/>
            </w:pPr>
            <w:r>
              <w:rPr>
                <w:rFonts w:ascii="sans-serif" w:eastAsia="sans-serif" w:hAnsi="sans-serif" w:cs="sans-serif"/>
                <w:color w:val="000000"/>
                <w:sz w:val="20"/>
                <w:szCs w:val="20"/>
              </w:rPr>
              <w:t>86 </w:t>
            </w:r>
          </w:p>
        </w:tc>
        <w:tc>
          <w:tcPr>
            <w:tcW w:w="0" w:type="auto"/>
            <w:shd w:val="clear" w:color="auto" w:fill="E2EFD9"/>
            <w:tcMar>
              <w:top w:w="40" w:type="dxa"/>
              <w:left w:w="0" w:type="dxa"/>
              <w:bottom w:w="40" w:type="dxa"/>
              <w:right w:w="20" w:type="dxa"/>
            </w:tcMar>
            <w:vAlign w:val="bottom"/>
          </w:tcPr>
          <w:p w14:paraId="1E805310"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tcPr>
          <w:p w14:paraId="1E805311"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312" w14:textId="77777777" w:rsidR="00F20ABF" w:rsidRDefault="00CA4D2F">
            <w:pPr>
              <w:jc w:val="right"/>
              <w:textAlignment w:val="bottom"/>
            </w:pPr>
            <w:r>
              <w:rPr>
                <w:rFonts w:ascii="sans-serif" w:eastAsia="sans-serif" w:hAnsi="sans-serif" w:cs="sans-serif"/>
                <w:color w:val="000000"/>
                <w:sz w:val="20"/>
                <w:szCs w:val="20"/>
              </w:rPr>
              <w:t>1,437 </w:t>
            </w:r>
          </w:p>
        </w:tc>
        <w:tc>
          <w:tcPr>
            <w:tcW w:w="0" w:type="auto"/>
            <w:shd w:val="clear" w:color="auto" w:fill="E2EFD9"/>
            <w:tcMar>
              <w:top w:w="40" w:type="dxa"/>
              <w:left w:w="0" w:type="dxa"/>
              <w:bottom w:w="40" w:type="dxa"/>
              <w:right w:w="20" w:type="dxa"/>
            </w:tcMar>
            <w:vAlign w:val="bottom"/>
          </w:tcPr>
          <w:p w14:paraId="1E805313"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314"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315" w14:textId="77777777" w:rsidR="00F20ABF" w:rsidRDefault="00CA4D2F">
            <w:pPr>
              <w:jc w:val="right"/>
              <w:textAlignment w:val="bottom"/>
            </w:pPr>
            <w:r>
              <w:rPr>
                <w:rFonts w:ascii="sans-serif" w:eastAsia="sans-serif" w:hAnsi="sans-serif" w:cs="sans-serif"/>
                <w:color w:val="000000"/>
                <w:sz w:val="20"/>
                <w:szCs w:val="20"/>
              </w:rPr>
              <w:t>806 </w:t>
            </w:r>
          </w:p>
        </w:tc>
        <w:tc>
          <w:tcPr>
            <w:tcW w:w="0" w:type="auto"/>
            <w:shd w:val="clear" w:color="auto" w:fill="E2EFD9"/>
            <w:tcMar>
              <w:top w:w="40" w:type="dxa"/>
              <w:left w:w="0" w:type="dxa"/>
              <w:bottom w:w="40" w:type="dxa"/>
              <w:right w:w="20" w:type="dxa"/>
            </w:tcMar>
            <w:vAlign w:val="bottom"/>
          </w:tcPr>
          <w:p w14:paraId="1E80531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317"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318" w14:textId="77777777" w:rsidR="00F20ABF" w:rsidRDefault="00CA4D2F">
            <w:pPr>
              <w:jc w:val="right"/>
              <w:textAlignment w:val="bottom"/>
            </w:pPr>
            <w:r>
              <w:rPr>
                <w:rFonts w:ascii="sans-serif" w:eastAsia="sans-serif" w:hAnsi="sans-serif" w:cs="sans-serif"/>
                <w:color w:val="000000"/>
                <w:sz w:val="20"/>
                <w:szCs w:val="20"/>
              </w:rPr>
              <w:t>631 </w:t>
            </w:r>
          </w:p>
        </w:tc>
        <w:tc>
          <w:tcPr>
            <w:tcW w:w="0" w:type="auto"/>
            <w:shd w:val="clear" w:color="auto" w:fill="E2EFD9"/>
            <w:tcMar>
              <w:top w:w="40" w:type="dxa"/>
              <w:left w:w="0" w:type="dxa"/>
              <w:bottom w:w="40" w:type="dxa"/>
              <w:right w:w="20" w:type="dxa"/>
            </w:tcMar>
            <w:vAlign w:val="bottom"/>
          </w:tcPr>
          <w:p w14:paraId="1E80531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31A" w14:textId="77777777" w:rsidR="00F20ABF" w:rsidRDefault="00F20ABF">
            <w:pPr>
              <w:rPr>
                <w:rFonts w:ascii="宋体"/>
              </w:rPr>
            </w:pPr>
          </w:p>
        </w:tc>
        <w:tc>
          <w:tcPr>
            <w:tcW w:w="0" w:type="auto"/>
            <w:gridSpan w:val="2"/>
            <w:shd w:val="clear" w:color="auto" w:fill="E2EFD9"/>
            <w:tcMar>
              <w:top w:w="40" w:type="dxa"/>
              <w:left w:w="20" w:type="dxa"/>
              <w:bottom w:w="40" w:type="dxa"/>
              <w:right w:w="0" w:type="dxa"/>
            </w:tcMar>
            <w:vAlign w:val="bottom"/>
          </w:tcPr>
          <w:p w14:paraId="1E80531B" w14:textId="77777777" w:rsidR="00F20ABF" w:rsidRDefault="00CA4D2F">
            <w:pPr>
              <w:jc w:val="right"/>
              <w:textAlignment w:val="bottom"/>
            </w:pPr>
            <w:r>
              <w:rPr>
                <w:rFonts w:ascii="sans-serif" w:eastAsia="sans-serif" w:hAnsi="sans-serif" w:cs="sans-serif"/>
                <w:color w:val="000000"/>
                <w:sz w:val="20"/>
                <w:szCs w:val="20"/>
              </w:rPr>
              <w:t>78 </w:t>
            </w:r>
          </w:p>
        </w:tc>
        <w:tc>
          <w:tcPr>
            <w:tcW w:w="0" w:type="auto"/>
            <w:shd w:val="clear" w:color="auto" w:fill="E2EFD9"/>
            <w:tcMar>
              <w:top w:w="40" w:type="dxa"/>
              <w:left w:w="0" w:type="dxa"/>
              <w:bottom w:w="40" w:type="dxa"/>
              <w:right w:w="20" w:type="dxa"/>
            </w:tcMar>
            <w:vAlign w:val="bottom"/>
          </w:tcPr>
          <w:p w14:paraId="1E80531C" w14:textId="77777777" w:rsidR="00F20ABF" w:rsidRDefault="00CA4D2F">
            <w:pPr>
              <w:jc w:val="right"/>
              <w:textAlignment w:val="bottom"/>
            </w:pPr>
            <w:r>
              <w:rPr>
                <w:rFonts w:ascii="sans-serif" w:eastAsia="sans-serif" w:hAnsi="sans-serif" w:cs="sans-serif"/>
                <w:color w:val="000000"/>
                <w:sz w:val="20"/>
                <w:szCs w:val="20"/>
              </w:rPr>
              <w:t>%</w:t>
            </w:r>
          </w:p>
        </w:tc>
      </w:tr>
      <w:tr w:rsidR="00F20ABF" w14:paraId="1E805332" w14:textId="77777777">
        <w:tc>
          <w:tcPr>
            <w:tcW w:w="0" w:type="auto"/>
            <w:gridSpan w:val="3"/>
            <w:shd w:val="clear" w:color="auto" w:fill="FFFFFF"/>
            <w:tcMar>
              <w:top w:w="40" w:type="dxa"/>
              <w:left w:w="20" w:type="dxa"/>
              <w:bottom w:w="40" w:type="dxa"/>
              <w:right w:w="20" w:type="dxa"/>
            </w:tcMar>
            <w:vAlign w:val="bottom"/>
          </w:tcPr>
          <w:p w14:paraId="1E80531E" w14:textId="77777777" w:rsidR="00F20ABF" w:rsidRDefault="00CA4D2F">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1E80531F" w14:textId="77777777" w:rsidR="00F20ABF" w:rsidRDefault="00CA4D2F">
            <w:pPr>
              <w:jc w:val="right"/>
              <w:textAlignment w:val="bottom"/>
            </w:pPr>
            <w:r>
              <w:rPr>
                <w:rFonts w:ascii="sans-serif" w:eastAsia="sans-serif" w:hAnsi="sans-serif" w:cs="sans-serif"/>
                <w:i/>
                <w:iCs/>
                <w:color w:val="000000"/>
                <w:sz w:val="20"/>
                <w:szCs w:val="20"/>
              </w:rPr>
              <w:t>11 </w:t>
            </w:r>
          </w:p>
        </w:tc>
        <w:tc>
          <w:tcPr>
            <w:tcW w:w="0" w:type="auto"/>
            <w:shd w:val="clear" w:color="auto" w:fill="FFFFFF"/>
            <w:tcMar>
              <w:top w:w="40" w:type="dxa"/>
              <w:left w:w="0" w:type="dxa"/>
              <w:bottom w:w="40" w:type="dxa"/>
              <w:right w:w="20" w:type="dxa"/>
            </w:tcMar>
            <w:vAlign w:val="bottom"/>
          </w:tcPr>
          <w:p w14:paraId="1E805320" w14:textId="77777777" w:rsidR="00F20ABF" w:rsidRDefault="00CA4D2F">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tcPr>
          <w:p w14:paraId="1E805321"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322" w14:textId="77777777" w:rsidR="00F20ABF" w:rsidRDefault="00CA4D2F">
            <w:pPr>
              <w:jc w:val="right"/>
              <w:textAlignment w:val="bottom"/>
            </w:pPr>
            <w:r>
              <w:rPr>
                <w:rFonts w:ascii="sans-serif" w:eastAsia="sans-serif" w:hAnsi="sans-serif" w:cs="sans-serif"/>
                <w:i/>
                <w:iCs/>
                <w:color w:val="000000"/>
                <w:sz w:val="20"/>
                <w:szCs w:val="20"/>
              </w:rPr>
              <w:t>9 </w:t>
            </w:r>
          </w:p>
        </w:tc>
        <w:tc>
          <w:tcPr>
            <w:tcW w:w="0" w:type="auto"/>
            <w:shd w:val="clear" w:color="auto" w:fill="FFFFFF"/>
            <w:tcMar>
              <w:top w:w="40" w:type="dxa"/>
              <w:left w:w="0" w:type="dxa"/>
              <w:bottom w:w="40" w:type="dxa"/>
              <w:right w:w="20" w:type="dxa"/>
            </w:tcMar>
            <w:vAlign w:val="bottom"/>
          </w:tcPr>
          <w:p w14:paraId="1E805323" w14:textId="77777777" w:rsidR="00F20ABF" w:rsidRDefault="00CA4D2F">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tcPr>
          <w:p w14:paraId="1E805324"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5325"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5326"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5327"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5328"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329" w14:textId="77777777" w:rsidR="00F20ABF" w:rsidRDefault="00CA4D2F">
            <w:pPr>
              <w:jc w:val="right"/>
              <w:textAlignment w:val="bottom"/>
            </w:pPr>
            <w:r>
              <w:rPr>
                <w:rFonts w:ascii="sans-serif" w:eastAsia="sans-serif" w:hAnsi="sans-serif" w:cs="sans-serif"/>
                <w:i/>
                <w:iCs/>
                <w:color w:val="000000"/>
                <w:sz w:val="20"/>
                <w:szCs w:val="20"/>
              </w:rPr>
              <w:t>12 </w:t>
            </w:r>
          </w:p>
        </w:tc>
        <w:tc>
          <w:tcPr>
            <w:tcW w:w="0" w:type="auto"/>
            <w:shd w:val="clear" w:color="auto" w:fill="FFFFFF"/>
            <w:tcMar>
              <w:top w:w="40" w:type="dxa"/>
              <w:left w:w="0" w:type="dxa"/>
              <w:bottom w:w="40" w:type="dxa"/>
              <w:right w:w="20" w:type="dxa"/>
            </w:tcMar>
            <w:vAlign w:val="bottom"/>
          </w:tcPr>
          <w:p w14:paraId="1E80532A" w14:textId="77777777" w:rsidR="00F20ABF" w:rsidRDefault="00CA4D2F">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tcPr>
          <w:p w14:paraId="1E80532B"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32C" w14:textId="77777777" w:rsidR="00F20ABF" w:rsidRDefault="00CA4D2F">
            <w:pPr>
              <w:jc w:val="right"/>
              <w:textAlignment w:val="bottom"/>
            </w:pPr>
            <w:r>
              <w:rPr>
                <w:rFonts w:ascii="sans-serif" w:eastAsia="sans-serif" w:hAnsi="sans-serif" w:cs="sans-serif"/>
                <w:i/>
                <w:iCs/>
                <w:color w:val="000000"/>
                <w:sz w:val="20"/>
                <w:szCs w:val="20"/>
              </w:rPr>
              <w:t>10 </w:t>
            </w:r>
          </w:p>
        </w:tc>
        <w:tc>
          <w:tcPr>
            <w:tcW w:w="0" w:type="auto"/>
            <w:shd w:val="clear" w:color="auto" w:fill="FFFFFF"/>
            <w:tcMar>
              <w:top w:w="40" w:type="dxa"/>
              <w:left w:w="0" w:type="dxa"/>
              <w:bottom w:w="40" w:type="dxa"/>
              <w:right w:w="20" w:type="dxa"/>
            </w:tcMar>
            <w:vAlign w:val="bottom"/>
          </w:tcPr>
          <w:p w14:paraId="1E80532D" w14:textId="77777777" w:rsidR="00F20ABF" w:rsidRDefault="00CA4D2F">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tcPr>
          <w:p w14:paraId="1E80532E"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532F"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5330" w14:textId="77777777" w:rsidR="00F20ABF" w:rsidRDefault="00F20ABF">
            <w:pPr>
              <w:rPr>
                <w:rFonts w:ascii="宋体"/>
              </w:rPr>
            </w:pPr>
          </w:p>
        </w:tc>
        <w:tc>
          <w:tcPr>
            <w:tcW w:w="0" w:type="auto"/>
            <w:gridSpan w:val="3"/>
            <w:shd w:val="clear" w:color="auto" w:fill="FFFFFF"/>
            <w:tcMar>
              <w:top w:w="0" w:type="dxa"/>
              <w:left w:w="20" w:type="dxa"/>
              <w:bottom w:w="0" w:type="dxa"/>
              <w:right w:w="20" w:type="dxa"/>
            </w:tcMar>
          </w:tcPr>
          <w:p w14:paraId="1E805331" w14:textId="77777777" w:rsidR="00F20ABF" w:rsidRDefault="00F20ABF">
            <w:pPr>
              <w:rPr>
                <w:rFonts w:ascii="宋体"/>
              </w:rPr>
            </w:pPr>
          </w:p>
        </w:tc>
      </w:tr>
      <w:tr w:rsidR="00CA4D2F" w14:paraId="1E805351" w14:textId="77777777">
        <w:tc>
          <w:tcPr>
            <w:tcW w:w="0" w:type="auto"/>
            <w:gridSpan w:val="3"/>
            <w:shd w:val="clear" w:color="auto" w:fill="E2EFD9"/>
            <w:tcMar>
              <w:top w:w="40" w:type="dxa"/>
              <w:left w:w="155" w:type="dxa"/>
              <w:bottom w:w="40" w:type="dxa"/>
              <w:right w:w="20" w:type="dxa"/>
            </w:tcMar>
            <w:vAlign w:val="bottom"/>
          </w:tcPr>
          <w:p w14:paraId="1E805333" w14:textId="77777777" w:rsidR="00F20ABF" w:rsidRDefault="00CA4D2F">
            <w:pPr>
              <w:textAlignment w:val="bottom"/>
            </w:pPr>
            <w:r>
              <w:rPr>
                <w:rFonts w:ascii="sans-serif" w:eastAsia="sans-serif" w:hAnsi="sans-serif" w:cs="sans-serif"/>
                <w:color w:val="000000"/>
                <w:sz w:val="20"/>
                <w:szCs w:val="20"/>
              </w:rPr>
              <w:t>Total operating expenses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334"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5335" w14:textId="77777777" w:rsidR="00F20ABF" w:rsidRDefault="00CA4D2F">
            <w:pPr>
              <w:jc w:val="right"/>
              <w:textAlignment w:val="bottom"/>
            </w:pPr>
            <w:r>
              <w:rPr>
                <w:rFonts w:ascii="sans-serif" w:eastAsia="sans-serif" w:hAnsi="sans-serif" w:cs="sans-serif"/>
                <w:color w:val="000000"/>
                <w:sz w:val="20"/>
                <w:szCs w:val="20"/>
              </w:rPr>
              <w:t>1,562 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33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337"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338"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5339" w14:textId="77777777" w:rsidR="00F20ABF" w:rsidRDefault="00CA4D2F">
            <w:pPr>
              <w:jc w:val="right"/>
              <w:textAlignment w:val="bottom"/>
            </w:pPr>
            <w:r>
              <w:rPr>
                <w:rFonts w:ascii="sans-serif" w:eastAsia="sans-serif" w:hAnsi="sans-serif" w:cs="sans-serif"/>
                <w:color w:val="000000"/>
                <w:sz w:val="20"/>
                <w:szCs w:val="20"/>
              </w:rPr>
              <w:t>989 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33A"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33B"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33C"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533D" w14:textId="77777777" w:rsidR="00F20ABF" w:rsidRDefault="00CA4D2F">
            <w:pPr>
              <w:jc w:val="right"/>
              <w:textAlignment w:val="bottom"/>
            </w:pPr>
            <w:r>
              <w:rPr>
                <w:rFonts w:ascii="sans-serif" w:eastAsia="sans-serif" w:hAnsi="sans-serif" w:cs="sans-serif"/>
                <w:color w:val="000000"/>
                <w:sz w:val="20"/>
                <w:szCs w:val="20"/>
              </w:rPr>
              <w:t>573 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33E"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33F" w14:textId="77777777" w:rsidR="00F20ABF" w:rsidRDefault="00F20ABF">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340" w14:textId="77777777" w:rsidR="00F20ABF" w:rsidRDefault="00CA4D2F">
            <w:pPr>
              <w:jc w:val="right"/>
              <w:textAlignment w:val="bottom"/>
            </w:pPr>
            <w:r>
              <w:rPr>
                <w:rFonts w:ascii="sans-serif" w:eastAsia="sans-serif" w:hAnsi="sans-serif" w:cs="sans-serif"/>
                <w:color w:val="000000"/>
                <w:sz w:val="20"/>
                <w:szCs w:val="20"/>
              </w:rPr>
              <w:t>58 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341" w14:textId="77777777" w:rsidR="00F20ABF" w:rsidRDefault="00CA4D2F">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tcPr>
          <w:p w14:paraId="1E805342"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343"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5344" w14:textId="77777777" w:rsidR="00F20ABF" w:rsidRDefault="00CA4D2F">
            <w:pPr>
              <w:jc w:val="right"/>
              <w:textAlignment w:val="bottom"/>
            </w:pPr>
            <w:r>
              <w:rPr>
                <w:rFonts w:ascii="sans-serif" w:eastAsia="sans-serif" w:hAnsi="sans-serif" w:cs="sans-serif"/>
                <w:color w:val="000000"/>
                <w:sz w:val="20"/>
                <w:szCs w:val="20"/>
              </w:rPr>
              <w:t>4,215 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345"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346"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347"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5348" w14:textId="77777777" w:rsidR="00F20ABF" w:rsidRDefault="00CA4D2F">
            <w:pPr>
              <w:jc w:val="right"/>
              <w:textAlignment w:val="bottom"/>
            </w:pPr>
            <w:r>
              <w:rPr>
                <w:rFonts w:ascii="sans-serif" w:eastAsia="sans-serif" w:hAnsi="sans-serif" w:cs="sans-serif"/>
                <w:color w:val="000000"/>
                <w:sz w:val="20"/>
                <w:szCs w:val="20"/>
              </w:rPr>
              <w:t>2,897 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349"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34A"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34B"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534C" w14:textId="77777777" w:rsidR="00F20ABF" w:rsidRDefault="00CA4D2F">
            <w:pPr>
              <w:jc w:val="right"/>
              <w:textAlignment w:val="bottom"/>
            </w:pPr>
            <w:r>
              <w:rPr>
                <w:rFonts w:ascii="sans-serif" w:eastAsia="sans-serif" w:hAnsi="sans-serif" w:cs="sans-serif"/>
                <w:color w:val="000000"/>
                <w:sz w:val="20"/>
                <w:szCs w:val="20"/>
              </w:rPr>
              <w:t>1,318 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34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34E" w14:textId="77777777" w:rsidR="00F20ABF" w:rsidRDefault="00F20ABF">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34F" w14:textId="77777777" w:rsidR="00F20ABF" w:rsidRDefault="00CA4D2F">
            <w:pPr>
              <w:jc w:val="right"/>
              <w:textAlignment w:val="bottom"/>
            </w:pPr>
            <w:r>
              <w:rPr>
                <w:rFonts w:ascii="sans-serif" w:eastAsia="sans-serif" w:hAnsi="sans-serif" w:cs="sans-serif"/>
                <w:color w:val="000000"/>
                <w:sz w:val="20"/>
                <w:szCs w:val="20"/>
              </w:rPr>
              <w:t>45 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350" w14:textId="77777777" w:rsidR="00F20ABF" w:rsidRDefault="00CA4D2F">
            <w:pPr>
              <w:jc w:val="right"/>
              <w:textAlignment w:val="bottom"/>
            </w:pPr>
            <w:r>
              <w:rPr>
                <w:rFonts w:ascii="sans-serif" w:eastAsia="sans-serif" w:hAnsi="sans-serif" w:cs="sans-serif"/>
                <w:color w:val="000000"/>
                <w:sz w:val="20"/>
                <w:szCs w:val="20"/>
              </w:rPr>
              <w:t>%</w:t>
            </w:r>
          </w:p>
        </w:tc>
      </w:tr>
    </w:tbl>
    <w:p w14:paraId="1E805352" w14:textId="77777777" w:rsidR="00F20ABF" w:rsidRDefault="00CA4D2F">
      <w:pPr>
        <w:spacing w:after="180"/>
        <w:jc w:val="center"/>
      </w:pPr>
      <w:r>
        <w:rPr>
          <w:rFonts w:ascii="sans-serif" w:eastAsia="sans-serif" w:hAnsi="sans-serif" w:cs="sans-serif"/>
          <w:color w:val="000000"/>
          <w:sz w:val="20"/>
          <w:szCs w:val="20"/>
        </w:rPr>
        <w:t>31</w:t>
      </w:r>
    </w:p>
    <w:p w14:paraId="1E805353" w14:textId="77777777" w:rsidR="00F20ABF" w:rsidRDefault="00CA4D2F">
      <w:r>
        <w:pict w14:anchorId="1E80559A">
          <v:rect id="_x0000_i1055" style="width:415.3pt;height:1.5pt" o:hralign="center" o:hrstd="t" o:hr="t" fillcolor="#a0a0a0" stroked="f"/>
        </w:pict>
      </w:r>
    </w:p>
    <w:p w14:paraId="1E805354" w14:textId="77777777" w:rsidR="00F20ABF" w:rsidRDefault="00F20ABF">
      <w:pPr>
        <w:spacing w:after="180"/>
        <w:jc w:val="both"/>
      </w:pPr>
    </w:p>
    <w:p w14:paraId="1E805355" w14:textId="77777777" w:rsidR="00F20ABF" w:rsidRDefault="00F20ABF">
      <w:pPr>
        <w:spacing w:after="180"/>
        <w:jc w:val="both"/>
      </w:pPr>
    </w:p>
    <w:p w14:paraId="1E805356" w14:textId="77777777" w:rsidR="00F20ABF" w:rsidRDefault="00F20ABF">
      <w:pPr>
        <w:spacing w:after="180"/>
        <w:jc w:val="both"/>
      </w:pPr>
    </w:p>
    <w:p w14:paraId="1E805357" w14:textId="77777777" w:rsidR="00F20ABF" w:rsidRDefault="00CA4D2F">
      <w:pPr>
        <w:spacing w:before="360" w:after="120"/>
        <w:jc w:val="both"/>
      </w:pPr>
      <w:r>
        <w:rPr>
          <w:rFonts w:ascii="sans-serif" w:eastAsia="sans-serif" w:hAnsi="sans-serif" w:cs="sans-serif"/>
          <w:b/>
          <w:bCs/>
          <w:color w:val="000000"/>
          <w:sz w:val="20"/>
          <w:szCs w:val="20"/>
        </w:rPr>
        <w:t>Re</w:t>
      </w:r>
      <w:r>
        <w:rPr>
          <w:rFonts w:ascii="sans-serif" w:eastAsia="sans-serif" w:hAnsi="sans-serif" w:cs="sans-serif"/>
          <w:b/>
          <w:bCs/>
          <w:color w:val="000000"/>
          <w:sz w:val="20"/>
          <w:szCs w:val="20"/>
        </w:rPr>
        <w:t>search and Development</w:t>
      </w:r>
    </w:p>
    <w:p w14:paraId="1E805358" w14:textId="77777777" w:rsidR="00F20ABF" w:rsidRDefault="00CA4D2F">
      <w:pPr>
        <w:spacing w:after="180"/>
        <w:jc w:val="both"/>
      </w:pPr>
      <w:r>
        <w:rPr>
          <w:rFonts w:ascii="sans-serif" w:eastAsia="sans-serif" w:hAnsi="sans-serif" w:cs="sans-serif"/>
          <w:color w:val="000000"/>
          <w:sz w:val="20"/>
          <w:szCs w:val="20"/>
        </w:rPr>
        <w:t xml:space="preserve">Research and development expenses increased by 47% and 33% during the third quarter and first nine months of fiscal year 2021, compared to the third quarter and first nine months of fiscal year 2020, respectively, primarily </w:t>
      </w:r>
      <w:r>
        <w:rPr>
          <w:rFonts w:ascii="sans-serif" w:eastAsia="sans-serif" w:hAnsi="sans-serif" w:cs="sans-serif"/>
          <w:color w:val="000000"/>
          <w:sz w:val="20"/>
          <w:szCs w:val="20"/>
        </w:rPr>
        <w:t>driven by expenses related to the Mellanox acquisition. In addition to Mellanox, increases reflect employee compensation and related costs, including stock-based compensation, and infrastructure costs.</w:t>
      </w:r>
    </w:p>
    <w:p w14:paraId="1E805359" w14:textId="77777777" w:rsidR="00F20ABF" w:rsidRDefault="00CA4D2F">
      <w:pPr>
        <w:spacing w:before="120" w:after="120"/>
        <w:jc w:val="both"/>
      </w:pPr>
      <w:r>
        <w:rPr>
          <w:rFonts w:ascii="sans-serif" w:eastAsia="sans-serif" w:hAnsi="sans-serif" w:cs="sans-serif"/>
          <w:b/>
          <w:bCs/>
          <w:color w:val="000000"/>
          <w:sz w:val="20"/>
          <w:szCs w:val="20"/>
        </w:rPr>
        <w:t>Sales, General and Administrative</w:t>
      </w:r>
    </w:p>
    <w:p w14:paraId="1E80535A" w14:textId="77777777" w:rsidR="00F20ABF" w:rsidRDefault="00CA4D2F">
      <w:pPr>
        <w:spacing w:after="180"/>
        <w:jc w:val="both"/>
      </w:pPr>
      <w:r>
        <w:rPr>
          <w:rFonts w:ascii="sans-serif" w:eastAsia="sans-serif" w:hAnsi="sans-serif" w:cs="sans-serif"/>
          <w:color w:val="000000"/>
          <w:sz w:val="20"/>
          <w:szCs w:val="20"/>
        </w:rPr>
        <w:t>Sales, general and a</w:t>
      </w:r>
      <w:r>
        <w:rPr>
          <w:rFonts w:ascii="sans-serif" w:eastAsia="sans-serif" w:hAnsi="sans-serif" w:cs="sans-serif"/>
          <w:color w:val="000000"/>
          <w:sz w:val="20"/>
          <w:szCs w:val="20"/>
        </w:rPr>
        <w:t>dministrative expenses increased by 86% and 78% during the third quarter and first nine months of fiscal year 2021, compared to the third quarter of fiscal year 2020, respectively, primarily driven by Mellanox acquisition-related expenses. In addition to M</w:t>
      </w:r>
      <w:r>
        <w:rPr>
          <w:rFonts w:ascii="sans-serif" w:eastAsia="sans-serif" w:hAnsi="sans-serif" w:cs="sans-serif"/>
          <w:color w:val="000000"/>
          <w:sz w:val="20"/>
          <w:szCs w:val="20"/>
        </w:rPr>
        <w:t>ellanox, increases reflect employee compensation and related costs, including stock-based compensation.</w:t>
      </w:r>
    </w:p>
    <w:p w14:paraId="1E80535B" w14:textId="77777777" w:rsidR="00F20ABF" w:rsidRDefault="00CA4D2F">
      <w:pPr>
        <w:spacing w:before="240"/>
      </w:pPr>
      <w:r>
        <w:rPr>
          <w:rFonts w:ascii="sans-serif" w:eastAsia="sans-serif" w:hAnsi="sans-serif" w:cs="sans-serif"/>
          <w:b/>
          <w:bCs/>
          <w:color w:val="76B900"/>
          <w:sz w:val="20"/>
          <w:szCs w:val="20"/>
        </w:rPr>
        <w:t>Other Income (Expense), Net</w:t>
      </w:r>
    </w:p>
    <w:p w14:paraId="1E80535C" w14:textId="77777777" w:rsidR="00F20ABF" w:rsidRDefault="00CA4D2F">
      <w:pPr>
        <w:spacing w:before="120" w:after="120"/>
        <w:jc w:val="both"/>
      </w:pPr>
      <w:r>
        <w:rPr>
          <w:rFonts w:ascii="sans-serif" w:eastAsia="sans-serif" w:hAnsi="sans-serif" w:cs="sans-serif"/>
          <w:color w:val="000000"/>
          <w:sz w:val="20"/>
          <w:szCs w:val="20"/>
        </w:rPr>
        <w:t>Interest income consists of interest earned on cash, cash equivalents and marketable securities. Interest income was $7 mill</w:t>
      </w:r>
      <w:r>
        <w:rPr>
          <w:rFonts w:ascii="sans-serif" w:eastAsia="sans-serif" w:hAnsi="sans-serif" w:cs="sans-serif"/>
          <w:color w:val="000000"/>
          <w:sz w:val="20"/>
          <w:szCs w:val="20"/>
        </w:rPr>
        <w:t xml:space="preserve">ion and $45 million during the third quarter of fiscal years 2021 and 2020, respectively, and $50 million and $137 million during the first nine months of fiscal years 2021 and 2020, respectively. The decrease in interest income was primarily due to lower </w:t>
      </w:r>
      <w:r>
        <w:rPr>
          <w:rFonts w:ascii="sans-serif" w:eastAsia="sans-serif" w:hAnsi="sans-serif" w:cs="sans-serif"/>
          <w:color w:val="000000"/>
          <w:sz w:val="20"/>
          <w:szCs w:val="20"/>
        </w:rPr>
        <w:t>interest earned on our investments.</w:t>
      </w:r>
    </w:p>
    <w:p w14:paraId="1E80535D" w14:textId="77777777" w:rsidR="00F20ABF" w:rsidRDefault="00CA4D2F">
      <w:pPr>
        <w:spacing w:before="120" w:after="120"/>
        <w:jc w:val="both"/>
      </w:pPr>
      <w:r>
        <w:rPr>
          <w:rFonts w:ascii="sans-serif" w:eastAsia="sans-serif" w:hAnsi="sans-serif" w:cs="sans-serif"/>
          <w:color w:val="000000"/>
          <w:sz w:val="20"/>
          <w:szCs w:val="20"/>
        </w:rPr>
        <w:t>Interest expense is primarily comprised of coupon interest and debt discount amortization related to our September 2016 Notes and March 2020 Notes. Interest expense was $53 million and $13 million during the third quarte</w:t>
      </w:r>
      <w:r>
        <w:rPr>
          <w:rFonts w:ascii="sans-serif" w:eastAsia="sans-serif" w:hAnsi="sans-serif" w:cs="sans-serif"/>
          <w:color w:val="000000"/>
          <w:sz w:val="20"/>
          <w:szCs w:val="20"/>
        </w:rPr>
        <w:t>r of fiscal years 2021 and 2020, respectively, and $131 million and $39 million during the first nine months of fiscal years 2021 and 2020, respectively.</w:t>
      </w:r>
    </w:p>
    <w:p w14:paraId="1E80535E" w14:textId="77777777" w:rsidR="00F20ABF" w:rsidRDefault="00CA4D2F">
      <w:pPr>
        <w:spacing w:before="240" w:after="60"/>
        <w:jc w:val="both"/>
      </w:pPr>
      <w:r>
        <w:rPr>
          <w:rFonts w:ascii="sans-serif" w:eastAsia="sans-serif" w:hAnsi="sans-serif" w:cs="sans-serif"/>
          <w:b/>
          <w:bCs/>
          <w:color w:val="76B900"/>
          <w:sz w:val="20"/>
          <w:szCs w:val="20"/>
        </w:rPr>
        <w:t>Income Taxes</w:t>
      </w:r>
    </w:p>
    <w:p w14:paraId="1E80535F" w14:textId="77777777" w:rsidR="00F20ABF" w:rsidRDefault="00CA4D2F">
      <w:pPr>
        <w:spacing w:after="180"/>
        <w:jc w:val="both"/>
      </w:pPr>
      <w:r>
        <w:rPr>
          <w:rFonts w:ascii="sans-serif" w:eastAsia="sans-serif" w:hAnsi="sans-serif" w:cs="sans-serif"/>
          <w:color w:val="000000"/>
          <w:sz w:val="20"/>
          <w:szCs w:val="20"/>
        </w:rPr>
        <w:t xml:space="preserve">We recognized an income tax expense of $12 million and $64 million for the third </w:t>
      </w:r>
      <w:r>
        <w:rPr>
          <w:rFonts w:ascii="sans-serif" w:eastAsia="sans-serif" w:hAnsi="sans-serif" w:cs="sans-serif"/>
          <w:color w:val="000000"/>
          <w:sz w:val="20"/>
          <w:szCs w:val="20"/>
        </w:rPr>
        <w:t>quarter and first nine months of fiscal year 2021, respectively, and $60 million and $109 million for the third quarter and first nine months of fiscal year 2020, respectively. The income tax expense as a percentage of income before income tax was 0.9% and</w:t>
      </w:r>
      <w:r>
        <w:rPr>
          <w:rFonts w:ascii="sans-serif" w:eastAsia="sans-serif" w:hAnsi="sans-serif" w:cs="sans-serif"/>
          <w:color w:val="000000"/>
          <w:sz w:val="20"/>
          <w:szCs w:val="20"/>
        </w:rPr>
        <w:t xml:space="preserve"> 2.2% for the third quarter and first nine months of fiscal year 2021, respectively, and 6.3% and 5.6% for the third quarter and first nine months of fiscal year 2020, respectively.</w:t>
      </w:r>
    </w:p>
    <w:p w14:paraId="1E805360" w14:textId="77777777" w:rsidR="00F20ABF" w:rsidRDefault="00CA4D2F">
      <w:pPr>
        <w:spacing w:after="180"/>
        <w:jc w:val="both"/>
      </w:pPr>
      <w:r>
        <w:rPr>
          <w:rFonts w:ascii="sans-serif" w:eastAsia="sans-serif" w:hAnsi="sans-serif" w:cs="sans-serif"/>
          <w:color w:val="000000"/>
          <w:sz w:val="20"/>
          <w:szCs w:val="20"/>
        </w:rPr>
        <w:t>The decrease in our effective tax rate for the third quarter and first nin</w:t>
      </w:r>
      <w:r>
        <w:rPr>
          <w:rFonts w:ascii="sans-serif" w:eastAsia="sans-serif" w:hAnsi="sans-serif" w:cs="sans-serif"/>
          <w:color w:val="000000"/>
          <w:sz w:val="20"/>
          <w:szCs w:val="20"/>
        </w:rPr>
        <w:t xml:space="preserve">e months of fiscal year 2021 as compared to the same periods of fiscal year 2020 was primarily due to a decrease in the proportional amount of earnings subject to United States tax and an increase of tax benefits from stock-based compensation. </w:t>
      </w:r>
    </w:p>
    <w:p w14:paraId="1E805361" w14:textId="77777777" w:rsidR="00F20ABF" w:rsidRDefault="00CA4D2F">
      <w:pPr>
        <w:spacing w:after="180"/>
        <w:jc w:val="both"/>
      </w:pPr>
      <w:r>
        <w:rPr>
          <w:rFonts w:ascii="sans-serif" w:eastAsia="sans-serif" w:hAnsi="sans-serif" w:cs="sans-serif"/>
          <w:color w:val="000000"/>
          <w:sz w:val="20"/>
          <w:szCs w:val="20"/>
        </w:rPr>
        <w:t>Refer to No</w:t>
      </w:r>
      <w:r>
        <w:rPr>
          <w:rFonts w:ascii="sans-serif" w:eastAsia="sans-serif" w:hAnsi="sans-serif" w:cs="sans-serif"/>
          <w:color w:val="000000"/>
          <w:sz w:val="20"/>
          <w:szCs w:val="20"/>
        </w:rPr>
        <w:t>te 6 of the Notes to Condensed Consolidated Financial Statements for further information.</w:t>
      </w:r>
    </w:p>
    <w:p w14:paraId="1E805362" w14:textId="77777777" w:rsidR="00F20ABF" w:rsidRDefault="00F20ABF">
      <w:pPr>
        <w:spacing w:before="240" w:after="120"/>
        <w:jc w:val="both"/>
      </w:pPr>
    </w:p>
    <w:p w14:paraId="1E805363" w14:textId="77777777" w:rsidR="00F20ABF" w:rsidRDefault="00CA4D2F">
      <w:pPr>
        <w:spacing w:after="180"/>
        <w:jc w:val="center"/>
      </w:pPr>
      <w:r>
        <w:rPr>
          <w:rFonts w:ascii="sans-serif" w:eastAsia="sans-serif" w:hAnsi="sans-serif" w:cs="sans-serif"/>
          <w:color w:val="000000"/>
          <w:sz w:val="20"/>
          <w:szCs w:val="20"/>
        </w:rPr>
        <w:t>32</w:t>
      </w:r>
    </w:p>
    <w:p w14:paraId="1E805364" w14:textId="77777777" w:rsidR="00F20ABF" w:rsidRDefault="00CA4D2F">
      <w:r>
        <w:pict w14:anchorId="1E80559B">
          <v:rect id="_x0000_i1056" style="width:415.3pt;height:1.5pt" o:hralign="center" o:hrstd="t" o:hr="t" fillcolor="#a0a0a0" stroked="f"/>
        </w:pict>
      </w:r>
    </w:p>
    <w:p w14:paraId="1E805365" w14:textId="77777777" w:rsidR="00F20ABF" w:rsidRDefault="00F20ABF">
      <w:pPr>
        <w:spacing w:after="180"/>
        <w:jc w:val="both"/>
      </w:pPr>
    </w:p>
    <w:p w14:paraId="1E805366" w14:textId="77777777" w:rsidR="00F20ABF" w:rsidRDefault="00F20ABF">
      <w:pPr>
        <w:spacing w:after="180"/>
        <w:jc w:val="both"/>
      </w:pPr>
    </w:p>
    <w:p w14:paraId="1E805367" w14:textId="77777777" w:rsidR="00F20ABF" w:rsidRDefault="00F20ABF">
      <w:pPr>
        <w:spacing w:after="180"/>
        <w:jc w:val="both"/>
      </w:pPr>
    </w:p>
    <w:p w14:paraId="1E805368" w14:textId="77777777" w:rsidR="00F20ABF" w:rsidRDefault="00CA4D2F">
      <w:pPr>
        <w:spacing w:before="240" w:after="120"/>
        <w:jc w:val="both"/>
      </w:pPr>
      <w:r>
        <w:rPr>
          <w:rFonts w:ascii="sans-serif" w:eastAsia="sans-serif" w:hAnsi="sans-serif" w:cs="sans-serif"/>
          <w:b/>
          <w:bCs/>
          <w:color w:val="76B900"/>
          <w:sz w:val="22"/>
          <w:szCs w:val="22"/>
        </w:rPr>
        <w:t>Liquidity and Capital Resources </w:t>
      </w:r>
    </w:p>
    <w:tbl>
      <w:tblPr>
        <w:tblW w:w="4985" w:type="pct"/>
        <w:tblCellMar>
          <w:top w:w="15" w:type="dxa"/>
          <w:left w:w="15" w:type="dxa"/>
          <w:bottom w:w="15" w:type="dxa"/>
          <w:right w:w="15" w:type="dxa"/>
        </w:tblCellMar>
        <w:tblLook w:val="04A0" w:firstRow="1" w:lastRow="0" w:firstColumn="1" w:lastColumn="0" w:noHBand="0" w:noVBand="1"/>
      </w:tblPr>
      <w:tblGrid>
        <w:gridCol w:w="40"/>
        <w:gridCol w:w="5266"/>
        <w:gridCol w:w="36"/>
        <w:gridCol w:w="122"/>
        <w:gridCol w:w="1290"/>
        <w:gridCol w:w="36"/>
        <w:gridCol w:w="36"/>
        <w:gridCol w:w="36"/>
        <w:gridCol w:w="36"/>
        <w:gridCol w:w="122"/>
        <w:gridCol w:w="1255"/>
        <w:gridCol w:w="36"/>
      </w:tblGrid>
      <w:tr w:rsidR="00F20ABF" w14:paraId="1E805375" w14:textId="77777777">
        <w:tc>
          <w:tcPr>
            <w:tcW w:w="50" w:type="pct"/>
            <w:shd w:val="clear" w:color="auto" w:fill="auto"/>
          </w:tcPr>
          <w:p w14:paraId="1E805369" w14:textId="77777777" w:rsidR="00F20ABF" w:rsidRDefault="00F20ABF">
            <w:pPr>
              <w:rPr>
                <w:rFonts w:ascii="宋体"/>
              </w:rPr>
            </w:pPr>
          </w:p>
        </w:tc>
        <w:tc>
          <w:tcPr>
            <w:tcW w:w="3192" w:type="pct"/>
            <w:shd w:val="clear" w:color="auto" w:fill="auto"/>
          </w:tcPr>
          <w:p w14:paraId="1E80536A" w14:textId="77777777" w:rsidR="00F20ABF" w:rsidRDefault="00F20ABF">
            <w:pPr>
              <w:rPr>
                <w:rFonts w:ascii="宋体"/>
              </w:rPr>
            </w:pPr>
          </w:p>
        </w:tc>
        <w:tc>
          <w:tcPr>
            <w:tcW w:w="5" w:type="pct"/>
            <w:shd w:val="clear" w:color="auto" w:fill="auto"/>
          </w:tcPr>
          <w:p w14:paraId="1E80536B" w14:textId="77777777" w:rsidR="00F20ABF" w:rsidRDefault="00F20ABF">
            <w:pPr>
              <w:rPr>
                <w:rFonts w:ascii="宋体"/>
              </w:rPr>
            </w:pPr>
          </w:p>
        </w:tc>
        <w:tc>
          <w:tcPr>
            <w:tcW w:w="50" w:type="pct"/>
            <w:shd w:val="clear" w:color="auto" w:fill="auto"/>
          </w:tcPr>
          <w:p w14:paraId="1E80536C" w14:textId="77777777" w:rsidR="00F20ABF" w:rsidRDefault="00F20ABF">
            <w:pPr>
              <w:rPr>
                <w:rFonts w:ascii="宋体"/>
              </w:rPr>
            </w:pPr>
          </w:p>
        </w:tc>
        <w:tc>
          <w:tcPr>
            <w:tcW w:w="802" w:type="pct"/>
            <w:shd w:val="clear" w:color="auto" w:fill="auto"/>
          </w:tcPr>
          <w:p w14:paraId="1E80536D" w14:textId="77777777" w:rsidR="00F20ABF" w:rsidRDefault="00F20ABF">
            <w:pPr>
              <w:rPr>
                <w:rFonts w:ascii="宋体"/>
              </w:rPr>
            </w:pPr>
          </w:p>
        </w:tc>
        <w:tc>
          <w:tcPr>
            <w:tcW w:w="5" w:type="pct"/>
            <w:shd w:val="clear" w:color="auto" w:fill="auto"/>
          </w:tcPr>
          <w:p w14:paraId="1E80536E" w14:textId="77777777" w:rsidR="00F20ABF" w:rsidRDefault="00F20ABF">
            <w:pPr>
              <w:rPr>
                <w:rFonts w:ascii="宋体"/>
              </w:rPr>
            </w:pPr>
          </w:p>
        </w:tc>
        <w:tc>
          <w:tcPr>
            <w:tcW w:w="5" w:type="pct"/>
            <w:shd w:val="clear" w:color="auto" w:fill="auto"/>
          </w:tcPr>
          <w:p w14:paraId="1E80536F" w14:textId="77777777" w:rsidR="00F20ABF" w:rsidRDefault="00F20ABF">
            <w:pPr>
              <w:rPr>
                <w:rFonts w:ascii="宋体"/>
              </w:rPr>
            </w:pPr>
          </w:p>
        </w:tc>
        <w:tc>
          <w:tcPr>
            <w:tcW w:w="26" w:type="pct"/>
            <w:shd w:val="clear" w:color="auto" w:fill="auto"/>
          </w:tcPr>
          <w:p w14:paraId="1E805370" w14:textId="77777777" w:rsidR="00F20ABF" w:rsidRDefault="00F20ABF">
            <w:pPr>
              <w:rPr>
                <w:rFonts w:ascii="宋体"/>
              </w:rPr>
            </w:pPr>
          </w:p>
        </w:tc>
        <w:tc>
          <w:tcPr>
            <w:tcW w:w="5" w:type="pct"/>
            <w:shd w:val="clear" w:color="auto" w:fill="auto"/>
          </w:tcPr>
          <w:p w14:paraId="1E805371" w14:textId="77777777" w:rsidR="00F20ABF" w:rsidRDefault="00F20ABF">
            <w:pPr>
              <w:rPr>
                <w:rFonts w:ascii="宋体"/>
              </w:rPr>
            </w:pPr>
          </w:p>
        </w:tc>
        <w:tc>
          <w:tcPr>
            <w:tcW w:w="50" w:type="pct"/>
            <w:shd w:val="clear" w:color="auto" w:fill="auto"/>
          </w:tcPr>
          <w:p w14:paraId="1E805372" w14:textId="77777777" w:rsidR="00F20ABF" w:rsidRDefault="00F20ABF">
            <w:pPr>
              <w:rPr>
                <w:rFonts w:ascii="宋体"/>
              </w:rPr>
            </w:pPr>
          </w:p>
        </w:tc>
        <w:tc>
          <w:tcPr>
            <w:tcW w:w="802" w:type="pct"/>
            <w:shd w:val="clear" w:color="auto" w:fill="auto"/>
          </w:tcPr>
          <w:p w14:paraId="1E805373" w14:textId="77777777" w:rsidR="00F20ABF" w:rsidRDefault="00F20ABF">
            <w:pPr>
              <w:rPr>
                <w:rFonts w:ascii="宋体"/>
              </w:rPr>
            </w:pPr>
          </w:p>
        </w:tc>
        <w:tc>
          <w:tcPr>
            <w:tcW w:w="5" w:type="pct"/>
            <w:shd w:val="clear" w:color="auto" w:fill="auto"/>
          </w:tcPr>
          <w:p w14:paraId="1E805374" w14:textId="77777777" w:rsidR="00F20ABF" w:rsidRDefault="00F20ABF">
            <w:pPr>
              <w:rPr>
                <w:rFonts w:ascii="宋体"/>
              </w:rPr>
            </w:pPr>
          </w:p>
        </w:tc>
      </w:tr>
      <w:tr w:rsidR="00F20ABF" w14:paraId="1E80537A" w14:textId="77777777">
        <w:tc>
          <w:tcPr>
            <w:tcW w:w="0" w:type="auto"/>
            <w:gridSpan w:val="3"/>
            <w:shd w:val="clear" w:color="auto" w:fill="auto"/>
            <w:tcMar>
              <w:top w:w="40" w:type="dxa"/>
              <w:left w:w="20" w:type="dxa"/>
              <w:bottom w:w="40" w:type="dxa"/>
              <w:right w:w="20" w:type="dxa"/>
            </w:tcMar>
            <w:vAlign w:val="bottom"/>
          </w:tcPr>
          <w:p w14:paraId="1E805376" w14:textId="77777777" w:rsidR="00F20ABF" w:rsidRDefault="00CA4D2F">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1E805377" w14:textId="77777777" w:rsidR="00F20ABF" w:rsidRDefault="00CA4D2F">
            <w:pPr>
              <w:jc w:val="center"/>
              <w:textAlignment w:val="bottom"/>
            </w:pPr>
            <w:r>
              <w:rPr>
                <w:rFonts w:ascii="sans-serif" w:eastAsia="sans-serif" w:hAnsi="sans-serif" w:cs="sans-serif"/>
                <w:b/>
                <w:bCs/>
                <w:color w:val="000000"/>
                <w:sz w:val="20"/>
                <w:szCs w:val="20"/>
              </w:rPr>
              <w:t>October 25, 2020</w:t>
            </w:r>
          </w:p>
        </w:tc>
        <w:tc>
          <w:tcPr>
            <w:tcW w:w="0" w:type="auto"/>
            <w:gridSpan w:val="3"/>
            <w:shd w:val="clear" w:color="auto" w:fill="auto"/>
            <w:tcMar>
              <w:top w:w="0" w:type="dxa"/>
              <w:left w:w="20" w:type="dxa"/>
              <w:bottom w:w="0" w:type="dxa"/>
              <w:right w:w="20" w:type="dxa"/>
            </w:tcMar>
          </w:tcPr>
          <w:p w14:paraId="1E805378"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379" w14:textId="77777777" w:rsidR="00F20ABF" w:rsidRDefault="00CA4D2F">
            <w:pPr>
              <w:jc w:val="center"/>
              <w:textAlignment w:val="bottom"/>
            </w:pPr>
            <w:r>
              <w:rPr>
                <w:rFonts w:ascii="sans-serif" w:eastAsia="sans-serif" w:hAnsi="sans-serif" w:cs="sans-serif"/>
                <w:b/>
                <w:bCs/>
                <w:color w:val="000000"/>
                <w:sz w:val="20"/>
                <w:szCs w:val="20"/>
              </w:rPr>
              <w:t>January 26, 2020</w:t>
            </w:r>
          </w:p>
        </w:tc>
      </w:tr>
      <w:tr w:rsidR="00F20ABF" w14:paraId="1E80537F" w14:textId="77777777">
        <w:trPr>
          <w:trHeight w:val="60"/>
        </w:trPr>
        <w:tc>
          <w:tcPr>
            <w:tcW w:w="0" w:type="auto"/>
            <w:gridSpan w:val="3"/>
            <w:shd w:val="clear" w:color="auto" w:fill="auto"/>
            <w:tcMar>
              <w:top w:w="0" w:type="dxa"/>
              <w:left w:w="20" w:type="dxa"/>
              <w:bottom w:w="0" w:type="dxa"/>
              <w:right w:w="20" w:type="dxa"/>
            </w:tcMar>
          </w:tcPr>
          <w:p w14:paraId="1E80537B"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37C"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37D"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37E" w14:textId="77777777" w:rsidR="00F20ABF" w:rsidRDefault="00F20ABF">
            <w:pPr>
              <w:rPr>
                <w:rFonts w:ascii="宋体"/>
              </w:rPr>
            </w:pPr>
          </w:p>
        </w:tc>
      </w:tr>
      <w:tr w:rsidR="00F20ABF" w14:paraId="1E805382" w14:textId="77777777">
        <w:tc>
          <w:tcPr>
            <w:tcW w:w="0" w:type="auto"/>
            <w:gridSpan w:val="3"/>
            <w:shd w:val="clear" w:color="auto" w:fill="auto"/>
            <w:tcMar>
              <w:top w:w="40" w:type="dxa"/>
              <w:left w:w="20" w:type="dxa"/>
              <w:bottom w:w="40" w:type="dxa"/>
              <w:right w:w="20" w:type="dxa"/>
            </w:tcMar>
            <w:vAlign w:val="bottom"/>
          </w:tcPr>
          <w:p w14:paraId="1E805380" w14:textId="77777777" w:rsidR="00F20ABF" w:rsidRDefault="00CA4D2F">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1E805381"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538B" w14:textId="77777777">
        <w:tc>
          <w:tcPr>
            <w:tcW w:w="0" w:type="auto"/>
            <w:gridSpan w:val="3"/>
            <w:shd w:val="clear" w:color="auto" w:fill="E2EFD9"/>
            <w:tcMar>
              <w:top w:w="40" w:type="dxa"/>
              <w:left w:w="20" w:type="dxa"/>
              <w:bottom w:w="40" w:type="dxa"/>
              <w:right w:w="20" w:type="dxa"/>
            </w:tcMar>
            <w:vAlign w:val="bottom"/>
          </w:tcPr>
          <w:p w14:paraId="1E805383" w14:textId="77777777" w:rsidR="00F20ABF" w:rsidRDefault="00CA4D2F">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right w:w="0" w:type="dxa"/>
            </w:tcMar>
            <w:vAlign w:val="bottom"/>
          </w:tcPr>
          <w:p w14:paraId="1E805384"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385" w14:textId="77777777" w:rsidR="00F20ABF" w:rsidRDefault="00CA4D2F">
            <w:pPr>
              <w:jc w:val="right"/>
              <w:textAlignment w:val="bottom"/>
            </w:pPr>
            <w:r>
              <w:rPr>
                <w:rFonts w:ascii="sans-serif" w:eastAsia="sans-serif" w:hAnsi="sans-serif" w:cs="sans-serif"/>
                <w:color w:val="000000"/>
                <w:sz w:val="20"/>
                <w:szCs w:val="20"/>
              </w:rPr>
              <w:t>2,251 </w:t>
            </w:r>
          </w:p>
        </w:tc>
        <w:tc>
          <w:tcPr>
            <w:tcW w:w="0" w:type="auto"/>
            <w:shd w:val="clear" w:color="auto" w:fill="E2EFD9"/>
            <w:tcMar>
              <w:top w:w="40" w:type="dxa"/>
              <w:left w:w="0" w:type="dxa"/>
              <w:bottom w:w="40" w:type="dxa"/>
              <w:right w:w="20" w:type="dxa"/>
            </w:tcMar>
            <w:vAlign w:val="bottom"/>
          </w:tcPr>
          <w:p w14:paraId="1E80538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387"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388"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389" w14:textId="77777777" w:rsidR="00F20ABF" w:rsidRDefault="00CA4D2F">
            <w:pPr>
              <w:jc w:val="right"/>
              <w:textAlignment w:val="bottom"/>
            </w:pPr>
            <w:r>
              <w:rPr>
                <w:rFonts w:ascii="sans-serif" w:eastAsia="sans-serif" w:hAnsi="sans-serif" w:cs="sans-serif"/>
                <w:color w:val="000000"/>
                <w:sz w:val="20"/>
                <w:szCs w:val="20"/>
              </w:rPr>
              <w:t>10,896 </w:t>
            </w:r>
          </w:p>
        </w:tc>
        <w:tc>
          <w:tcPr>
            <w:tcW w:w="0" w:type="auto"/>
            <w:shd w:val="clear" w:color="auto" w:fill="E2EFD9"/>
            <w:tcMar>
              <w:top w:w="40" w:type="dxa"/>
              <w:left w:w="0" w:type="dxa"/>
              <w:bottom w:w="40" w:type="dxa"/>
              <w:right w:w="20" w:type="dxa"/>
            </w:tcMar>
            <w:vAlign w:val="bottom"/>
          </w:tcPr>
          <w:p w14:paraId="1E80538A" w14:textId="77777777" w:rsidR="00F20ABF" w:rsidRDefault="00F20ABF">
            <w:pPr>
              <w:jc w:val="right"/>
              <w:rPr>
                <w:rFonts w:ascii="宋体"/>
              </w:rPr>
            </w:pPr>
          </w:p>
        </w:tc>
      </w:tr>
      <w:tr w:rsidR="00F20ABF" w14:paraId="1E805392" w14:textId="77777777">
        <w:tc>
          <w:tcPr>
            <w:tcW w:w="0" w:type="auto"/>
            <w:gridSpan w:val="3"/>
            <w:shd w:val="clear" w:color="auto" w:fill="FFFFFF"/>
            <w:tcMar>
              <w:top w:w="40" w:type="dxa"/>
              <w:left w:w="20" w:type="dxa"/>
              <w:bottom w:w="40" w:type="dxa"/>
              <w:right w:w="20" w:type="dxa"/>
            </w:tcMar>
            <w:vAlign w:val="bottom"/>
          </w:tcPr>
          <w:p w14:paraId="1E80538C" w14:textId="77777777" w:rsidR="00F20ABF" w:rsidRDefault="00CA4D2F">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1E80538D" w14:textId="77777777" w:rsidR="00F20ABF" w:rsidRDefault="00CA4D2F">
            <w:pPr>
              <w:jc w:val="right"/>
              <w:textAlignment w:val="bottom"/>
            </w:pPr>
            <w:r>
              <w:rPr>
                <w:rFonts w:ascii="sans-serif" w:eastAsia="sans-serif" w:hAnsi="sans-serif" w:cs="sans-serif"/>
                <w:color w:val="000000"/>
                <w:sz w:val="20"/>
                <w:szCs w:val="20"/>
              </w:rPr>
              <w:t>7,888 </w:t>
            </w:r>
          </w:p>
        </w:tc>
        <w:tc>
          <w:tcPr>
            <w:tcW w:w="0" w:type="auto"/>
            <w:shd w:val="clear" w:color="auto" w:fill="FFFFFF"/>
            <w:tcMar>
              <w:top w:w="40" w:type="dxa"/>
              <w:left w:w="0" w:type="dxa"/>
              <w:bottom w:w="40" w:type="dxa"/>
              <w:right w:w="20" w:type="dxa"/>
            </w:tcMar>
            <w:vAlign w:val="bottom"/>
          </w:tcPr>
          <w:p w14:paraId="1E80538E"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38F" w14:textId="77777777" w:rsidR="00F20ABF" w:rsidRDefault="00F20ABF">
            <w:pPr>
              <w:rPr>
                <w:rFonts w:ascii="宋体"/>
              </w:rPr>
            </w:pPr>
          </w:p>
        </w:tc>
        <w:tc>
          <w:tcPr>
            <w:tcW w:w="0" w:type="auto"/>
            <w:gridSpan w:val="2"/>
            <w:shd w:val="clear" w:color="auto" w:fill="FFFFFF"/>
            <w:tcMar>
              <w:top w:w="40" w:type="dxa"/>
              <w:left w:w="20" w:type="dxa"/>
              <w:bottom w:w="40" w:type="dxa"/>
              <w:right w:w="0" w:type="dxa"/>
            </w:tcMar>
            <w:vAlign w:val="bottom"/>
          </w:tcPr>
          <w:p w14:paraId="1E805390" w14:textId="77777777" w:rsidR="00F20ABF" w:rsidRDefault="00CA4D2F">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1E805391" w14:textId="77777777" w:rsidR="00F20ABF" w:rsidRDefault="00F20ABF">
            <w:pPr>
              <w:jc w:val="right"/>
              <w:rPr>
                <w:rFonts w:ascii="宋体"/>
              </w:rPr>
            </w:pPr>
          </w:p>
        </w:tc>
      </w:tr>
      <w:tr w:rsidR="00F20ABF" w14:paraId="1E80539B" w14:textId="77777777">
        <w:tc>
          <w:tcPr>
            <w:tcW w:w="0" w:type="auto"/>
            <w:gridSpan w:val="3"/>
            <w:shd w:val="clear" w:color="auto" w:fill="E2EFD9"/>
            <w:tcMar>
              <w:top w:w="40" w:type="dxa"/>
              <w:left w:w="20" w:type="dxa"/>
              <w:bottom w:w="40" w:type="dxa"/>
              <w:right w:w="20" w:type="dxa"/>
            </w:tcMar>
            <w:vAlign w:val="bottom"/>
          </w:tcPr>
          <w:p w14:paraId="1E805393" w14:textId="77777777" w:rsidR="00F20ABF" w:rsidRDefault="00CA4D2F">
            <w:pPr>
              <w:textAlignment w:val="bottom"/>
            </w:pPr>
            <w:r>
              <w:rPr>
                <w:rFonts w:ascii="sans-serif" w:eastAsia="sans-serif" w:hAnsi="sans-serif" w:cs="sans-serif"/>
                <w:color w:val="000000"/>
                <w:sz w:val="20"/>
                <w:szCs w:val="20"/>
              </w:rPr>
              <w:t>Cash, cash equivalents and marketable securities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394"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5395" w14:textId="77777777" w:rsidR="00F20ABF" w:rsidRDefault="00CA4D2F">
            <w:pPr>
              <w:jc w:val="right"/>
              <w:textAlignment w:val="bottom"/>
            </w:pPr>
            <w:r>
              <w:rPr>
                <w:rFonts w:ascii="sans-serif" w:eastAsia="sans-serif" w:hAnsi="sans-serif" w:cs="sans-serif"/>
                <w:color w:val="000000"/>
                <w:sz w:val="20"/>
                <w:szCs w:val="20"/>
              </w:rPr>
              <w:t>10,139 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396"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397" w14:textId="77777777" w:rsidR="00F20ABF" w:rsidRDefault="00F20ABF">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E805398" w14:textId="77777777" w:rsidR="00F20ABF" w:rsidRDefault="00CA4D2F">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E805399" w14:textId="77777777" w:rsidR="00F20ABF" w:rsidRDefault="00CA4D2F">
            <w:pPr>
              <w:jc w:val="right"/>
              <w:textAlignment w:val="bottom"/>
            </w:pPr>
            <w:r>
              <w:rPr>
                <w:rFonts w:ascii="sans-serif" w:eastAsia="sans-serif" w:hAnsi="sans-serif" w:cs="sans-serif"/>
                <w:color w:val="000000"/>
                <w:sz w:val="20"/>
                <w:szCs w:val="20"/>
              </w:rPr>
              <w:t>10,897 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E80539A" w14:textId="77777777" w:rsidR="00F20ABF" w:rsidRDefault="00F20ABF">
            <w:pPr>
              <w:jc w:val="right"/>
              <w:rPr>
                <w:rFonts w:ascii="宋体"/>
              </w:rPr>
            </w:pPr>
          </w:p>
        </w:tc>
      </w:tr>
    </w:tbl>
    <w:p w14:paraId="1E80539C" w14:textId="77777777" w:rsidR="00F20ABF" w:rsidRDefault="00F20ABF">
      <w:pPr>
        <w:spacing w:after="180"/>
        <w:jc w:val="both"/>
      </w:pPr>
    </w:p>
    <w:tbl>
      <w:tblPr>
        <w:tblW w:w="5000" w:type="pct"/>
        <w:tblCellMar>
          <w:top w:w="15" w:type="dxa"/>
          <w:left w:w="15" w:type="dxa"/>
          <w:bottom w:w="15" w:type="dxa"/>
          <w:right w:w="15" w:type="dxa"/>
        </w:tblCellMar>
        <w:tblLook w:val="04A0" w:firstRow="1" w:lastRow="0" w:firstColumn="1" w:lastColumn="0" w:noHBand="0" w:noVBand="1"/>
      </w:tblPr>
      <w:tblGrid>
        <w:gridCol w:w="40"/>
        <w:gridCol w:w="5289"/>
        <w:gridCol w:w="36"/>
        <w:gridCol w:w="122"/>
        <w:gridCol w:w="1291"/>
        <w:gridCol w:w="36"/>
        <w:gridCol w:w="36"/>
        <w:gridCol w:w="36"/>
        <w:gridCol w:w="36"/>
        <w:gridCol w:w="123"/>
        <w:gridCol w:w="1255"/>
        <w:gridCol w:w="36"/>
      </w:tblGrid>
      <w:tr w:rsidR="00F20ABF" w14:paraId="1E8053A9" w14:textId="77777777">
        <w:tc>
          <w:tcPr>
            <w:tcW w:w="50" w:type="pct"/>
            <w:shd w:val="clear" w:color="auto" w:fill="auto"/>
          </w:tcPr>
          <w:p w14:paraId="1E80539D" w14:textId="77777777" w:rsidR="00F20ABF" w:rsidRDefault="00F20ABF">
            <w:pPr>
              <w:rPr>
                <w:rFonts w:ascii="宋体"/>
              </w:rPr>
            </w:pPr>
          </w:p>
        </w:tc>
        <w:tc>
          <w:tcPr>
            <w:tcW w:w="3197" w:type="pct"/>
            <w:shd w:val="clear" w:color="auto" w:fill="auto"/>
          </w:tcPr>
          <w:p w14:paraId="1E80539E" w14:textId="77777777" w:rsidR="00F20ABF" w:rsidRDefault="00F20ABF">
            <w:pPr>
              <w:rPr>
                <w:rFonts w:ascii="宋体"/>
              </w:rPr>
            </w:pPr>
          </w:p>
        </w:tc>
        <w:tc>
          <w:tcPr>
            <w:tcW w:w="5" w:type="pct"/>
            <w:shd w:val="clear" w:color="auto" w:fill="auto"/>
          </w:tcPr>
          <w:p w14:paraId="1E80539F" w14:textId="77777777" w:rsidR="00F20ABF" w:rsidRDefault="00F20ABF">
            <w:pPr>
              <w:rPr>
                <w:rFonts w:ascii="宋体"/>
              </w:rPr>
            </w:pPr>
          </w:p>
        </w:tc>
        <w:tc>
          <w:tcPr>
            <w:tcW w:w="50" w:type="pct"/>
            <w:shd w:val="clear" w:color="auto" w:fill="auto"/>
          </w:tcPr>
          <w:p w14:paraId="1E8053A0" w14:textId="77777777" w:rsidR="00F20ABF" w:rsidRDefault="00F20ABF">
            <w:pPr>
              <w:rPr>
                <w:rFonts w:ascii="宋体"/>
              </w:rPr>
            </w:pPr>
          </w:p>
        </w:tc>
        <w:tc>
          <w:tcPr>
            <w:tcW w:w="800" w:type="pct"/>
            <w:shd w:val="clear" w:color="auto" w:fill="auto"/>
          </w:tcPr>
          <w:p w14:paraId="1E8053A1" w14:textId="77777777" w:rsidR="00F20ABF" w:rsidRDefault="00F20ABF">
            <w:pPr>
              <w:rPr>
                <w:rFonts w:ascii="宋体"/>
              </w:rPr>
            </w:pPr>
          </w:p>
        </w:tc>
        <w:tc>
          <w:tcPr>
            <w:tcW w:w="5" w:type="pct"/>
            <w:shd w:val="clear" w:color="auto" w:fill="auto"/>
          </w:tcPr>
          <w:p w14:paraId="1E8053A2" w14:textId="77777777" w:rsidR="00F20ABF" w:rsidRDefault="00F20ABF">
            <w:pPr>
              <w:rPr>
                <w:rFonts w:ascii="宋体"/>
              </w:rPr>
            </w:pPr>
          </w:p>
        </w:tc>
        <w:tc>
          <w:tcPr>
            <w:tcW w:w="5" w:type="pct"/>
            <w:shd w:val="clear" w:color="auto" w:fill="auto"/>
          </w:tcPr>
          <w:p w14:paraId="1E8053A3" w14:textId="77777777" w:rsidR="00F20ABF" w:rsidRDefault="00F20ABF">
            <w:pPr>
              <w:rPr>
                <w:rFonts w:ascii="宋体"/>
              </w:rPr>
            </w:pPr>
          </w:p>
        </w:tc>
        <w:tc>
          <w:tcPr>
            <w:tcW w:w="26" w:type="pct"/>
            <w:shd w:val="clear" w:color="auto" w:fill="auto"/>
          </w:tcPr>
          <w:p w14:paraId="1E8053A4" w14:textId="77777777" w:rsidR="00F20ABF" w:rsidRDefault="00F20ABF">
            <w:pPr>
              <w:rPr>
                <w:rFonts w:ascii="宋体"/>
              </w:rPr>
            </w:pPr>
          </w:p>
        </w:tc>
        <w:tc>
          <w:tcPr>
            <w:tcW w:w="5" w:type="pct"/>
            <w:shd w:val="clear" w:color="auto" w:fill="auto"/>
          </w:tcPr>
          <w:p w14:paraId="1E8053A5" w14:textId="77777777" w:rsidR="00F20ABF" w:rsidRDefault="00F20ABF">
            <w:pPr>
              <w:rPr>
                <w:rFonts w:ascii="宋体"/>
              </w:rPr>
            </w:pPr>
          </w:p>
        </w:tc>
        <w:tc>
          <w:tcPr>
            <w:tcW w:w="50" w:type="pct"/>
            <w:shd w:val="clear" w:color="auto" w:fill="auto"/>
          </w:tcPr>
          <w:p w14:paraId="1E8053A6" w14:textId="77777777" w:rsidR="00F20ABF" w:rsidRDefault="00F20ABF">
            <w:pPr>
              <w:rPr>
                <w:rFonts w:ascii="宋体"/>
              </w:rPr>
            </w:pPr>
          </w:p>
        </w:tc>
        <w:tc>
          <w:tcPr>
            <w:tcW w:w="800" w:type="pct"/>
            <w:shd w:val="clear" w:color="auto" w:fill="auto"/>
          </w:tcPr>
          <w:p w14:paraId="1E8053A7" w14:textId="77777777" w:rsidR="00F20ABF" w:rsidRDefault="00F20ABF">
            <w:pPr>
              <w:rPr>
                <w:rFonts w:ascii="宋体"/>
              </w:rPr>
            </w:pPr>
          </w:p>
        </w:tc>
        <w:tc>
          <w:tcPr>
            <w:tcW w:w="5" w:type="pct"/>
            <w:shd w:val="clear" w:color="auto" w:fill="auto"/>
          </w:tcPr>
          <w:p w14:paraId="1E8053A8" w14:textId="77777777" w:rsidR="00F20ABF" w:rsidRDefault="00F20ABF">
            <w:pPr>
              <w:rPr>
                <w:rFonts w:ascii="宋体"/>
              </w:rPr>
            </w:pPr>
          </w:p>
        </w:tc>
      </w:tr>
      <w:tr w:rsidR="00F20ABF" w14:paraId="1E8053AC" w14:textId="77777777">
        <w:tc>
          <w:tcPr>
            <w:tcW w:w="0" w:type="auto"/>
            <w:gridSpan w:val="3"/>
            <w:shd w:val="clear" w:color="auto" w:fill="auto"/>
            <w:tcMar>
              <w:top w:w="40" w:type="dxa"/>
              <w:left w:w="20" w:type="dxa"/>
              <w:bottom w:w="40" w:type="dxa"/>
              <w:right w:w="20" w:type="dxa"/>
            </w:tcMar>
            <w:vAlign w:val="bottom"/>
          </w:tcPr>
          <w:p w14:paraId="1E8053AA" w14:textId="77777777" w:rsidR="00F20ABF" w:rsidRDefault="00CA4D2F">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1E8053AB" w14:textId="77777777" w:rsidR="00F20ABF" w:rsidRDefault="00CA4D2F">
            <w:pPr>
              <w:jc w:val="center"/>
              <w:textAlignment w:val="bottom"/>
            </w:pPr>
            <w:r>
              <w:rPr>
                <w:rFonts w:ascii="sans-serif" w:eastAsia="sans-serif" w:hAnsi="sans-serif" w:cs="sans-serif"/>
                <w:b/>
                <w:bCs/>
                <w:color w:val="000000"/>
                <w:sz w:val="20"/>
                <w:szCs w:val="20"/>
              </w:rPr>
              <w:t>Nine Months Ended</w:t>
            </w:r>
          </w:p>
        </w:tc>
      </w:tr>
      <w:tr w:rsidR="00F20ABF" w14:paraId="1E8053B1" w14:textId="77777777">
        <w:tc>
          <w:tcPr>
            <w:tcW w:w="0" w:type="auto"/>
            <w:gridSpan w:val="3"/>
            <w:shd w:val="clear" w:color="auto" w:fill="auto"/>
            <w:tcMar>
              <w:top w:w="0" w:type="dxa"/>
              <w:left w:w="20" w:type="dxa"/>
              <w:bottom w:w="0" w:type="dxa"/>
              <w:right w:w="20" w:type="dxa"/>
            </w:tcMar>
          </w:tcPr>
          <w:p w14:paraId="1E8053AD"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53AE" w14:textId="77777777" w:rsidR="00F20ABF" w:rsidRDefault="00CA4D2F">
            <w:pPr>
              <w:jc w:val="center"/>
              <w:textAlignment w:val="bottom"/>
            </w:pPr>
            <w:r>
              <w:rPr>
                <w:rFonts w:ascii="sans-serif" w:eastAsia="sans-serif" w:hAnsi="sans-serif" w:cs="sans-serif"/>
                <w:b/>
                <w:bCs/>
                <w:color w:val="000000"/>
                <w:sz w:val="20"/>
                <w:szCs w:val="20"/>
              </w:rPr>
              <w:t>October 25, 2020</w:t>
            </w:r>
          </w:p>
        </w:tc>
        <w:tc>
          <w:tcPr>
            <w:tcW w:w="0" w:type="auto"/>
            <w:gridSpan w:val="3"/>
            <w:tcBorders>
              <w:top w:val="single" w:sz="8" w:space="0" w:color="000000"/>
            </w:tcBorders>
            <w:shd w:val="clear" w:color="auto" w:fill="auto"/>
            <w:tcMar>
              <w:top w:w="0" w:type="dxa"/>
              <w:left w:w="20" w:type="dxa"/>
              <w:bottom w:w="0" w:type="dxa"/>
              <w:right w:w="20" w:type="dxa"/>
            </w:tcMar>
          </w:tcPr>
          <w:p w14:paraId="1E8053AF" w14:textId="77777777" w:rsidR="00F20ABF" w:rsidRDefault="00F20A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E8053B0" w14:textId="77777777" w:rsidR="00F20ABF" w:rsidRDefault="00CA4D2F">
            <w:pPr>
              <w:jc w:val="center"/>
              <w:textAlignment w:val="bottom"/>
            </w:pPr>
            <w:r>
              <w:rPr>
                <w:rFonts w:ascii="sans-serif" w:eastAsia="sans-serif" w:hAnsi="sans-serif" w:cs="sans-serif"/>
                <w:b/>
                <w:bCs/>
                <w:color w:val="000000"/>
                <w:sz w:val="20"/>
                <w:szCs w:val="20"/>
              </w:rPr>
              <w:t>October 27, 2019</w:t>
            </w:r>
          </w:p>
        </w:tc>
      </w:tr>
      <w:tr w:rsidR="00F20ABF" w14:paraId="1E8053B6" w14:textId="77777777">
        <w:trPr>
          <w:trHeight w:val="60"/>
        </w:trPr>
        <w:tc>
          <w:tcPr>
            <w:tcW w:w="0" w:type="auto"/>
            <w:gridSpan w:val="3"/>
            <w:shd w:val="clear" w:color="auto" w:fill="auto"/>
            <w:tcMar>
              <w:top w:w="0" w:type="dxa"/>
              <w:left w:w="20" w:type="dxa"/>
              <w:bottom w:w="0" w:type="dxa"/>
              <w:right w:w="20" w:type="dxa"/>
            </w:tcMar>
          </w:tcPr>
          <w:p w14:paraId="1E8053B2"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3B3"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3B4"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3B5" w14:textId="77777777" w:rsidR="00F20ABF" w:rsidRDefault="00F20ABF">
            <w:pPr>
              <w:rPr>
                <w:rFonts w:ascii="宋体"/>
              </w:rPr>
            </w:pPr>
          </w:p>
        </w:tc>
      </w:tr>
      <w:tr w:rsidR="00F20ABF" w14:paraId="1E8053B9" w14:textId="77777777">
        <w:tc>
          <w:tcPr>
            <w:tcW w:w="0" w:type="auto"/>
            <w:gridSpan w:val="3"/>
            <w:shd w:val="clear" w:color="auto" w:fill="auto"/>
            <w:tcMar>
              <w:top w:w="40" w:type="dxa"/>
              <w:left w:w="20" w:type="dxa"/>
              <w:bottom w:w="40" w:type="dxa"/>
              <w:right w:w="20" w:type="dxa"/>
            </w:tcMar>
            <w:vAlign w:val="bottom"/>
          </w:tcPr>
          <w:p w14:paraId="1E8053B7" w14:textId="77777777" w:rsidR="00F20ABF" w:rsidRDefault="00CA4D2F">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1E8053B8" w14:textId="77777777" w:rsidR="00F20ABF" w:rsidRDefault="00CA4D2F">
            <w:pPr>
              <w:jc w:val="center"/>
              <w:textAlignment w:val="bottom"/>
            </w:pPr>
            <w:r>
              <w:rPr>
                <w:rFonts w:ascii="sans-serif" w:eastAsia="sans-serif" w:hAnsi="sans-serif" w:cs="sans-serif"/>
                <w:i/>
                <w:iCs/>
                <w:color w:val="000000"/>
                <w:sz w:val="20"/>
                <w:szCs w:val="20"/>
              </w:rPr>
              <w:t>(In millions)</w:t>
            </w:r>
          </w:p>
        </w:tc>
      </w:tr>
      <w:tr w:rsidR="00F20ABF" w14:paraId="1E8053C2" w14:textId="77777777">
        <w:tc>
          <w:tcPr>
            <w:tcW w:w="0" w:type="auto"/>
            <w:gridSpan w:val="3"/>
            <w:shd w:val="clear" w:color="auto" w:fill="E2EFD9"/>
            <w:tcMar>
              <w:top w:w="40" w:type="dxa"/>
              <w:left w:w="20" w:type="dxa"/>
              <w:bottom w:w="40" w:type="dxa"/>
              <w:right w:w="20" w:type="dxa"/>
            </w:tcMar>
            <w:vAlign w:val="bottom"/>
          </w:tcPr>
          <w:p w14:paraId="1E8053BA" w14:textId="77777777" w:rsidR="00F20ABF" w:rsidRDefault="00CA4D2F">
            <w:pPr>
              <w:textAlignment w:val="bottom"/>
            </w:pPr>
            <w:r>
              <w:rPr>
                <w:rFonts w:ascii="sans-serif" w:eastAsia="sans-serif" w:hAnsi="sans-serif" w:cs="sans-serif"/>
                <w:color w:val="000000"/>
                <w:sz w:val="20"/>
                <w:szCs w:val="20"/>
              </w:rPr>
              <w:t xml:space="preserve">Net cash provided by operating </w:t>
            </w:r>
            <w:r>
              <w:rPr>
                <w:rFonts w:ascii="sans-serif" w:eastAsia="sans-serif" w:hAnsi="sans-serif" w:cs="sans-serif"/>
                <w:color w:val="000000"/>
                <w:sz w:val="20"/>
                <w:szCs w:val="20"/>
              </w:rPr>
              <w:t>activities</w:t>
            </w:r>
          </w:p>
        </w:tc>
        <w:tc>
          <w:tcPr>
            <w:tcW w:w="0" w:type="auto"/>
            <w:shd w:val="clear" w:color="auto" w:fill="E2EFD9"/>
            <w:tcMar>
              <w:top w:w="40" w:type="dxa"/>
              <w:left w:w="20" w:type="dxa"/>
              <w:bottom w:w="40" w:type="dxa"/>
              <w:right w:w="0" w:type="dxa"/>
            </w:tcMar>
            <w:vAlign w:val="bottom"/>
          </w:tcPr>
          <w:p w14:paraId="1E8053BB"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3BC" w14:textId="77777777" w:rsidR="00F20ABF" w:rsidRDefault="00CA4D2F">
            <w:pPr>
              <w:jc w:val="right"/>
              <w:textAlignment w:val="bottom"/>
            </w:pPr>
            <w:r>
              <w:rPr>
                <w:rFonts w:ascii="sans-serif" w:eastAsia="sans-serif" w:hAnsi="sans-serif" w:cs="sans-serif"/>
                <w:color w:val="000000"/>
                <w:sz w:val="20"/>
                <w:szCs w:val="20"/>
              </w:rPr>
              <w:t>3,755 </w:t>
            </w:r>
          </w:p>
        </w:tc>
        <w:tc>
          <w:tcPr>
            <w:tcW w:w="0" w:type="auto"/>
            <w:shd w:val="clear" w:color="auto" w:fill="E2EFD9"/>
            <w:tcMar>
              <w:top w:w="40" w:type="dxa"/>
              <w:left w:w="0" w:type="dxa"/>
              <w:bottom w:w="40" w:type="dxa"/>
              <w:right w:w="20" w:type="dxa"/>
            </w:tcMar>
            <w:vAlign w:val="bottom"/>
          </w:tcPr>
          <w:p w14:paraId="1E8053BD"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3BE"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3BF"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3C0" w14:textId="77777777" w:rsidR="00F20ABF" w:rsidRDefault="00CA4D2F">
            <w:pPr>
              <w:jc w:val="right"/>
              <w:textAlignment w:val="bottom"/>
            </w:pPr>
            <w:r>
              <w:rPr>
                <w:rFonts w:ascii="sans-serif" w:eastAsia="sans-serif" w:hAnsi="sans-serif" w:cs="sans-serif"/>
                <w:color w:val="000000"/>
                <w:sz w:val="20"/>
                <w:szCs w:val="20"/>
              </w:rPr>
              <w:t>3,296 </w:t>
            </w:r>
          </w:p>
        </w:tc>
        <w:tc>
          <w:tcPr>
            <w:tcW w:w="0" w:type="auto"/>
            <w:shd w:val="clear" w:color="auto" w:fill="E2EFD9"/>
            <w:tcMar>
              <w:top w:w="40" w:type="dxa"/>
              <w:left w:w="0" w:type="dxa"/>
              <w:bottom w:w="40" w:type="dxa"/>
              <w:right w:w="20" w:type="dxa"/>
            </w:tcMar>
            <w:vAlign w:val="bottom"/>
          </w:tcPr>
          <w:p w14:paraId="1E8053C1" w14:textId="77777777" w:rsidR="00F20ABF" w:rsidRDefault="00F20ABF">
            <w:pPr>
              <w:jc w:val="right"/>
              <w:rPr>
                <w:rFonts w:ascii="宋体"/>
              </w:rPr>
            </w:pPr>
          </w:p>
        </w:tc>
      </w:tr>
      <w:tr w:rsidR="00F20ABF" w14:paraId="1E8053CB" w14:textId="77777777">
        <w:tc>
          <w:tcPr>
            <w:tcW w:w="0" w:type="auto"/>
            <w:gridSpan w:val="3"/>
            <w:shd w:val="clear" w:color="auto" w:fill="FFFFFF"/>
            <w:tcMar>
              <w:top w:w="40" w:type="dxa"/>
              <w:left w:w="20" w:type="dxa"/>
              <w:bottom w:w="40" w:type="dxa"/>
              <w:right w:w="20" w:type="dxa"/>
            </w:tcMar>
            <w:vAlign w:val="bottom"/>
          </w:tcPr>
          <w:p w14:paraId="1E8053C3" w14:textId="77777777" w:rsidR="00F20ABF" w:rsidRDefault="00CA4D2F">
            <w:pPr>
              <w:textAlignment w:val="bottom"/>
            </w:pPr>
            <w:r>
              <w:rPr>
                <w:rFonts w:ascii="sans-serif" w:eastAsia="sans-serif" w:hAnsi="sans-serif" w:cs="sans-serif"/>
                <w:color w:val="000000"/>
                <w:sz w:val="20"/>
                <w:szCs w:val="20"/>
              </w:rPr>
              <w:t>Net cash provided by (used in) investing activities</w:t>
            </w:r>
          </w:p>
        </w:tc>
        <w:tc>
          <w:tcPr>
            <w:tcW w:w="0" w:type="auto"/>
            <w:shd w:val="clear" w:color="auto" w:fill="FFFFFF"/>
            <w:tcMar>
              <w:top w:w="40" w:type="dxa"/>
              <w:left w:w="20" w:type="dxa"/>
              <w:bottom w:w="40" w:type="dxa"/>
              <w:right w:w="0" w:type="dxa"/>
            </w:tcMar>
            <w:vAlign w:val="bottom"/>
          </w:tcPr>
          <w:p w14:paraId="1E8053C4"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53C5" w14:textId="77777777" w:rsidR="00F20ABF" w:rsidRDefault="00CA4D2F">
            <w:pPr>
              <w:jc w:val="right"/>
              <w:textAlignment w:val="bottom"/>
            </w:pPr>
            <w:r>
              <w:rPr>
                <w:rFonts w:ascii="sans-serif" w:eastAsia="sans-serif" w:hAnsi="sans-serif" w:cs="sans-serif"/>
                <w:color w:val="000000"/>
                <w:sz w:val="20"/>
                <w:szCs w:val="20"/>
              </w:rPr>
              <w:t>(16,546)</w:t>
            </w:r>
          </w:p>
        </w:tc>
        <w:tc>
          <w:tcPr>
            <w:tcW w:w="0" w:type="auto"/>
            <w:shd w:val="clear" w:color="auto" w:fill="FFFFFF"/>
            <w:tcMar>
              <w:top w:w="40" w:type="dxa"/>
              <w:left w:w="0" w:type="dxa"/>
              <w:bottom w:w="40" w:type="dxa"/>
              <w:right w:w="20" w:type="dxa"/>
            </w:tcMar>
            <w:vAlign w:val="bottom"/>
          </w:tcPr>
          <w:p w14:paraId="1E8053C6" w14:textId="77777777" w:rsidR="00F20ABF" w:rsidRDefault="00F20ABF">
            <w:pPr>
              <w:jc w:val="right"/>
              <w:rPr>
                <w:rFonts w:ascii="宋体"/>
              </w:rPr>
            </w:pPr>
          </w:p>
        </w:tc>
        <w:tc>
          <w:tcPr>
            <w:tcW w:w="0" w:type="auto"/>
            <w:gridSpan w:val="3"/>
            <w:shd w:val="clear" w:color="auto" w:fill="FFFFFF"/>
            <w:tcMar>
              <w:top w:w="0" w:type="dxa"/>
              <w:left w:w="20" w:type="dxa"/>
              <w:bottom w:w="0" w:type="dxa"/>
              <w:right w:w="20" w:type="dxa"/>
            </w:tcMar>
          </w:tcPr>
          <w:p w14:paraId="1E8053C7" w14:textId="77777777" w:rsidR="00F20ABF" w:rsidRDefault="00F20ABF">
            <w:pPr>
              <w:rPr>
                <w:rFonts w:ascii="宋体"/>
              </w:rPr>
            </w:pPr>
          </w:p>
        </w:tc>
        <w:tc>
          <w:tcPr>
            <w:tcW w:w="0" w:type="auto"/>
            <w:shd w:val="clear" w:color="auto" w:fill="FFFFFF"/>
            <w:tcMar>
              <w:top w:w="40" w:type="dxa"/>
              <w:left w:w="20" w:type="dxa"/>
              <w:bottom w:w="40" w:type="dxa"/>
              <w:right w:w="0" w:type="dxa"/>
            </w:tcMar>
            <w:vAlign w:val="bottom"/>
          </w:tcPr>
          <w:p w14:paraId="1E8053C8"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E8053C9" w14:textId="77777777" w:rsidR="00F20ABF" w:rsidRDefault="00CA4D2F">
            <w:pPr>
              <w:jc w:val="right"/>
              <w:textAlignment w:val="bottom"/>
            </w:pPr>
            <w:r>
              <w:rPr>
                <w:rFonts w:ascii="sans-serif" w:eastAsia="sans-serif" w:hAnsi="sans-serif" w:cs="sans-serif"/>
                <w:color w:val="000000"/>
                <w:sz w:val="20"/>
                <w:szCs w:val="20"/>
              </w:rPr>
              <w:t>6,296 </w:t>
            </w:r>
          </w:p>
        </w:tc>
        <w:tc>
          <w:tcPr>
            <w:tcW w:w="0" w:type="auto"/>
            <w:shd w:val="clear" w:color="auto" w:fill="FFFFFF"/>
            <w:tcMar>
              <w:top w:w="40" w:type="dxa"/>
              <w:left w:w="0" w:type="dxa"/>
              <w:bottom w:w="40" w:type="dxa"/>
              <w:right w:w="20" w:type="dxa"/>
            </w:tcMar>
            <w:vAlign w:val="bottom"/>
          </w:tcPr>
          <w:p w14:paraId="1E8053CA" w14:textId="77777777" w:rsidR="00F20ABF" w:rsidRDefault="00F20ABF">
            <w:pPr>
              <w:jc w:val="right"/>
              <w:rPr>
                <w:rFonts w:ascii="宋体"/>
              </w:rPr>
            </w:pPr>
          </w:p>
        </w:tc>
      </w:tr>
      <w:tr w:rsidR="00F20ABF" w14:paraId="1E8053D4" w14:textId="77777777">
        <w:tc>
          <w:tcPr>
            <w:tcW w:w="0" w:type="auto"/>
            <w:gridSpan w:val="3"/>
            <w:shd w:val="clear" w:color="auto" w:fill="E2EFD9"/>
            <w:tcMar>
              <w:top w:w="40" w:type="dxa"/>
              <w:left w:w="20" w:type="dxa"/>
              <w:bottom w:w="40" w:type="dxa"/>
              <w:right w:w="20" w:type="dxa"/>
            </w:tcMar>
            <w:vAlign w:val="bottom"/>
          </w:tcPr>
          <w:p w14:paraId="1E8053CC" w14:textId="77777777" w:rsidR="00F20ABF" w:rsidRDefault="00CA4D2F">
            <w:pPr>
              <w:textAlignment w:val="bottom"/>
            </w:pPr>
            <w:r>
              <w:rPr>
                <w:rFonts w:ascii="sans-serif" w:eastAsia="sans-serif" w:hAnsi="sans-serif" w:cs="sans-serif"/>
                <w:color w:val="000000"/>
                <w:sz w:val="20"/>
                <w:szCs w:val="20"/>
              </w:rPr>
              <w:t>Net cash provided by (used in) financing activities</w:t>
            </w:r>
          </w:p>
        </w:tc>
        <w:tc>
          <w:tcPr>
            <w:tcW w:w="0" w:type="auto"/>
            <w:shd w:val="clear" w:color="auto" w:fill="E2EFD9"/>
            <w:tcMar>
              <w:top w:w="40" w:type="dxa"/>
              <w:left w:w="20" w:type="dxa"/>
              <w:bottom w:w="40" w:type="dxa"/>
              <w:right w:w="0" w:type="dxa"/>
            </w:tcMar>
            <w:vAlign w:val="bottom"/>
          </w:tcPr>
          <w:p w14:paraId="1E8053CD"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3CE" w14:textId="77777777" w:rsidR="00F20ABF" w:rsidRDefault="00CA4D2F">
            <w:pPr>
              <w:jc w:val="right"/>
              <w:textAlignment w:val="bottom"/>
            </w:pPr>
            <w:r>
              <w:rPr>
                <w:rFonts w:ascii="sans-serif" w:eastAsia="sans-serif" w:hAnsi="sans-serif" w:cs="sans-serif"/>
                <w:color w:val="000000"/>
                <w:sz w:val="20"/>
                <w:szCs w:val="20"/>
              </w:rPr>
              <w:t>4,146 </w:t>
            </w:r>
          </w:p>
        </w:tc>
        <w:tc>
          <w:tcPr>
            <w:tcW w:w="0" w:type="auto"/>
            <w:shd w:val="clear" w:color="auto" w:fill="E2EFD9"/>
            <w:tcMar>
              <w:top w:w="40" w:type="dxa"/>
              <w:left w:w="0" w:type="dxa"/>
              <w:bottom w:w="40" w:type="dxa"/>
              <w:right w:w="20" w:type="dxa"/>
            </w:tcMar>
            <w:vAlign w:val="bottom"/>
          </w:tcPr>
          <w:p w14:paraId="1E8053CF" w14:textId="77777777" w:rsidR="00F20ABF" w:rsidRDefault="00F20ABF">
            <w:pPr>
              <w:jc w:val="right"/>
              <w:rPr>
                <w:rFonts w:ascii="宋体"/>
              </w:rPr>
            </w:pPr>
          </w:p>
        </w:tc>
        <w:tc>
          <w:tcPr>
            <w:tcW w:w="0" w:type="auto"/>
            <w:gridSpan w:val="3"/>
            <w:shd w:val="clear" w:color="auto" w:fill="E2EFD9"/>
            <w:tcMar>
              <w:top w:w="0" w:type="dxa"/>
              <w:left w:w="20" w:type="dxa"/>
              <w:bottom w:w="0" w:type="dxa"/>
              <w:right w:w="20" w:type="dxa"/>
            </w:tcMar>
          </w:tcPr>
          <w:p w14:paraId="1E8053D0" w14:textId="77777777" w:rsidR="00F20ABF" w:rsidRDefault="00F20ABF">
            <w:pPr>
              <w:rPr>
                <w:rFonts w:ascii="宋体"/>
              </w:rPr>
            </w:pPr>
          </w:p>
        </w:tc>
        <w:tc>
          <w:tcPr>
            <w:tcW w:w="0" w:type="auto"/>
            <w:shd w:val="clear" w:color="auto" w:fill="E2EFD9"/>
            <w:tcMar>
              <w:top w:w="40" w:type="dxa"/>
              <w:left w:w="20" w:type="dxa"/>
              <w:bottom w:w="40" w:type="dxa"/>
              <w:right w:w="0" w:type="dxa"/>
            </w:tcMar>
            <w:vAlign w:val="bottom"/>
          </w:tcPr>
          <w:p w14:paraId="1E8053D1" w14:textId="77777777" w:rsidR="00F20ABF" w:rsidRDefault="00CA4D2F">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E8053D2" w14:textId="77777777" w:rsidR="00F20ABF" w:rsidRDefault="00CA4D2F">
            <w:pPr>
              <w:jc w:val="right"/>
              <w:textAlignment w:val="bottom"/>
            </w:pPr>
            <w:r>
              <w:rPr>
                <w:rFonts w:ascii="sans-serif" w:eastAsia="sans-serif" w:hAnsi="sans-serif" w:cs="sans-serif"/>
                <w:color w:val="000000"/>
                <w:sz w:val="20"/>
                <w:szCs w:val="20"/>
              </w:rPr>
              <w:t>(609)</w:t>
            </w:r>
          </w:p>
        </w:tc>
        <w:tc>
          <w:tcPr>
            <w:tcW w:w="0" w:type="auto"/>
            <w:shd w:val="clear" w:color="auto" w:fill="E2EFD9"/>
            <w:tcMar>
              <w:top w:w="40" w:type="dxa"/>
              <w:left w:w="0" w:type="dxa"/>
              <w:bottom w:w="40" w:type="dxa"/>
              <w:right w:w="20" w:type="dxa"/>
            </w:tcMar>
            <w:vAlign w:val="bottom"/>
          </w:tcPr>
          <w:p w14:paraId="1E8053D3" w14:textId="77777777" w:rsidR="00F20ABF" w:rsidRDefault="00F20ABF">
            <w:pPr>
              <w:jc w:val="right"/>
              <w:rPr>
                <w:rFonts w:ascii="宋体"/>
              </w:rPr>
            </w:pPr>
          </w:p>
        </w:tc>
      </w:tr>
    </w:tbl>
    <w:p w14:paraId="1E8053D5" w14:textId="77777777" w:rsidR="00F20ABF" w:rsidRDefault="00CA4D2F">
      <w:pPr>
        <w:spacing w:before="360" w:after="180"/>
        <w:jc w:val="both"/>
      </w:pPr>
      <w:r>
        <w:rPr>
          <w:rFonts w:ascii="sans-serif" w:eastAsia="sans-serif" w:hAnsi="sans-serif" w:cs="sans-serif"/>
          <w:color w:val="000000"/>
          <w:sz w:val="20"/>
          <w:szCs w:val="20"/>
        </w:rPr>
        <w:t>As of October 25, 2020, we had $10.14 billion in cash, cash equivalents and marketable securities, a decrease of $758 million from the end of fiscal year 2020. Our investment policy requires the purchase of highly rated fixed income securities, the diversi</w:t>
      </w:r>
      <w:r>
        <w:rPr>
          <w:rFonts w:ascii="sans-serif" w:eastAsia="sans-serif" w:hAnsi="sans-serif" w:cs="sans-serif"/>
          <w:color w:val="000000"/>
          <w:sz w:val="20"/>
          <w:szCs w:val="20"/>
        </w:rPr>
        <w:t xml:space="preserve">fication of investment types and credit exposures, and certain maturity limits on our portfolio. </w:t>
      </w:r>
    </w:p>
    <w:p w14:paraId="1E8053D6" w14:textId="77777777" w:rsidR="00F20ABF" w:rsidRDefault="00CA4D2F">
      <w:pPr>
        <w:spacing w:after="180"/>
        <w:jc w:val="both"/>
      </w:pPr>
      <w:r>
        <w:rPr>
          <w:rFonts w:ascii="sans-serif" w:eastAsia="sans-serif" w:hAnsi="sans-serif" w:cs="sans-serif"/>
          <w:color w:val="000000"/>
          <w:sz w:val="20"/>
          <w:szCs w:val="20"/>
        </w:rPr>
        <w:t>In the third quarter of fiscal year 2021, we paid $2 billion as part of the proposed acquisition of Arm, which was allocated between advanced consideration fo</w:t>
      </w:r>
      <w:r>
        <w:rPr>
          <w:rFonts w:ascii="sans-serif" w:eastAsia="sans-serif" w:hAnsi="sans-serif" w:cs="sans-serif"/>
          <w:color w:val="000000"/>
          <w:sz w:val="20"/>
          <w:szCs w:val="20"/>
        </w:rPr>
        <w:t>r the acquisition of $1.36 billion and the prepayment of intellectual property licenses from Arm of $0.17 billion and royalties of $0.47 billion. The cash flow allocation of the payment resulted in $1.36 billion advanced consideration included in acquisiti</w:t>
      </w:r>
      <w:r>
        <w:rPr>
          <w:rFonts w:ascii="sans-serif" w:eastAsia="sans-serif" w:hAnsi="sans-serif" w:cs="sans-serif"/>
          <w:color w:val="000000"/>
          <w:sz w:val="20"/>
          <w:szCs w:val="20"/>
        </w:rPr>
        <w:t>ons, net of cash acquired, $0.17 billion for the intellectual property license included in purchases related to property and equipment and intangible assets and $0.47 billion prepayment of royalties included in changes in prepaid expenses and other assets.</w:t>
      </w:r>
    </w:p>
    <w:p w14:paraId="1E8053D7" w14:textId="77777777" w:rsidR="00F20ABF" w:rsidRDefault="00CA4D2F">
      <w:pPr>
        <w:spacing w:before="120" w:after="120"/>
        <w:jc w:val="both"/>
      </w:pPr>
      <w:r>
        <w:rPr>
          <w:rFonts w:ascii="sans-serif" w:eastAsia="sans-serif" w:hAnsi="sans-serif" w:cs="sans-serif"/>
          <w:color w:val="000000"/>
          <w:sz w:val="20"/>
          <w:szCs w:val="20"/>
        </w:rPr>
        <w:t>Cash provided by operating activities increased in the first nine months of fiscal year 2021 compared to the first nine months of fiscal year 2020, due to higher net income, partially offset by changes in working capital. Changes in working capital includ</w:t>
      </w:r>
      <w:r>
        <w:rPr>
          <w:rFonts w:ascii="sans-serif" w:eastAsia="sans-serif" w:hAnsi="sans-serif" w:cs="sans-serif"/>
          <w:color w:val="000000"/>
          <w:sz w:val="20"/>
          <w:szCs w:val="20"/>
        </w:rPr>
        <w:t>e increases in outstanding trade receivables, purchases of inventory, and a prepayment of royalties to Arm.</w:t>
      </w:r>
    </w:p>
    <w:p w14:paraId="1E8053D8" w14:textId="77777777" w:rsidR="00F20ABF" w:rsidRDefault="00CA4D2F">
      <w:pPr>
        <w:spacing w:before="120" w:after="120"/>
        <w:jc w:val="both"/>
      </w:pPr>
      <w:r>
        <w:rPr>
          <w:rFonts w:ascii="sans-serif" w:eastAsia="sans-serif" w:hAnsi="sans-serif" w:cs="sans-serif"/>
          <w:color w:val="000000"/>
          <w:sz w:val="20"/>
          <w:szCs w:val="20"/>
        </w:rPr>
        <w:t xml:space="preserve">Cash used in investing activities increased in the first nine months of fiscal year 2021 compared to cash provided in the first nine months of </w:t>
      </w:r>
      <w:r>
        <w:rPr>
          <w:rFonts w:ascii="sans-serif" w:eastAsia="sans-serif" w:hAnsi="sans-serif" w:cs="sans-serif"/>
          <w:color w:val="000000"/>
          <w:sz w:val="20"/>
          <w:szCs w:val="20"/>
        </w:rPr>
        <w:t>fiscal year 2020, which primarily reflects cash used for the acquisition of Mellanox and the advanced consideration for the proposed acquisition of Arm, higher purchases of marketable securities, higher maturities of marketable securities, higher purchases</w:t>
      </w:r>
      <w:r>
        <w:rPr>
          <w:rFonts w:ascii="sans-serif" w:eastAsia="sans-serif" w:hAnsi="sans-serif" w:cs="sans-serif"/>
          <w:color w:val="000000"/>
          <w:sz w:val="20"/>
          <w:szCs w:val="20"/>
        </w:rPr>
        <w:t xml:space="preserve"> of property and equipment and intangible assets, and lower sales of marketable securities.</w:t>
      </w:r>
    </w:p>
    <w:p w14:paraId="1E8053D9" w14:textId="77777777" w:rsidR="00F20ABF" w:rsidRDefault="00CA4D2F">
      <w:pPr>
        <w:spacing w:before="120" w:after="120"/>
        <w:jc w:val="both"/>
      </w:pPr>
      <w:r>
        <w:rPr>
          <w:rFonts w:ascii="sans-serif" w:eastAsia="sans-serif" w:hAnsi="sans-serif" w:cs="sans-serif"/>
          <w:color w:val="000000"/>
          <w:sz w:val="20"/>
          <w:szCs w:val="20"/>
        </w:rPr>
        <w:t>Cash provided by financing activities increased in the first nine months of fiscal year 2021 compared to cash used in the first nine months of fiscal year 2020, whi</w:t>
      </w:r>
      <w:r>
        <w:rPr>
          <w:rFonts w:ascii="sans-serif" w:eastAsia="sans-serif" w:hAnsi="sans-serif" w:cs="sans-serif"/>
          <w:color w:val="000000"/>
          <w:sz w:val="20"/>
          <w:szCs w:val="20"/>
        </w:rPr>
        <w:t>ch primarily reflects the debt issued in the first quarter of fiscal year 2021 and payments related to tax on restricted stock units.</w:t>
      </w:r>
    </w:p>
    <w:p w14:paraId="1E8053DA" w14:textId="77777777" w:rsidR="00F20ABF" w:rsidRDefault="00CA4D2F">
      <w:pPr>
        <w:spacing w:after="180"/>
        <w:jc w:val="both"/>
      </w:pPr>
      <w:r>
        <w:rPr>
          <w:rFonts w:ascii="sans-serif" w:eastAsia="sans-serif" w:hAnsi="sans-serif" w:cs="sans-serif"/>
          <w:b/>
          <w:bCs/>
          <w:color w:val="000000"/>
          <w:sz w:val="20"/>
          <w:szCs w:val="20"/>
        </w:rPr>
        <w:t>Liquidity</w:t>
      </w:r>
    </w:p>
    <w:p w14:paraId="1E8053DB" w14:textId="77777777" w:rsidR="00F20ABF" w:rsidRDefault="00CA4D2F">
      <w:pPr>
        <w:spacing w:after="180"/>
        <w:jc w:val="both"/>
      </w:pPr>
      <w:r>
        <w:rPr>
          <w:rFonts w:ascii="sans-serif" w:eastAsia="sans-serif" w:hAnsi="sans-serif" w:cs="sans-serif"/>
          <w:color w:val="000000"/>
          <w:sz w:val="20"/>
          <w:szCs w:val="20"/>
        </w:rPr>
        <w:t>Our primary sources of liquidity are our cash and cash equivalents, our marketable securities, and the cash gene</w:t>
      </w:r>
      <w:r>
        <w:rPr>
          <w:rFonts w:ascii="sans-serif" w:eastAsia="sans-serif" w:hAnsi="sans-serif" w:cs="sans-serif"/>
          <w:color w:val="000000"/>
          <w:sz w:val="20"/>
          <w:szCs w:val="20"/>
        </w:rPr>
        <w:t>rated by our operations. As of October 25, 2020, we had $10.14 billion in cash, cash equivalents and marketable securities. Our marketable securities consist of debt securities issued by the U.S. government and its agencies, highly rated corporations and f</w:t>
      </w:r>
      <w:r>
        <w:rPr>
          <w:rFonts w:ascii="sans-serif" w:eastAsia="sans-serif" w:hAnsi="sans-serif" w:cs="sans-serif"/>
          <w:color w:val="000000"/>
          <w:sz w:val="20"/>
          <w:szCs w:val="20"/>
        </w:rPr>
        <w:t>inancial institutions, and foreign government entities, and certificates of deposits. These marketable securities are primarily denominated in U.S. dollars. Refer to Note 7 of the Notes to Condensed Consolidated Financial Statements for additional informat</w:t>
      </w:r>
      <w:r>
        <w:rPr>
          <w:rFonts w:ascii="sans-serif" w:eastAsia="sans-serif" w:hAnsi="sans-serif" w:cs="sans-serif"/>
          <w:color w:val="000000"/>
          <w:sz w:val="20"/>
          <w:szCs w:val="20"/>
        </w:rPr>
        <w:t xml:space="preserve">ion. We believe that we have sufficient liquidity to meet our operating requirements and capital expenditures for at least the next twelve months. </w:t>
      </w:r>
    </w:p>
    <w:p w14:paraId="1E8053DC" w14:textId="77777777" w:rsidR="00F20ABF" w:rsidRDefault="00CA4D2F">
      <w:pPr>
        <w:spacing w:after="180"/>
        <w:jc w:val="both"/>
      </w:pPr>
      <w:r>
        <w:rPr>
          <w:rFonts w:ascii="sans-serif" w:eastAsia="sans-serif" w:hAnsi="sans-serif" w:cs="sans-serif"/>
          <w:color w:val="000000"/>
          <w:sz w:val="20"/>
          <w:szCs w:val="20"/>
        </w:rPr>
        <w:t>We have approximately $1.2 billion of cash, cash equivalents, and marketable securities that we have not acc</w:t>
      </w:r>
      <w:r>
        <w:rPr>
          <w:rFonts w:ascii="sans-serif" w:eastAsia="sans-serif" w:hAnsi="sans-serif" w:cs="sans-serif"/>
          <w:color w:val="000000"/>
          <w:sz w:val="20"/>
          <w:szCs w:val="20"/>
        </w:rPr>
        <w:t xml:space="preserve">rued any related foreign or state taxes if we repatriate these amounts to the United States. Other than that, as a result of the Tax Cuts and Jobs Act, or TCJA, substantially all of our cash, cash equivalents and marketable securities held outside of the </w:t>
      </w:r>
    </w:p>
    <w:p w14:paraId="1E8053DD" w14:textId="77777777" w:rsidR="00F20ABF" w:rsidRDefault="00CA4D2F">
      <w:pPr>
        <w:spacing w:after="180"/>
        <w:jc w:val="center"/>
      </w:pPr>
      <w:r>
        <w:rPr>
          <w:rFonts w:ascii="sans-serif" w:eastAsia="sans-serif" w:hAnsi="sans-serif" w:cs="sans-serif"/>
          <w:color w:val="000000"/>
          <w:sz w:val="20"/>
          <w:szCs w:val="20"/>
        </w:rPr>
        <w:t>33</w:t>
      </w:r>
    </w:p>
    <w:p w14:paraId="1E8053DE" w14:textId="77777777" w:rsidR="00F20ABF" w:rsidRDefault="00CA4D2F">
      <w:r>
        <w:pict w14:anchorId="1E80559C">
          <v:rect id="_x0000_i1057" style="width:415.3pt;height:1.5pt" o:hralign="center" o:hrstd="t" o:hr="t" fillcolor="#a0a0a0" stroked="f"/>
        </w:pict>
      </w:r>
    </w:p>
    <w:p w14:paraId="1E8053DF" w14:textId="77777777" w:rsidR="00F20ABF" w:rsidRDefault="00F20ABF">
      <w:pPr>
        <w:spacing w:after="180"/>
        <w:jc w:val="both"/>
      </w:pPr>
    </w:p>
    <w:p w14:paraId="1E8053E0" w14:textId="77777777" w:rsidR="00F20ABF" w:rsidRDefault="00F20ABF">
      <w:pPr>
        <w:spacing w:after="180"/>
        <w:jc w:val="both"/>
      </w:pPr>
    </w:p>
    <w:p w14:paraId="1E8053E1" w14:textId="77777777" w:rsidR="00F20ABF" w:rsidRDefault="00F20ABF">
      <w:pPr>
        <w:spacing w:after="180"/>
        <w:jc w:val="both"/>
      </w:pPr>
    </w:p>
    <w:p w14:paraId="1E8053E2" w14:textId="77777777" w:rsidR="00F20ABF" w:rsidRDefault="00CA4D2F">
      <w:pPr>
        <w:spacing w:after="180"/>
        <w:jc w:val="both"/>
      </w:pPr>
      <w:r>
        <w:rPr>
          <w:rFonts w:ascii="sans-serif" w:eastAsia="sans-serif" w:hAnsi="sans-serif" w:cs="sans-serif"/>
          <w:color w:val="000000"/>
          <w:sz w:val="20"/>
          <w:szCs w:val="20"/>
        </w:rPr>
        <w:t>United States as of October 25, 2020 are available for use in the United States without incurring additional U.S. federal income taxes.</w:t>
      </w:r>
    </w:p>
    <w:p w14:paraId="1E8053E3" w14:textId="77777777" w:rsidR="00F20ABF" w:rsidRDefault="00CA4D2F">
      <w:pPr>
        <w:spacing w:before="120" w:after="120"/>
        <w:jc w:val="both"/>
      </w:pPr>
      <w:r>
        <w:rPr>
          <w:rFonts w:ascii="sans-serif" w:eastAsia="sans-serif" w:hAnsi="sans-serif" w:cs="sans-serif"/>
          <w:b/>
          <w:bCs/>
          <w:color w:val="000000"/>
          <w:sz w:val="20"/>
          <w:szCs w:val="20"/>
        </w:rPr>
        <w:t>Capital Return to Shareholders</w:t>
      </w:r>
    </w:p>
    <w:p w14:paraId="1E8053E4" w14:textId="77777777" w:rsidR="00F20ABF" w:rsidRDefault="00CA4D2F">
      <w:pPr>
        <w:spacing w:before="120" w:after="120"/>
        <w:jc w:val="both"/>
      </w:pPr>
      <w:r>
        <w:rPr>
          <w:rFonts w:ascii="sans-serif" w:eastAsia="sans-serif" w:hAnsi="sans-serif" w:cs="sans-serif"/>
          <w:color w:val="000000"/>
          <w:sz w:val="20"/>
          <w:szCs w:val="20"/>
        </w:rPr>
        <w:t>In the first nine months of fiscal year 2021, we paid $296 million in quarterly c</w:t>
      </w:r>
      <w:r>
        <w:rPr>
          <w:rFonts w:ascii="sans-serif" w:eastAsia="sans-serif" w:hAnsi="sans-serif" w:cs="sans-serif"/>
          <w:color w:val="000000"/>
          <w:sz w:val="20"/>
          <w:szCs w:val="20"/>
        </w:rPr>
        <w:t xml:space="preserve">ash dividends. Our cash dividend program and the payment of future cash dividends under that program are subject to our Board's continuing determination that the dividend program and the declaration of dividends thereunder are in the best interests of our </w:t>
      </w:r>
      <w:r>
        <w:rPr>
          <w:rFonts w:ascii="sans-serif" w:eastAsia="sans-serif" w:hAnsi="sans-serif" w:cs="sans-serif"/>
          <w:color w:val="000000"/>
          <w:sz w:val="20"/>
          <w:szCs w:val="20"/>
        </w:rPr>
        <w:t xml:space="preserve">shareholders. </w:t>
      </w:r>
    </w:p>
    <w:p w14:paraId="1E8053E5" w14:textId="77777777" w:rsidR="00F20ABF" w:rsidRDefault="00CA4D2F">
      <w:pPr>
        <w:spacing w:after="180"/>
        <w:jc w:val="both"/>
      </w:pPr>
      <w:r>
        <w:rPr>
          <w:rFonts w:ascii="sans-serif" w:eastAsia="sans-serif" w:hAnsi="sans-serif" w:cs="sans-serif"/>
          <w:color w:val="000000"/>
          <w:sz w:val="20"/>
          <w:szCs w:val="20"/>
        </w:rPr>
        <w:t>As of October 25, 2020, we were authorized, subject to certain specifications, to repurchase additional shares of our common stock up to $7.24 billion through December 2022. We did not repurchase any shares during the first nine months of fi</w:t>
      </w:r>
      <w:r>
        <w:rPr>
          <w:rFonts w:ascii="sans-serif" w:eastAsia="sans-serif" w:hAnsi="sans-serif" w:cs="sans-serif"/>
          <w:color w:val="000000"/>
          <w:sz w:val="20"/>
          <w:szCs w:val="20"/>
        </w:rPr>
        <w:t>scal year 2021.</w:t>
      </w:r>
    </w:p>
    <w:p w14:paraId="1E8053E6" w14:textId="77777777" w:rsidR="00F20ABF" w:rsidRDefault="00CA4D2F">
      <w:pPr>
        <w:spacing w:after="180"/>
        <w:jc w:val="both"/>
      </w:pPr>
      <w:r>
        <w:rPr>
          <w:rFonts w:ascii="sans-serif" w:eastAsia="sans-serif" w:hAnsi="sans-serif" w:cs="sans-serif"/>
          <w:b/>
          <w:bCs/>
          <w:color w:val="000000"/>
          <w:sz w:val="20"/>
          <w:szCs w:val="20"/>
        </w:rPr>
        <w:t>Outstanding Indebtedness and Credit Facilities</w:t>
      </w:r>
    </w:p>
    <w:p w14:paraId="1E8053E7" w14:textId="77777777" w:rsidR="00F20ABF" w:rsidRDefault="00CA4D2F">
      <w:pPr>
        <w:spacing w:after="180"/>
        <w:jc w:val="both"/>
      </w:pPr>
      <w:r>
        <w:rPr>
          <w:rFonts w:ascii="sans-serif" w:eastAsia="sans-serif" w:hAnsi="sans-serif" w:cs="sans-serif"/>
          <w:color w:val="000000"/>
          <w:sz w:val="20"/>
          <w:szCs w:val="20"/>
        </w:rPr>
        <w:t>In March 2020, we issued $1.50 billion of the 2.85% Notes Due 2030, $1.00 billion of the 3.50% Notes Due 2040, $2.00 billion of the 3.50% Notes Due 2050, and $500 million of the 3.70% Notes Due</w:t>
      </w:r>
      <w:r>
        <w:rPr>
          <w:rFonts w:ascii="sans-serif" w:eastAsia="sans-serif" w:hAnsi="sans-serif" w:cs="sans-serif"/>
          <w:color w:val="000000"/>
          <w:sz w:val="20"/>
          <w:szCs w:val="20"/>
        </w:rPr>
        <w:t xml:space="preserve"> 2060, or collectively, the March 2020 Notes. The net proceeds from the March 2020 Notes were $4.97 billion, after deducting debt discounts and issuance costs.</w:t>
      </w:r>
    </w:p>
    <w:p w14:paraId="1E8053E8" w14:textId="77777777" w:rsidR="00F20ABF" w:rsidRDefault="00CA4D2F">
      <w:pPr>
        <w:spacing w:before="120" w:after="120"/>
        <w:jc w:val="both"/>
      </w:pPr>
      <w:r>
        <w:rPr>
          <w:rFonts w:ascii="sans-serif" w:eastAsia="sans-serif" w:hAnsi="sans-serif" w:cs="sans-serif"/>
          <w:color w:val="000000"/>
          <w:sz w:val="20"/>
          <w:szCs w:val="20"/>
        </w:rPr>
        <w:t xml:space="preserve">In September 2016, we issued $1.00 billion of the 2.20% Notes Due 2021 and $1.00 billion of the </w:t>
      </w:r>
      <w:r>
        <w:rPr>
          <w:rFonts w:ascii="sans-serif" w:eastAsia="sans-serif" w:hAnsi="sans-serif" w:cs="sans-serif"/>
          <w:color w:val="000000"/>
          <w:sz w:val="20"/>
          <w:szCs w:val="20"/>
        </w:rPr>
        <w:t>3.20% Notes Due 2026, or collectively, the September 2016 Notes. The net proceeds from the September 2016 Notes were $1.98 billion, after deducting debt discounts and issuance costs.</w:t>
      </w:r>
    </w:p>
    <w:p w14:paraId="1E8053E9" w14:textId="77777777" w:rsidR="00F20ABF" w:rsidRDefault="00CA4D2F">
      <w:pPr>
        <w:spacing w:after="180"/>
        <w:jc w:val="both"/>
      </w:pPr>
      <w:r>
        <w:rPr>
          <w:rFonts w:ascii="sans-serif" w:eastAsia="sans-serif" w:hAnsi="sans-serif" w:cs="sans-serif"/>
          <w:color w:val="000000"/>
          <w:sz w:val="20"/>
          <w:szCs w:val="20"/>
        </w:rPr>
        <w:t>We have a Credit Agreement under which we may borrow up to $575 million f</w:t>
      </w:r>
      <w:r>
        <w:rPr>
          <w:rFonts w:ascii="sans-serif" w:eastAsia="sans-serif" w:hAnsi="sans-serif" w:cs="sans-serif"/>
          <w:color w:val="000000"/>
          <w:sz w:val="20"/>
          <w:szCs w:val="20"/>
        </w:rPr>
        <w:t>or general corporate purposes and can obtain revolving loan commitments up to $425 million. As of October 25, 2020, we had not borrowed any amounts under this agreement.</w:t>
      </w:r>
    </w:p>
    <w:p w14:paraId="1E8053EA" w14:textId="77777777" w:rsidR="00F20ABF" w:rsidRDefault="00CA4D2F">
      <w:pPr>
        <w:spacing w:before="120" w:after="120"/>
        <w:jc w:val="both"/>
      </w:pPr>
      <w:r>
        <w:rPr>
          <w:rFonts w:ascii="sans-serif" w:eastAsia="sans-serif" w:hAnsi="sans-serif" w:cs="sans-serif"/>
          <w:color w:val="000000"/>
          <w:sz w:val="20"/>
          <w:szCs w:val="20"/>
        </w:rPr>
        <w:t>We have a $575 million commercial paper program to support general corporate purposes.</w:t>
      </w:r>
      <w:r>
        <w:rPr>
          <w:rFonts w:ascii="sans-serif" w:eastAsia="sans-serif" w:hAnsi="sans-serif" w:cs="sans-serif"/>
          <w:color w:val="000000"/>
          <w:sz w:val="20"/>
          <w:szCs w:val="20"/>
        </w:rPr>
        <w:t xml:space="preserve"> As of October 25, 2020, we had not issued any commercial paper.</w:t>
      </w:r>
    </w:p>
    <w:p w14:paraId="1E8053EB" w14:textId="77777777" w:rsidR="00F20ABF" w:rsidRDefault="00CA4D2F">
      <w:pPr>
        <w:spacing w:after="180"/>
        <w:jc w:val="both"/>
      </w:pPr>
      <w:r>
        <w:rPr>
          <w:rFonts w:ascii="sans-serif" w:eastAsia="sans-serif" w:hAnsi="sans-serif" w:cs="sans-serif"/>
          <w:b/>
          <w:bCs/>
          <w:color w:val="000000"/>
          <w:sz w:val="20"/>
          <w:szCs w:val="20"/>
        </w:rPr>
        <w:t>Off-Balance Sheet Arrangements</w:t>
      </w:r>
    </w:p>
    <w:p w14:paraId="1E8053EC" w14:textId="77777777" w:rsidR="00F20ABF" w:rsidRDefault="00CA4D2F">
      <w:pPr>
        <w:spacing w:after="180"/>
        <w:jc w:val="both"/>
      </w:pPr>
      <w:r>
        <w:rPr>
          <w:rFonts w:ascii="sans-serif" w:eastAsia="sans-serif" w:hAnsi="sans-serif" w:cs="sans-serif"/>
          <w:color w:val="000000"/>
          <w:sz w:val="20"/>
          <w:szCs w:val="20"/>
        </w:rPr>
        <w:t>As of October 25, 2020, we had no material off-balance sheet arrangements as defined by applicable SEC regulations.</w:t>
      </w:r>
    </w:p>
    <w:p w14:paraId="1E8053ED" w14:textId="77777777" w:rsidR="00F20ABF" w:rsidRDefault="00CA4D2F">
      <w:pPr>
        <w:spacing w:after="180"/>
        <w:jc w:val="both"/>
      </w:pPr>
      <w:r>
        <w:rPr>
          <w:rFonts w:ascii="sans-serif" w:eastAsia="sans-serif" w:hAnsi="sans-serif" w:cs="sans-serif"/>
          <w:b/>
          <w:bCs/>
          <w:color w:val="000000"/>
          <w:sz w:val="20"/>
          <w:szCs w:val="20"/>
        </w:rPr>
        <w:t>Contractual Obligations</w:t>
      </w:r>
    </w:p>
    <w:p w14:paraId="1E8053EE" w14:textId="77777777" w:rsidR="00F20ABF" w:rsidRDefault="00CA4D2F">
      <w:pPr>
        <w:spacing w:after="180"/>
        <w:jc w:val="both"/>
      </w:pPr>
      <w:r>
        <w:rPr>
          <w:rFonts w:ascii="sans-serif" w:eastAsia="sans-serif" w:hAnsi="sans-serif" w:cs="sans-serif"/>
          <w:color w:val="000000"/>
          <w:sz w:val="20"/>
          <w:szCs w:val="20"/>
        </w:rPr>
        <w:t>There are $155 milli</w:t>
      </w:r>
      <w:r>
        <w:rPr>
          <w:rFonts w:ascii="sans-serif" w:eastAsia="sans-serif" w:hAnsi="sans-serif" w:cs="sans-serif"/>
          <w:color w:val="000000"/>
          <w:sz w:val="20"/>
          <w:szCs w:val="20"/>
        </w:rPr>
        <w:t>on of long-term tax liabilities related to tax basis differences in Mellanox and unrecognized tax benefits of $310 million, which includes related interest and penalties of $46 million recorded in non-current income tax payable as of October 25, 2020. We a</w:t>
      </w:r>
      <w:r>
        <w:rPr>
          <w:rFonts w:ascii="sans-serif" w:eastAsia="sans-serif" w:hAnsi="sans-serif" w:cs="sans-serif"/>
          <w:color w:val="000000"/>
          <w:sz w:val="20"/>
          <w:szCs w:val="20"/>
        </w:rPr>
        <w:t>re unable to reasonably estimate the timing of any potential tax liability, interest payments, or penalties in individual years due to uncertainties in the underlying income tax positions and the timing of the effective settlement of such tax positions. We</w:t>
      </w:r>
      <w:r>
        <w:rPr>
          <w:rFonts w:ascii="sans-serif" w:eastAsia="sans-serif" w:hAnsi="sans-serif" w:cs="sans-serif"/>
          <w:color w:val="000000"/>
          <w:sz w:val="20"/>
          <w:szCs w:val="20"/>
        </w:rPr>
        <w:t xml:space="preserve"> are currently under examination by the Internal Revenue Service for our fiscal years 2018 and 2019. Refer to Note 6 of the Notes to Condensed Consolidated Financial Statements for further information.</w:t>
      </w:r>
    </w:p>
    <w:p w14:paraId="1E8053EF" w14:textId="77777777" w:rsidR="00F20ABF" w:rsidRDefault="00CA4D2F">
      <w:pPr>
        <w:spacing w:after="180"/>
        <w:jc w:val="both"/>
      </w:pPr>
      <w:r>
        <w:rPr>
          <w:rFonts w:ascii="sans-serif" w:eastAsia="sans-serif" w:hAnsi="sans-serif" w:cs="sans-serif"/>
          <w:color w:val="000000"/>
          <w:sz w:val="20"/>
          <w:szCs w:val="20"/>
        </w:rPr>
        <w:t>Other than the contractual obligations described above</w:t>
      </w:r>
      <w:r>
        <w:rPr>
          <w:rFonts w:ascii="sans-serif" w:eastAsia="sans-serif" w:hAnsi="sans-serif" w:cs="sans-serif"/>
          <w:color w:val="000000"/>
          <w:sz w:val="20"/>
          <w:szCs w:val="20"/>
        </w:rPr>
        <w:t>, there were no material changes outside the ordinary course of business in our contractual obligations from those disclosed in our Annual Report on Form 10-K for the fiscal year ended January 26, 2020. Refer to Item 7, “Management’s Discussion and Analysi</w:t>
      </w:r>
      <w:r>
        <w:rPr>
          <w:rFonts w:ascii="sans-serif" w:eastAsia="sans-serif" w:hAnsi="sans-serif" w:cs="sans-serif"/>
          <w:color w:val="000000"/>
          <w:sz w:val="20"/>
          <w:szCs w:val="20"/>
        </w:rPr>
        <w:t>s of Financial Condition and Results of Operations - Liquidity and Capital Resources” in our Annual Report on Form 10-K for the fiscal year ended January 26, 2020 for a description of our contractual obligations. For a description of our long-term debt, pu</w:t>
      </w:r>
      <w:r>
        <w:rPr>
          <w:rFonts w:ascii="sans-serif" w:eastAsia="sans-serif" w:hAnsi="sans-serif" w:cs="sans-serif"/>
          <w:color w:val="000000"/>
          <w:sz w:val="20"/>
          <w:szCs w:val="20"/>
        </w:rPr>
        <w:t>rchase obligations, and operating lease obligations, refer to Note 12, Note 13, and Note 3 of the Notes to Condensed Consolidated Financial Statements, respectively.</w:t>
      </w:r>
    </w:p>
    <w:p w14:paraId="1E8053F0" w14:textId="77777777" w:rsidR="00F20ABF" w:rsidRDefault="00CA4D2F">
      <w:pPr>
        <w:spacing w:after="180"/>
        <w:jc w:val="center"/>
      </w:pPr>
      <w:r>
        <w:rPr>
          <w:rFonts w:ascii="sans-serif" w:eastAsia="sans-serif" w:hAnsi="sans-serif" w:cs="sans-serif"/>
          <w:color w:val="000000"/>
          <w:sz w:val="20"/>
          <w:szCs w:val="20"/>
        </w:rPr>
        <w:t>34</w:t>
      </w:r>
    </w:p>
    <w:p w14:paraId="1E8053F1" w14:textId="77777777" w:rsidR="00F20ABF" w:rsidRDefault="00CA4D2F">
      <w:r>
        <w:pict w14:anchorId="1E80559D">
          <v:rect id="_x0000_i1058" style="width:415.3pt;height:1.5pt" o:hralign="center" o:hrstd="t" o:hr="t" fillcolor="#a0a0a0" stroked="f"/>
        </w:pict>
      </w:r>
    </w:p>
    <w:p w14:paraId="1E8053F2" w14:textId="77777777" w:rsidR="00F20ABF" w:rsidRDefault="00F20ABF">
      <w:pPr>
        <w:spacing w:after="180"/>
        <w:jc w:val="both"/>
      </w:pPr>
    </w:p>
    <w:p w14:paraId="1E8053F3" w14:textId="77777777" w:rsidR="00F20ABF" w:rsidRDefault="00F20ABF">
      <w:pPr>
        <w:spacing w:after="180"/>
        <w:jc w:val="both"/>
      </w:pPr>
    </w:p>
    <w:p w14:paraId="1E8053F4" w14:textId="77777777" w:rsidR="00F20ABF" w:rsidRDefault="00F20ABF">
      <w:pPr>
        <w:spacing w:after="180"/>
        <w:jc w:val="both"/>
      </w:pPr>
    </w:p>
    <w:p w14:paraId="1E8053F5" w14:textId="77777777" w:rsidR="00F20ABF" w:rsidRDefault="00CA4D2F">
      <w:pPr>
        <w:spacing w:before="240" w:after="120"/>
        <w:jc w:val="both"/>
      </w:pPr>
      <w:r>
        <w:rPr>
          <w:rFonts w:ascii="sans-serif" w:eastAsia="sans-serif" w:hAnsi="sans-serif" w:cs="sans-serif"/>
          <w:b/>
          <w:bCs/>
          <w:color w:val="76B900"/>
          <w:sz w:val="22"/>
          <w:szCs w:val="22"/>
        </w:rPr>
        <w:t>Adoption of New and Recently Issued Accounting Pronouncements</w:t>
      </w:r>
    </w:p>
    <w:p w14:paraId="1E8053F6" w14:textId="77777777" w:rsidR="00F20ABF" w:rsidRDefault="00CA4D2F">
      <w:pPr>
        <w:spacing w:after="180"/>
        <w:jc w:val="both"/>
      </w:pPr>
      <w:r>
        <w:rPr>
          <w:rFonts w:ascii="sans-serif" w:eastAsia="sans-serif" w:hAnsi="sans-serif" w:cs="sans-serif"/>
          <w:color w:val="000000"/>
          <w:sz w:val="20"/>
          <w:szCs w:val="20"/>
        </w:rPr>
        <w:t xml:space="preserve">Refer to Note </w:t>
      </w:r>
      <w:r>
        <w:rPr>
          <w:rFonts w:ascii="sans-serif" w:eastAsia="sans-serif" w:hAnsi="sans-serif" w:cs="sans-serif"/>
          <w:color w:val="000000"/>
          <w:sz w:val="20"/>
          <w:szCs w:val="20"/>
        </w:rPr>
        <w:t>1 of the Notes to Condensed Consolidated Financial Statements for a discussion of adoption of new and recently issued accounting pronouncements.</w:t>
      </w:r>
    </w:p>
    <w:p w14:paraId="1E8053F7" w14:textId="77777777" w:rsidR="00F20ABF" w:rsidRDefault="00CA4D2F">
      <w:pPr>
        <w:spacing w:before="240" w:after="120"/>
        <w:jc w:val="both"/>
      </w:pPr>
      <w:r>
        <w:rPr>
          <w:rFonts w:ascii="sans-serif" w:eastAsia="sans-serif" w:hAnsi="sans-serif" w:cs="sans-serif"/>
          <w:b/>
          <w:bCs/>
          <w:color w:val="76B900"/>
          <w:sz w:val="22"/>
          <w:szCs w:val="22"/>
        </w:rPr>
        <w:t>ITEM 3. QUANTITATIVE AND QUALITATIVE DISCLOSURES ABOUT MARKET RISK</w:t>
      </w:r>
    </w:p>
    <w:p w14:paraId="1E8053F8" w14:textId="77777777" w:rsidR="00F20ABF" w:rsidRDefault="00CA4D2F">
      <w:pPr>
        <w:spacing w:before="240" w:after="60"/>
        <w:jc w:val="both"/>
      </w:pPr>
      <w:r>
        <w:rPr>
          <w:rFonts w:ascii="sans-serif" w:eastAsia="sans-serif" w:hAnsi="sans-serif" w:cs="sans-serif"/>
          <w:b/>
          <w:bCs/>
          <w:color w:val="76B900"/>
          <w:sz w:val="20"/>
          <w:szCs w:val="20"/>
        </w:rPr>
        <w:t>Investment and Interest Rate Risk</w:t>
      </w:r>
    </w:p>
    <w:p w14:paraId="1E8053F9" w14:textId="77777777" w:rsidR="00F20ABF" w:rsidRDefault="00CA4D2F">
      <w:pPr>
        <w:spacing w:after="180"/>
        <w:jc w:val="both"/>
      </w:pPr>
      <w:r>
        <w:rPr>
          <w:rFonts w:ascii="sans-serif" w:eastAsia="sans-serif" w:hAnsi="sans-serif" w:cs="sans-serif"/>
          <w:color w:val="000000"/>
          <w:sz w:val="20"/>
          <w:szCs w:val="20"/>
        </w:rPr>
        <w:t xml:space="preserve">Financial </w:t>
      </w:r>
      <w:r>
        <w:rPr>
          <w:rFonts w:ascii="sans-serif" w:eastAsia="sans-serif" w:hAnsi="sans-serif" w:cs="sans-serif"/>
          <w:color w:val="000000"/>
          <w:sz w:val="20"/>
          <w:szCs w:val="20"/>
        </w:rPr>
        <w:t>market risks related to investment and interest rate risk are described in our Annual Report on Form 10-K for the fiscal year ended January 26, 2020. As of October 25, 2020, there have been no material changes, including the impact of the COVID-19 pandemic</w:t>
      </w:r>
      <w:r>
        <w:rPr>
          <w:rFonts w:ascii="sans-serif" w:eastAsia="sans-serif" w:hAnsi="sans-serif" w:cs="sans-serif"/>
          <w:color w:val="000000"/>
          <w:sz w:val="20"/>
          <w:szCs w:val="20"/>
        </w:rPr>
        <w:t>, to the financial market risks described as of January 26, 2020.</w:t>
      </w:r>
    </w:p>
    <w:p w14:paraId="1E8053FA" w14:textId="77777777" w:rsidR="00F20ABF" w:rsidRDefault="00CA4D2F">
      <w:pPr>
        <w:spacing w:before="240" w:after="60"/>
        <w:jc w:val="both"/>
      </w:pPr>
      <w:r>
        <w:rPr>
          <w:rFonts w:ascii="sans-serif" w:eastAsia="sans-serif" w:hAnsi="sans-serif" w:cs="sans-serif"/>
          <w:b/>
          <w:bCs/>
          <w:color w:val="76B900"/>
          <w:sz w:val="20"/>
          <w:szCs w:val="20"/>
        </w:rPr>
        <w:t xml:space="preserve">Foreign Exchange Rate Risk </w:t>
      </w:r>
    </w:p>
    <w:p w14:paraId="1E8053FB" w14:textId="77777777" w:rsidR="00F20ABF" w:rsidRDefault="00CA4D2F">
      <w:pPr>
        <w:spacing w:after="180"/>
        <w:jc w:val="both"/>
      </w:pPr>
      <w:r>
        <w:rPr>
          <w:rFonts w:ascii="sans-serif" w:eastAsia="sans-serif" w:hAnsi="sans-serif" w:cs="sans-serif"/>
          <w:color w:val="000000"/>
          <w:sz w:val="20"/>
          <w:szCs w:val="20"/>
        </w:rPr>
        <w:t>The impact of foreign currency transactions related to foreign exchange rate risk is described in our Annual Report on Form 10-K for the fiscal year ended January</w:t>
      </w:r>
      <w:r>
        <w:rPr>
          <w:rFonts w:ascii="sans-serif" w:eastAsia="sans-serif" w:hAnsi="sans-serif" w:cs="sans-serif"/>
          <w:color w:val="000000"/>
          <w:sz w:val="20"/>
          <w:szCs w:val="20"/>
        </w:rPr>
        <w:t> 26, 2020. As of October 25, 2020, there have been no material changes, including the impact of the COVID-19 pandemic, to the foreign exchange rate risks described as of January 26, 2020.</w:t>
      </w:r>
    </w:p>
    <w:p w14:paraId="1E8053FC" w14:textId="77777777" w:rsidR="00F20ABF" w:rsidRDefault="00CA4D2F">
      <w:pPr>
        <w:spacing w:after="180"/>
        <w:jc w:val="both"/>
      </w:pPr>
      <w:r>
        <w:rPr>
          <w:rFonts w:ascii="sans-serif" w:eastAsia="sans-serif" w:hAnsi="sans-serif" w:cs="sans-serif"/>
          <w:color w:val="000000"/>
          <w:sz w:val="20"/>
          <w:szCs w:val="20"/>
        </w:rPr>
        <w:t>Refer to Note 11 of the Notes to Condensed Consolidated Financial St</w:t>
      </w:r>
      <w:r>
        <w:rPr>
          <w:rFonts w:ascii="sans-serif" w:eastAsia="sans-serif" w:hAnsi="sans-serif" w:cs="sans-serif"/>
          <w:color w:val="000000"/>
          <w:sz w:val="20"/>
          <w:szCs w:val="20"/>
        </w:rPr>
        <w:t>atements for additional information.</w:t>
      </w:r>
    </w:p>
    <w:p w14:paraId="1E8053FD" w14:textId="77777777" w:rsidR="00F20ABF" w:rsidRDefault="00CA4D2F">
      <w:pPr>
        <w:spacing w:before="240" w:after="120"/>
        <w:jc w:val="both"/>
      </w:pPr>
      <w:r>
        <w:rPr>
          <w:rFonts w:ascii="sans-serif" w:eastAsia="sans-serif" w:hAnsi="sans-serif" w:cs="sans-serif"/>
          <w:b/>
          <w:bCs/>
          <w:color w:val="76B900"/>
          <w:sz w:val="22"/>
          <w:szCs w:val="22"/>
        </w:rPr>
        <w:t>ITEM 4. CONTROLS AND PROCEDURES</w:t>
      </w:r>
    </w:p>
    <w:p w14:paraId="1E8053FE" w14:textId="77777777" w:rsidR="00F20ABF" w:rsidRDefault="00CA4D2F">
      <w:pPr>
        <w:spacing w:before="240" w:after="60"/>
        <w:jc w:val="both"/>
      </w:pPr>
      <w:r>
        <w:rPr>
          <w:rFonts w:ascii="sans-serif" w:eastAsia="sans-serif" w:hAnsi="sans-serif" w:cs="sans-serif"/>
          <w:b/>
          <w:bCs/>
          <w:color w:val="76B900"/>
          <w:sz w:val="20"/>
          <w:szCs w:val="20"/>
        </w:rPr>
        <w:t>Controls and Procedures</w:t>
      </w:r>
    </w:p>
    <w:p w14:paraId="1E8053FF" w14:textId="77777777" w:rsidR="00F20ABF" w:rsidRDefault="00CA4D2F">
      <w:pPr>
        <w:spacing w:before="120" w:after="120"/>
        <w:jc w:val="both"/>
      </w:pPr>
      <w:r>
        <w:rPr>
          <w:rFonts w:ascii="sans-serif" w:eastAsia="sans-serif" w:hAnsi="sans-serif" w:cs="sans-serif"/>
          <w:b/>
          <w:bCs/>
          <w:color w:val="000000"/>
          <w:sz w:val="20"/>
          <w:szCs w:val="20"/>
        </w:rPr>
        <w:t>Disclosure Controls and Procedures</w:t>
      </w:r>
    </w:p>
    <w:p w14:paraId="1E805400" w14:textId="77777777" w:rsidR="00F20ABF" w:rsidRDefault="00CA4D2F">
      <w:pPr>
        <w:spacing w:after="180"/>
        <w:jc w:val="both"/>
      </w:pPr>
      <w:r>
        <w:rPr>
          <w:rFonts w:ascii="sans-serif" w:eastAsia="sans-serif" w:hAnsi="sans-serif" w:cs="sans-serif"/>
          <w:color w:val="000000"/>
          <w:sz w:val="20"/>
          <w:szCs w:val="20"/>
        </w:rPr>
        <w:t>Based on their evaluation as of October 25, 2020, our management, including our Chief Executive Officer and Chief Financial Offi</w:t>
      </w:r>
      <w:r>
        <w:rPr>
          <w:rFonts w:ascii="sans-serif" w:eastAsia="sans-serif" w:hAnsi="sans-serif" w:cs="sans-serif"/>
          <w:color w:val="000000"/>
          <w:sz w:val="20"/>
          <w:szCs w:val="20"/>
        </w:rPr>
        <w:t>cer, has concluded that our disclosure controls and procedures (as defined in Rule 13a-15(e) under the Securities Exchange Act of 1934, as amended) were effective to provide reasonable assurance.</w:t>
      </w:r>
    </w:p>
    <w:p w14:paraId="1E805401" w14:textId="77777777" w:rsidR="00F20ABF" w:rsidRDefault="00CA4D2F">
      <w:pPr>
        <w:spacing w:before="120" w:after="120"/>
        <w:jc w:val="both"/>
      </w:pPr>
      <w:r>
        <w:rPr>
          <w:rFonts w:ascii="sans-serif" w:eastAsia="sans-serif" w:hAnsi="sans-serif" w:cs="sans-serif"/>
          <w:b/>
          <w:bCs/>
          <w:color w:val="000000"/>
          <w:sz w:val="20"/>
          <w:szCs w:val="20"/>
        </w:rPr>
        <w:t>Changes in Internal Control Over Financial Reporting</w:t>
      </w:r>
    </w:p>
    <w:p w14:paraId="1E805402" w14:textId="77777777" w:rsidR="00F20ABF" w:rsidRDefault="00CA4D2F">
      <w:pPr>
        <w:spacing w:after="180"/>
        <w:jc w:val="both"/>
      </w:pPr>
      <w:r>
        <w:rPr>
          <w:rFonts w:ascii="sans-serif" w:eastAsia="sans-serif" w:hAnsi="sans-serif" w:cs="sans-serif"/>
          <w:color w:val="000000"/>
          <w:sz w:val="20"/>
          <w:szCs w:val="20"/>
        </w:rPr>
        <w:t>Other t</w:t>
      </w:r>
      <w:r>
        <w:rPr>
          <w:rFonts w:ascii="sans-serif" w:eastAsia="sans-serif" w:hAnsi="sans-serif" w:cs="sans-serif"/>
          <w:color w:val="000000"/>
          <w:sz w:val="20"/>
          <w:szCs w:val="20"/>
        </w:rPr>
        <w:t>han the acquisition of Mellanox that occurred during the second quarter of fiscal year 2021, there were no changes in our internal control over financial reporting during the third quarter of fiscal year 2021 that have materially affected, or are reasonabl</w:t>
      </w:r>
      <w:r>
        <w:rPr>
          <w:rFonts w:ascii="sans-serif" w:eastAsia="sans-serif" w:hAnsi="sans-serif" w:cs="sans-serif"/>
          <w:color w:val="000000"/>
          <w:sz w:val="20"/>
          <w:szCs w:val="20"/>
        </w:rPr>
        <w:t>y likely to materially affect, our internal control over financial reporting despite the fact that virtually all of our employees are working remotely due to the COVID-19 pandemic. We are continually monitoring and assessing the COVID-19 situation on our i</w:t>
      </w:r>
      <w:r>
        <w:rPr>
          <w:rFonts w:ascii="sans-serif" w:eastAsia="sans-serif" w:hAnsi="sans-serif" w:cs="sans-serif"/>
          <w:color w:val="000000"/>
          <w:sz w:val="20"/>
          <w:szCs w:val="20"/>
        </w:rPr>
        <w:t>nternal controls to minimize the impact on their operating effectiveness. We are in the process of integrating Mellanox into our systems and control environment. We believe that we have taken the necessary steps to monitor and maintain appropriate internal</w:t>
      </w:r>
      <w:r>
        <w:rPr>
          <w:rFonts w:ascii="sans-serif" w:eastAsia="sans-serif" w:hAnsi="sans-serif" w:cs="sans-serif"/>
          <w:color w:val="000000"/>
          <w:sz w:val="20"/>
          <w:szCs w:val="20"/>
        </w:rPr>
        <w:t xml:space="preserve"> control over financial reporting during this integration.</w:t>
      </w:r>
    </w:p>
    <w:p w14:paraId="1E805403" w14:textId="77777777" w:rsidR="00F20ABF" w:rsidRDefault="00CA4D2F">
      <w:pPr>
        <w:spacing w:before="120" w:after="120"/>
        <w:jc w:val="both"/>
      </w:pPr>
      <w:r>
        <w:rPr>
          <w:rFonts w:ascii="sans-serif" w:eastAsia="sans-serif" w:hAnsi="sans-serif" w:cs="sans-serif"/>
          <w:b/>
          <w:bCs/>
          <w:color w:val="000000"/>
          <w:sz w:val="20"/>
          <w:szCs w:val="20"/>
        </w:rPr>
        <w:t>Inherent Limitations on Effectiveness of Controls</w:t>
      </w:r>
    </w:p>
    <w:p w14:paraId="1E805404" w14:textId="77777777" w:rsidR="00F20ABF" w:rsidRDefault="00CA4D2F">
      <w:pPr>
        <w:spacing w:after="180"/>
        <w:jc w:val="both"/>
      </w:pPr>
      <w:r>
        <w:rPr>
          <w:rFonts w:ascii="sans-serif" w:eastAsia="sans-serif" w:hAnsi="sans-serif" w:cs="sans-serif"/>
          <w:color w:val="000000"/>
          <w:sz w:val="20"/>
          <w:szCs w:val="20"/>
        </w:rPr>
        <w:t>Our management, including our Chief Executive Officer and Chief Financial Officer, does not expect that our disclosure controls and procedures or o</w:t>
      </w:r>
      <w:r>
        <w:rPr>
          <w:rFonts w:ascii="sans-serif" w:eastAsia="sans-serif" w:hAnsi="sans-serif" w:cs="sans-serif"/>
          <w:color w:val="000000"/>
          <w:sz w:val="20"/>
          <w:szCs w:val="20"/>
        </w:rPr>
        <w:t>ur internal controls, will prevent all error and all fraud. A control system, no matter how well conceived and operated, can provide only reasonable, not absolute, assurance that the objectives of the control system are met. Further, the design of a contro</w:t>
      </w:r>
      <w:r>
        <w:rPr>
          <w:rFonts w:ascii="sans-serif" w:eastAsia="sans-serif" w:hAnsi="sans-serif" w:cs="sans-serif"/>
          <w:color w:val="000000"/>
          <w:sz w:val="20"/>
          <w:szCs w:val="20"/>
        </w:rPr>
        <w:t>l system must reflect the fact that there are resource constraints, and the benefits of controls must be considered relative to their costs. Because of the inherent limitations in all control systems, no evaluation of controls can provide absolute assuranc</w:t>
      </w:r>
      <w:r>
        <w:rPr>
          <w:rFonts w:ascii="sans-serif" w:eastAsia="sans-serif" w:hAnsi="sans-serif" w:cs="sans-serif"/>
          <w:color w:val="000000"/>
          <w:sz w:val="20"/>
          <w:szCs w:val="20"/>
        </w:rPr>
        <w:t>e that all control issues and instances of fraud, if any, within NVIDIA have been detected.</w:t>
      </w:r>
    </w:p>
    <w:p w14:paraId="1E805405" w14:textId="77777777" w:rsidR="00F20ABF" w:rsidRDefault="00CA4D2F">
      <w:pPr>
        <w:spacing w:before="240" w:after="120"/>
        <w:jc w:val="both"/>
      </w:pPr>
      <w:r>
        <w:rPr>
          <w:rFonts w:ascii="sans-serif" w:eastAsia="sans-serif" w:hAnsi="sans-serif" w:cs="sans-serif"/>
          <w:b/>
          <w:bCs/>
          <w:color w:val="76B900"/>
          <w:sz w:val="22"/>
          <w:szCs w:val="22"/>
        </w:rPr>
        <w:t>PART II. OTHER INFORMATION</w:t>
      </w:r>
    </w:p>
    <w:p w14:paraId="1E805406" w14:textId="77777777" w:rsidR="00F20ABF" w:rsidRDefault="00CA4D2F">
      <w:pPr>
        <w:spacing w:before="240" w:after="120"/>
        <w:jc w:val="both"/>
      </w:pPr>
      <w:r>
        <w:rPr>
          <w:rFonts w:ascii="sans-serif" w:eastAsia="sans-serif" w:hAnsi="sans-serif" w:cs="sans-serif"/>
          <w:b/>
          <w:bCs/>
          <w:color w:val="76B900"/>
          <w:sz w:val="22"/>
          <w:szCs w:val="22"/>
        </w:rPr>
        <w:t>ITEM 1. LEGAL PROCEEDINGS</w:t>
      </w:r>
    </w:p>
    <w:p w14:paraId="1E805407" w14:textId="77777777" w:rsidR="00F20ABF" w:rsidRDefault="00CA4D2F">
      <w:pPr>
        <w:spacing w:after="180"/>
        <w:jc w:val="both"/>
      </w:pPr>
      <w:r>
        <w:rPr>
          <w:rFonts w:ascii="sans-serif" w:eastAsia="sans-serif" w:hAnsi="sans-serif" w:cs="sans-serif"/>
          <w:color w:val="000000"/>
          <w:sz w:val="20"/>
          <w:szCs w:val="20"/>
        </w:rPr>
        <w:t>Refer to Part I, Item 1, Note 13 of the Notes to Condensed Consolidated Financial Statements for a discussion o</w:t>
      </w:r>
      <w:r>
        <w:rPr>
          <w:rFonts w:ascii="sans-serif" w:eastAsia="sans-serif" w:hAnsi="sans-serif" w:cs="sans-serif"/>
          <w:color w:val="000000"/>
          <w:sz w:val="20"/>
          <w:szCs w:val="20"/>
        </w:rPr>
        <w:t>f significant developments in our legal proceedings since January 26, 2020. Also refer to Item 3, “Legal Proceedings” in our Annual Report on Form 10-K for the fiscal year ended January 26, 2020 for a prior discussion of our legal proceedings.</w:t>
      </w:r>
    </w:p>
    <w:p w14:paraId="1E805408" w14:textId="77777777" w:rsidR="00F20ABF" w:rsidRDefault="00F20ABF">
      <w:pPr>
        <w:spacing w:before="240" w:after="120"/>
        <w:jc w:val="both"/>
      </w:pPr>
    </w:p>
    <w:p w14:paraId="1E805409" w14:textId="77777777" w:rsidR="00F20ABF" w:rsidRDefault="00CA4D2F">
      <w:pPr>
        <w:spacing w:after="180"/>
        <w:jc w:val="center"/>
      </w:pPr>
      <w:r>
        <w:rPr>
          <w:rFonts w:ascii="sans-serif" w:eastAsia="sans-serif" w:hAnsi="sans-serif" w:cs="sans-serif"/>
          <w:color w:val="000000"/>
          <w:sz w:val="20"/>
          <w:szCs w:val="20"/>
        </w:rPr>
        <w:t>35</w:t>
      </w:r>
    </w:p>
    <w:p w14:paraId="1E80540A" w14:textId="77777777" w:rsidR="00F20ABF" w:rsidRDefault="00CA4D2F">
      <w:r>
        <w:pict w14:anchorId="1E80559E">
          <v:rect id="_x0000_i1059" style="width:415.3pt;height:1.5pt" o:hralign="center" o:hrstd="t" o:hr="t" fillcolor="#a0a0a0" stroked="f"/>
        </w:pict>
      </w:r>
    </w:p>
    <w:p w14:paraId="1E80540B" w14:textId="77777777" w:rsidR="00F20ABF" w:rsidRDefault="00F20ABF">
      <w:pPr>
        <w:spacing w:after="180"/>
        <w:jc w:val="both"/>
      </w:pPr>
    </w:p>
    <w:p w14:paraId="1E80540C" w14:textId="77777777" w:rsidR="00F20ABF" w:rsidRDefault="00F20ABF">
      <w:pPr>
        <w:spacing w:after="180"/>
        <w:jc w:val="both"/>
      </w:pPr>
    </w:p>
    <w:p w14:paraId="1E80540D" w14:textId="77777777" w:rsidR="00F20ABF" w:rsidRDefault="00F20ABF">
      <w:pPr>
        <w:spacing w:after="180"/>
        <w:jc w:val="both"/>
      </w:pPr>
    </w:p>
    <w:p w14:paraId="1E80540E" w14:textId="77777777" w:rsidR="00F20ABF" w:rsidRDefault="00CA4D2F">
      <w:pPr>
        <w:spacing w:before="240" w:after="120"/>
        <w:jc w:val="both"/>
      </w:pPr>
      <w:r>
        <w:rPr>
          <w:rFonts w:ascii="sans-serif" w:eastAsia="sans-serif" w:hAnsi="sans-serif" w:cs="sans-serif"/>
          <w:b/>
          <w:bCs/>
          <w:color w:val="76B900"/>
          <w:sz w:val="22"/>
          <w:szCs w:val="22"/>
        </w:rPr>
        <w:t>ITEM 1A. RISK FACTORS</w:t>
      </w:r>
    </w:p>
    <w:p w14:paraId="1E80540F" w14:textId="77777777" w:rsidR="00F20ABF" w:rsidRDefault="00CA4D2F">
      <w:pPr>
        <w:spacing w:after="180"/>
        <w:jc w:val="both"/>
      </w:pPr>
      <w:r>
        <w:rPr>
          <w:rFonts w:ascii="sans-serif" w:eastAsia="sans-serif" w:hAnsi="sans-serif" w:cs="sans-serif"/>
          <w:color w:val="000000"/>
          <w:sz w:val="20"/>
          <w:szCs w:val="20"/>
        </w:rPr>
        <w:t>Other than the risk factors listed below, there have been no material changes from the risk factors previously described under Item 1A of our Annual Report on Form 10-K for the fiscal year ended January 26, 2020 and Item 1A of our Qua</w:t>
      </w:r>
      <w:r>
        <w:rPr>
          <w:rFonts w:ascii="sans-serif" w:eastAsia="sans-serif" w:hAnsi="sans-serif" w:cs="sans-serif"/>
          <w:color w:val="000000"/>
          <w:sz w:val="20"/>
          <w:szCs w:val="20"/>
        </w:rPr>
        <w:t>rterly Reports on Form 10-Q for the fiscal quarters ended April 26, 2020 and July 26, 2020.</w:t>
      </w:r>
    </w:p>
    <w:p w14:paraId="1E805410" w14:textId="77777777" w:rsidR="00F20ABF" w:rsidRDefault="00CA4D2F">
      <w:pPr>
        <w:spacing w:after="180"/>
        <w:jc w:val="both"/>
      </w:pPr>
      <w:r>
        <w:rPr>
          <w:rFonts w:ascii="sans-serif" w:eastAsia="sans-serif" w:hAnsi="sans-serif" w:cs="sans-serif"/>
          <w:color w:val="000000"/>
          <w:sz w:val="20"/>
          <w:szCs w:val="20"/>
        </w:rPr>
        <w:t>Before you buy our common stock, you should know that making such an investment involves some risks including, but not limited to, the risks described in Item 1A of</w:t>
      </w:r>
      <w:r>
        <w:rPr>
          <w:rFonts w:ascii="sans-serif" w:eastAsia="sans-serif" w:hAnsi="sans-serif" w:cs="sans-serif"/>
          <w:color w:val="000000"/>
          <w:sz w:val="20"/>
          <w:szCs w:val="20"/>
        </w:rPr>
        <w:t xml:space="preserve"> our Annual Report on Form 10-K for the fiscal year ended January 26, 2020 and Item 1A of our Quarterly Reports on Form 10-Q for the fiscal quarters ended April 26, 2020 and July 26, 2020. Additionally, any one of those risks could harm our business, finan</w:t>
      </w:r>
      <w:r>
        <w:rPr>
          <w:rFonts w:ascii="sans-serif" w:eastAsia="sans-serif" w:hAnsi="sans-serif" w:cs="sans-serif"/>
          <w:color w:val="000000"/>
          <w:sz w:val="20"/>
          <w:szCs w:val="20"/>
        </w:rPr>
        <w:t>cial condition and results of operations, which could cause our stock price to decline. Additional risks and uncertainties not presently known to us or that we currently deem immaterial may also impair our business operations.</w:t>
      </w:r>
    </w:p>
    <w:p w14:paraId="1E805411" w14:textId="77777777" w:rsidR="00F20ABF" w:rsidRDefault="00CA4D2F">
      <w:pPr>
        <w:spacing w:before="120" w:after="120"/>
        <w:jc w:val="both"/>
      </w:pPr>
      <w:r>
        <w:rPr>
          <w:rFonts w:ascii="sans-serif" w:eastAsia="sans-serif" w:hAnsi="sans-serif" w:cs="sans-serif"/>
          <w:b/>
          <w:bCs/>
          <w:color w:val="000000"/>
          <w:sz w:val="20"/>
          <w:szCs w:val="20"/>
        </w:rPr>
        <w:t>We may not be able to realize</w:t>
      </w:r>
      <w:r>
        <w:rPr>
          <w:rFonts w:ascii="sans-serif" w:eastAsia="sans-serif" w:hAnsi="sans-serif" w:cs="sans-serif"/>
          <w:b/>
          <w:bCs/>
          <w:color w:val="000000"/>
          <w:sz w:val="20"/>
          <w:szCs w:val="20"/>
        </w:rPr>
        <w:t xml:space="preserve"> the potential financial or strategic benefits of business acquisitions or strategic investments, including the Mellanox and Arm acquisitions, and we may not be able to successfully integrate acquisition targets, which could hurt our ability to grow our bu</w:t>
      </w:r>
      <w:r>
        <w:rPr>
          <w:rFonts w:ascii="sans-serif" w:eastAsia="sans-serif" w:hAnsi="sans-serif" w:cs="sans-serif"/>
          <w:b/>
          <w:bCs/>
          <w:color w:val="000000"/>
          <w:sz w:val="20"/>
          <w:szCs w:val="20"/>
        </w:rPr>
        <w:t>siness, develop new products or sell our products.</w:t>
      </w:r>
    </w:p>
    <w:p w14:paraId="1E805412" w14:textId="77777777" w:rsidR="00F20ABF" w:rsidRDefault="00CA4D2F">
      <w:pPr>
        <w:spacing w:after="180"/>
        <w:jc w:val="both"/>
      </w:pPr>
      <w:r>
        <w:rPr>
          <w:rFonts w:ascii="sans-serif" w:eastAsia="sans-serif" w:hAnsi="sans-serif" w:cs="sans-serif"/>
          <w:color w:val="000000"/>
          <w:sz w:val="20"/>
          <w:szCs w:val="20"/>
        </w:rPr>
        <w:t>We have in the past acquired and invested in, and may continue to acquire and invest in, other businesses that offer products, services and technologies that we believe will help expand or enhance our exis</w:t>
      </w:r>
      <w:r>
        <w:rPr>
          <w:rFonts w:ascii="sans-serif" w:eastAsia="sans-serif" w:hAnsi="sans-serif" w:cs="sans-serif"/>
          <w:color w:val="000000"/>
          <w:sz w:val="20"/>
          <w:szCs w:val="20"/>
        </w:rPr>
        <w:t>ting products, strategic objectives and business. We completed our acquisition of Mellanox for approximately $7 billion on April 27, 2020. In September 2020, we announced our agreement to acquire all of the allotted and issued ordinary shares of Arm in a t</w:t>
      </w:r>
      <w:r>
        <w:rPr>
          <w:rFonts w:ascii="sans-serif" w:eastAsia="sans-serif" w:hAnsi="sans-serif" w:cs="sans-serif"/>
          <w:color w:val="000000"/>
          <w:sz w:val="20"/>
          <w:szCs w:val="20"/>
        </w:rPr>
        <w:t>ransaction valued at $40 billion. The Mellanox acquisition, the Arm acquisition and other past or future acquisitions or investments involve significant challenges and risks, and could impair our ability to grow our business, develop new products or sell o</w:t>
      </w:r>
      <w:r>
        <w:rPr>
          <w:rFonts w:ascii="sans-serif" w:eastAsia="sans-serif" w:hAnsi="sans-serif" w:cs="sans-serif"/>
          <w:color w:val="000000"/>
          <w:sz w:val="20"/>
          <w:szCs w:val="20"/>
        </w:rPr>
        <w:t>ur products, and ultimately could have a negative impact on our growth or our financial results. Given that our resources are limited, our decision to pursue a transaction has opportunity costs; accordingly, if we pursue a particular transaction, we may ne</w:t>
      </w:r>
      <w:r>
        <w:rPr>
          <w:rFonts w:ascii="sans-serif" w:eastAsia="sans-serif" w:hAnsi="sans-serif" w:cs="sans-serif"/>
          <w:color w:val="000000"/>
          <w:sz w:val="20"/>
          <w:szCs w:val="20"/>
        </w:rPr>
        <w:t>ed to forgo the prospect of entering into other transactions that could help us achieve our strategic objectives. Additional risks related to the Mellanox acquisition, the Arm acquisition and other acquisitions or strategic investments include, but are not</w:t>
      </w:r>
      <w:r>
        <w:rPr>
          <w:rFonts w:ascii="sans-serif" w:eastAsia="sans-serif" w:hAnsi="sans-serif" w:cs="sans-serif"/>
          <w:color w:val="000000"/>
          <w:sz w:val="20"/>
          <w:szCs w:val="20"/>
        </w:rPr>
        <w:t xml:space="preserve"> limited to:</w:t>
      </w:r>
    </w:p>
    <w:p w14:paraId="1E805413" w14:textId="77777777" w:rsidR="00F20ABF" w:rsidRDefault="00CA4D2F">
      <w:pPr>
        <w:spacing w:after="180"/>
        <w:ind w:hanging="360"/>
        <w:jc w:val="both"/>
      </w:pPr>
      <w:r>
        <w:rPr>
          <w:rFonts w:ascii="sans-serif" w:eastAsia="sans-serif" w:hAnsi="sans-serif" w:cs="sans-serif"/>
          <w:color w:val="000000"/>
          <w:sz w:val="20"/>
          <w:szCs w:val="20"/>
        </w:rPr>
        <w:t>•difficulty in combining the technology, products, operations or workforce of the acquired business with our business;</w:t>
      </w:r>
    </w:p>
    <w:p w14:paraId="1E805414" w14:textId="77777777" w:rsidR="00F20ABF" w:rsidRDefault="00CA4D2F">
      <w:pPr>
        <w:spacing w:after="180"/>
        <w:ind w:hanging="360"/>
        <w:jc w:val="both"/>
      </w:pPr>
      <w:r>
        <w:rPr>
          <w:rFonts w:ascii="sans-serif" w:eastAsia="sans-serif" w:hAnsi="sans-serif" w:cs="sans-serif"/>
          <w:color w:val="000000"/>
          <w:sz w:val="20"/>
          <w:szCs w:val="20"/>
        </w:rPr>
        <w:t>•diversion of capital and other resources, including management’s attention;</w:t>
      </w:r>
    </w:p>
    <w:p w14:paraId="1E805415" w14:textId="77777777" w:rsidR="00F20ABF" w:rsidRDefault="00CA4D2F">
      <w:pPr>
        <w:spacing w:after="180"/>
        <w:ind w:hanging="360"/>
        <w:jc w:val="both"/>
      </w:pPr>
      <w:r>
        <w:rPr>
          <w:rFonts w:ascii="sans-serif" w:eastAsia="sans-serif" w:hAnsi="sans-serif" w:cs="sans-serif"/>
          <w:color w:val="000000"/>
          <w:sz w:val="20"/>
          <w:szCs w:val="20"/>
        </w:rPr>
        <w:t>•assumption of liabilities and incurring amorti</w:t>
      </w:r>
      <w:r>
        <w:rPr>
          <w:rFonts w:ascii="sans-serif" w:eastAsia="sans-serif" w:hAnsi="sans-serif" w:cs="sans-serif"/>
          <w:color w:val="000000"/>
          <w:sz w:val="20"/>
          <w:szCs w:val="20"/>
        </w:rPr>
        <w:t>zation expenses, impairment charges to goodwill or write-downs of acquired assets;</w:t>
      </w:r>
    </w:p>
    <w:p w14:paraId="1E805416" w14:textId="77777777" w:rsidR="00F20ABF" w:rsidRDefault="00CA4D2F">
      <w:pPr>
        <w:spacing w:after="180"/>
        <w:ind w:hanging="360"/>
        <w:jc w:val="both"/>
      </w:pPr>
      <w:r>
        <w:rPr>
          <w:rFonts w:ascii="sans-serif" w:eastAsia="sans-serif" w:hAnsi="sans-serif" w:cs="sans-serif"/>
          <w:color w:val="000000"/>
          <w:sz w:val="20"/>
          <w:szCs w:val="20"/>
        </w:rPr>
        <w:t>•integrating financial forecasting and controls, procedures and reporting cycles;</w:t>
      </w:r>
    </w:p>
    <w:p w14:paraId="1E805417" w14:textId="77777777" w:rsidR="00F20ABF" w:rsidRDefault="00CA4D2F">
      <w:pPr>
        <w:spacing w:after="180"/>
        <w:ind w:hanging="360"/>
        <w:jc w:val="both"/>
      </w:pPr>
      <w:r>
        <w:rPr>
          <w:rFonts w:ascii="sans-serif" w:eastAsia="sans-serif" w:hAnsi="sans-serif" w:cs="sans-serif"/>
          <w:color w:val="000000"/>
          <w:sz w:val="20"/>
          <w:szCs w:val="20"/>
        </w:rPr>
        <w:t>•coordinating and integrating operations in countries in which we have not previously opera</w:t>
      </w:r>
      <w:r>
        <w:rPr>
          <w:rFonts w:ascii="sans-serif" w:eastAsia="sans-serif" w:hAnsi="sans-serif" w:cs="sans-serif"/>
          <w:color w:val="000000"/>
          <w:sz w:val="20"/>
          <w:szCs w:val="20"/>
        </w:rPr>
        <w:t>ted;</w:t>
      </w:r>
    </w:p>
    <w:p w14:paraId="1E805418" w14:textId="77777777" w:rsidR="00F20ABF" w:rsidRDefault="00CA4D2F">
      <w:pPr>
        <w:spacing w:after="180"/>
        <w:ind w:hanging="360"/>
        <w:jc w:val="both"/>
      </w:pPr>
      <w:r>
        <w:rPr>
          <w:rFonts w:ascii="sans-serif" w:eastAsia="sans-serif" w:hAnsi="sans-serif" w:cs="sans-serif"/>
          <w:color w:val="000000"/>
          <w:sz w:val="20"/>
          <w:szCs w:val="20"/>
        </w:rPr>
        <w:t>•acquiring business challenges and risks, including, but not limited to, disputes with management and integrating international operations and joint ventures;</w:t>
      </w:r>
    </w:p>
    <w:p w14:paraId="1E805419" w14:textId="77777777" w:rsidR="00F20ABF" w:rsidRDefault="00CA4D2F">
      <w:pPr>
        <w:spacing w:after="180"/>
        <w:ind w:hanging="360"/>
        <w:jc w:val="both"/>
      </w:pPr>
      <w:r>
        <w:rPr>
          <w:rFonts w:ascii="sans-serif" w:eastAsia="sans-serif" w:hAnsi="sans-serif" w:cs="sans-serif"/>
          <w:color w:val="000000"/>
          <w:sz w:val="20"/>
          <w:szCs w:val="20"/>
        </w:rPr>
        <w:t>•difficulty in realizing a satisfactory return, if at all;</w:t>
      </w:r>
    </w:p>
    <w:p w14:paraId="1E80541A" w14:textId="77777777" w:rsidR="00F20ABF" w:rsidRDefault="00CA4D2F">
      <w:pPr>
        <w:spacing w:after="180"/>
        <w:ind w:hanging="360"/>
        <w:jc w:val="both"/>
      </w:pPr>
      <w:r>
        <w:rPr>
          <w:rFonts w:ascii="sans-serif" w:eastAsia="sans-serif" w:hAnsi="sans-serif" w:cs="sans-serif"/>
          <w:color w:val="000000"/>
          <w:sz w:val="20"/>
          <w:szCs w:val="20"/>
        </w:rPr>
        <w:t xml:space="preserve">•difficulty in obtaining or </w:t>
      </w:r>
      <w:r>
        <w:rPr>
          <w:rFonts w:ascii="sans-serif" w:eastAsia="sans-serif" w:hAnsi="sans-serif" w:cs="sans-serif"/>
          <w:color w:val="000000"/>
          <w:sz w:val="20"/>
          <w:szCs w:val="20"/>
        </w:rPr>
        <w:t>inability to obtain governmental and regulatory consents and approvals, other approvals or financing;</w:t>
      </w:r>
    </w:p>
    <w:p w14:paraId="1E80541B" w14:textId="77777777" w:rsidR="00F20ABF" w:rsidRDefault="00CA4D2F">
      <w:pPr>
        <w:spacing w:after="180"/>
        <w:ind w:hanging="360"/>
        <w:jc w:val="both"/>
      </w:pPr>
      <w:r>
        <w:rPr>
          <w:rFonts w:ascii="sans-serif" w:eastAsia="sans-serif" w:hAnsi="sans-serif" w:cs="sans-serif"/>
          <w:color w:val="000000"/>
          <w:sz w:val="20"/>
          <w:szCs w:val="20"/>
        </w:rPr>
        <w:t>•the potential impact on our stock price and financial results if we are unable to obtain regulatory approval for an acquisition, are required to pay reve</w:t>
      </w:r>
      <w:r>
        <w:rPr>
          <w:rFonts w:ascii="sans-serif" w:eastAsia="sans-serif" w:hAnsi="sans-serif" w:cs="sans-serif"/>
          <w:color w:val="000000"/>
          <w:sz w:val="20"/>
          <w:szCs w:val="20"/>
        </w:rPr>
        <w:t>rse breakup fees or are otherwise unable to close an acquisition;</w:t>
      </w:r>
    </w:p>
    <w:p w14:paraId="1E80541C" w14:textId="77777777" w:rsidR="00F20ABF" w:rsidRDefault="00CA4D2F">
      <w:pPr>
        <w:spacing w:after="180"/>
        <w:ind w:hanging="360"/>
        <w:jc w:val="both"/>
      </w:pPr>
      <w:r>
        <w:rPr>
          <w:rFonts w:ascii="sans-serif" w:eastAsia="sans-serif" w:hAnsi="sans-serif" w:cs="sans-serif"/>
          <w:color w:val="000000"/>
          <w:sz w:val="20"/>
          <w:szCs w:val="20"/>
        </w:rPr>
        <w:t>•failure and costs associated with the failure to consummate a proposed acquisition or other strategic investment;</w:t>
      </w:r>
    </w:p>
    <w:p w14:paraId="1E80541D" w14:textId="77777777" w:rsidR="00F20ABF" w:rsidRDefault="00CA4D2F">
      <w:pPr>
        <w:spacing w:after="180"/>
        <w:ind w:hanging="360"/>
        <w:jc w:val="both"/>
      </w:pPr>
      <w:r>
        <w:rPr>
          <w:rFonts w:ascii="sans-serif" w:eastAsia="sans-serif" w:hAnsi="sans-serif" w:cs="sans-serif"/>
          <w:color w:val="000000"/>
          <w:sz w:val="20"/>
          <w:szCs w:val="20"/>
        </w:rPr>
        <w:t>•legal proceedings initiated as a result of an acquisition or investment;</w:t>
      </w:r>
    </w:p>
    <w:p w14:paraId="1E80541E" w14:textId="77777777" w:rsidR="00F20ABF" w:rsidRDefault="00CA4D2F">
      <w:pPr>
        <w:spacing w:after="180"/>
        <w:ind w:hanging="360"/>
        <w:jc w:val="both"/>
      </w:pPr>
      <w:r>
        <w:rPr>
          <w:rFonts w:ascii="sans-serif" w:eastAsia="sans-serif" w:hAnsi="sans-serif" w:cs="sans-serif"/>
          <w:color w:val="000000"/>
          <w:sz w:val="20"/>
          <w:szCs w:val="20"/>
        </w:rPr>
        <w:t>•</w:t>
      </w:r>
      <w:r>
        <w:rPr>
          <w:rFonts w:ascii="sans-serif" w:eastAsia="sans-serif" w:hAnsi="sans-serif" w:cs="sans-serif"/>
          <w:color w:val="000000"/>
          <w:sz w:val="20"/>
          <w:szCs w:val="20"/>
        </w:rPr>
        <w:t>the potential for our acquisitions to result in dilutive issuances of our equity securities;</w:t>
      </w:r>
    </w:p>
    <w:p w14:paraId="1E80541F" w14:textId="77777777" w:rsidR="00F20ABF" w:rsidRDefault="00CA4D2F">
      <w:pPr>
        <w:spacing w:after="180"/>
        <w:ind w:hanging="360"/>
        <w:jc w:val="both"/>
      </w:pPr>
      <w:r>
        <w:rPr>
          <w:rFonts w:ascii="sans-serif" w:eastAsia="sans-serif" w:hAnsi="sans-serif" w:cs="sans-serif"/>
          <w:color w:val="000000"/>
          <w:sz w:val="20"/>
          <w:szCs w:val="20"/>
        </w:rPr>
        <w:t>•the potential variability of the amount and form of any performance-based consideration;</w:t>
      </w:r>
    </w:p>
    <w:p w14:paraId="1E805420" w14:textId="77777777" w:rsidR="00F20ABF" w:rsidRDefault="00CA4D2F">
      <w:pPr>
        <w:spacing w:after="180"/>
        <w:ind w:hanging="360"/>
        <w:jc w:val="both"/>
      </w:pPr>
      <w:r>
        <w:rPr>
          <w:rFonts w:ascii="sans-serif" w:eastAsia="sans-serif" w:hAnsi="sans-serif" w:cs="sans-serif"/>
          <w:color w:val="000000"/>
          <w:sz w:val="20"/>
          <w:szCs w:val="20"/>
        </w:rPr>
        <w:t xml:space="preserve">•uncertainties and time needed to realize the benefits of an acquisition </w:t>
      </w:r>
      <w:r>
        <w:rPr>
          <w:rFonts w:ascii="sans-serif" w:eastAsia="sans-serif" w:hAnsi="sans-serif" w:cs="sans-serif"/>
          <w:color w:val="000000"/>
          <w:sz w:val="20"/>
          <w:szCs w:val="20"/>
        </w:rPr>
        <w:t>or strategic investment, if at all;</w:t>
      </w:r>
    </w:p>
    <w:p w14:paraId="1E805421" w14:textId="77777777" w:rsidR="00F20ABF" w:rsidRDefault="00CA4D2F">
      <w:pPr>
        <w:spacing w:after="180"/>
        <w:jc w:val="center"/>
      </w:pPr>
      <w:r>
        <w:rPr>
          <w:rFonts w:ascii="sans-serif" w:eastAsia="sans-serif" w:hAnsi="sans-serif" w:cs="sans-serif"/>
          <w:color w:val="000000"/>
          <w:sz w:val="20"/>
          <w:szCs w:val="20"/>
        </w:rPr>
        <w:t>36</w:t>
      </w:r>
    </w:p>
    <w:p w14:paraId="1E805422" w14:textId="77777777" w:rsidR="00F20ABF" w:rsidRDefault="00CA4D2F">
      <w:r>
        <w:pict w14:anchorId="1E80559F">
          <v:rect id="_x0000_i1060" style="width:415.3pt;height:1.5pt" o:hralign="center" o:hrstd="t" o:hr="t" fillcolor="#a0a0a0" stroked="f"/>
        </w:pict>
      </w:r>
    </w:p>
    <w:p w14:paraId="1E805423" w14:textId="77777777" w:rsidR="00F20ABF" w:rsidRDefault="00F20ABF">
      <w:pPr>
        <w:spacing w:after="180"/>
        <w:jc w:val="both"/>
      </w:pPr>
    </w:p>
    <w:p w14:paraId="1E805424" w14:textId="77777777" w:rsidR="00F20ABF" w:rsidRDefault="00F20ABF">
      <w:pPr>
        <w:spacing w:after="180"/>
        <w:jc w:val="both"/>
      </w:pPr>
    </w:p>
    <w:p w14:paraId="1E805425" w14:textId="77777777" w:rsidR="00F20ABF" w:rsidRDefault="00F20ABF">
      <w:pPr>
        <w:spacing w:after="180"/>
        <w:jc w:val="both"/>
      </w:pPr>
    </w:p>
    <w:p w14:paraId="1E805426" w14:textId="77777777" w:rsidR="00F20ABF" w:rsidRDefault="00CA4D2F">
      <w:pPr>
        <w:spacing w:after="180"/>
        <w:ind w:hanging="360"/>
        <w:jc w:val="both"/>
      </w:pPr>
      <w:r>
        <w:rPr>
          <w:rFonts w:ascii="sans-serif" w:eastAsia="sans-serif" w:hAnsi="sans-serif" w:cs="sans-serif"/>
          <w:color w:val="000000"/>
          <w:sz w:val="20"/>
          <w:szCs w:val="20"/>
        </w:rPr>
        <w:t>•negative changes in general economic conditions in the regions or the industries in which we or our target operate;</w:t>
      </w:r>
    </w:p>
    <w:p w14:paraId="1E805427" w14:textId="77777777" w:rsidR="00F20ABF" w:rsidRDefault="00CA4D2F">
      <w:pPr>
        <w:spacing w:after="180"/>
        <w:ind w:hanging="360"/>
        <w:jc w:val="both"/>
      </w:pPr>
      <w:r>
        <w:rPr>
          <w:rFonts w:ascii="sans-serif" w:eastAsia="sans-serif" w:hAnsi="sans-serif" w:cs="sans-serif"/>
          <w:color w:val="000000"/>
          <w:sz w:val="20"/>
          <w:szCs w:val="20"/>
        </w:rPr>
        <w:t xml:space="preserve">•the need to determine an alternative strategy if an acquisition does not meet our </w:t>
      </w:r>
      <w:r>
        <w:rPr>
          <w:rFonts w:ascii="sans-serif" w:eastAsia="sans-serif" w:hAnsi="sans-serif" w:cs="sans-serif"/>
          <w:color w:val="000000"/>
          <w:sz w:val="20"/>
          <w:szCs w:val="20"/>
        </w:rPr>
        <w:t>expectations;</w:t>
      </w:r>
    </w:p>
    <w:p w14:paraId="1E805428" w14:textId="77777777" w:rsidR="00F20ABF" w:rsidRDefault="00CA4D2F">
      <w:pPr>
        <w:spacing w:after="180"/>
        <w:ind w:hanging="360"/>
        <w:jc w:val="both"/>
      </w:pPr>
      <w:r>
        <w:rPr>
          <w:rFonts w:ascii="sans-serif" w:eastAsia="sans-serif" w:hAnsi="sans-serif" w:cs="sans-serif"/>
          <w:color w:val="000000"/>
          <w:sz w:val="20"/>
          <w:szCs w:val="20"/>
        </w:rPr>
        <w:t>•potential failure of our due diligence processes to identify significant issues with the acquired assets or company; and</w:t>
      </w:r>
    </w:p>
    <w:p w14:paraId="1E805429" w14:textId="77777777" w:rsidR="00F20ABF" w:rsidRDefault="00CA4D2F">
      <w:pPr>
        <w:spacing w:after="180"/>
        <w:ind w:hanging="360"/>
        <w:jc w:val="both"/>
      </w:pPr>
      <w:r>
        <w:rPr>
          <w:rFonts w:ascii="sans-serif" w:eastAsia="sans-serif" w:hAnsi="sans-serif" w:cs="sans-serif"/>
          <w:color w:val="000000"/>
          <w:sz w:val="20"/>
          <w:szCs w:val="20"/>
        </w:rPr>
        <w:t xml:space="preserve">•impairment of relationships with, or loss of our or our target’s, employees, vendors and customers, as a result of our </w:t>
      </w:r>
      <w:r>
        <w:rPr>
          <w:rFonts w:ascii="sans-serif" w:eastAsia="sans-serif" w:hAnsi="sans-serif" w:cs="sans-serif"/>
          <w:color w:val="000000"/>
          <w:sz w:val="20"/>
          <w:szCs w:val="20"/>
        </w:rPr>
        <w:t>acquisition or investment.</w:t>
      </w:r>
    </w:p>
    <w:p w14:paraId="1E80542A" w14:textId="77777777" w:rsidR="00F20ABF" w:rsidRDefault="00CA4D2F">
      <w:pPr>
        <w:spacing w:before="120" w:after="120"/>
        <w:jc w:val="both"/>
      </w:pPr>
      <w:r>
        <w:rPr>
          <w:rFonts w:ascii="sans-serif" w:eastAsia="sans-serif" w:hAnsi="sans-serif" w:cs="sans-serif"/>
          <w:b/>
          <w:bCs/>
          <w:color w:val="000000"/>
          <w:sz w:val="20"/>
          <w:szCs w:val="20"/>
        </w:rPr>
        <w:t>The COVID-19 pandemic continues to impact our business and could materially adversely affect our financial condition and results of operations.</w:t>
      </w:r>
    </w:p>
    <w:p w14:paraId="1E80542B" w14:textId="77777777" w:rsidR="00F20ABF" w:rsidRDefault="00CA4D2F">
      <w:pPr>
        <w:spacing w:after="180"/>
        <w:jc w:val="both"/>
      </w:pPr>
      <w:r>
        <w:rPr>
          <w:rFonts w:ascii="sans-serif" w:eastAsia="sans-serif" w:hAnsi="sans-serif" w:cs="sans-serif"/>
          <w:color w:val="000000"/>
          <w:sz w:val="20"/>
          <w:szCs w:val="20"/>
        </w:rPr>
        <w:t xml:space="preserve">COVID-19 has spread worldwide, resulting in shutdowns of manufacturing and commerce. </w:t>
      </w:r>
      <w:r>
        <w:rPr>
          <w:rFonts w:ascii="sans-serif" w:eastAsia="sans-serif" w:hAnsi="sans-serif" w:cs="sans-serif"/>
          <w:color w:val="000000"/>
          <w:sz w:val="20"/>
          <w:szCs w:val="20"/>
        </w:rPr>
        <w:t>COVID-19 has resulted in government authorities implementing numerous measures to try to contain the disease, such as travel bans and restrictions, quarantines, shelter-in-place orders and shutdowns. These measures have impacted, and may further impact, ou</w:t>
      </w:r>
      <w:r>
        <w:rPr>
          <w:rFonts w:ascii="sans-serif" w:eastAsia="sans-serif" w:hAnsi="sans-serif" w:cs="sans-serif"/>
          <w:color w:val="000000"/>
          <w:sz w:val="20"/>
          <w:szCs w:val="20"/>
        </w:rPr>
        <w:t>r workforce and operations, the operations of our customers and our partners, and those of our respective vendors and suppliers (including our subcontractors and third-party contract manufacturers). Our critical business operations, including our headquart</w:t>
      </w:r>
      <w:r>
        <w:rPr>
          <w:rFonts w:ascii="sans-serif" w:eastAsia="sans-serif" w:hAnsi="sans-serif" w:cs="sans-serif"/>
          <w:color w:val="000000"/>
          <w:sz w:val="20"/>
          <w:szCs w:val="20"/>
        </w:rPr>
        <w:t>ers, most of our finished goods inventory and many of our key suppliers, are located in regions which have been impacted by COVID-19. Our customers and suppliers worldwide have also been affected and may continue to be affected by COVID-19 related restrict</w:t>
      </w:r>
      <w:r>
        <w:rPr>
          <w:rFonts w:ascii="sans-serif" w:eastAsia="sans-serif" w:hAnsi="sans-serif" w:cs="sans-serif"/>
          <w:color w:val="000000"/>
          <w:sz w:val="20"/>
          <w:szCs w:val="20"/>
        </w:rPr>
        <w:t>ions and closures.</w:t>
      </w:r>
    </w:p>
    <w:p w14:paraId="1E80542C" w14:textId="77777777" w:rsidR="00F20ABF" w:rsidRDefault="00CA4D2F">
      <w:pPr>
        <w:spacing w:after="180"/>
        <w:jc w:val="both"/>
      </w:pPr>
      <w:r>
        <w:rPr>
          <w:rFonts w:ascii="sans-serif" w:eastAsia="sans-serif" w:hAnsi="sans-serif" w:cs="sans-serif"/>
          <w:color w:val="000000"/>
          <w:sz w:val="20"/>
          <w:szCs w:val="20"/>
        </w:rPr>
        <w:t>The COVID-19 pandemic has increased economic and demand uncertainty. In the third quarter of fiscal year 2021, our Gaming and Data Center market platforms benefited from stronger demand as people continue to work, learn, and play from ho</w:t>
      </w:r>
      <w:r>
        <w:rPr>
          <w:rFonts w:ascii="sans-serif" w:eastAsia="sans-serif" w:hAnsi="sans-serif" w:cs="sans-serif"/>
          <w:color w:val="000000"/>
          <w:sz w:val="20"/>
          <w:szCs w:val="20"/>
        </w:rPr>
        <w:t>me. Our Professional Visualization market platform experienced stronger demand for mobile workstations due to work from home trends, but was negatively affected by lower corporate demand for desktop workstations. Industry production volume returned to pre-</w:t>
      </w:r>
      <w:r>
        <w:rPr>
          <w:rFonts w:ascii="sans-serif" w:eastAsia="sans-serif" w:hAnsi="sans-serif" w:cs="sans-serif"/>
          <w:color w:val="000000"/>
          <w:sz w:val="20"/>
          <w:szCs w:val="20"/>
        </w:rPr>
        <w:t>COVID levels in our Auto market platform, but these production volumes may be further impacted by COVID-19. In some regions, markets, or industries, where COVID-19 has driven an increase in sales for our products, the demand may not be sustainable if condi</w:t>
      </w:r>
      <w:r>
        <w:rPr>
          <w:rFonts w:ascii="sans-serif" w:eastAsia="sans-serif" w:hAnsi="sans-serif" w:cs="sans-serif"/>
          <w:color w:val="000000"/>
          <w:sz w:val="20"/>
          <w:szCs w:val="20"/>
        </w:rPr>
        <w:t xml:space="preserve">tions change. Additionally, stronger demand globally has limited the availability of capacity and components in our supply chain, which could cause us to order an excess amount if demand changes, pay higher prices, or limit our ability to obtain supply at </w:t>
      </w:r>
      <w:r>
        <w:rPr>
          <w:rFonts w:ascii="sans-serif" w:eastAsia="sans-serif" w:hAnsi="sans-serif" w:cs="sans-serif"/>
          <w:color w:val="000000"/>
          <w:sz w:val="20"/>
          <w:szCs w:val="20"/>
        </w:rPr>
        <w:t xml:space="preserve">necessary levels or at all. </w:t>
      </w:r>
    </w:p>
    <w:p w14:paraId="1E80542D" w14:textId="77777777" w:rsidR="00F20ABF" w:rsidRDefault="00CA4D2F">
      <w:pPr>
        <w:spacing w:after="180"/>
        <w:jc w:val="both"/>
      </w:pPr>
      <w:r>
        <w:rPr>
          <w:rFonts w:ascii="sans-serif" w:eastAsia="sans-serif" w:hAnsi="sans-serif" w:cs="sans-serif"/>
          <w:color w:val="000000"/>
          <w:sz w:val="20"/>
          <w:szCs w:val="20"/>
        </w:rPr>
        <w:t>The manufacture of product components, the final assembly of our products and other critical operations are concentrated in certain geographic locations, including Taiwan, China, Hong Kong and Korea. Additionally, a significant</w:t>
      </w:r>
      <w:r>
        <w:rPr>
          <w:rFonts w:ascii="sans-serif" w:eastAsia="sans-serif" w:hAnsi="sans-serif" w:cs="sans-serif"/>
          <w:color w:val="000000"/>
          <w:sz w:val="20"/>
          <w:szCs w:val="20"/>
        </w:rPr>
        <w:t xml:space="preserve"> portion of our finished goods product distribution occurs through Hong Kong. Each of these countries has been affected by the pandemic and has taken measures to try to contain it. There is considerable uncertainty regarding the impact of such measures and</w:t>
      </w:r>
      <w:r>
        <w:rPr>
          <w:rFonts w:ascii="sans-serif" w:eastAsia="sans-serif" w:hAnsi="sans-serif" w:cs="sans-serif"/>
          <w:color w:val="000000"/>
          <w:sz w:val="20"/>
          <w:szCs w:val="20"/>
        </w:rPr>
        <w:t xml:space="preserve"> potential future measures, including restrictions on manufacturing facilities, on our support operations or workforce, or on our customers, partners, vendors and suppliers. Such measures, as well as restrictions or disruptions of transportation, such as r</w:t>
      </w:r>
      <w:r>
        <w:rPr>
          <w:rFonts w:ascii="sans-serif" w:eastAsia="sans-serif" w:hAnsi="sans-serif" w:cs="sans-serif"/>
          <w:color w:val="000000"/>
          <w:sz w:val="20"/>
          <w:szCs w:val="20"/>
        </w:rPr>
        <w:t>educed availability or increased cost of air transport, port closures and increased border controls or closures, could limit our capacity to meet customer demand and have a material adverse effect on our financial condition and results of operations.</w:t>
      </w:r>
    </w:p>
    <w:p w14:paraId="1E80542E" w14:textId="77777777" w:rsidR="00F20ABF" w:rsidRDefault="00CA4D2F">
      <w:pPr>
        <w:spacing w:after="180"/>
        <w:jc w:val="both"/>
      </w:pPr>
      <w:r>
        <w:rPr>
          <w:rFonts w:ascii="sans-serif" w:eastAsia="sans-serif" w:hAnsi="sans-serif" w:cs="sans-serif"/>
          <w:color w:val="000000"/>
          <w:sz w:val="20"/>
          <w:szCs w:val="20"/>
        </w:rPr>
        <w:t>The s</w:t>
      </w:r>
      <w:r>
        <w:rPr>
          <w:rFonts w:ascii="sans-serif" w:eastAsia="sans-serif" w:hAnsi="sans-serif" w:cs="sans-serif"/>
          <w:color w:val="000000"/>
          <w:sz w:val="20"/>
          <w:szCs w:val="20"/>
        </w:rPr>
        <w:t>pread of COVID-19 has caused us to modify our business practices (including employee travel, mandatory work-from-home policies and cancellation of physical participation in meetings, events and conferences), and we may take further actions as required by g</w:t>
      </w:r>
      <w:r>
        <w:rPr>
          <w:rFonts w:ascii="sans-serif" w:eastAsia="sans-serif" w:hAnsi="sans-serif" w:cs="sans-serif"/>
          <w:color w:val="000000"/>
          <w:sz w:val="20"/>
          <w:szCs w:val="20"/>
        </w:rPr>
        <w:t xml:space="preserve">overnment authorities or that we determine are in the best interests of our employees, customers, partners and suppliers. Most of our employees in the third quarter continued to work remotely. There is no certainty that such measures will be sufficient to </w:t>
      </w:r>
      <w:r>
        <w:rPr>
          <w:rFonts w:ascii="sans-serif" w:eastAsia="sans-serif" w:hAnsi="sans-serif" w:cs="sans-serif"/>
          <w:color w:val="000000"/>
          <w:sz w:val="20"/>
          <w:szCs w:val="20"/>
        </w:rPr>
        <w:t>mitigate the risks posed by the disease, and our ability to perform critical functions could be harmed.</w:t>
      </w:r>
    </w:p>
    <w:p w14:paraId="1E80542F" w14:textId="77777777" w:rsidR="00F20ABF" w:rsidRDefault="00CA4D2F">
      <w:pPr>
        <w:spacing w:after="180"/>
        <w:jc w:val="both"/>
      </w:pPr>
      <w:r>
        <w:rPr>
          <w:rFonts w:ascii="sans-serif" w:eastAsia="sans-serif" w:hAnsi="sans-serif" w:cs="sans-serif"/>
          <w:color w:val="000000"/>
          <w:sz w:val="20"/>
          <w:szCs w:val="20"/>
        </w:rPr>
        <w:t>In addition, while the extent and duration of the COVID-19 pandemic on the global economy and our business in particular is difficult to assess or predi</w:t>
      </w:r>
      <w:r>
        <w:rPr>
          <w:rFonts w:ascii="sans-serif" w:eastAsia="sans-serif" w:hAnsi="sans-serif" w:cs="sans-serif"/>
          <w:color w:val="000000"/>
          <w:sz w:val="20"/>
          <w:szCs w:val="20"/>
        </w:rPr>
        <w:t>ct, the pandemic has resulted in, and may continue to result in, significant disruption of global financial markets, which may reduce our ability to access capital or our customers’ ability to pay us for past or future purchases, which could negatively aff</w:t>
      </w:r>
      <w:r>
        <w:rPr>
          <w:rFonts w:ascii="sans-serif" w:eastAsia="sans-serif" w:hAnsi="sans-serif" w:cs="sans-serif"/>
          <w:color w:val="000000"/>
          <w:sz w:val="20"/>
          <w:szCs w:val="20"/>
        </w:rPr>
        <w:t>ect our liquidity. A recession or financial market correction resulting from the lack of containment and spread of COVID-19 could impact overall technology spending, adversely affecting demand for our products, our business and the value of our common stoc</w:t>
      </w:r>
      <w:r>
        <w:rPr>
          <w:rFonts w:ascii="sans-serif" w:eastAsia="sans-serif" w:hAnsi="sans-serif" w:cs="sans-serif"/>
          <w:color w:val="000000"/>
          <w:sz w:val="20"/>
          <w:szCs w:val="20"/>
        </w:rPr>
        <w:t>k.</w:t>
      </w:r>
    </w:p>
    <w:p w14:paraId="1E805430" w14:textId="77777777" w:rsidR="00F20ABF" w:rsidRDefault="00CA4D2F">
      <w:pPr>
        <w:spacing w:after="180"/>
        <w:jc w:val="both"/>
      </w:pPr>
      <w:r>
        <w:rPr>
          <w:rFonts w:ascii="sans-serif" w:eastAsia="sans-serif" w:hAnsi="sans-serif" w:cs="sans-serif"/>
          <w:color w:val="000000"/>
          <w:sz w:val="20"/>
          <w:szCs w:val="20"/>
        </w:rPr>
        <w:t>The ultimate impact of the COVID-19 pandemic or a similar health epidemic is highly uncertain and subject to change. The extent of the impact of the COVID-19 pandemic on our operational and financial performance, including our ability to execute our bus</w:t>
      </w:r>
      <w:r>
        <w:rPr>
          <w:rFonts w:ascii="sans-serif" w:eastAsia="sans-serif" w:hAnsi="sans-serif" w:cs="sans-serif"/>
          <w:color w:val="000000"/>
          <w:sz w:val="20"/>
          <w:szCs w:val="20"/>
        </w:rPr>
        <w:t xml:space="preserve">iness strategies and initiatives in the expected time frame, will depend on future developments, including, but not limited to, the duration and continued spread of the pandemic, its severity, the actions to contain the </w:t>
      </w:r>
    </w:p>
    <w:p w14:paraId="1E805431" w14:textId="77777777" w:rsidR="00F20ABF" w:rsidRDefault="00CA4D2F">
      <w:pPr>
        <w:spacing w:after="180"/>
        <w:jc w:val="center"/>
      </w:pPr>
      <w:r>
        <w:rPr>
          <w:rFonts w:ascii="sans-serif" w:eastAsia="sans-serif" w:hAnsi="sans-serif" w:cs="sans-serif"/>
          <w:color w:val="000000"/>
          <w:sz w:val="20"/>
          <w:szCs w:val="20"/>
        </w:rPr>
        <w:t>37</w:t>
      </w:r>
    </w:p>
    <w:p w14:paraId="1E805432" w14:textId="77777777" w:rsidR="00F20ABF" w:rsidRDefault="00CA4D2F">
      <w:r>
        <w:pict w14:anchorId="1E8055A0">
          <v:rect id="_x0000_i1061" style="width:415.3pt;height:1.5pt" o:hralign="center" o:hrstd="t" o:hr="t" fillcolor="#a0a0a0" stroked="f"/>
        </w:pict>
      </w:r>
    </w:p>
    <w:p w14:paraId="1E805433" w14:textId="77777777" w:rsidR="00F20ABF" w:rsidRDefault="00F20ABF">
      <w:pPr>
        <w:spacing w:after="180"/>
        <w:jc w:val="both"/>
      </w:pPr>
    </w:p>
    <w:p w14:paraId="1E805434" w14:textId="77777777" w:rsidR="00F20ABF" w:rsidRDefault="00F20ABF">
      <w:pPr>
        <w:spacing w:after="180"/>
        <w:jc w:val="both"/>
      </w:pPr>
    </w:p>
    <w:p w14:paraId="1E805435" w14:textId="77777777" w:rsidR="00F20ABF" w:rsidRDefault="00F20ABF">
      <w:pPr>
        <w:spacing w:after="180"/>
        <w:jc w:val="both"/>
      </w:pPr>
    </w:p>
    <w:p w14:paraId="1E805436" w14:textId="77777777" w:rsidR="00F20ABF" w:rsidRDefault="00CA4D2F">
      <w:pPr>
        <w:spacing w:after="180"/>
        <w:jc w:val="both"/>
      </w:pPr>
      <w:r>
        <w:rPr>
          <w:rFonts w:ascii="sans-serif" w:eastAsia="sans-serif" w:hAnsi="sans-serif" w:cs="sans-serif"/>
          <w:color w:val="000000"/>
          <w:sz w:val="20"/>
          <w:szCs w:val="20"/>
        </w:rPr>
        <w:t>disease or treat its impact</w:t>
      </w:r>
      <w:r>
        <w:rPr>
          <w:rFonts w:ascii="sans-serif" w:eastAsia="sans-serif" w:hAnsi="sans-serif" w:cs="sans-serif"/>
          <w:color w:val="000000"/>
          <w:sz w:val="20"/>
          <w:szCs w:val="20"/>
        </w:rPr>
        <w:t>, further related restrictions on travel, and the duration, timing and severity of the impact on customer spending, including any recession resulting from the pandemic, all of which are uncertain and cannot be predicted. An extended period of global supply</w:t>
      </w:r>
      <w:r>
        <w:rPr>
          <w:rFonts w:ascii="sans-serif" w:eastAsia="sans-serif" w:hAnsi="sans-serif" w:cs="sans-serif"/>
          <w:color w:val="000000"/>
          <w:sz w:val="20"/>
          <w:szCs w:val="20"/>
        </w:rPr>
        <w:t xml:space="preserve"> chain and economic disruption as a result of the COVID-19 pandemic could have a material negative impact on our business, results of operations, access to sources of liquidity and financial condition, though the full extent and duration is uncertain.</w:t>
      </w:r>
    </w:p>
    <w:p w14:paraId="1E805437" w14:textId="77777777" w:rsidR="00F20ABF" w:rsidRDefault="00CA4D2F">
      <w:pPr>
        <w:spacing w:before="120" w:after="120"/>
        <w:jc w:val="both"/>
      </w:pPr>
      <w:r>
        <w:rPr>
          <w:rFonts w:ascii="sans-serif" w:eastAsia="sans-serif" w:hAnsi="sans-serif" w:cs="sans-serif"/>
          <w:b/>
          <w:bCs/>
          <w:color w:val="000000"/>
          <w:sz w:val="20"/>
          <w:szCs w:val="20"/>
        </w:rPr>
        <w:t>Busi</w:t>
      </w:r>
      <w:r>
        <w:rPr>
          <w:rFonts w:ascii="sans-serif" w:eastAsia="sans-serif" w:hAnsi="sans-serif" w:cs="sans-serif"/>
          <w:b/>
          <w:bCs/>
          <w:color w:val="000000"/>
          <w:sz w:val="20"/>
          <w:szCs w:val="20"/>
        </w:rPr>
        <w:t>ness disruptions could harm our business, lead to a decline in revenues and increase our costs.</w:t>
      </w:r>
    </w:p>
    <w:p w14:paraId="1E805438" w14:textId="77777777" w:rsidR="00F20ABF" w:rsidRDefault="00CA4D2F">
      <w:pPr>
        <w:spacing w:after="180"/>
        <w:jc w:val="both"/>
      </w:pPr>
      <w:r>
        <w:rPr>
          <w:rFonts w:ascii="sans-serif" w:eastAsia="sans-serif" w:hAnsi="sans-serif" w:cs="sans-serif"/>
          <w:color w:val="000000"/>
          <w:sz w:val="20"/>
          <w:szCs w:val="20"/>
        </w:rPr>
        <w:t>Our worldwide operations could be disrupted by earthquakes, telecommunications failures, power or water shortages, outages at cloud service providers, tsunamis,</w:t>
      </w:r>
      <w:r>
        <w:rPr>
          <w:rFonts w:ascii="sans-serif" w:eastAsia="sans-serif" w:hAnsi="sans-serif" w:cs="sans-serif"/>
          <w:color w:val="000000"/>
          <w:sz w:val="20"/>
          <w:szCs w:val="20"/>
        </w:rPr>
        <w:t xml:space="preserve"> floods, hurricanes, typhoons, fires, extreme weather conditions, cyber-attacks, terrorist attacks, medical epidemics or pandemics (including, but not limited to, COVID-19) and other natural or man-made disasters, catastrophic events or climate change. The</w:t>
      </w:r>
      <w:r>
        <w:rPr>
          <w:rFonts w:ascii="sans-serif" w:eastAsia="sans-serif" w:hAnsi="sans-serif" w:cs="sans-serif"/>
          <w:color w:val="000000"/>
          <w:sz w:val="20"/>
          <w:szCs w:val="20"/>
        </w:rPr>
        <w:t xml:space="preserve"> occurrence of any of these disruptions could harm our business and result in significant losses, a decline in revenue and an increase in our costs and expenses. Any of these business disruptions could require substantial expenditures and recovery time in </w:t>
      </w:r>
      <w:r>
        <w:rPr>
          <w:rFonts w:ascii="sans-serif" w:eastAsia="sans-serif" w:hAnsi="sans-serif" w:cs="sans-serif"/>
          <w:color w:val="000000"/>
          <w:sz w:val="20"/>
          <w:szCs w:val="20"/>
        </w:rPr>
        <w:t>order to fully resume operations. Such risks are discussed further in the risk factor “The COVID-19 pandemic continues to impact our business and could materially adversely affect our financial condition and results of operations.” Our corporate headquarte</w:t>
      </w:r>
      <w:r>
        <w:rPr>
          <w:rFonts w:ascii="sans-serif" w:eastAsia="sans-serif" w:hAnsi="sans-serif" w:cs="sans-serif"/>
          <w:color w:val="000000"/>
          <w:sz w:val="20"/>
          <w:szCs w:val="20"/>
        </w:rPr>
        <w:t>rs, and a portion of our research and development activities, are located in California, and other critical business operations, finished goods inventory, and some of our suppliers are located in Asia, near major earthquake faults known for seismic activit</w:t>
      </w:r>
      <w:r>
        <w:rPr>
          <w:rFonts w:ascii="sans-serif" w:eastAsia="sans-serif" w:hAnsi="sans-serif" w:cs="sans-serif"/>
          <w:color w:val="000000"/>
          <w:sz w:val="20"/>
          <w:szCs w:val="20"/>
        </w:rPr>
        <w:t xml:space="preserve">y. In addition, a large portion of our current data center capacity is located in California, making our operations vulnerable to natural disasters or other business disruptions occurring in these geographical areas. The manufacture of product components, </w:t>
      </w:r>
      <w:r>
        <w:rPr>
          <w:rFonts w:ascii="sans-serif" w:eastAsia="sans-serif" w:hAnsi="sans-serif" w:cs="sans-serif"/>
          <w:color w:val="000000"/>
          <w:sz w:val="20"/>
          <w:szCs w:val="20"/>
        </w:rPr>
        <w:t xml:space="preserve">the final assembly of our products and other critical operations are concentrated in certain geographic locations, including Taiwan, China, Hong Kong, and Korea. Additionally, a significant portion of our finished goods product distribution occurs through </w:t>
      </w:r>
      <w:r>
        <w:rPr>
          <w:rFonts w:ascii="sans-serif" w:eastAsia="sans-serif" w:hAnsi="sans-serif" w:cs="sans-serif"/>
          <w:color w:val="000000"/>
          <w:sz w:val="20"/>
          <w:szCs w:val="20"/>
        </w:rPr>
        <w:t>Hong Kong. Geopolitical change or changes in government regulations and policies in the United States or abroad may result in changing regulatory requirements, trade policies, import duties and economic disruptions that could impact our operating strategie</w:t>
      </w:r>
      <w:r>
        <w:rPr>
          <w:rFonts w:ascii="sans-serif" w:eastAsia="sans-serif" w:hAnsi="sans-serif" w:cs="sans-serif"/>
          <w:color w:val="000000"/>
          <w:sz w:val="20"/>
          <w:szCs w:val="20"/>
        </w:rPr>
        <w:t>s, product demand, access to global markets, hiring, and profitability. In particular, revisions to laws or regulations or their interpretation and enforcement could result in increased taxation, trade sanctions, the imposition of import duties or tariffs,</w:t>
      </w:r>
      <w:r>
        <w:rPr>
          <w:rFonts w:ascii="sans-serif" w:eastAsia="sans-serif" w:hAnsi="sans-serif" w:cs="sans-serif"/>
          <w:color w:val="000000"/>
          <w:sz w:val="20"/>
          <w:szCs w:val="20"/>
        </w:rPr>
        <w:t xml:space="preserve"> restrictions and controls on imports or exports, or other retaliatory actions, which could have an adverse effect on our business plans. For example, regulations to implement the Export Control Reform Act of 2018 could have an adverse effect on our busine</w:t>
      </w:r>
      <w:r>
        <w:rPr>
          <w:rFonts w:ascii="sans-serif" w:eastAsia="sans-serif" w:hAnsi="sans-serif" w:cs="sans-serif"/>
          <w:color w:val="000000"/>
          <w:sz w:val="20"/>
          <w:szCs w:val="20"/>
        </w:rPr>
        <w:t>ss plans. Catastrophic events can also have an impact on third-party vendors who provide us critical infrastructure services for IT and research and development systems and personnel. In addition, geopolitical and domestic political developments, such as e</w:t>
      </w:r>
      <w:r>
        <w:rPr>
          <w:rFonts w:ascii="sans-serif" w:eastAsia="sans-serif" w:hAnsi="sans-serif" w:cs="sans-serif"/>
          <w:color w:val="000000"/>
          <w:sz w:val="20"/>
          <w:szCs w:val="20"/>
        </w:rPr>
        <w:t>xisting and potential trade wars, political or social unrest, elections and post-election developments, and other events beyond our control, can increase levels of political and economic unpredictability globally and increase the volatility of global finan</w:t>
      </w:r>
      <w:r>
        <w:rPr>
          <w:rFonts w:ascii="sans-serif" w:eastAsia="sans-serif" w:hAnsi="sans-serif" w:cs="sans-serif"/>
          <w:color w:val="000000"/>
          <w:sz w:val="20"/>
          <w:szCs w:val="20"/>
        </w:rPr>
        <w:t>cial markets. Political instability or adverse political developments in or around any of the major countries in which we do business would also likely harm our business, financial condition and results of operations. Our operations could be harmed if manu</w:t>
      </w:r>
      <w:r>
        <w:rPr>
          <w:rFonts w:ascii="sans-serif" w:eastAsia="sans-serif" w:hAnsi="sans-serif" w:cs="sans-serif"/>
          <w:color w:val="000000"/>
          <w:sz w:val="20"/>
          <w:szCs w:val="20"/>
        </w:rPr>
        <w:t>facturing, logistics or other operations in these locations are disrupted for any reason, including natural disasters, high heat events or water shortages, information technology system failures, military actions or economic, business, labor, environmental</w:t>
      </w:r>
      <w:r>
        <w:rPr>
          <w:rFonts w:ascii="sans-serif" w:eastAsia="sans-serif" w:hAnsi="sans-serif" w:cs="sans-serif"/>
          <w:color w:val="000000"/>
          <w:sz w:val="20"/>
          <w:szCs w:val="20"/>
        </w:rPr>
        <w:t>, public health, regulatory or political issues. The ultimate impact on us, our third-party foundries and other suppliers and our general infrastructure of being located near major earthquake faults and being consolidated in certain geographical areas is u</w:t>
      </w:r>
      <w:r>
        <w:rPr>
          <w:rFonts w:ascii="sans-serif" w:eastAsia="sans-serif" w:hAnsi="sans-serif" w:cs="sans-serif"/>
          <w:color w:val="000000"/>
          <w:sz w:val="20"/>
          <w:szCs w:val="20"/>
        </w:rPr>
        <w:t>nknown. In the event a major earthquake or other disaster or catastrophic event affects us or the third-party systems on which we rely, our business could be harmed as a result of declines in revenue, increases in expenses, substantial expenditures and tim</w:t>
      </w:r>
      <w:r>
        <w:rPr>
          <w:rFonts w:ascii="sans-serif" w:eastAsia="sans-serif" w:hAnsi="sans-serif" w:cs="sans-serif"/>
          <w:color w:val="000000"/>
          <w:sz w:val="20"/>
          <w:szCs w:val="20"/>
        </w:rPr>
        <w:t>e spent to fully resume operations. All of these risks and conditions could materially adversely affect our future sales and operating results.</w:t>
      </w:r>
    </w:p>
    <w:p w14:paraId="1E805439" w14:textId="77777777" w:rsidR="00F20ABF" w:rsidRDefault="00CA4D2F">
      <w:pPr>
        <w:spacing w:before="240" w:after="120"/>
        <w:jc w:val="both"/>
      </w:pPr>
      <w:r>
        <w:rPr>
          <w:rFonts w:ascii="sans-serif" w:eastAsia="sans-serif" w:hAnsi="sans-serif" w:cs="sans-serif"/>
          <w:b/>
          <w:bCs/>
          <w:color w:val="76B900"/>
          <w:sz w:val="22"/>
          <w:szCs w:val="22"/>
        </w:rPr>
        <w:t>ITEM 2. UNREGISTERED SALES OF EQUITY SECURITIES AND USE OF PROCEEDS</w:t>
      </w:r>
    </w:p>
    <w:p w14:paraId="1E80543A" w14:textId="77777777" w:rsidR="00F20ABF" w:rsidRDefault="00CA4D2F">
      <w:pPr>
        <w:spacing w:before="240" w:after="60"/>
        <w:jc w:val="both"/>
      </w:pPr>
      <w:r>
        <w:rPr>
          <w:rFonts w:ascii="sans-serif" w:eastAsia="sans-serif" w:hAnsi="sans-serif" w:cs="sans-serif"/>
          <w:b/>
          <w:bCs/>
          <w:color w:val="76B900"/>
          <w:sz w:val="20"/>
          <w:szCs w:val="20"/>
        </w:rPr>
        <w:t xml:space="preserve">Issuer Purchases of Equity </w:t>
      </w:r>
      <w:r>
        <w:rPr>
          <w:rFonts w:ascii="sans-serif" w:eastAsia="sans-serif" w:hAnsi="sans-serif" w:cs="sans-serif"/>
          <w:b/>
          <w:bCs/>
          <w:color w:val="76B900"/>
          <w:sz w:val="20"/>
          <w:szCs w:val="20"/>
        </w:rPr>
        <w:t>Securities</w:t>
      </w:r>
    </w:p>
    <w:p w14:paraId="1E80543B" w14:textId="77777777" w:rsidR="00F20ABF" w:rsidRDefault="00CA4D2F">
      <w:pPr>
        <w:spacing w:after="180"/>
        <w:jc w:val="both"/>
      </w:pPr>
      <w:r>
        <w:rPr>
          <w:rFonts w:ascii="sans-serif" w:eastAsia="sans-serif" w:hAnsi="sans-serif" w:cs="sans-serif"/>
          <w:color w:val="000000"/>
          <w:sz w:val="20"/>
          <w:szCs w:val="20"/>
        </w:rPr>
        <w:t xml:space="preserve">Beginning August 2004, our Board of Directors authorized us to repurchase our stock. </w:t>
      </w:r>
    </w:p>
    <w:p w14:paraId="1E80543C" w14:textId="77777777" w:rsidR="00F20ABF" w:rsidRDefault="00CA4D2F">
      <w:pPr>
        <w:spacing w:after="180"/>
        <w:jc w:val="both"/>
      </w:pPr>
      <w:r>
        <w:rPr>
          <w:rFonts w:ascii="sans-serif" w:eastAsia="sans-serif" w:hAnsi="sans-serif" w:cs="sans-serif"/>
          <w:color w:val="000000"/>
          <w:sz w:val="20"/>
          <w:szCs w:val="20"/>
        </w:rPr>
        <w:t>Since the inception of our share repurchase program, we have repurchased an aggregate of 260 million shares for a total cost of $7.08 billion through October 2</w:t>
      </w:r>
      <w:r>
        <w:rPr>
          <w:rFonts w:ascii="sans-serif" w:eastAsia="sans-serif" w:hAnsi="sans-serif" w:cs="sans-serif"/>
          <w:color w:val="000000"/>
          <w:sz w:val="20"/>
          <w:szCs w:val="20"/>
        </w:rPr>
        <w:t>5, 2020. All shares delivered from these repurchases have been placed into treasury stock.</w:t>
      </w:r>
    </w:p>
    <w:p w14:paraId="1E80543D" w14:textId="77777777" w:rsidR="00F20ABF" w:rsidRDefault="00CA4D2F">
      <w:pPr>
        <w:spacing w:after="180"/>
        <w:jc w:val="both"/>
      </w:pPr>
      <w:r>
        <w:rPr>
          <w:rFonts w:ascii="sans-serif" w:eastAsia="sans-serif" w:hAnsi="sans-serif" w:cs="sans-serif"/>
          <w:color w:val="000000"/>
          <w:sz w:val="20"/>
          <w:szCs w:val="20"/>
        </w:rPr>
        <w:t xml:space="preserve">The repurchases can be made in the open market, in privately negotiated transactions, or in structured share repurchase programs, and can be made in one or more </w:t>
      </w:r>
      <w:r>
        <w:rPr>
          <w:rFonts w:ascii="sans-serif" w:eastAsia="sans-serif" w:hAnsi="sans-serif" w:cs="sans-serif"/>
          <w:color w:val="000000"/>
          <w:sz w:val="20"/>
          <w:szCs w:val="20"/>
        </w:rPr>
        <w:t>larger repurchases. The program does not obligate NVIDIA to acquire any particular amount of common stock and the program may be suspended at any time at our discretion.</w:t>
      </w:r>
    </w:p>
    <w:p w14:paraId="1E80543E" w14:textId="77777777" w:rsidR="00F20ABF" w:rsidRDefault="00CA4D2F">
      <w:pPr>
        <w:spacing w:after="180"/>
        <w:jc w:val="center"/>
      </w:pPr>
      <w:r>
        <w:rPr>
          <w:rFonts w:ascii="sans-serif" w:eastAsia="sans-serif" w:hAnsi="sans-serif" w:cs="sans-serif"/>
          <w:color w:val="000000"/>
          <w:sz w:val="20"/>
          <w:szCs w:val="20"/>
        </w:rPr>
        <w:t>38</w:t>
      </w:r>
    </w:p>
    <w:p w14:paraId="1E80543F" w14:textId="77777777" w:rsidR="00F20ABF" w:rsidRDefault="00CA4D2F">
      <w:r>
        <w:pict w14:anchorId="1E8055A1">
          <v:rect id="_x0000_i1062" style="width:415.3pt;height:1.5pt" o:hralign="center" o:hrstd="t" o:hr="t" fillcolor="#a0a0a0" stroked="f"/>
        </w:pict>
      </w:r>
    </w:p>
    <w:p w14:paraId="1E805440" w14:textId="77777777" w:rsidR="00F20ABF" w:rsidRDefault="00F20ABF">
      <w:pPr>
        <w:spacing w:after="180"/>
        <w:jc w:val="both"/>
      </w:pPr>
    </w:p>
    <w:p w14:paraId="1E805441" w14:textId="77777777" w:rsidR="00F20ABF" w:rsidRDefault="00F20ABF">
      <w:pPr>
        <w:spacing w:after="180"/>
        <w:jc w:val="both"/>
      </w:pPr>
    </w:p>
    <w:p w14:paraId="1E805442" w14:textId="77777777" w:rsidR="00F20ABF" w:rsidRDefault="00F20ABF">
      <w:pPr>
        <w:spacing w:after="180"/>
        <w:jc w:val="both"/>
      </w:pPr>
    </w:p>
    <w:p w14:paraId="1E805443" w14:textId="77777777" w:rsidR="00F20ABF" w:rsidRDefault="00CA4D2F">
      <w:pPr>
        <w:spacing w:after="180"/>
        <w:jc w:val="both"/>
      </w:pPr>
      <w:r>
        <w:rPr>
          <w:rFonts w:ascii="sans-serif" w:eastAsia="sans-serif" w:hAnsi="sans-serif" w:cs="sans-serif"/>
          <w:color w:val="000000"/>
          <w:sz w:val="20"/>
          <w:szCs w:val="20"/>
        </w:rPr>
        <w:t>In the first nine months of fiscal year 2021, we paid $296 million in quarterl</w:t>
      </w:r>
      <w:r>
        <w:rPr>
          <w:rFonts w:ascii="sans-serif" w:eastAsia="sans-serif" w:hAnsi="sans-serif" w:cs="sans-serif"/>
          <w:color w:val="000000"/>
          <w:sz w:val="20"/>
          <w:szCs w:val="20"/>
        </w:rPr>
        <w:t>y cash dividends. As of October 25, 2020, we were authorized, subject to certain specifications, to repurchase additional shares of our common stock up to $7.24 billion through December 2022. We did not repurchase any shares during the first nine months of</w:t>
      </w:r>
      <w:r>
        <w:rPr>
          <w:rFonts w:ascii="sans-serif" w:eastAsia="sans-serif" w:hAnsi="sans-serif" w:cs="sans-serif"/>
          <w:color w:val="000000"/>
          <w:sz w:val="20"/>
          <w:szCs w:val="20"/>
        </w:rPr>
        <w:t xml:space="preserve"> fiscal year 2021.</w:t>
      </w:r>
    </w:p>
    <w:p w14:paraId="1E805444" w14:textId="77777777" w:rsidR="00F20ABF" w:rsidRDefault="00CA4D2F">
      <w:pPr>
        <w:spacing w:before="120" w:after="120"/>
        <w:jc w:val="both"/>
      </w:pPr>
      <w:r>
        <w:rPr>
          <w:rFonts w:ascii="sans-serif" w:eastAsia="sans-serif" w:hAnsi="sans-serif" w:cs="sans-serif"/>
          <w:b/>
          <w:bCs/>
          <w:color w:val="000000"/>
          <w:sz w:val="20"/>
          <w:szCs w:val="20"/>
        </w:rPr>
        <w:t>Restricted Stock Unit Share Withholding</w:t>
      </w:r>
    </w:p>
    <w:p w14:paraId="1E805445" w14:textId="77777777" w:rsidR="00F20ABF" w:rsidRDefault="00CA4D2F">
      <w:pPr>
        <w:spacing w:after="180"/>
        <w:jc w:val="both"/>
      </w:pPr>
      <w:r>
        <w:rPr>
          <w:rFonts w:ascii="sans-serif" w:eastAsia="sans-serif" w:hAnsi="sans-serif" w:cs="sans-serif"/>
          <w:color w:val="000000"/>
          <w:sz w:val="20"/>
          <w:szCs w:val="20"/>
        </w:rPr>
        <w:t xml:space="preserve">We also withhold common stock shares associated with net share settlements to cover tax withholding obligations upon the vesting of restricted stock unit awards under our employee equity incentive </w:t>
      </w:r>
      <w:r>
        <w:rPr>
          <w:rFonts w:ascii="sans-serif" w:eastAsia="sans-serif" w:hAnsi="sans-serif" w:cs="sans-serif"/>
          <w:color w:val="000000"/>
          <w:sz w:val="20"/>
          <w:szCs w:val="20"/>
        </w:rPr>
        <w:t>program. During the third quarter of fiscal year 2021, we withheld approximately 1 million shares at a total cost of $298 million through net share settlements. During the first nine months of fiscal year 2021, we withheld approximately 2 million shares at</w:t>
      </w:r>
      <w:r>
        <w:rPr>
          <w:rFonts w:ascii="sans-serif" w:eastAsia="sans-serif" w:hAnsi="sans-serif" w:cs="sans-serif"/>
          <w:color w:val="000000"/>
          <w:sz w:val="20"/>
          <w:szCs w:val="20"/>
        </w:rPr>
        <w:t xml:space="preserve"> a total cost of $716 million through net share settlements. </w:t>
      </w:r>
    </w:p>
    <w:p w14:paraId="1E805446" w14:textId="77777777" w:rsidR="00F20ABF" w:rsidRDefault="00CA4D2F">
      <w:pPr>
        <w:spacing w:after="180"/>
        <w:jc w:val="center"/>
      </w:pPr>
      <w:r>
        <w:rPr>
          <w:rFonts w:ascii="sans-serif" w:eastAsia="sans-serif" w:hAnsi="sans-serif" w:cs="sans-serif"/>
          <w:color w:val="000000"/>
          <w:sz w:val="20"/>
          <w:szCs w:val="20"/>
        </w:rPr>
        <w:t>39</w:t>
      </w:r>
    </w:p>
    <w:p w14:paraId="1E805447" w14:textId="77777777" w:rsidR="00F20ABF" w:rsidRDefault="00CA4D2F">
      <w:r>
        <w:pict w14:anchorId="1E8055A2">
          <v:rect id="_x0000_i1063" style="width:415.3pt;height:1.5pt" o:hralign="center" o:hrstd="t" o:hr="t" fillcolor="#a0a0a0" stroked="f"/>
        </w:pict>
      </w:r>
    </w:p>
    <w:p w14:paraId="1E805448" w14:textId="77777777" w:rsidR="00F20ABF" w:rsidRDefault="00F20ABF">
      <w:pPr>
        <w:spacing w:after="180"/>
        <w:jc w:val="both"/>
      </w:pPr>
    </w:p>
    <w:p w14:paraId="1E805449" w14:textId="77777777" w:rsidR="00F20ABF" w:rsidRDefault="00F20ABF">
      <w:pPr>
        <w:spacing w:after="180"/>
        <w:jc w:val="both"/>
      </w:pPr>
    </w:p>
    <w:p w14:paraId="1E80544A" w14:textId="77777777" w:rsidR="00F20ABF" w:rsidRDefault="00F20ABF">
      <w:pPr>
        <w:spacing w:after="180"/>
        <w:jc w:val="both"/>
      </w:pPr>
    </w:p>
    <w:p w14:paraId="1E80544B" w14:textId="77777777" w:rsidR="00F20ABF" w:rsidRDefault="00CA4D2F">
      <w:pPr>
        <w:spacing w:before="240" w:after="120"/>
        <w:jc w:val="both"/>
      </w:pPr>
      <w:r>
        <w:rPr>
          <w:rFonts w:ascii="sans-serif" w:eastAsia="sans-serif" w:hAnsi="sans-serif" w:cs="sans-serif"/>
          <w:b/>
          <w:bCs/>
          <w:color w:val="76B900"/>
          <w:sz w:val="22"/>
          <w:szCs w:val="22"/>
        </w:rPr>
        <w:t>ITEM 6. EXHIBITS</w:t>
      </w:r>
    </w:p>
    <w:tbl>
      <w:tblPr>
        <w:tblW w:w="4985" w:type="pct"/>
        <w:jc w:val="center"/>
        <w:tblCellMar>
          <w:top w:w="15" w:type="dxa"/>
          <w:left w:w="15" w:type="dxa"/>
          <w:bottom w:w="15" w:type="dxa"/>
          <w:right w:w="15" w:type="dxa"/>
        </w:tblCellMar>
        <w:tblLook w:val="04A0" w:firstRow="1" w:lastRow="0" w:firstColumn="1" w:lastColumn="0" w:noHBand="0" w:noVBand="1"/>
      </w:tblPr>
      <w:tblGrid>
        <w:gridCol w:w="93"/>
        <w:gridCol w:w="814"/>
        <w:gridCol w:w="39"/>
        <w:gridCol w:w="36"/>
        <w:gridCol w:w="45"/>
        <w:gridCol w:w="36"/>
        <w:gridCol w:w="38"/>
        <w:gridCol w:w="2727"/>
        <w:gridCol w:w="37"/>
        <w:gridCol w:w="36"/>
        <w:gridCol w:w="36"/>
        <w:gridCol w:w="36"/>
        <w:gridCol w:w="71"/>
        <w:gridCol w:w="766"/>
        <w:gridCol w:w="36"/>
        <w:gridCol w:w="36"/>
        <w:gridCol w:w="45"/>
        <w:gridCol w:w="36"/>
        <w:gridCol w:w="88"/>
        <w:gridCol w:w="817"/>
        <w:gridCol w:w="37"/>
        <w:gridCol w:w="36"/>
        <w:gridCol w:w="46"/>
        <w:gridCol w:w="36"/>
        <w:gridCol w:w="50"/>
        <w:gridCol w:w="889"/>
        <w:gridCol w:w="36"/>
        <w:gridCol w:w="36"/>
        <w:gridCol w:w="46"/>
        <w:gridCol w:w="36"/>
        <w:gridCol w:w="60"/>
        <w:gridCol w:w="1098"/>
        <w:gridCol w:w="37"/>
      </w:tblGrid>
      <w:tr w:rsidR="00F20ABF" w14:paraId="1E80546D" w14:textId="77777777">
        <w:trPr>
          <w:jc w:val="center"/>
        </w:trPr>
        <w:tc>
          <w:tcPr>
            <w:tcW w:w="50" w:type="pct"/>
            <w:shd w:val="clear" w:color="auto" w:fill="auto"/>
          </w:tcPr>
          <w:p w14:paraId="1E80544C" w14:textId="77777777" w:rsidR="00F20ABF" w:rsidRDefault="00F20ABF">
            <w:pPr>
              <w:rPr>
                <w:rFonts w:ascii="宋体"/>
              </w:rPr>
            </w:pPr>
          </w:p>
        </w:tc>
        <w:tc>
          <w:tcPr>
            <w:tcW w:w="436" w:type="pct"/>
            <w:shd w:val="clear" w:color="auto" w:fill="auto"/>
          </w:tcPr>
          <w:p w14:paraId="1E80544D" w14:textId="77777777" w:rsidR="00F20ABF" w:rsidRDefault="00F20ABF">
            <w:pPr>
              <w:rPr>
                <w:rFonts w:ascii="宋体"/>
              </w:rPr>
            </w:pPr>
          </w:p>
        </w:tc>
        <w:tc>
          <w:tcPr>
            <w:tcW w:w="5" w:type="pct"/>
            <w:shd w:val="clear" w:color="auto" w:fill="auto"/>
          </w:tcPr>
          <w:p w14:paraId="1E80544E" w14:textId="77777777" w:rsidR="00F20ABF" w:rsidRDefault="00F20ABF">
            <w:pPr>
              <w:rPr>
                <w:rFonts w:ascii="宋体"/>
              </w:rPr>
            </w:pPr>
          </w:p>
        </w:tc>
        <w:tc>
          <w:tcPr>
            <w:tcW w:w="5" w:type="pct"/>
            <w:shd w:val="clear" w:color="auto" w:fill="auto"/>
          </w:tcPr>
          <w:p w14:paraId="1E80544F" w14:textId="77777777" w:rsidR="00F20ABF" w:rsidRDefault="00F20ABF">
            <w:pPr>
              <w:rPr>
                <w:rFonts w:ascii="宋体"/>
              </w:rPr>
            </w:pPr>
          </w:p>
        </w:tc>
        <w:tc>
          <w:tcPr>
            <w:tcW w:w="55" w:type="pct"/>
            <w:shd w:val="clear" w:color="auto" w:fill="auto"/>
          </w:tcPr>
          <w:p w14:paraId="1E805450" w14:textId="77777777" w:rsidR="00F20ABF" w:rsidRDefault="00F20ABF">
            <w:pPr>
              <w:rPr>
                <w:rFonts w:ascii="宋体"/>
              </w:rPr>
            </w:pPr>
          </w:p>
        </w:tc>
        <w:tc>
          <w:tcPr>
            <w:tcW w:w="5" w:type="pct"/>
            <w:shd w:val="clear" w:color="auto" w:fill="auto"/>
          </w:tcPr>
          <w:p w14:paraId="1E805451" w14:textId="77777777" w:rsidR="00F20ABF" w:rsidRDefault="00F20ABF">
            <w:pPr>
              <w:rPr>
                <w:rFonts w:ascii="宋体"/>
              </w:rPr>
            </w:pPr>
          </w:p>
        </w:tc>
        <w:tc>
          <w:tcPr>
            <w:tcW w:w="50" w:type="pct"/>
            <w:shd w:val="clear" w:color="auto" w:fill="auto"/>
          </w:tcPr>
          <w:p w14:paraId="1E805452" w14:textId="77777777" w:rsidR="00F20ABF" w:rsidRDefault="00F20ABF">
            <w:pPr>
              <w:rPr>
                <w:rFonts w:ascii="宋体"/>
              </w:rPr>
            </w:pPr>
          </w:p>
        </w:tc>
        <w:tc>
          <w:tcPr>
            <w:tcW w:w="1667" w:type="pct"/>
            <w:shd w:val="clear" w:color="auto" w:fill="auto"/>
          </w:tcPr>
          <w:p w14:paraId="1E805453" w14:textId="77777777" w:rsidR="00F20ABF" w:rsidRDefault="00F20ABF">
            <w:pPr>
              <w:rPr>
                <w:rFonts w:ascii="宋体"/>
              </w:rPr>
            </w:pPr>
          </w:p>
        </w:tc>
        <w:tc>
          <w:tcPr>
            <w:tcW w:w="5" w:type="pct"/>
            <w:shd w:val="clear" w:color="auto" w:fill="auto"/>
          </w:tcPr>
          <w:p w14:paraId="1E805454" w14:textId="77777777" w:rsidR="00F20ABF" w:rsidRDefault="00F20ABF">
            <w:pPr>
              <w:rPr>
                <w:rFonts w:ascii="宋体"/>
              </w:rPr>
            </w:pPr>
          </w:p>
        </w:tc>
        <w:tc>
          <w:tcPr>
            <w:tcW w:w="5" w:type="pct"/>
            <w:shd w:val="clear" w:color="auto" w:fill="auto"/>
          </w:tcPr>
          <w:p w14:paraId="1E805455" w14:textId="77777777" w:rsidR="00F20ABF" w:rsidRDefault="00F20ABF">
            <w:pPr>
              <w:rPr>
                <w:rFonts w:ascii="宋体"/>
              </w:rPr>
            </w:pPr>
          </w:p>
        </w:tc>
        <w:tc>
          <w:tcPr>
            <w:tcW w:w="48" w:type="pct"/>
            <w:shd w:val="clear" w:color="auto" w:fill="auto"/>
          </w:tcPr>
          <w:p w14:paraId="1E805456" w14:textId="77777777" w:rsidR="00F20ABF" w:rsidRDefault="00F20ABF">
            <w:pPr>
              <w:rPr>
                <w:rFonts w:ascii="宋体"/>
              </w:rPr>
            </w:pPr>
          </w:p>
        </w:tc>
        <w:tc>
          <w:tcPr>
            <w:tcW w:w="5" w:type="pct"/>
            <w:shd w:val="clear" w:color="auto" w:fill="auto"/>
          </w:tcPr>
          <w:p w14:paraId="1E805457" w14:textId="77777777" w:rsidR="00F20ABF" w:rsidRDefault="00F20ABF">
            <w:pPr>
              <w:rPr>
                <w:rFonts w:ascii="宋体"/>
              </w:rPr>
            </w:pPr>
          </w:p>
        </w:tc>
        <w:tc>
          <w:tcPr>
            <w:tcW w:w="50" w:type="pct"/>
            <w:shd w:val="clear" w:color="auto" w:fill="auto"/>
          </w:tcPr>
          <w:p w14:paraId="1E805458" w14:textId="77777777" w:rsidR="00F20ABF" w:rsidRDefault="00F20ABF">
            <w:pPr>
              <w:rPr>
                <w:rFonts w:ascii="宋体"/>
              </w:rPr>
            </w:pPr>
          </w:p>
        </w:tc>
        <w:tc>
          <w:tcPr>
            <w:tcW w:w="509" w:type="pct"/>
            <w:shd w:val="clear" w:color="auto" w:fill="auto"/>
          </w:tcPr>
          <w:p w14:paraId="1E805459" w14:textId="77777777" w:rsidR="00F20ABF" w:rsidRDefault="00F20ABF">
            <w:pPr>
              <w:rPr>
                <w:rFonts w:ascii="宋体"/>
              </w:rPr>
            </w:pPr>
          </w:p>
        </w:tc>
        <w:tc>
          <w:tcPr>
            <w:tcW w:w="5" w:type="pct"/>
            <w:shd w:val="clear" w:color="auto" w:fill="auto"/>
          </w:tcPr>
          <w:p w14:paraId="1E80545A" w14:textId="77777777" w:rsidR="00F20ABF" w:rsidRDefault="00F20ABF">
            <w:pPr>
              <w:rPr>
                <w:rFonts w:ascii="宋体"/>
              </w:rPr>
            </w:pPr>
          </w:p>
        </w:tc>
        <w:tc>
          <w:tcPr>
            <w:tcW w:w="5" w:type="pct"/>
            <w:shd w:val="clear" w:color="auto" w:fill="auto"/>
          </w:tcPr>
          <w:p w14:paraId="1E80545B" w14:textId="77777777" w:rsidR="00F20ABF" w:rsidRDefault="00F20ABF">
            <w:pPr>
              <w:rPr>
                <w:rFonts w:ascii="宋体"/>
              </w:rPr>
            </w:pPr>
          </w:p>
        </w:tc>
        <w:tc>
          <w:tcPr>
            <w:tcW w:w="55" w:type="pct"/>
            <w:shd w:val="clear" w:color="auto" w:fill="auto"/>
          </w:tcPr>
          <w:p w14:paraId="1E80545C" w14:textId="77777777" w:rsidR="00F20ABF" w:rsidRDefault="00F20ABF">
            <w:pPr>
              <w:rPr>
                <w:rFonts w:ascii="宋体"/>
              </w:rPr>
            </w:pPr>
          </w:p>
        </w:tc>
        <w:tc>
          <w:tcPr>
            <w:tcW w:w="5" w:type="pct"/>
            <w:shd w:val="clear" w:color="auto" w:fill="auto"/>
          </w:tcPr>
          <w:p w14:paraId="1E80545D" w14:textId="77777777" w:rsidR="00F20ABF" w:rsidRDefault="00F20ABF">
            <w:pPr>
              <w:rPr>
                <w:rFonts w:ascii="宋体"/>
              </w:rPr>
            </w:pPr>
          </w:p>
        </w:tc>
        <w:tc>
          <w:tcPr>
            <w:tcW w:w="50" w:type="pct"/>
            <w:shd w:val="clear" w:color="auto" w:fill="auto"/>
          </w:tcPr>
          <w:p w14:paraId="1E80545E" w14:textId="77777777" w:rsidR="00F20ABF" w:rsidRDefault="00F20ABF">
            <w:pPr>
              <w:rPr>
                <w:rFonts w:ascii="宋体"/>
              </w:rPr>
            </w:pPr>
          </w:p>
        </w:tc>
        <w:tc>
          <w:tcPr>
            <w:tcW w:w="465" w:type="pct"/>
            <w:shd w:val="clear" w:color="auto" w:fill="auto"/>
          </w:tcPr>
          <w:p w14:paraId="1E80545F" w14:textId="77777777" w:rsidR="00F20ABF" w:rsidRDefault="00F20ABF">
            <w:pPr>
              <w:rPr>
                <w:rFonts w:ascii="宋体"/>
              </w:rPr>
            </w:pPr>
          </w:p>
        </w:tc>
        <w:tc>
          <w:tcPr>
            <w:tcW w:w="5" w:type="pct"/>
            <w:shd w:val="clear" w:color="auto" w:fill="auto"/>
          </w:tcPr>
          <w:p w14:paraId="1E805460" w14:textId="77777777" w:rsidR="00F20ABF" w:rsidRDefault="00F20ABF">
            <w:pPr>
              <w:rPr>
                <w:rFonts w:ascii="宋体"/>
              </w:rPr>
            </w:pPr>
          </w:p>
        </w:tc>
        <w:tc>
          <w:tcPr>
            <w:tcW w:w="5" w:type="pct"/>
            <w:shd w:val="clear" w:color="auto" w:fill="auto"/>
          </w:tcPr>
          <w:p w14:paraId="1E805461" w14:textId="77777777" w:rsidR="00F20ABF" w:rsidRDefault="00F20ABF">
            <w:pPr>
              <w:rPr>
                <w:rFonts w:ascii="宋体"/>
              </w:rPr>
            </w:pPr>
          </w:p>
        </w:tc>
        <w:tc>
          <w:tcPr>
            <w:tcW w:w="55" w:type="pct"/>
            <w:shd w:val="clear" w:color="auto" w:fill="auto"/>
          </w:tcPr>
          <w:p w14:paraId="1E805462" w14:textId="77777777" w:rsidR="00F20ABF" w:rsidRDefault="00F20ABF">
            <w:pPr>
              <w:rPr>
                <w:rFonts w:ascii="宋体"/>
              </w:rPr>
            </w:pPr>
          </w:p>
        </w:tc>
        <w:tc>
          <w:tcPr>
            <w:tcW w:w="5" w:type="pct"/>
            <w:shd w:val="clear" w:color="auto" w:fill="auto"/>
          </w:tcPr>
          <w:p w14:paraId="1E805463" w14:textId="77777777" w:rsidR="00F20ABF" w:rsidRDefault="00F20ABF">
            <w:pPr>
              <w:rPr>
                <w:rFonts w:ascii="宋体"/>
              </w:rPr>
            </w:pPr>
          </w:p>
        </w:tc>
        <w:tc>
          <w:tcPr>
            <w:tcW w:w="50" w:type="pct"/>
            <w:shd w:val="clear" w:color="auto" w:fill="auto"/>
          </w:tcPr>
          <w:p w14:paraId="1E805464" w14:textId="77777777" w:rsidR="00F20ABF" w:rsidRDefault="00F20ABF">
            <w:pPr>
              <w:rPr>
                <w:rFonts w:ascii="宋体"/>
              </w:rPr>
            </w:pPr>
          </w:p>
        </w:tc>
        <w:tc>
          <w:tcPr>
            <w:tcW w:w="568" w:type="pct"/>
            <w:shd w:val="clear" w:color="auto" w:fill="auto"/>
          </w:tcPr>
          <w:p w14:paraId="1E805465" w14:textId="77777777" w:rsidR="00F20ABF" w:rsidRDefault="00F20ABF">
            <w:pPr>
              <w:rPr>
                <w:rFonts w:ascii="宋体"/>
              </w:rPr>
            </w:pPr>
          </w:p>
        </w:tc>
        <w:tc>
          <w:tcPr>
            <w:tcW w:w="5" w:type="pct"/>
            <w:shd w:val="clear" w:color="auto" w:fill="auto"/>
          </w:tcPr>
          <w:p w14:paraId="1E805466" w14:textId="77777777" w:rsidR="00F20ABF" w:rsidRDefault="00F20ABF">
            <w:pPr>
              <w:rPr>
                <w:rFonts w:ascii="宋体"/>
              </w:rPr>
            </w:pPr>
          </w:p>
        </w:tc>
        <w:tc>
          <w:tcPr>
            <w:tcW w:w="5" w:type="pct"/>
            <w:shd w:val="clear" w:color="auto" w:fill="auto"/>
          </w:tcPr>
          <w:p w14:paraId="1E805467" w14:textId="77777777" w:rsidR="00F20ABF" w:rsidRDefault="00F20ABF">
            <w:pPr>
              <w:rPr>
                <w:rFonts w:ascii="宋体"/>
              </w:rPr>
            </w:pPr>
          </w:p>
        </w:tc>
        <w:tc>
          <w:tcPr>
            <w:tcW w:w="55" w:type="pct"/>
            <w:shd w:val="clear" w:color="auto" w:fill="auto"/>
          </w:tcPr>
          <w:p w14:paraId="1E805468" w14:textId="77777777" w:rsidR="00F20ABF" w:rsidRDefault="00F20ABF">
            <w:pPr>
              <w:rPr>
                <w:rFonts w:ascii="宋体"/>
              </w:rPr>
            </w:pPr>
          </w:p>
        </w:tc>
        <w:tc>
          <w:tcPr>
            <w:tcW w:w="5" w:type="pct"/>
            <w:shd w:val="clear" w:color="auto" w:fill="auto"/>
          </w:tcPr>
          <w:p w14:paraId="1E805469" w14:textId="77777777" w:rsidR="00F20ABF" w:rsidRDefault="00F20ABF">
            <w:pPr>
              <w:rPr>
                <w:rFonts w:ascii="宋体"/>
              </w:rPr>
            </w:pPr>
          </w:p>
        </w:tc>
        <w:tc>
          <w:tcPr>
            <w:tcW w:w="50" w:type="pct"/>
            <w:shd w:val="clear" w:color="auto" w:fill="auto"/>
          </w:tcPr>
          <w:p w14:paraId="1E80546A" w14:textId="77777777" w:rsidR="00F20ABF" w:rsidRDefault="00F20ABF">
            <w:pPr>
              <w:rPr>
                <w:rFonts w:ascii="宋体"/>
              </w:rPr>
            </w:pPr>
          </w:p>
        </w:tc>
        <w:tc>
          <w:tcPr>
            <w:tcW w:w="700" w:type="pct"/>
            <w:shd w:val="clear" w:color="auto" w:fill="auto"/>
          </w:tcPr>
          <w:p w14:paraId="1E80546B" w14:textId="77777777" w:rsidR="00F20ABF" w:rsidRDefault="00F20ABF">
            <w:pPr>
              <w:rPr>
                <w:rFonts w:ascii="宋体"/>
              </w:rPr>
            </w:pPr>
          </w:p>
        </w:tc>
        <w:tc>
          <w:tcPr>
            <w:tcW w:w="5" w:type="pct"/>
            <w:shd w:val="clear" w:color="auto" w:fill="auto"/>
          </w:tcPr>
          <w:p w14:paraId="1E80546C" w14:textId="77777777" w:rsidR="00F20ABF" w:rsidRDefault="00F20ABF">
            <w:pPr>
              <w:rPr>
                <w:rFonts w:ascii="宋体"/>
              </w:rPr>
            </w:pPr>
          </w:p>
        </w:tc>
      </w:tr>
      <w:tr w:rsidR="00F20ABF" w14:paraId="1E805479" w14:textId="77777777">
        <w:trPr>
          <w:jc w:val="center"/>
        </w:trPr>
        <w:tc>
          <w:tcPr>
            <w:tcW w:w="0" w:type="auto"/>
            <w:gridSpan w:val="3"/>
            <w:shd w:val="clear" w:color="auto" w:fill="auto"/>
            <w:tcMar>
              <w:top w:w="40" w:type="dxa"/>
              <w:left w:w="20" w:type="dxa"/>
              <w:bottom w:w="40" w:type="dxa"/>
              <w:right w:w="20" w:type="dxa"/>
            </w:tcMar>
            <w:vAlign w:val="bottom"/>
          </w:tcPr>
          <w:p w14:paraId="1E80546E" w14:textId="77777777" w:rsidR="00F20ABF" w:rsidRDefault="00CA4D2F">
            <w:pPr>
              <w:jc w:val="center"/>
              <w:textAlignment w:val="bottom"/>
            </w:pPr>
            <w:r>
              <w:rPr>
                <w:rFonts w:ascii="sans-serif" w:eastAsia="sans-serif" w:hAnsi="sans-serif" w:cs="sans-serif"/>
                <w:b/>
                <w:bCs/>
                <w:color w:val="000000"/>
                <w:sz w:val="20"/>
                <w:szCs w:val="20"/>
              </w:rPr>
              <w:t>Exhibit No.</w:t>
            </w:r>
          </w:p>
        </w:tc>
        <w:tc>
          <w:tcPr>
            <w:tcW w:w="0" w:type="auto"/>
            <w:gridSpan w:val="3"/>
            <w:shd w:val="clear" w:color="auto" w:fill="auto"/>
            <w:tcMar>
              <w:top w:w="0" w:type="dxa"/>
              <w:left w:w="20" w:type="dxa"/>
              <w:bottom w:w="0" w:type="dxa"/>
              <w:right w:w="20" w:type="dxa"/>
            </w:tcMar>
          </w:tcPr>
          <w:p w14:paraId="1E80546F"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70" w14:textId="77777777" w:rsidR="00F20ABF" w:rsidRDefault="00CA4D2F">
            <w:pPr>
              <w:spacing w:before="40" w:after="40"/>
              <w:jc w:val="center"/>
              <w:textAlignment w:val="bottom"/>
            </w:pPr>
            <w:r>
              <w:rPr>
                <w:rFonts w:ascii="sans-serif" w:eastAsia="sans-serif" w:hAnsi="sans-serif" w:cs="sans-serif"/>
                <w:b/>
                <w:bCs/>
                <w:color w:val="000000"/>
                <w:sz w:val="20"/>
                <w:szCs w:val="20"/>
              </w:rPr>
              <w:t> Exhibit Description</w:t>
            </w:r>
          </w:p>
        </w:tc>
        <w:tc>
          <w:tcPr>
            <w:tcW w:w="0" w:type="auto"/>
            <w:gridSpan w:val="3"/>
            <w:shd w:val="clear" w:color="auto" w:fill="auto"/>
            <w:tcMar>
              <w:top w:w="0" w:type="dxa"/>
              <w:left w:w="20" w:type="dxa"/>
              <w:bottom w:w="0" w:type="dxa"/>
              <w:right w:w="20" w:type="dxa"/>
            </w:tcMar>
          </w:tcPr>
          <w:p w14:paraId="1E805471"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72" w14:textId="77777777" w:rsidR="00F20ABF" w:rsidRDefault="00CA4D2F">
            <w:pPr>
              <w:jc w:val="center"/>
              <w:textAlignment w:val="bottom"/>
            </w:pPr>
            <w:r>
              <w:rPr>
                <w:rFonts w:ascii="sans-serif" w:eastAsia="sans-serif" w:hAnsi="sans-serif" w:cs="sans-serif"/>
                <w:b/>
                <w:bCs/>
                <w:color w:val="000000"/>
                <w:sz w:val="20"/>
                <w:szCs w:val="20"/>
              </w:rPr>
              <w:t>Schedule</w:t>
            </w:r>
            <w:r>
              <w:rPr>
                <w:rFonts w:ascii="sans-serif" w:eastAsia="sans-serif" w:hAnsi="sans-serif" w:cs="sans-serif"/>
                <w:b/>
                <w:bCs/>
                <w:color w:val="000000"/>
                <w:sz w:val="20"/>
                <w:szCs w:val="20"/>
              </w:rPr>
              <w:br/>
              <w:t>/Form</w:t>
            </w:r>
          </w:p>
        </w:tc>
        <w:tc>
          <w:tcPr>
            <w:tcW w:w="0" w:type="auto"/>
            <w:gridSpan w:val="3"/>
            <w:shd w:val="clear" w:color="auto" w:fill="auto"/>
            <w:tcMar>
              <w:top w:w="0" w:type="dxa"/>
              <w:left w:w="20" w:type="dxa"/>
              <w:bottom w:w="0" w:type="dxa"/>
              <w:right w:w="20" w:type="dxa"/>
            </w:tcMar>
          </w:tcPr>
          <w:p w14:paraId="1E805473"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74" w14:textId="77777777" w:rsidR="00F20ABF" w:rsidRDefault="00CA4D2F">
            <w:pPr>
              <w:jc w:val="center"/>
              <w:textAlignment w:val="bottom"/>
            </w:pPr>
            <w:r>
              <w:rPr>
                <w:rFonts w:ascii="sans-serif" w:eastAsia="sans-serif" w:hAnsi="sans-serif" w:cs="sans-serif"/>
                <w:b/>
                <w:bCs/>
                <w:color w:val="000000"/>
                <w:sz w:val="20"/>
                <w:szCs w:val="20"/>
              </w:rPr>
              <w:t>File Number</w:t>
            </w:r>
          </w:p>
        </w:tc>
        <w:tc>
          <w:tcPr>
            <w:tcW w:w="0" w:type="auto"/>
            <w:gridSpan w:val="3"/>
            <w:shd w:val="clear" w:color="auto" w:fill="auto"/>
            <w:tcMar>
              <w:top w:w="0" w:type="dxa"/>
              <w:left w:w="20" w:type="dxa"/>
              <w:bottom w:w="0" w:type="dxa"/>
              <w:right w:w="20" w:type="dxa"/>
            </w:tcMar>
          </w:tcPr>
          <w:p w14:paraId="1E805475"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76" w14:textId="77777777" w:rsidR="00F20ABF" w:rsidRDefault="00CA4D2F">
            <w:pPr>
              <w:jc w:val="center"/>
              <w:textAlignment w:val="bottom"/>
            </w:pPr>
            <w:r>
              <w:rPr>
                <w:rFonts w:ascii="sans-serif" w:eastAsia="sans-serif" w:hAnsi="sans-serif" w:cs="sans-serif"/>
                <w:b/>
                <w:bCs/>
                <w:color w:val="000000"/>
                <w:sz w:val="20"/>
                <w:szCs w:val="20"/>
              </w:rPr>
              <w:t>Exhibit</w:t>
            </w:r>
          </w:p>
        </w:tc>
        <w:tc>
          <w:tcPr>
            <w:tcW w:w="0" w:type="auto"/>
            <w:gridSpan w:val="3"/>
            <w:shd w:val="clear" w:color="auto" w:fill="auto"/>
            <w:tcMar>
              <w:top w:w="0" w:type="dxa"/>
              <w:left w:w="20" w:type="dxa"/>
              <w:bottom w:w="0" w:type="dxa"/>
              <w:right w:w="20" w:type="dxa"/>
            </w:tcMar>
          </w:tcPr>
          <w:p w14:paraId="1E805477"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78" w14:textId="77777777" w:rsidR="00F20ABF" w:rsidRDefault="00CA4D2F">
            <w:pPr>
              <w:jc w:val="center"/>
              <w:textAlignment w:val="bottom"/>
            </w:pPr>
            <w:r>
              <w:rPr>
                <w:rFonts w:ascii="sans-serif" w:eastAsia="sans-serif" w:hAnsi="sans-serif" w:cs="sans-serif"/>
                <w:b/>
                <w:bCs/>
                <w:color w:val="000000"/>
                <w:sz w:val="20"/>
                <w:szCs w:val="20"/>
              </w:rPr>
              <w:t>Filing Date</w:t>
            </w:r>
          </w:p>
        </w:tc>
      </w:tr>
      <w:tr w:rsidR="00F20ABF" w14:paraId="1E805485" w14:textId="77777777">
        <w:trPr>
          <w:jc w:val="center"/>
        </w:trPr>
        <w:tc>
          <w:tcPr>
            <w:tcW w:w="0" w:type="auto"/>
            <w:gridSpan w:val="3"/>
            <w:shd w:val="clear" w:color="auto" w:fill="auto"/>
            <w:tcMar>
              <w:top w:w="40" w:type="dxa"/>
              <w:left w:w="20" w:type="dxa"/>
              <w:bottom w:w="40" w:type="dxa"/>
              <w:right w:w="20" w:type="dxa"/>
            </w:tcMar>
          </w:tcPr>
          <w:p w14:paraId="1E80547A" w14:textId="77777777" w:rsidR="00F20ABF" w:rsidRDefault="00CA4D2F">
            <w:pPr>
              <w:jc w:val="center"/>
              <w:textAlignment w:val="top"/>
            </w:pPr>
            <w:r>
              <w:rPr>
                <w:rFonts w:ascii="sans-serif" w:eastAsia="sans-serif" w:hAnsi="sans-serif" w:cs="sans-serif"/>
                <w:color w:val="000000"/>
                <w:sz w:val="20"/>
                <w:szCs w:val="20"/>
              </w:rPr>
              <w:t>2.1</w:t>
            </w:r>
          </w:p>
        </w:tc>
        <w:tc>
          <w:tcPr>
            <w:tcW w:w="0" w:type="auto"/>
            <w:gridSpan w:val="3"/>
            <w:shd w:val="clear" w:color="auto" w:fill="auto"/>
            <w:tcMar>
              <w:top w:w="0" w:type="dxa"/>
              <w:left w:w="20" w:type="dxa"/>
              <w:bottom w:w="0" w:type="dxa"/>
              <w:right w:w="20" w:type="dxa"/>
            </w:tcMar>
          </w:tcPr>
          <w:p w14:paraId="1E80547B"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7C" w14:textId="77777777" w:rsidR="00F20ABF" w:rsidRDefault="00CA4D2F">
            <w:pPr>
              <w:textAlignment w:val="bottom"/>
            </w:pPr>
            <w:hyperlink r:id="rId32" w:history="1">
              <w:r>
                <w:rPr>
                  <w:rStyle w:val="a5"/>
                  <w:rFonts w:ascii="sans-serif" w:eastAsia="sans-serif" w:hAnsi="sans-serif" w:cs="sans-serif"/>
                  <w:sz w:val="20"/>
                  <w:szCs w:val="20"/>
                </w:rPr>
                <w:t>Share Purchase Agreement, dated September 13, 2020, by and among NVIDIA, NVIDIA Holdings, Arm, SoftBank and Vision Fund</w:t>
              </w:r>
            </w:hyperlink>
            <w:hyperlink r:id="rId33" w:history="1">
              <w:r>
                <w:rPr>
                  <w:rStyle w:val="a5"/>
                  <w:rFonts w:ascii="sans-serif" w:eastAsia="sans-serif" w:hAnsi="sans-serif" w:cs="sans-serif"/>
                  <w:sz w:val="20"/>
                  <w:szCs w:val="20"/>
                </w:rPr>
                <w:t>*</w:t>
              </w:r>
            </w:hyperlink>
          </w:p>
        </w:tc>
        <w:tc>
          <w:tcPr>
            <w:tcW w:w="0" w:type="auto"/>
            <w:gridSpan w:val="3"/>
            <w:shd w:val="clear" w:color="auto" w:fill="auto"/>
            <w:tcMar>
              <w:top w:w="0" w:type="dxa"/>
              <w:left w:w="20" w:type="dxa"/>
              <w:bottom w:w="0" w:type="dxa"/>
              <w:right w:w="20" w:type="dxa"/>
            </w:tcMar>
          </w:tcPr>
          <w:p w14:paraId="1E80547D"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7E" w14:textId="77777777" w:rsidR="00F20ABF" w:rsidRDefault="00CA4D2F">
            <w:pPr>
              <w:jc w:val="center"/>
              <w:textAlignment w:val="bottom"/>
            </w:pPr>
            <w:r>
              <w:rPr>
                <w:rFonts w:ascii="sans-serif" w:eastAsia="sans-serif" w:hAnsi="sans-serif" w:cs="sans-serif"/>
                <w:color w:val="000000"/>
                <w:sz w:val="20"/>
                <w:szCs w:val="20"/>
              </w:rPr>
              <w:t>8-K</w:t>
            </w:r>
          </w:p>
        </w:tc>
        <w:tc>
          <w:tcPr>
            <w:tcW w:w="0" w:type="auto"/>
            <w:gridSpan w:val="3"/>
            <w:shd w:val="clear" w:color="auto" w:fill="auto"/>
            <w:tcMar>
              <w:top w:w="0" w:type="dxa"/>
              <w:left w:w="20" w:type="dxa"/>
              <w:bottom w:w="0" w:type="dxa"/>
              <w:right w:w="20" w:type="dxa"/>
            </w:tcMar>
          </w:tcPr>
          <w:p w14:paraId="1E80547F"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80" w14:textId="77777777" w:rsidR="00F20ABF" w:rsidRDefault="00CA4D2F">
            <w:pPr>
              <w:jc w:val="center"/>
              <w:textAlignment w:val="bottom"/>
            </w:pPr>
            <w:r>
              <w:rPr>
                <w:rFonts w:ascii="sans-serif" w:eastAsia="sans-serif" w:hAnsi="sans-serif" w:cs="sans-serif"/>
                <w:color w:val="000000"/>
                <w:sz w:val="20"/>
                <w:szCs w:val="20"/>
              </w:rPr>
              <w:t>000-23985</w:t>
            </w:r>
          </w:p>
        </w:tc>
        <w:tc>
          <w:tcPr>
            <w:tcW w:w="0" w:type="auto"/>
            <w:gridSpan w:val="3"/>
            <w:shd w:val="clear" w:color="auto" w:fill="auto"/>
            <w:tcMar>
              <w:top w:w="0" w:type="dxa"/>
              <w:left w:w="20" w:type="dxa"/>
              <w:bottom w:w="0" w:type="dxa"/>
              <w:right w:w="20" w:type="dxa"/>
            </w:tcMar>
          </w:tcPr>
          <w:p w14:paraId="1E805481"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82" w14:textId="77777777" w:rsidR="00F20ABF" w:rsidRDefault="00CA4D2F">
            <w:pPr>
              <w:jc w:val="center"/>
              <w:textAlignment w:val="bottom"/>
            </w:pPr>
            <w:r>
              <w:rPr>
                <w:rFonts w:ascii="sans-serif" w:eastAsia="sans-serif" w:hAnsi="sans-serif" w:cs="sans-serif"/>
                <w:color w:val="000000"/>
                <w:sz w:val="20"/>
                <w:szCs w:val="20"/>
              </w:rPr>
              <w:t>2.1</w:t>
            </w:r>
          </w:p>
        </w:tc>
        <w:tc>
          <w:tcPr>
            <w:tcW w:w="0" w:type="auto"/>
            <w:gridSpan w:val="3"/>
            <w:shd w:val="clear" w:color="auto" w:fill="auto"/>
            <w:tcMar>
              <w:top w:w="0" w:type="dxa"/>
              <w:left w:w="20" w:type="dxa"/>
              <w:bottom w:w="0" w:type="dxa"/>
              <w:right w:w="20" w:type="dxa"/>
            </w:tcMar>
          </w:tcPr>
          <w:p w14:paraId="1E805483"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84" w14:textId="77777777" w:rsidR="00F20ABF" w:rsidRDefault="00CA4D2F">
            <w:pPr>
              <w:jc w:val="center"/>
              <w:textAlignment w:val="bottom"/>
            </w:pPr>
            <w:r>
              <w:rPr>
                <w:rFonts w:ascii="sans-serif" w:eastAsia="sans-serif" w:hAnsi="sans-serif" w:cs="sans-serif"/>
                <w:color w:val="000000"/>
                <w:sz w:val="20"/>
                <w:szCs w:val="20"/>
              </w:rPr>
              <w:t>9/14/2020</w:t>
            </w:r>
          </w:p>
        </w:tc>
      </w:tr>
      <w:tr w:rsidR="00F20ABF" w14:paraId="1E805491" w14:textId="77777777">
        <w:trPr>
          <w:jc w:val="center"/>
        </w:trPr>
        <w:tc>
          <w:tcPr>
            <w:tcW w:w="0" w:type="auto"/>
            <w:gridSpan w:val="3"/>
            <w:shd w:val="clear" w:color="auto" w:fill="auto"/>
            <w:tcMar>
              <w:top w:w="40" w:type="dxa"/>
              <w:left w:w="20" w:type="dxa"/>
              <w:bottom w:w="40" w:type="dxa"/>
              <w:right w:w="20" w:type="dxa"/>
            </w:tcMar>
          </w:tcPr>
          <w:p w14:paraId="1E805486" w14:textId="77777777" w:rsidR="00F20ABF" w:rsidRDefault="00CA4D2F">
            <w:pPr>
              <w:jc w:val="center"/>
              <w:textAlignment w:val="top"/>
            </w:pPr>
            <w:r>
              <w:rPr>
                <w:rFonts w:ascii="sans-serif" w:eastAsia="sans-serif" w:hAnsi="sans-serif" w:cs="sans-serif"/>
                <w:color w:val="000000"/>
                <w:sz w:val="20"/>
                <w:szCs w:val="20"/>
              </w:rPr>
              <w:t>31.1**</w:t>
            </w:r>
          </w:p>
        </w:tc>
        <w:tc>
          <w:tcPr>
            <w:tcW w:w="0" w:type="auto"/>
            <w:gridSpan w:val="3"/>
            <w:shd w:val="clear" w:color="auto" w:fill="auto"/>
            <w:tcMar>
              <w:top w:w="0" w:type="dxa"/>
              <w:left w:w="20" w:type="dxa"/>
              <w:bottom w:w="0" w:type="dxa"/>
              <w:right w:w="20" w:type="dxa"/>
            </w:tcMar>
          </w:tcPr>
          <w:p w14:paraId="1E805487"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88" w14:textId="77777777" w:rsidR="00F20ABF" w:rsidRDefault="00CA4D2F">
            <w:pPr>
              <w:textAlignment w:val="bottom"/>
            </w:pPr>
            <w:hyperlink r:id="rId34" w:history="1">
              <w:r>
                <w:rPr>
                  <w:rStyle w:val="a5"/>
                  <w:rFonts w:ascii="sans-serif" w:eastAsia="sans-serif" w:hAnsi="sans-serif" w:cs="sans-serif"/>
                  <w:sz w:val="20"/>
                  <w:szCs w:val="20"/>
                </w:rPr>
                <w:t>Certification of Chief Executive Officer as required by Rule 13a-14(a) of the Securities Exchange Act of 1934</w:t>
              </w:r>
            </w:hyperlink>
          </w:p>
        </w:tc>
        <w:tc>
          <w:tcPr>
            <w:tcW w:w="0" w:type="auto"/>
            <w:gridSpan w:val="3"/>
            <w:shd w:val="clear" w:color="auto" w:fill="auto"/>
            <w:tcMar>
              <w:top w:w="0" w:type="dxa"/>
              <w:left w:w="20" w:type="dxa"/>
              <w:bottom w:w="0" w:type="dxa"/>
              <w:right w:w="20" w:type="dxa"/>
            </w:tcMar>
          </w:tcPr>
          <w:p w14:paraId="1E80548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8A"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8B"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8C"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8D"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8E"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8F"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90" w14:textId="77777777" w:rsidR="00F20ABF" w:rsidRDefault="00F20ABF">
            <w:pPr>
              <w:rPr>
                <w:rFonts w:ascii="宋体"/>
              </w:rPr>
            </w:pPr>
          </w:p>
        </w:tc>
      </w:tr>
      <w:tr w:rsidR="00F20ABF" w14:paraId="1E80549D" w14:textId="77777777">
        <w:trPr>
          <w:jc w:val="center"/>
        </w:trPr>
        <w:tc>
          <w:tcPr>
            <w:tcW w:w="0" w:type="auto"/>
            <w:gridSpan w:val="3"/>
            <w:shd w:val="clear" w:color="auto" w:fill="auto"/>
            <w:tcMar>
              <w:top w:w="40" w:type="dxa"/>
              <w:left w:w="20" w:type="dxa"/>
              <w:bottom w:w="40" w:type="dxa"/>
              <w:right w:w="20" w:type="dxa"/>
            </w:tcMar>
          </w:tcPr>
          <w:p w14:paraId="1E805492" w14:textId="77777777" w:rsidR="00F20ABF" w:rsidRDefault="00CA4D2F">
            <w:pPr>
              <w:jc w:val="center"/>
              <w:textAlignment w:val="top"/>
            </w:pPr>
            <w:r>
              <w:rPr>
                <w:rFonts w:ascii="sans-serif" w:eastAsia="sans-serif" w:hAnsi="sans-serif" w:cs="sans-serif"/>
                <w:color w:val="000000"/>
                <w:sz w:val="20"/>
                <w:szCs w:val="20"/>
              </w:rPr>
              <w:t>31.2**</w:t>
            </w:r>
          </w:p>
        </w:tc>
        <w:tc>
          <w:tcPr>
            <w:tcW w:w="0" w:type="auto"/>
            <w:gridSpan w:val="3"/>
            <w:shd w:val="clear" w:color="auto" w:fill="auto"/>
            <w:tcMar>
              <w:top w:w="0" w:type="dxa"/>
              <w:left w:w="20" w:type="dxa"/>
              <w:bottom w:w="0" w:type="dxa"/>
              <w:right w:w="20" w:type="dxa"/>
            </w:tcMar>
          </w:tcPr>
          <w:p w14:paraId="1E805493"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94" w14:textId="77777777" w:rsidR="00F20ABF" w:rsidRDefault="00CA4D2F">
            <w:pPr>
              <w:textAlignment w:val="bottom"/>
            </w:pPr>
            <w:hyperlink r:id="rId35" w:history="1">
              <w:r>
                <w:rPr>
                  <w:rStyle w:val="a5"/>
                  <w:rFonts w:ascii="sans-serif" w:eastAsia="sans-serif" w:hAnsi="sans-serif" w:cs="sans-serif"/>
                  <w:sz w:val="20"/>
                  <w:szCs w:val="20"/>
                </w:rPr>
                <w:t>Certification of Chief Financial Officer as required by Rule 13a-14(a) of the Securities Exchange Act of 1934</w:t>
              </w:r>
            </w:hyperlink>
          </w:p>
        </w:tc>
        <w:tc>
          <w:tcPr>
            <w:tcW w:w="0" w:type="auto"/>
            <w:gridSpan w:val="3"/>
            <w:shd w:val="clear" w:color="auto" w:fill="auto"/>
            <w:tcMar>
              <w:top w:w="0" w:type="dxa"/>
              <w:left w:w="20" w:type="dxa"/>
              <w:bottom w:w="0" w:type="dxa"/>
              <w:right w:w="20" w:type="dxa"/>
            </w:tcMar>
          </w:tcPr>
          <w:p w14:paraId="1E805495"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96"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97"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98"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9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9A"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9B"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9C" w14:textId="77777777" w:rsidR="00F20ABF" w:rsidRDefault="00F20ABF">
            <w:pPr>
              <w:rPr>
                <w:rFonts w:ascii="宋体"/>
              </w:rPr>
            </w:pPr>
          </w:p>
        </w:tc>
      </w:tr>
      <w:tr w:rsidR="00F20ABF" w14:paraId="1E8054A9" w14:textId="77777777">
        <w:trPr>
          <w:jc w:val="center"/>
        </w:trPr>
        <w:tc>
          <w:tcPr>
            <w:tcW w:w="0" w:type="auto"/>
            <w:gridSpan w:val="3"/>
            <w:shd w:val="clear" w:color="auto" w:fill="auto"/>
            <w:tcMar>
              <w:top w:w="40" w:type="dxa"/>
              <w:left w:w="20" w:type="dxa"/>
              <w:bottom w:w="40" w:type="dxa"/>
              <w:right w:w="20" w:type="dxa"/>
            </w:tcMar>
          </w:tcPr>
          <w:p w14:paraId="1E80549E" w14:textId="77777777" w:rsidR="00F20ABF" w:rsidRDefault="00CA4D2F">
            <w:pPr>
              <w:jc w:val="center"/>
              <w:textAlignment w:val="top"/>
            </w:pPr>
            <w:r>
              <w:rPr>
                <w:rFonts w:ascii="sans-serif" w:eastAsia="sans-serif" w:hAnsi="sans-serif" w:cs="sans-serif"/>
                <w:color w:val="000000"/>
                <w:sz w:val="20"/>
                <w:szCs w:val="20"/>
              </w:rPr>
              <w:t>32.1#**</w:t>
            </w:r>
          </w:p>
        </w:tc>
        <w:tc>
          <w:tcPr>
            <w:tcW w:w="0" w:type="auto"/>
            <w:gridSpan w:val="3"/>
            <w:shd w:val="clear" w:color="auto" w:fill="auto"/>
            <w:tcMar>
              <w:top w:w="0" w:type="dxa"/>
              <w:left w:w="20" w:type="dxa"/>
              <w:bottom w:w="0" w:type="dxa"/>
              <w:right w:w="20" w:type="dxa"/>
            </w:tcMar>
          </w:tcPr>
          <w:p w14:paraId="1E80549F"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A0" w14:textId="77777777" w:rsidR="00F20ABF" w:rsidRDefault="00CA4D2F">
            <w:pPr>
              <w:textAlignment w:val="bottom"/>
            </w:pPr>
            <w:hyperlink r:id="rId36" w:history="1">
              <w:r>
                <w:rPr>
                  <w:rStyle w:val="a5"/>
                  <w:rFonts w:ascii="sans-serif" w:eastAsia="sans-serif" w:hAnsi="sans-serif" w:cs="sans-serif"/>
                  <w:sz w:val="20"/>
                  <w:szCs w:val="20"/>
                </w:rPr>
                <w:t>Certification of Chief Executive Officer as required by Rule 13a-14(b) of the Securities Exchange Act of 1934</w:t>
              </w:r>
            </w:hyperlink>
          </w:p>
        </w:tc>
        <w:tc>
          <w:tcPr>
            <w:tcW w:w="0" w:type="auto"/>
            <w:gridSpan w:val="3"/>
            <w:shd w:val="clear" w:color="auto" w:fill="auto"/>
            <w:tcMar>
              <w:top w:w="0" w:type="dxa"/>
              <w:left w:w="20" w:type="dxa"/>
              <w:bottom w:w="0" w:type="dxa"/>
              <w:right w:w="20" w:type="dxa"/>
            </w:tcMar>
          </w:tcPr>
          <w:p w14:paraId="1E8054A1"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A2"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A3"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A4"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A5"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A6"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A7"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A8" w14:textId="77777777" w:rsidR="00F20ABF" w:rsidRDefault="00F20ABF">
            <w:pPr>
              <w:rPr>
                <w:rFonts w:ascii="宋体"/>
              </w:rPr>
            </w:pPr>
          </w:p>
        </w:tc>
      </w:tr>
      <w:tr w:rsidR="00F20ABF" w14:paraId="1E8054B5" w14:textId="77777777">
        <w:trPr>
          <w:jc w:val="center"/>
        </w:trPr>
        <w:tc>
          <w:tcPr>
            <w:tcW w:w="0" w:type="auto"/>
            <w:gridSpan w:val="3"/>
            <w:shd w:val="clear" w:color="auto" w:fill="auto"/>
            <w:tcMar>
              <w:top w:w="40" w:type="dxa"/>
              <w:left w:w="20" w:type="dxa"/>
              <w:bottom w:w="40" w:type="dxa"/>
              <w:right w:w="20" w:type="dxa"/>
            </w:tcMar>
          </w:tcPr>
          <w:p w14:paraId="1E8054AA" w14:textId="77777777" w:rsidR="00F20ABF" w:rsidRDefault="00CA4D2F">
            <w:pPr>
              <w:jc w:val="center"/>
              <w:textAlignment w:val="top"/>
            </w:pPr>
            <w:r>
              <w:rPr>
                <w:rFonts w:ascii="sans-serif" w:eastAsia="sans-serif" w:hAnsi="sans-serif" w:cs="sans-serif"/>
                <w:color w:val="000000"/>
                <w:sz w:val="20"/>
                <w:szCs w:val="20"/>
              </w:rPr>
              <w:t>32.2#**</w:t>
            </w:r>
          </w:p>
        </w:tc>
        <w:tc>
          <w:tcPr>
            <w:tcW w:w="0" w:type="auto"/>
            <w:gridSpan w:val="3"/>
            <w:shd w:val="clear" w:color="auto" w:fill="auto"/>
            <w:tcMar>
              <w:top w:w="0" w:type="dxa"/>
              <w:left w:w="20" w:type="dxa"/>
              <w:bottom w:w="0" w:type="dxa"/>
              <w:right w:w="20" w:type="dxa"/>
            </w:tcMar>
          </w:tcPr>
          <w:p w14:paraId="1E8054AB"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AC" w14:textId="77777777" w:rsidR="00F20ABF" w:rsidRDefault="00CA4D2F">
            <w:pPr>
              <w:textAlignment w:val="bottom"/>
            </w:pPr>
            <w:hyperlink r:id="rId37" w:history="1">
              <w:r>
                <w:rPr>
                  <w:rStyle w:val="a5"/>
                  <w:rFonts w:ascii="sans-serif" w:eastAsia="sans-serif" w:hAnsi="sans-serif" w:cs="sans-serif"/>
                  <w:sz w:val="20"/>
                  <w:szCs w:val="20"/>
                </w:rPr>
                <w:t>Certification of Chief Financial Officer as required by Rule 13a-14(b) of the Securities Exchange Act of 1934</w:t>
              </w:r>
            </w:hyperlink>
          </w:p>
        </w:tc>
        <w:tc>
          <w:tcPr>
            <w:tcW w:w="0" w:type="auto"/>
            <w:gridSpan w:val="3"/>
            <w:shd w:val="clear" w:color="auto" w:fill="auto"/>
            <w:tcMar>
              <w:top w:w="0" w:type="dxa"/>
              <w:left w:w="20" w:type="dxa"/>
              <w:bottom w:w="0" w:type="dxa"/>
              <w:right w:w="20" w:type="dxa"/>
            </w:tcMar>
          </w:tcPr>
          <w:p w14:paraId="1E8054AD"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AE"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AF"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B0"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B1"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B2"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B3"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B4" w14:textId="77777777" w:rsidR="00F20ABF" w:rsidRDefault="00F20ABF">
            <w:pPr>
              <w:rPr>
                <w:rFonts w:ascii="宋体"/>
              </w:rPr>
            </w:pPr>
          </w:p>
        </w:tc>
      </w:tr>
      <w:tr w:rsidR="00F20ABF" w14:paraId="1E8054C1" w14:textId="77777777">
        <w:trPr>
          <w:jc w:val="center"/>
        </w:trPr>
        <w:tc>
          <w:tcPr>
            <w:tcW w:w="0" w:type="auto"/>
            <w:gridSpan w:val="3"/>
            <w:shd w:val="clear" w:color="auto" w:fill="auto"/>
            <w:tcMar>
              <w:top w:w="40" w:type="dxa"/>
              <w:left w:w="20" w:type="dxa"/>
              <w:bottom w:w="40" w:type="dxa"/>
              <w:right w:w="20" w:type="dxa"/>
            </w:tcMar>
          </w:tcPr>
          <w:p w14:paraId="1E8054B6" w14:textId="77777777" w:rsidR="00F20ABF" w:rsidRDefault="00CA4D2F">
            <w:pPr>
              <w:jc w:val="center"/>
              <w:textAlignment w:val="top"/>
            </w:pPr>
            <w:r>
              <w:rPr>
                <w:rFonts w:ascii="sans-serif" w:eastAsia="sans-serif" w:hAnsi="sans-serif" w:cs="sans-serif"/>
                <w:color w:val="000000"/>
                <w:sz w:val="20"/>
                <w:szCs w:val="20"/>
              </w:rPr>
              <w:t>101.INS**</w:t>
            </w:r>
          </w:p>
        </w:tc>
        <w:tc>
          <w:tcPr>
            <w:tcW w:w="0" w:type="auto"/>
            <w:gridSpan w:val="3"/>
            <w:shd w:val="clear" w:color="auto" w:fill="auto"/>
            <w:tcMar>
              <w:top w:w="0" w:type="dxa"/>
              <w:left w:w="20" w:type="dxa"/>
              <w:bottom w:w="0" w:type="dxa"/>
              <w:right w:w="20" w:type="dxa"/>
            </w:tcMar>
          </w:tcPr>
          <w:p w14:paraId="1E8054B7"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B8" w14:textId="77777777" w:rsidR="00F20ABF" w:rsidRDefault="00CA4D2F">
            <w:pPr>
              <w:textAlignment w:val="bottom"/>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Instance Document - the instance document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tcPr>
          <w:p w14:paraId="1E8054B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BA"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BB"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BC"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BD"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BE"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BF"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C0" w14:textId="77777777" w:rsidR="00F20ABF" w:rsidRDefault="00F20ABF">
            <w:pPr>
              <w:rPr>
                <w:rFonts w:ascii="宋体"/>
              </w:rPr>
            </w:pPr>
          </w:p>
        </w:tc>
      </w:tr>
      <w:tr w:rsidR="00F20ABF" w14:paraId="1E8054CD" w14:textId="77777777">
        <w:trPr>
          <w:jc w:val="center"/>
        </w:trPr>
        <w:tc>
          <w:tcPr>
            <w:tcW w:w="0" w:type="auto"/>
            <w:gridSpan w:val="3"/>
            <w:shd w:val="clear" w:color="auto" w:fill="auto"/>
            <w:tcMar>
              <w:top w:w="40" w:type="dxa"/>
              <w:left w:w="20" w:type="dxa"/>
              <w:bottom w:w="40" w:type="dxa"/>
              <w:right w:w="20" w:type="dxa"/>
            </w:tcMar>
          </w:tcPr>
          <w:p w14:paraId="1E8054C2" w14:textId="77777777" w:rsidR="00F20ABF" w:rsidRDefault="00CA4D2F">
            <w:pPr>
              <w:jc w:val="center"/>
              <w:textAlignment w:val="top"/>
            </w:pPr>
            <w:r>
              <w:rPr>
                <w:rFonts w:ascii="sans-serif" w:eastAsia="sans-serif" w:hAnsi="sans-serif" w:cs="sans-serif"/>
                <w:color w:val="000000"/>
                <w:sz w:val="20"/>
                <w:szCs w:val="20"/>
              </w:rPr>
              <w:t>101.SCH**</w:t>
            </w:r>
          </w:p>
        </w:tc>
        <w:tc>
          <w:tcPr>
            <w:tcW w:w="0" w:type="auto"/>
            <w:gridSpan w:val="3"/>
            <w:shd w:val="clear" w:color="auto" w:fill="auto"/>
            <w:tcMar>
              <w:top w:w="0" w:type="dxa"/>
              <w:left w:w="20" w:type="dxa"/>
              <w:bottom w:w="0" w:type="dxa"/>
              <w:right w:w="20" w:type="dxa"/>
            </w:tcMar>
          </w:tcPr>
          <w:p w14:paraId="1E8054C3"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C4" w14:textId="77777777" w:rsidR="00F20ABF" w:rsidRDefault="00CA4D2F">
            <w:pPr>
              <w:textAlignment w:val="bottom"/>
            </w:pPr>
            <w:r>
              <w:rPr>
                <w:rFonts w:ascii="sans-serif" w:eastAsia="sans-serif" w:hAnsi="sans-serif" w:cs="sans-serif"/>
                <w:color w:val="000000"/>
                <w:sz w:val="20"/>
                <w:szCs w:val="20"/>
              </w:rPr>
              <w:t>Inline XBRL Taxonomy Extension Schema Document</w:t>
            </w:r>
          </w:p>
        </w:tc>
        <w:tc>
          <w:tcPr>
            <w:tcW w:w="0" w:type="auto"/>
            <w:gridSpan w:val="3"/>
            <w:shd w:val="clear" w:color="auto" w:fill="auto"/>
            <w:tcMar>
              <w:top w:w="0" w:type="dxa"/>
              <w:left w:w="20" w:type="dxa"/>
              <w:bottom w:w="0" w:type="dxa"/>
              <w:right w:w="20" w:type="dxa"/>
            </w:tcMar>
          </w:tcPr>
          <w:p w14:paraId="1E8054C5"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C6"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C7"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C8"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C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CA"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CB"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CC" w14:textId="77777777" w:rsidR="00F20ABF" w:rsidRDefault="00F20ABF">
            <w:pPr>
              <w:rPr>
                <w:rFonts w:ascii="宋体"/>
              </w:rPr>
            </w:pPr>
          </w:p>
        </w:tc>
      </w:tr>
      <w:tr w:rsidR="00F20ABF" w14:paraId="1E8054D9" w14:textId="77777777">
        <w:trPr>
          <w:jc w:val="center"/>
        </w:trPr>
        <w:tc>
          <w:tcPr>
            <w:tcW w:w="0" w:type="auto"/>
            <w:gridSpan w:val="3"/>
            <w:shd w:val="clear" w:color="auto" w:fill="auto"/>
            <w:tcMar>
              <w:top w:w="40" w:type="dxa"/>
              <w:left w:w="20" w:type="dxa"/>
              <w:bottom w:w="40" w:type="dxa"/>
              <w:right w:w="20" w:type="dxa"/>
            </w:tcMar>
          </w:tcPr>
          <w:p w14:paraId="1E8054CE" w14:textId="77777777" w:rsidR="00F20ABF" w:rsidRDefault="00CA4D2F">
            <w:pPr>
              <w:jc w:val="center"/>
              <w:textAlignment w:val="top"/>
            </w:pPr>
            <w:r>
              <w:rPr>
                <w:rFonts w:ascii="sans-serif" w:eastAsia="sans-serif" w:hAnsi="sans-serif" w:cs="sans-serif"/>
                <w:color w:val="000000"/>
                <w:sz w:val="20"/>
                <w:szCs w:val="20"/>
              </w:rPr>
              <w:t>101.CAL**</w:t>
            </w:r>
          </w:p>
        </w:tc>
        <w:tc>
          <w:tcPr>
            <w:tcW w:w="0" w:type="auto"/>
            <w:gridSpan w:val="3"/>
            <w:shd w:val="clear" w:color="auto" w:fill="auto"/>
            <w:tcMar>
              <w:top w:w="0" w:type="dxa"/>
              <w:left w:w="20" w:type="dxa"/>
              <w:bottom w:w="0" w:type="dxa"/>
              <w:right w:w="20" w:type="dxa"/>
            </w:tcMar>
          </w:tcPr>
          <w:p w14:paraId="1E8054CF"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D0" w14:textId="77777777" w:rsidR="00F20ABF" w:rsidRDefault="00CA4D2F">
            <w:pPr>
              <w:textAlignment w:val="bottom"/>
            </w:pPr>
            <w:r>
              <w:rPr>
                <w:rFonts w:ascii="sans-serif" w:eastAsia="sans-serif" w:hAnsi="sans-serif" w:cs="sans-serif"/>
                <w:color w:val="000000"/>
                <w:sz w:val="20"/>
                <w:szCs w:val="20"/>
              </w:rPr>
              <w:t xml:space="preserve">Inline </w:t>
            </w:r>
            <w:r>
              <w:rPr>
                <w:rFonts w:ascii="sans-serif" w:eastAsia="sans-serif" w:hAnsi="sans-serif" w:cs="sans-serif"/>
                <w:color w:val="000000"/>
                <w:sz w:val="20"/>
                <w:szCs w:val="20"/>
              </w:rPr>
              <w:t>XBRL Taxonomy Extension Calculation Linkbase Document</w:t>
            </w:r>
          </w:p>
        </w:tc>
        <w:tc>
          <w:tcPr>
            <w:tcW w:w="0" w:type="auto"/>
            <w:gridSpan w:val="3"/>
            <w:shd w:val="clear" w:color="auto" w:fill="auto"/>
            <w:tcMar>
              <w:top w:w="0" w:type="dxa"/>
              <w:left w:w="20" w:type="dxa"/>
              <w:bottom w:w="0" w:type="dxa"/>
              <w:right w:w="20" w:type="dxa"/>
            </w:tcMar>
          </w:tcPr>
          <w:p w14:paraId="1E8054D1"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D2"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D3"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D4"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D5"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D6"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D7"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D8" w14:textId="77777777" w:rsidR="00F20ABF" w:rsidRDefault="00F20ABF">
            <w:pPr>
              <w:rPr>
                <w:rFonts w:ascii="宋体"/>
              </w:rPr>
            </w:pPr>
          </w:p>
        </w:tc>
      </w:tr>
      <w:tr w:rsidR="00F20ABF" w14:paraId="1E8054E5" w14:textId="77777777">
        <w:trPr>
          <w:jc w:val="center"/>
        </w:trPr>
        <w:tc>
          <w:tcPr>
            <w:tcW w:w="0" w:type="auto"/>
            <w:gridSpan w:val="3"/>
            <w:shd w:val="clear" w:color="auto" w:fill="auto"/>
            <w:tcMar>
              <w:top w:w="40" w:type="dxa"/>
              <w:left w:w="20" w:type="dxa"/>
              <w:bottom w:w="40" w:type="dxa"/>
              <w:right w:w="20" w:type="dxa"/>
            </w:tcMar>
          </w:tcPr>
          <w:p w14:paraId="1E8054DA" w14:textId="77777777" w:rsidR="00F20ABF" w:rsidRDefault="00CA4D2F">
            <w:pPr>
              <w:jc w:val="center"/>
              <w:textAlignment w:val="top"/>
            </w:pPr>
            <w:r>
              <w:rPr>
                <w:rFonts w:ascii="sans-serif" w:eastAsia="sans-serif" w:hAnsi="sans-serif" w:cs="sans-serif"/>
                <w:color w:val="000000"/>
                <w:sz w:val="20"/>
                <w:szCs w:val="20"/>
              </w:rPr>
              <w:t>101.DEF**</w:t>
            </w:r>
          </w:p>
        </w:tc>
        <w:tc>
          <w:tcPr>
            <w:tcW w:w="0" w:type="auto"/>
            <w:gridSpan w:val="3"/>
            <w:shd w:val="clear" w:color="auto" w:fill="auto"/>
            <w:tcMar>
              <w:top w:w="0" w:type="dxa"/>
              <w:left w:w="20" w:type="dxa"/>
              <w:bottom w:w="0" w:type="dxa"/>
              <w:right w:w="20" w:type="dxa"/>
            </w:tcMar>
          </w:tcPr>
          <w:p w14:paraId="1E8054DB"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DC" w14:textId="77777777" w:rsidR="00F20ABF" w:rsidRDefault="00CA4D2F">
            <w:pPr>
              <w:textAlignment w:val="bottom"/>
            </w:pPr>
            <w:r>
              <w:rPr>
                <w:rFonts w:ascii="sans-serif" w:eastAsia="sans-serif" w:hAnsi="sans-serif" w:cs="sans-serif"/>
                <w:color w:val="000000"/>
                <w:sz w:val="20"/>
                <w:szCs w:val="20"/>
              </w:rPr>
              <w:t>Inline XBRL Taxonomy Extension Definition Linkbase Document</w:t>
            </w:r>
          </w:p>
        </w:tc>
        <w:tc>
          <w:tcPr>
            <w:tcW w:w="0" w:type="auto"/>
            <w:gridSpan w:val="3"/>
            <w:shd w:val="clear" w:color="auto" w:fill="auto"/>
            <w:tcMar>
              <w:top w:w="0" w:type="dxa"/>
              <w:left w:w="20" w:type="dxa"/>
              <w:bottom w:w="0" w:type="dxa"/>
              <w:right w:w="20" w:type="dxa"/>
            </w:tcMar>
          </w:tcPr>
          <w:p w14:paraId="1E8054DD"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DE"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DF"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E0"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E1"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E2"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E3"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E4" w14:textId="77777777" w:rsidR="00F20ABF" w:rsidRDefault="00F20ABF">
            <w:pPr>
              <w:rPr>
                <w:rFonts w:ascii="宋体"/>
              </w:rPr>
            </w:pPr>
          </w:p>
        </w:tc>
      </w:tr>
      <w:tr w:rsidR="00F20ABF" w14:paraId="1E8054F1" w14:textId="77777777">
        <w:trPr>
          <w:jc w:val="center"/>
        </w:trPr>
        <w:tc>
          <w:tcPr>
            <w:tcW w:w="0" w:type="auto"/>
            <w:gridSpan w:val="3"/>
            <w:shd w:val="clear" w:color="auto" w:fill="auto"/>
            <w:tcMar>
              <w:top w:w="40" w:type="dxa"/>
              <w:left w:w="20" w:type="dxa"/>
              <w:bottom w:w="40" w:type="dxa"/>
              <w:right w:w="20" w:type="dxa"/>
            </w:tcMar>
          </w:tcPr>
          <w:p w14:paraId="1E8054E6" w14:textId="77777777" w:rsidR="00F20ABF" w:rsidRDefault="00CA4D2F">
            <w:pPr>
              <w:jc w:val="center"/>
              <w:textAlignment w:val="top"/>
            </w:pPr>
            <w:r>
              <w:rPr>
                <w:rFonts w:ascii="sans-serif" w:eastAsia="sans-serif" w:hAnsi="sans-serif" w:cs="sans-serif"/>
                <w:color w:val="000000"/>
                <w:sz w:val="20"/>
                <w:szCs w:val="20"/>
              </w:rPr>
              <w:t>101.LAB**</w:t>
            </w:r>
          </w:p>
        </w:tc>
        <w:tc>
          <w:tcPr>
            <w:tcW w:w="0" w:type="auto"/>
            <w:gridSpan w:val="3"/>
            <w:shd w:val="clear" w:color="auto" w:fill="auto"/>
            <w:tcMar>
              <w:top w:w="0" w:type="dxa"/>
              <w:left w:w="20" w:type="dxa"/>
              <w:bottom w:w="0" w:type="dxa"/>
              <w:right w:w="20" w:type="dxa"/>
            </w:tcMar>
          </w:tcPr>
          <w:p w14:paraId="1E8054E7"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E8" w14:textId="77777777" w:rsidR="00F20ABF" w:rsidRDefault="00CA4D2F">
            <w:pPr>
              <w:textAlignment w:val="bottom"/>
            </w:pPr>
            <w:r>
              <w:rPr>
                <w:rFonts w:ascii="sans-serif" w:eastAsia="sans-serif" w:hAnsi="sans-serif" w:cs="sans-serif"/>
                <w:color w:val="000000"/>
                <w:sz w:val="20"/>
                <w:szCs w:val="20"/>
              </w:rPr>
              <w:t>Inline XBRL Taxonomy Extension Labels Linkbase Document</w:t>
            </w:r>
          </w:p>
        </w:tc>
        <w:tc>
          <w:tcPr>
            <w:tcW w:w="0" w:type="auto"/>
            <w:gridSpan w:val="3"/>
            <w:shd w:val="clear" w:color="auto" w:fill="auto"/>
            <w:tcMar>
              <w:top w:w="0" w:type="dxa"/>
              <w:left w:w="20" w:type="dxa"/>
              <w:bottom w:w="0" w:type="dxa"/>
              <w:right w:w="20" w:type="dxa"/>
            </w:tcMar>
          </w:tcPr>
          <w:p w14:paraId="1E8054E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EA"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EB"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EC"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ED"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EE"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EF"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F0" w14:textId="77777777" w:rsidR="00F20ABF" w:rsidRDefault="00F20ABF">
            <w:pPr>
              <w:rPr>
                <w:rFonts w:ascii="宋体"/>
              </w:rPr>
            </w:pPr>
          </w:p>
        </w:tc>
      </w:tr>
      <w:tr w:rsidR="00F20ABF" w14:paraId="1E8054FD" w14:textId="77777777">
        <w:trPr>
          <w:jc w:val="center"/>
        </w:trPr>
        <w:tc>
          <w:tcPr>
            <w:tcW w:w="0" w:type="auto"/>
            <w:gridSpan w:val="3"/>
            <w:shd w:val="clear" w:color="auto" w:fill="auto"/>
            <w:tcMar>
              <w:top w:w="40" w:type="dxa"/>
              <w:left w:w="20" w:type="dxa"/>
              <w:bottom w:w="40" w:type="dxa"/>
              <w:right w:w="20" w:type="dxa"/>
            </w:tcMar>
          </w:tcPr>
          <w:p w14:paraId="1E8054F2" w14:textId="77777777" w:rsidR="00F20ABF" w:rsidRDefault="00CA4D2F">
            <w:pPr>
              <w:jc w:val="center"/>
              <w:textAlignment w:val="top"/>
            </w:pPr>
            <w:r>
              <w:rPr>
                <w:rFonts w:ascii="sans-serif" w:eastAsia="sans-serif" w:hAnsi="sans-serif" w:cs="sans-serif"/>
                <w:color w:val="000000"/>
                <w:sz w:val="20"/>
                <w:szCs w:val="20"/>
              </w:rPr>
              <w:t>101.PRE**</w:t>
            </w:r>
          </w:p>
        </w:tc>
        <w:tc>
          <w:tcPr>
            <w:tcW w:w="0" w:type="auto"/>
            <w:gridSpan w:val="3"/>
            <w:shd w:val="clear" w:color="auto" w:fill="auto"/>
            <w:tcMar>
              <w:top w:w="0" w:type="dxa"/>
              <w:left w:w="20" w:type="dxa"/>
              <w:bottom w:w="0" w:type="dxa"/>
              <w:right w:w="20" w:type="dxa"/>
            </w:tcMar>
          </w:tcPr>
          <w:p w14:paraId="1E8054F3"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4F4" w14:textId="77777777" w:rsidR="00F20ABF" w:rsidRDefault="00CA4D2F">
            <w:pPr>
              <w:textAlignment w:val="bottom"/>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Taxonomy Extension Presentation Linkbase Document</w:t>
            </w:r>
          </w:p>
        </w:tc>
        <w:tc>
          <w:tcPr>
            <w:tcW w:w="0" w:type="auto"/>
            <w:gridSpan w:val="3"/>
            <w:shd w:val="clear" w:color="auto" w:fill="auto"/>
            <w:tcMar>
              <w:top w:w="0" w:type="dxa"/>
              <w:left w:w="20" w:type="dxa"/>
              <w:bottom w:w="0" w:type="dxa"/>
              <w:right w:w="20" w:type="dxa"/>
            </w:tcMar>
          </w:tcPr>
          <w:p w14:paraId="1E8054F5"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F6"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F7"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F8"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F9"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FA"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FB"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4FC" w14:textId="77777777" w:rsidR="00F20ABF" w:rsidRDefault="00F20ABF">
            <w:pPr>
              <w:rPr>
                <w:rFonts w:ascii="宋体"/>
              </w:rPr>
            </w:pPr>
          </w:p>
        </w:tc>
      </w:tr>
      <w:tr w:rsidR="00F20ABF" w14:paraId="1E805509" w14:textId="77777777">
        <w:trPr>
          <w:jc w:val="center"/>
        </w:trPr>
        <w:tc>
          <w:tcPr>
            <w:tcW w:w="0" w:type="auto"/>
            <w:gridSpan w:val="3"/>
            <w:shd w:val="clear" w:color="auto" w:fill="auto"/>
            <w:tcMar>
              <w:top w:w="40" w:type="dxa"/>
              <w:left w:w="20" w:type="dxa"/>
              <w:bottom w:w="40" w:type="dxa"/>
              <w:right w:w="20" w:type="dxa"/>
            </w:tcMar>
          </w:tcPr>
          <w:p w14:paraId="1E8054FE" w14:textId="77777777" w:rsidR="00F20ABF" w:rsidRDefault="00CA4D2F">
            <w:pPr>
              <w:jc w:val="center"/>
              <w:textAlignment w:val="top"/>
            </w:pPr>
            <w:r>
              <w:rPr>
                <w:rFonts w:ascii="sans-serif" w:eastAsia="sans-serif" w:hAnsi="sans-serif" w:cs="sans-serif"/>
                <w:color w:val="000000"/>
                <w:sz w:val="20"/>
                <w:szCs w:val="20"/>
              </w:rPr>
              <w:t>104</w:t>
            </w:r>
          </w:p>
        </w:tc>
        <w:tc>
          <w:tcPr>
            <w:tcW w:w="0" w:type="auto"/>
            <w:gridSpan w:val="3"/>
            <w:shd w:val="clear" w:color="auto" w:fill="auto"/>
            <w:tcMar>
              <w:top w:w="0" w:type="dxa"/>
              <w:left w:w="20" w:type="dxa"/>
              <w:bottom w:w="0" w:type="dxa"/>
              <w:right w:w="20" w:type="dxa"/>
            </w:tcMar>
          </w:tcPr>
          <w:p w14:paraId="1E8054FF" w14:textId="77777777" w:rsidR="00F20ABF" w:rsidRDefault="00F20ABF">
            <w:pPr>
              <w:rPr>
                <w:rFonts w:ascii="宋体"/>
              </w:rPr>
            </w:pPr>
          </w:p>
        </w:tc>
        <w:tc>
          <w:tcPr>
            <w:tcW w:w="0" w:type="auto"/>
            <w:gridSpan w:val="3"/>
            <w:shd w:val="clear" w:color="auto" w:fill="auto"/>
            <w:tcMar>
              <w:top w:w="40" w:type="dxa"/>
              <w:left w:w="20" w:type="dxa"/>
              <w:bottom w:w="40" w:type="dxa"/>
              <w:right w:w="20" w:type="dxa"/>
            </w:tcMar>
            <w:vAlign w:val="bottom"/>
          </w:tcPr>
          <w:p w14:paraId="1E805500" w14:textId="77777777" w:rsidR="00F20ABF" w:rsidRDefault="00CA4D2F">
            <w:pPr>
              <w:textAlignment w:val="bottom"/>
            </w:pPr>
            <w:r>
              <w:rPr>
                <w:rFonts w:ascii="sans-serif" w:eastAsia="sans-serif" w:hAnsi="sans-serif" w:cs="sans-serif"/>
                <w:color w:val="000000"/>
                <w:sz w:val="20"/>
                <w:szCs w:val="20"/>
              </w:rPr>
              <w:t xml:space="preserve">Cover Page Interactive Data File - the cover page interactive data file does not appear in the Interactive Data File because its XBRL tags are embedded within the Inline XBRL </w:t>
            </w:r>
            <w:r>
              <w:rPr>
                <w:rFonts w:ascii="sans-serif" w:eastAsia="sans-serif" w:hAnsi="sans-serif" w:cs="sans-serif"/>
                <w:color w:val="000000"/>
                <w:sz w:val="20"/>
                <w:szCs w:val="20"/>
              </w:rPr>
              <w:t>document.</w:t>
            </w:r>
          </w:p>
        </w:tc>
        <w:tc>
          <w:tcPr>
            <w:tcW w:w="0" w:type="auto"/>
            <w:gridSpan w:val="3"/>
            <w:shd w:val="clear" w:color="auto" w:fill="auto"/>
            <w:tcMar>
              <w:top w:w="0" w:type="dxa"/>
              <w:left w:w="20" w:type="dxa"/>
              <w:bottom w:w="0" w:type="dxa"/>
              <w:right w:w="20" w:type="dxa"/>
            </w:tcMar>
          </w:tcPr>
          <w:p w14:paraId="1E805501"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502"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503"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504"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505"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506"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507" w14:textId="77777777" w:rsidR="00F20ABF" w:rsidRDefault="00F20ABF">
            <w:pPr>
              <w:rPr>
                <w:rFonts w:ascii="宋体"/>
              </w:rPr>
            </w:pPr>
          </w:p>
        </w:tc>
        <w:tc>
          <w:tcPr>
            <w:tcW w:w="0" w:type="auto"/>
            <w:gridSpan w:val="3"/>
            <w:shd w:val="clear" w:color="auto" w:fill="auto"/>
            <w:tcMar>
              <w:top w:w="0" w:type="dxa"/>
              <w:left w:w="20" w:type="dxa"/>
              <w:bottom w:w="0" w:type="dxa"/>
              <w:right w:w="20" w:type="dxa"/>
            </w:tcMar>
          </w:tcPr>
          <w:p w14:paraId="1E805508" w14:textId="77777777" w:rsidR="00F20ABF" w:rsidRDefault="00F20ABF">
            <w:pPr>
              <w:rPr>
                <w:rFonts w:ascii="宋体"/>
              </w:rPr>
            </w:pPr>
          </w:p>
        </w:tc>
      </w:tr>
    </w:tbl>
    <w:p w14:paraId="1E80550A" w14:textId="77777777" w:rsidR="00F20ABF" w:rsidRDefault="00CA4D2F">
      <w:pPr>
        <w:spacing w:after="180"/>
        <w:jc w:val="both"/>
      </w:pPr>
      <w:r>
        <w:rPr>
          <w:rFonts w:ascii="sans-serif" w:eastAsia="sans-serif" w:hAnsi="sans-serif" w:cs="sans-serif"/>
          <w:color w:val="000000"/>
          <w:sz w:val="20"/>
          <w:szCs w:val="20"/>
        </w:rPr>
        <w:t xml:space="preserve">* Certain exhibits and schedules have been omitted in accordance with Regulation S-K Item 601(a)(5). NVIDIA agrees to supplementally furnish to the SEC a copy of any omitted exhibits or schedules upon request of the SEC. </w:t>
      </w:r>
    </w:p>
    <w:p w14:paraId="1E80550B" w14:textId="77777777" w:rsidR="00F20ABF" w:rsidRDefault="00CA4D2F">
      <w:pPr>
        <w:spacing w:after="180"/>
        <w:jc w:val="both"/>
      </w:pPr>
      <w:r>
        <w:rPr>
          <w:rFonts w:ascii="sans-serif" w:eastAsia="sans-serif" w:hAnsi="sans-serif" w:cs="sans-serif"/>
          <w:color w:val="000000"/>
          <w:sz w:val="20"/>
          <w:szCs w:val="20"/>
        </w:rPr>
        <w:t>** Filed herewith.</w:t>
      </w:r>
    </w:p>
    <w:p w14:paraId="1E80550C" w14:textId="77777777" w:rsidR="00F20ABF" w:rsidRDefault="00CA4D2F">
      <w:pPr>
        <w:spacing w:after="180"/>
        <w:jc w:val="both"/>
      </w:pPr>
      <w:r>
        <w:rPr>
          <w:rFonts w:ascii="sans-serif" w:eastAsia="sans-serif" w:hAnsi="sans-serif" w:cs="sans-serif"/>
          <w:color w:val="000000"/>
          <w:sz w:val="20"/>
          <w:szCs w:val="20"/>
        </w:rPr>
        <w:t># In accordance</w:t>
      </w:r>
      <w:r>
        <w:rPr>
          <w:rFonts w:ascii="sans-serif" w:eastAsia="sans-serif" w:hAnsi="sans-serif" w:cs="sans-serif"/>
          <w:color w:val="000000"/>
          <w:sz w:val="20"/>
          <w:szCs w:val="20"/>
        </w:rPr>
        <w:t xml:space="preserve"> with Item 601(b)(32)(ii) of Regulation S-K and SEC Release Nos. 33-8238 and 34-47986, Final Rule: Management's Reports on Internal Control Over Financial Reporting and Certification of Disclosure in Exchange Act Periodic Reports, the certifications furnis</w:t>
      </w:r>
      <w:r>
        <w:rPr>
          <w:rFonts w:ascii="sans-serif" w:eastAsia="sans-serif" w:hAnsi="sans-serif" w:cs="sans-serif"/>
          <w:color w:val="000000"/>
          <w:sz w:val="20"/>
          <w:szCs w:val="20"/>
        </w:rPr>
        <w:t>hed in Exhibits 32.1 and 32.2 hereto are deemed to accompany this Quarterly Report on Form 10-Q and will not be deemed “filed” for purpose of Section 18 of the Exchange Act. Such certifications will not be deemed to be incorporated by reference into any fi</w:t>
      </w:r>
      <w:r>
        <w:rPr>
          <w:rFonts w:ascii="sans-serif" w:eastAsia="sans-serif" w:hAnsi="sans-serif" w:cs="sans-serif"/>
          <w:color w:val="000000"/>
          <w:sz w:val="20"/>
          <w:szCs w:val="20"/>
        </w:rPr>
        <w:t>ling under the Securities Act or the Exchange Act, except to the extent that the registrant specifically incorporates it by reference.</w:t>
      </w:r>
    </w:p>
    <w:p w14:paraId="1E80550D" w14:textId="77777777" w:rsidR="00F20ABF" w:rsidRDefault="00CA4D2F">
      <w:pPr>
        <w:spacing w:after="180"/>
        <w:jc w:val="both"/>
      </w:pPr>
      <w:r>
        <w:rPr>
          <w:rFonts w:ascii="sans-serif" w:eastAsia="sans-serif" w:hAnsi="sans-serif" w:cs="sans-serif"/>
          <w:color w:val="000000"/>
          <w:sz w:val="20"/>
          <w:szCs w:val="20"/>
        </w:rPr>
        <w:t>Copies of above exhibits not contained herein are available to any shareholder upon written request to:</w:t>
      </w:r>
    </w:p>
    <w:p w14:paraId="1E80550E" w14:textId="77777777" w:rsidR="00F20ABF" w:rsidRDefault="00CA4D2F">
      <w:pPr>
        <w:spacing w:after="180"/>
        <w:jc w:val="both"/>
      </w:pPr>
      <w:r>
        <w:rPr>
          <w:rFonts w:ascii="sans-serif" w:eastAsia="sans-serif" w:hAnsi="sans-serif" w:cs="sans-serif"/>
          <w:color w:val="000000"/>
          <w:sz w:val="20"/>
          <w:szCs w:val="20"/>
        </w:rPr>
        <w:t>Investor Relation</w:t>
      </w:r>
      <w:r>
        <w:rPr>
          <w:rFonts w:ascii="sans-serif" w:eastAsia="sans-serif" w:hAnsi="sans-serif" w:cs="sans-serif"/>
          <w:color w:val="000000"/>
          <w:sz w:val="20"/>
          <w:szCs w:val="20"/>
        </w:rPr>
        <w:t>s: NVIDIA Corporation, 2788 San Tomas Expressway, Santa Clara, CA 95051.</w:t>
      </w:r>
    </w:p>
    <w:p w14:paraId="1E80550F" w14:textId="77777777" w:rsidR="00F20ABF" w:rsidRDefault="00CA4D2F">
      <w:pPr>
        <w:spacing w:after="180"/>
        <w:jc w:val="center"/>
      </w:pPr>
      <w:r>
        <w:rPr>
          <w:rFonts w:ascii="sans-serif" w:eastAsia="sans-serif" w:hAnsi="sans-serif" w:cs="sans-serif"/>
          <w:color w:val="000000"/>
          <w:sz w:val="20"/>
          <w:szCs w:val="20"/>
        </w:rPr>
        <w:t>40</w:t>
      </w:r>
    </w:p>
    <w:p w14:paraId="1E805510" w14:textId="77777777" w:rsidR="00F20ABF" w:rsidRDefault="00CA4D2F">
      <w:r>
        <w:pict w14:anchorId="1E8055A3">
          <v:rect id="_x0000_i1064" style="width:415.3pt;height:1.5pt" o:hralign="center" o:hrstd="t" o:hr="t" fillcolor="#a0a0a0" stroked="f"/>
        </w:pict>
      </w:r>
    </w:p>
    <w:p w14:paraId="1E805511" w14:textId="77777777" w:rsidR="00F20ABF" w:rsidRDefault="00F20ABF">
      <w:pPr>
        <w:spacing w:after="180"/>
        <w:jc w:val="both"/>
      </w:pPr>
    </w:p>
    <w:p w14:paraId="1E805512" w14:textId="77777777" w:rsidR="00F20ABF" w:rsidRDefault="00F20ABF">
      <w:pPr>
        <w:spacing w:after="180"/>
        <w:jc w:val="both"/>
      </w:pPr>
    </w:p>
    <w:p w14:paraId="1E805513" w14:textId="77777777" w:rsidR="00F20ABF" w:rsidRDefault="00F20ABF">
      <w:pPr>
        <w:spacing w:after="180"/>
        <w:jc w:val="both"/>
      </w:pPr>
    </w:p>
    <w:p w14:paraId="1E805514" w14:textId="77777777" w:rsidR="00F20ABF" w:rsidRDefault="00CA4D2F">
      <w:pPr>
        <w:spacing w:after="180"/>
        <w:jc w:val="center"/>
      </w:pPr>
      <w:r>
        <w:rPr>
          <w:rFonts w:ascii="sans-serif" w:eastAsia="sans-serif" w:hAnsi="sans-serif" w:cs="sans-serif"/>
          <w:b/>
          <w:bCs/>
          <w:color w:val="000000"/>
          <w:sz w:val="20"/>
          <w:szCs w:val="20"/>
        </w:rPr>
        <w:t>SIGNATURE</w:t>
      </w:r>
    </w:p>
    <w:p w14:paraId="1E805515" w14:textId="77777777" w:rsidR="00F20ABF" w:rsidRDefault="00CA4D2F">
      <w:pPr>
        <w:spacing w:after="180"/>
        <w:jc w:val="both"/>
      </w:pPr>
      <w:r>
        <w:rPr>
          <w:rFonts w:ascii="sans-serif" w:eastAsia="sans-serif" w:hAnsi="sans-serif" w:cs="sans-serif"/>
          <w:color w:val="000000"/>
          <w:sz w:val="20"/>
          <w:szCs w:val="20"/>
        </w:rPr>
        <w:t xml:space="preserve">Pursuant to the requirements of the Securities Exchange Act of 1934, the registrant has duly caused this report to be signed on its behalf by the </w:t>
      </w:r>
      <w:r>
        <w:rPr>
          <w:rFonts w:ascii="sans-serif" w:eastAsia="sans-serif" w:hAnsi="sans-serif" w:cs="sans-serif"/>
          <w:color w:val="000000"/>
          <w:sz w:val="20"/>
          <w:szCs w:val="20"/>
        </w:rPr>
        <w:t>undersigned, thereunto duly authorized.</w:t>
      </w:r>
    </w:p>
    <w:p w14:paraId="1E805516" w14:textId="77777777" w:rsidR="00F20ABF" w:rsidRDefault="00CA4D2F">
      <w:pPr>
        <w:spacing w:after="180"/>
        <w:jc w:val="both"/>
      </w:pPr>
      <w:r>
        <w:rPr>
          <w:rFonts w:ascii="sans-serif" w:eastAsia="sans-serif" w:hAnsi="sans-serif" w:cs="sans-serif"/>
          <w:color w:val="000000"/>
          <w:sz w:val="20"/>
          <w:szCs w:val="20"/>
        </w:rPr>
        <w:t xml:space="preserve">Date: November 18, 2020 </w:t>
      </w:r>
    </w:p>
    <w:tbl>
      <w:tblPr>
        <w:tblW w:w="5000" w:type="pct"/>
        <w:tblCellMar>
          <w:top w:w="15" w:type="dxa"/>
          <w:left w:w="15" w:type="dxa"/>
          <w:bottom w:w="15" w:type="dxa"/>
          <w:right w:w="15" w:type="dxa"/>
        </w:tblCellMar>
        <w:tblLook w:val="04A0" w:firstRow="1" w:lastRow="0" w:firstColumn="1" w:lastColumn="0" w:noHBand="0" w:noVBand="1"/>
      </w:tblPr>
      <w:tblGrid>
        <w:gridCol w:w="69"/>
        <w:gridCol w:w="3472"/>
        <w:gridCol w:w="36"/>
        <w:gridCol w:w="69"/>
        <w:gridCol w:w="1480"/>
        <w:gridCol w:w="37"/>
        <w:gridCol w:w="69"/>
        <w:gridCol w:w="1481"/>
        <w:gridCol w:w="36"/>
        <w:gridCol w:w="70"/>
        <w:gridCol w:w="1481"/>
        <w:gridCol w:w="36"/>
      </w:tblGrid>
      <w:tr w:rsidR="00F20ABF" w14:paraId="1E805523" w14:textId="77777777">
        <w:tc>
          <w:tcPr>
            <w:tcW w:w="50" w:type="pct"/>
            <w:shd w:val="clear" w:color="auto" w:fill="auto"/>
          </w:tcPr>
          <w:p w14:paraId="1E805517" w14:textId="77777777" w:rsidR="00F20ABF" w:rsidRDefault="00F20ABF">
            <w:pPr>
              <w:rPr>
                <w:rFonts w:ascii="宋体"/>
              </w:rPr>
            </w:pPr>
          </w:p>
        </w:tc>
        <w:tc>
          <w:tcPr>
            <w:tcW w:w="2090" w:type="pct"/>
            <w:shd w:val="clear" w:color="auto" w:fill="auto"/>
          </w:tcPr>
          <w:p w14:paraId="1E805518" w14:textId="77777777" w:rsidR="00F20ABF" w:rsidRDefault="00F20ABF">
            <w:pPr>
              <w:rPr>
                <w:rFonts w:ascii="宋体"/>
              </w:rPr>
            </w:pPr>
          </w:p>
        </w:tc>
        <w:tc>
          <w:tcPr>
            <w:tcW w:w="5" w:type="pct"/>
            <w:shd w:val="clear" w:color="auto" w:fill="auto"/>
          </w:tcPr>
          <w:p w14:paraId="1E805519" w14:textId="77777777" w:rsidR="00F20ABF" w:rsidRDefault="00F20ABF">
            <w:pPr>
              <w:rPr>
                <w:rFonts w:ascii="宋体"/>
              </w:rPr>
            </w:pPr>
          </w:p>
        </w:tc>
        <w:tc>
          <w:tcPr>
            <w:tcW w:w="50" w:type="pct"/>
            <w:shd w:val="clear" w:color="auto" w:fill="auto"/>
          </w:tcPr>
          <w:p w14:paraId="1E80551A" w14:textId="77777777" w:rsidR="00F20ABF" w:rsidRDefault="00F20ABF">
            <w:pPr>
              <w:rPr>
                <w:rFonts w:ascii="宋体"/>
              </w:rPr>
            </w:pPr>
          </w:p>
        </w:tc>
        <w:tc>
          <w:tcPr>
            <w:tcW w:w="896" w:type="pct"/>
            <w:shd w:val="clear" w:color="auto" w:fill="auto"/>
          </w:tcPr>
          <w:p w14:paraId="1E80551B" w14:textId="77777777" w:rsidR="00F20ABF" w:rsidRDefault="00F20ABF">
            <w:pPr>
              <w:rPr>
                <w:rFonts w:ascii="宋体"/>
              </w:rPr>
            </w:pPr>
          </w:p>
        </w:tc>
        <w:tc>
          <w:tcPr>
            <w:tcW w:w="5" w:type="pct"/>
            <w:shd w:val="clear" w:color="auto" w:fill="auto"/>
          </w:tcPr>
          <w:p w14:paraId="1E80551C" w14:textId="77777777" w:rsidR="00F20ABF" w:rsidRDefault="00F20ABF">
            <w:pPr>
              <w:rPr>
                <w:rFonts w:ascii="宋体"/>
              </w:rPr>
            </w:pPr>
          </w:p>
        </w:tc>
        <w:tc>
          <w:tcPr>
            <w:tcW w:w="50" w:type="pct"/>
            <w:shd w:val="clear" w:color="auto" w:fill="auto"/>
          </w:tcPr>
          <w:p w14:paraId="1E80551D" w14:textId="77777777" w:rsidR="00F20ABF" w:rsidRDefault="00F20ABF">
            <w:pPr>
              <w:rPr>
                <w:rFonts w:ascii="宋体"/>
              </w:rPr>
            </w:pPr>
          </w:p>
        </w:tc>
        <w:tc>
          <w:tcPr>
            <w:tcW w:w="896" w:type="pct"/>
            <w:shd w:val="clear" w:color="auto" w:fill="auto"/>
          </w:tcPr>
          <w:p w14:paraId="1E80551E" w14:textId="77777777" w:rsidR="00F20ABF" w:rsidRDefault="00F20ABF">
            <w:pPr>
              <w:rPr>
                <w:rFonts w:ascii="宋体"/>
              </w:rPr>
            </w:pPr>
          </w:p>
        </w:tc>
        <w:tc>
          <w:tcPr>
            <w:tcW w:w="5" w:type="pct"/>
            <w:shd w:val="clear" w:color="auto" w:fill="auto"/>
          </w:tcPr>
          <w:p w14:paraId="1E80551F" w14:textId="77777777" w:rsidR="00F20ABF" w:rsidRDefault="00F20ABF">
            <w:pPr>
              <w:rPr>
                <w:rFonts w:ascii="宋体"/>
              </w:rPr>
            </w:pPr>
          </w:p>
        </w:tc>
        <w:tc>
          <w:tcPr>
            <w:tcW w:w="50" w:type="pct"/>
            <w:shd w:val="clear" w:color="auto" w:fill="auto"/>
          </w:tcPr>
          <w:p w14:paraId="1E805520" w14:textId="77777777" w:rsidR="00F20ABF" w:rsidRDefault="00F20ABF">
            <w:pPr>
              <w:rPr>
                <w:rFonts w:ascii="宋体"/>
              </w:rPr>
            </w:pPr>
          </w:p>
        </w:tc>
        <w:tc>
          <w:tcPr>
            <w:tcW w:w="896" w:type="pct"/>
            <w:shd w:val="clear" w:color="auto" w:fill="auto"/>
          </w:tcPr>
          <w:p w14:paraId="1E805521" w14:textId="77777777" w:rsidR="00F20ABF" w:rsidRDefault="00F20ABF">
            <w:pPr>
              <w:rPr>
                <w:rFonts w:ascii="宋体"/>
              </w:rPr>
            </w:pPr>
          </w:p>
        </w:tc>
        <w:tc>
          <w:tcPr>
            <w:tcW w:w="5" w:type="pct"/>
            <w:shd w:val="clear" w:color="auto" w:fill="auto"/>
          </w:tcPr>
          <w:p w14:paraId="1E805522" w14:textId="77777777" w:rsidR="00F20ABF" w:rsidRDefault="00F20ABF">
            <w:pPr>
              <w:rPr>
                <w:rFonts w:ascii="宋体"/>
              </w:rPr>
            </w:pPr>
          </w:p>
        </w:tc>
      </w:tr>
      <w:tr w:rsidR="00F20ABF" w14:paraId="1E805526" w14:textId="77777777">
        <w:tc>
          <w:tcPr>
            <w:tcW w:w="0" w:type="auto"/>
            <w:gridSpan w:val="3"/>
            <w:shd w:val="clear" w:color="auto" w:fill="auto"/>
            <w:tcMar>
              <w:top w:w="40" w:type="dxa"/>
              <w:left w:w="20" w:type="dxa"/>
              <w:bottom w:w="40" w:type="dxa"/>
              <w:right w:w="20" w:type="dxa"/>
            </w:tcMar>
          </w:tcPr>
          <w:p w14:paraId="1E805524" w14:textId="77777777" w:rsidR="00F20ABF" w:rsidRDefault="00CA4D2F">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E805525" w14:textId="77777777" w:rsidR="00F20ABF" w:rsidRDefault="00CA4D2F">
            <w:pPr>
              <w:textAlignment w:val="bottom"/>
            </w:pPr>
            <w:r>
              <w:rPr>
                <w:rFonts w:ascii="sans-serif" w:eastAsia="sans-serif" w:hAnsi="sans-serif" w:cs="sans-serif"/>
                <w:color w:val="000000"/>
                <w:sz w:val="20"/>
                <w:szCs w:val="20"/>
              </w:rPr>
              <w:t>NVIDIA Corporation </w:t>
            </w:r>
          </w:p>
        </w:tc>
      </w:tr>
      <w:tr w:rsidR="00F20ABF" w14:paraId="1E80552A" w14:textId="77777777">
        <w:tc>
          <w:tcPr>
            <w:tcW w:w="0" w:type="auto"/>
            <w:gridSpan w:val="3"/>
            <w:shd w:val="clear" w:color="auto" w:fill="auto"/>
            <w:tcMar>
              <w:top w:w="40" w:type="dxa"/>
              <w:left w:w="20" w:type="dxa"/>
              <w:bottom w:w="40" w:type="dxa"/>
              <w:right w:w="20" w:type="dxa"/>
            </w:tcMar>
            <w:vAlign w:val="bottom"/>
          </w:tcPr>
          <w:p w14:paraId="1E805527" w14:textId="77777777" w:rsidR="00F20ABF" w:rsidRDefault="00CA4D2F">
            <w:pPr>
              <w:jc w:val="right"/>
              <w:textAlignment w:val="bottom"/>
            </w:pPr>
            <w:r>
              <w:rPr>
                <w:rFonts w:ascii="sans-serif" w:eastAsia="sans-serif" w:hAnsi="sans-serif" w:cs="sans-serif"/>
                <w:color w:val="000000"/>
                <w:sz w:val="20"/>
                <w:szCs w:val="20"/>
              </w:rPr>
              <w:t>By:  </w:t>
            </w:r>
          </w:p>
        </w:tc>
        <w:tc>
          <w:tcPr>
            <w:tcW w:w="0" w:type="auto"/>
            <w:gridSpan w:val="3"/>
            <w:shd w:val="clear" w:color="auto" w:fill="auto"/>
            <w:tcMar>
              <w:top w:w="40" w:type="dxa"/>
              <w:left w:w="20" w:type="dxa"/>
              <w:bottom w:w="40" w:type="dxa"/>
              <w:right w:w="20" w:type="dxa"/>
            </w:tcMar>
            <w:vAlign w:val="bottom"/>
          </w:tcPr>
          <w:p w14:paraId="1E805528" w14:textId="77777777" w:rsidR="00F20ABF" w:rsidRDefault="00CA4D2F">
            <w:pPr>
              <w:textAlignment w:val="bottom"/>
            </w:pPr>
            <w:r>
              <w:rPr>
                <w:rFonts w:ascii="sans-serif" w:eastAsia="sans-serif" w:hAnsi="sans-serif" w:cs="sans-serif"/>
                <w:color w:val="000000"/>
                <w:sz w:val="20"/>
                <w:szCs w:val="20"/>
              </w:rPr>
              <w:t> /s/ Colette M. Kress</w:t>
            </w:r>
          </w:p>
        </w:tc>
        <w:tc>
          <w:tcPr>
            <w:tcW w:w="0" w:type="auto"/>
            <w:gridSpan w:val="6"/>
            <w:shd w:val="clear" w:color="auto" w:fill="auto"/>
            <w:tcMar>
              <w:top w:w="0" w:type="dxa"/>
              <w:left w:w="20" w:type="dxa"/>
              <w:bottom w:w="0" w:type="dxa"/>
              <w:right w:w="20" w:type="dxa"/>
            </w:tcMar>
          </w:tcPr>
          <w:p w14:paraId="1E805529" w14:textId="77777777" w:rsidR="00F20ABF" w:rsidRDefault="00F20ABF">
            <w:pPr>
              <w:rPr>
                <w:rFonts w:ascii="宋体"/>
              </w:rPr>
            </w:pPr>
          </w:p>
        </w:tc>
      </w:tr>
      <w:tr w:rsidR="00F20ABF" w14:paraId="1E80552E" w14:textId="77777777">
        <w:trPr>
          <w:trHeight w:val="60"/>
        </w:trPr>
        <w:tc>
          <w:tcPr>
            <w:tcW w:w="0" w:type="auto"/>
            <w:gridSpan w:val="3"/>
            <w:shd w:val="clear" w:color="auto" w:fill="auto"/>
            <w:tcMar>
              <w:top w:w="0" w:type="dxa"/>
              <w:left w:w="20" w:type="dxa"/>
              <w:bottom w:w="0" w:type="dxa"/>
              <w:right w:w="20" w:type="dxa"/>
            </w:tcMar>
          </w:tcPr>
          <w:p w14:paraId="1E80552B" w14:textId="77777777" w:rsidR="00F20ABF" w:rsidRDefault="00F20A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E80552C" w14:textId="77777777" w:rsidR="00F20ABF" w:rsidRDefault="00F20ABF">
            <w:pPr>
              <w:rPr>
                <w:rFonts w:ascii="宋体"/>
              </w:rPr>
            </w:pPr>
          </w:p>
        </w:tc>
        <w:tc>
          <w:tcPr>
            <w:tcW w:w="0" w:type="auto"/>
            <w:gridSpan w:val="6"/>
            <w:shd w:val="clear" w:color="auto" w:fill="auto"/>
            <w:tcMar>
              <w:top w:w="0" w:type="dxa"/>
              <w:left w:w="20" w:type="dxa"/>
              <w:bottom w:w="0" w:type="dxa"/>
              <w:right w:w="20" w:type="dxa"/>
            </w:tcMar>
          </w:tcPr>
          <w:p w14:paraId="1E80552D" w14:textId="77777777" w:rsidR="00F20ABF" w:rsidRDefault="00F20ABF">
            <w:pPr>
              <w:rPr>
                <w:rFonts w:ascii="宋体"/>
              </w:rPr>
            </w:pPr>
          </w:p>
        </w:tc>
      </w:tr>
      <w:tr w:rsidR="00F20ABF" w14:paraId="1E805531" w14:textId="77777777">
        <w:tc>
          <w:tcPr>
            <w:tcW w:w="0" w:type="auto"/>
            <w:gridSpan w:val="3"/>
            <w:shd w:val="clear" w:color="auto" w:fill="auto"/>
            <w:tcMar>
              <w:top w:w="40" w:type="dxa"/>
              <w:left w:w="20" w:type="dxa"/>
              <w:bottom w:w="40" w:type="dxa"/>
              <w:right w:w="20" w:type="dxa"/>
            </w:tcMar>
          </w:tcPr>
          <w:p w14:paraId="1E80552F" w14:textId="77777777" w:rsidR="00F20ABF" w:rsidRDefault="00CA4D2F">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E805530" w14:textId="77777777" w:rsidR="00F20ABF" w:rsidRDefault="00CA4D2F">
            <w:pPr>
              <w:textAlignment w:val="bottom"/>
            </w:pPr>
            <w:r>
              <w:rPr>
                <w:rFonts w:ascii="sans-serif" w:eastAsia="sans-serif" w:hAnsi="sans-serif" w:cs="sans-serif"/>
                <w:color w:val="000000"/>
                <w:sz w:val="20"/>
                <w:szCs w:val="20"/>
              </w:rPr>
              <w:t>Colette M. Kress</w:t>
            </w:r>
          </w:p>
        </w:tc>
      </w:tr>
      <w:tr w:rsidR="00F20ABF" w14:paraId="1E805534" w14:textId="77777777">
        <w:tc>
          <w:tcPr>
            <w:tcW w:w="0" w:type="auto"/>
            <w:gridSpan w:val="3"/>
            <w:shd w:val="clear" w:color="auto" w:fill="auto"/>
            <w:tcMar>
              <w:top w:w="40" w:type="dxa"/>
              <w:left w:w="20" w:type="dxa"/>
              <w:bottom w:w="40" w:type="dxa"/>
              <w:right w:w="20" w:type="dxa"/>
            </w:tcMar>
          </w:tcPr>
          <w:p w14:paraId="1E805532" w14:textId="77777777" w:rsidR="00F20ABF" w:rsidRDefault="00CA4D2F">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E805533" w14:textId="77777777" w:rsidR="00F20ABF" w:rsidRDefault="00CA4D2F">
            <w:pPr>
              <w:textAlignment w:val="bottom"/>
            </w:pPr>
            <w:r>
              <w:rPr>
                <w:rFonts w:ascii="sans-serif" w:eastAsia="sans-serif" w:hAnsi="sans-serif" w:cs="sans-serif"/>
                <w:color w:val="000000"/>
                <w:sz w:val="20"/>
                <w:szCs w:val="20"/>
              </w:rPr>
              <w:t xml:space="preserve">Executive Vice President and Chief Financial Officer (Duly Authorized Officer and </w:t>
            </w:r>
            <w:r>
              <w:rPr>
                <w:rFonts w:ascii="sans-serif" w:eastAsia="sans-serif" w:hAnsi="sans-serif" w:cs="sans-serif"/>
                <w:color w:val="000000"/>
                <w:sz w:val="20"/>
                <w:szCs w:val="20"/>
              </w:rPr>
              <w:t>Principal Financial Officer)</w:t>
            </w:r>
          </w:p>
        </w:tc>
      </w:tr>
    </w:tbl>
    <w:p w14:paraId="1E805535" w14:textId="77777777" w:rsidR="00F20ABF" w:rsidRDefault="00F20ABF">
      <w:pPr>
        <w:spacing w:after="180"/>
        <w:jc w:val="both"/>
      </w:pPr>
    </w:p>
    <w:p w14:paraId="1E805536" w14:textId="77777777" w:rsidR="00F20ABF" w:rsidRDefault="00CA4D2F">
      <w:pPr>
        <w:spacing w:after="180"/>
        <w:jc w:val="center"/>
      </w:pPr>
      <w:r>
        <w:rPr>
          <w:rFonts w:ascii="sans-serif" w:eastAsia="sans-serif" w:hAnsi="sans-serif" w:cs="sans-serif"/>
          <w:color w:val="000000"/>
          <w:sz w:val="20"/>
          <w:szCs w:val="20"/>
        </w:rPr>
        <w:t>41</w:t>
      </w:r>
    </w:p>
    <w:p w14:paraId="1E805537" w14:textId="77777777" w:rsidR="00F20ABF" w:rsidRDefault="00CA4D2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E8055A4" wp14:editId="1E8055A5">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0ABF" w14:paraId="1E805539" w14:textId="77777777">
        <w:trPr>
          <w:tblCellSpacing w:w="15" w:type="dxa"/>
        </w:trPr>
        <w:tc>
          <w:tcPr>
            <w:tcW w:w="0" w:type="auto"/>
            <w:shd w:val="clear" w:color="auto" w:fill="auto"/>
            <w:vAlign w:val="center"/>
          </w:tcPr>
          <w:p w14:paraId="1E805538" w14:textId="77777777" w:rsidR="00F20ABF" w:rsidRDefault="00F20ABF">
            <w:pPr>
              <w:rPr>
                <w:rFonts w:ascii="宋体"/>
              </w:rPr>
            </w:pPr>
          </w:p>
        </w:tc>
      </w:tr>
    </w:tbl>
    <w:p w14:paraId="1E80553A" w14:textId="77777777" w:rsidR="00F20ABF" w:rsidRDefault="00F20A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0ABF" w14:paraId="1E80553C" w14:textId="77777777">
        <w:trPr>
          <w:tblCellSpacing w:w="15" w:type="dxa"/>
        </w:trPr>
        <w:tc>
          <w:tcPr>
            <w:tcW w:w="0" w:type="auto"/>
            <w:shd w:val="clear" w:color="auto" w:fill="auto"/>
            <w:vAlign w:val="center"/>
          </w:tcPr>
          <w:p w14:paraId="1E80553B" w14:textId="77777777" w:rsidR="00F20ABF" w:rsidRDefault="00F20ABF">
            <w:pPr>
              <w:rPr>
                <w:rFonts w:ascii="宋体"/>
              </w:rPr>
            </w:pPr>
          </w:p>
        </w:tc>
      </w:tr>
    </w:tbl>
    <w:p w14:paraId="1E80553D" w14:textId="77777777" w:rsidR="00F20ABF" w:rsidRDefault="00F20A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0ABF" w14:paraId="1E80553F" w14:textId="77777777">
        <w:trPr>
          <w:tblCellSpacing w:w="15" w:type="dxa"/>
        </w:trPr>
        <w:tc>
          <w:tcPr>
            <w:tcW w:w="0" w:type="auto"/>
            <w:shd w:val="clear" w:color="auto" w:fill="auto"/>
            <w:vAlign w:val="center"/>
          </w:tcPr>
          <w:p w14:paraId="1E80553E" w14:textId="77777777" w:rsidR="00F20ABF" w:rsidRDefault="00F20ABF">
            <w:pPr>
              <w:rPr>
                <w:rFonts w:ascii="宋体"/>
              </w:rPr>
            </w:pPr>
          </w:p>
        </w:tc>
      </w:tr>
    </w:tbl>
    <w:p w14:paraId="1E805540" w14:textId="77777777" w:rsidR="00F20ABF" w:rsidRDefault="00F20A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0ABF" w14:paraId="1E805542" w14:textId="77777777">
        <w:trPr>
          <w:tblCellSpacing w:w="15" w:type="dxa"/>
        </w:trPr>
        <w:tc>
          <w:tcPr>
            <w:tcW w:w="0" w:type="auto"/>
            <w:shd w:val="clear" w:color="auto" w:fill="auto"/>
            <w:vAlign w:val="center"/>
          </w:tcPr>
          <w:p w14:paraId="1E805541" w14:textId="77777777" w:rsidR="00F20ABF" w:rsidRDefault="00F20ABF">
            <w:pPr>
              <w:rPr>
                <w:rFonts w:ascii="宋体"/>
              </w:rPr>
            </w:pPr>
          </w:p>
        </w:tc>
      </w:tr>
    </w:tbl>
    <w:p w14:paraId="1E805543" w14:textId="77777777" w:rsidR="00F20ABF" w:rsidRDefault="00CA4D2F">
      <w:r>
        <w:rPr>
          <w:rFonts w:ascii="宋体" w:eastAsia="宋体" w:hAnsi="宋体" w:cs="宋体"/>
        </w:rPr>
        <w:t xml:space="preserve">Previous Next </w:t>
      </w:r>
    </w:p>
    <w:p w14:paraId="1E805544" w14:textId="77777777" w:rsidR="00F20ABF" w:rsidRDefault="00CA4D2F">
      <w:pPr>
        <w:pStyle w:val="a3"/>
      </w:pPr>
      <w:r>
        <w:t>Settings</w:t>
      </w:r>
    </w:p>
    <w:p w14:paraId="1E805545" w14:textId="77777777" w:rsidR="00F20ABF" w:rsidRDefault="00CA4D2F">
      <w:pPr>
        <w:pStyle w:val="Style4"/>
      </w:pPr>
      <w:r>
        <w:t>窗体顶端</w:t>
      </w:r>
    </w:p>
    <w:p w14:paraId="1E805546" w14:textId="77777777" w:rsidR="00F20ABF" w:rsidRDefault="00CA4D2F">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E8055A6" wp14:editId="1E8055A7">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1E805547" w14:textId="77777777" w:rsidR="00F20ABF" w:rsidRDefault="00CA4D2F">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E8055A8" wp14:editId="1E8055A9">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1E805548" w14:textId="77777777" w:rsidR="00F20ABF" w:rsidRDefault="00CA4D2F">
      <w:r>
        <w:pict w14:anchorId="1E8055AA">
          <v:rect id="_x0000_i1065" style="width:415.3pt;height:1.5pt" o:hralign="center" o:hrstd="t" o:hr="t" fillcolor="#a0a0a0" stroked="f"/>
        </w:pict>
      </w:r>
    </w:p>
    <w:p w14:paraId="1E805549" w14:textId="77777777" w:rsidR="00F20ABF" w:rsidRDefault="00CA4D2F">
      <w:r>
        <w:rPr>
          <w:rFonts w:ascii="宋体" w:eastAsia="宋体" w:hAnsi="宋体" w:cs="宋体"/>
        </w:rPr>
        <w:t xml:space="preserve">Tagged Data </w:t>
      </w:r>
    </w:p>
    <w:p w14:paraId="1E80554A" w14:textId="77777777" w:rsidR="00F20ABF" w:rsidRDefault="00CA4D2F">
      <w:r>
        <w:rPr>
          <w:rFonts w:ascii="monospace" w:eastAsia="monospace" w:hAnsi="monospace" w:cs="monospace"/>
          <w:noProof/>
        </w:rPr>
        <mc:AlternateContent>
          <mc:Choice Requires="wps">
            <w:drawing>
              <wp:inline distT="0" distB="0" distL="114300" distR="114300" wp14:anchorId="1E8055AB" wp14:editId="1E8055AC">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path/>
                <v:fill on="f" focussize="0,0"/>
                <v:stroke/>
                <v:imagedata o:title=""/>
                <o:lock v:ext="edit" aspectratio="t"/>
                <w10:wrap type="none"/>
                <w10:anchorlock/>
              </v:rect>
            </w:pict>
          </mc:Fallback>
        </mc:AlternateContent>
      </w:r>
    </w:p>
    <w:p w14:paraId="1E80554B" w14:textId="77777777" w:rsidR="00F20ABF" w:rsidRDefault="00CA4D2F">
      <w:r>
        <w:rPr>
          <w:rFonts w:ascii="宋体" w:eastAsia="宋体" w:hAnsi="宋体" w:cs="宋体"/>
        </w:rPr>
        <w:t>Save</w:t>
      </w:r>
    </w:p>
    <w:p w14:paraId="1E80554C" w14:textId="77777777" w:rsidR="00F20ABF" w:rsidRDefault="00CA4D2F">
      <w:r>
        <w:rPr>
          <w:rFonts w:ascii="宋体" w:eastAsia="宋体" w:hAnsi="宋体" w:cs="宋体"/>
        </w:rPr>
        <w:t>Reset</w:t>
      </w:r>
    </w:p>
    <w:p w14:paraId="1E80554D" w14:textId="77777777" w:rsidR="00F20ABF" w:rsidRDefault="00CA4D2F">
      <w:r>
        <w:pict w14:anchorId="1E8055AD">
          <v:rect id="_x0000_i1066" style="width:415.3pt;height:1.5pt" o:hralign="center" o:hrstd="t" o:hr="t" fillcolor="#a0a0a0" stroked="f"/>
        </w:pict>
      </w:r>
    </w:p>
    <w:p w14:paraId="1E80554E" w14:textId="77777777" w:rsidR="00F20ABF" w:rsidRDefault="00CA4D2F">
      <w:r>
        <w:rPr>
          <w:rFonts w:ascii="宋体" w:eastAsia="宋体" w:hAnsi="宋体" w:cs="宋体"/>
        </w:rPr>
        <w:t xml:space="preserve">Search Results </w:t>
      </w:r>
    </w:p>
    <w:p w14:paraId="1E80554F" w14:textId="77777777" w:rsidR="00F20ABF" w:rsidRDefault="00CA4D2F">
      <w:r>
        <w:rPr>
          <w:rFonts w:ascii="monospace" w:eastAsia="monospace" w:hAnsi="monospace" w:cs="monospace"/>
          <w:noProof/>
        </w:rPr>
        <mc:AlternateContent>
          <mc:Choice Requires="wps">
            <w:drawing>
              <wp:inline distT="0" distB="0" distL="114300" distR="114300" wp14:anchorId="1E8055AE" wp14:editId="1E8055AF">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p>
    <w:p w14:paraId="1E805550" w14:textId="77777777" w:rsidR="00F20ABF" w:rsidRDefault="00CA4D2F">
      <w:r>
        <w:rPr>
          <w:rFonts w:ascii="宋体" w:eastAsia="宋体" w:hAnsi="宋体" w:cs="宋体"/>
        </w:rPr>
        <w:t>Save</w:t>
      </w:r>
    </w:p>
    <w:p w14:paraId="1E805551" w14:textId="77777777" w:rsidR="00F20ABF" w:rsidRDefault="00CA4D2F">
      <w:r>
        <w:rPr>
          <w:rFonts w:ascii="宋体" w:eastAsia="宋体" w:hAnsi="宋体" w:cs="宋体"/>
        </w:rPr>
        <w:t>Reset</w:t>
      </w:r>
    </w:p>
    <w:p w14:paraId="1E805552" w14:textId="77777777" w:rsidR="00F20ABF" w:rsidRDefault="00CA4D2F">
      <w:r>
        <w:pict w14:anchorId="1E8055B0">
          <v:rect id="_x0000_i1067" style="width:415.3pt;height:1.5pt" o:hralign="center" o:hrstd="t" o:hr="t" fillcolor="#a0a0a0" stroked="f"/>
        </w:pict>
      </w:r>
    </w:p>
    <w:p w14:paraId="1E805553" w14:textId="77777777" w:rsidR="00F20ABF" w:rsidRDefault="00CA4D2F">
      <w:r>
        <w:rPr>
          <w:rFonts w:ascii="宋体" w:eastAsia="宋体" w:hAnsi="宋体" w:cs="宋体"/>
        </w:rPr>
        <w:t xml:space="preserve">Selected Fact </w:t>
      </w:r>
    </w:p>
    <w:p w14:paraId="1E805554" w14:textId="77777777" w:rsidR="00F20ABF" w:rsidRDefault="00CA4D2F">
      <w:r>
        <w:rPr>
          <w:rFonts w:ascii="monospace" w:eastAsia="monospace" w:hAnsi="monospace" w:cs="monospace"/>
          <w:noProof/>
        </w:rPr>
        <mc:AlternateContent>
          <mc:Choice Requires="wps">
            <w:drawing>
              <wp:inline distT="0" distB="0" distL="114300" distR="114300" wp14:anchorId="1E8055B1" wp14:editId="1E8055B2">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p>
    <w:p w14:paraId="1E805555" w14:textId="77777777" w:rsidR="00F20ABF" w:rsidRDefault="00CA4D2F">
      <w:r>
        <w:rPr>
          <w:rFonts w:ascii="宋体" w:eastAsia="宋体" w:hAnsi="宋体" w:cs="宋体"/>
        </w:rPr>
        <w:t>Save</w:t>
      </w:r>
    </w:p>
    <w:p w14:paraId="1E805556" w14:textId="77777777" w:rsidR="00F20ABF" w:rsidRDefault="00CA4D2F">
      <w:r>
        <w:rPr>
          <w:rFonts w:ascii="宋体" w:eastAsia="宋体" w:hAnsi="宋体" w:cs="宋体"/>
        </w:rPr>
        <w:t>Reset</w:t>
      </w:r>
    </w:p>
    <w:p w14:paraId="1E805557" w14:textId="77777777" w:rsidR="00F20ABF" w:rsidRDefault="00CA4D2F">
      <w:r>
        <w:pict w14:anchorId="1E8055B3">
          <v:rect id="_x0000_i1068" style="width:415.3pt;height:1.5pt" o:hralign="center" o:hrstd="t" o:hr="t" fillcolor="#a0a0a0" stroked="f"/>
        </w:pict>
      </w:r>
    </w:p>
    <w:p w14:paraId="1E805558" w14:textId="77777777" w:rsidR="00F20ABF" w:rsidRDefault="00CA4D2F">
      <w:r>
        <w:rPr>
          <w:rFonts w:ascii="宋体" w:eastAsia="宋体" w:hAnsi="宋体" w:cs="宋体"/>
        </w:rPr>
        <w:t xml:space="preserve">Tag Shading (hover) </w:t>
      </w:r>
    </w:p>
    <w:p w14:paraId="1E805559" w14:textId="77777777" w:rsidR="00F20ABF" w:rsidRDefault="00CA4D2F">
      <w:r>
        <w:rPr>
          <w:rFonts w:ascii="monospace" w:eastAsia="monospace" w:hAnsi="monospace" w:cs="monospace"/>
          <w:noProof/>
        </w:rPr>
        <mc:AlternateContent>
          <mc:Choice Requires="wps">
            <w:drawing>
              <wp:inline distT="0" distB="0" distL="114300" distR="114300" wp14:anchorId="1E8055B4" wp14:editId="1E8055B5">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p w14:paraId="1E80555A" w14:textId="77777777" w:rsidR="00F20ABF" w:rsidRDefault="00CA4D2F">
      <w:r>
        <w:rPr>
          <w:rFonts w:ascii="宋体" w:eastAsia="宋体" w:hAnsi="宋体" w:cs="宋体"/>
        </w:rPr>
        <w:t>Save</w:t>
      </w:r>
    </w:p>
    <w:p w14:paraId="1E80555B" w14:textId="77777777" w:rsidR="00F20ABF" w:rsidRDefault="00CA4D2F">
      <w:r>
        <w:rPr>
          <w:rFonts w:ascii="宋体" w:eastAsia="宋体" w:hAnsi="宋体" w:cs="宋体"/>
        </w:rPr>
        <w:t>Reset</w:t>
      </w:r>
    </w:p>
    <w:p w14:paraId="1E80555C" w14:textId="77777777" w:rsidR="00F20ABF" w:rsidRDefault="00CA4D2F">
      <w:pPr>
        <w:pStyle w:val="Style5"/>
      </w:pPr>
      <w:r>
        <w:t>窗体底端</w:t>
      </w:r>
    </w:p>
    <w:p w14:paraId="1E80555D" w14:textId="77777777" w:rsidR="00F20ABF" w:rsidRDefault="00CA4D2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E8055B6" wp14:editId="1E8055B7">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0ABF" w14:paraId="1E80555F" w14:textId="77777777">
        <w:trPr>
          <w:tblCellSpacing w:w="15" w:type="dxa"/>
        </w:trPr>
        <w:tc>
          <w:tcPr>
            <w:tcW w:w="0" w:type="auto"/>
            <w:shd w:val="clear" w:color="auto" w:fill="auto"/>
            <w:vAlign w:val="center"/>
          </w:tcPr>
          <w:p w14:paraId="1E80555E" w14:textId="77777777" w:rsidR="00F20ABF" w:rsidRDefault="00F20ABF">
            <w:pPr>
              <w:rPr>
                <w:rFonts w:ascii="宋体"/>
              </w:rPr>
            </w:pPr>
          </w:p>
        </w:tc>
      </w:tr>
    </w:tbl>
    <w:p w14:paraId="1E805560" w14:textId="77777777" w:rsidR="00F20ABF" w:rsidRDefault="00F20A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0ABF" w14:paraId="1E805562" w14:textId="77777777">
        <w:trPr>
          <w:tblCellSpacing w:w="15" w:type="dxa"/>
        </w:trPr>
        <w:tc>
          <w:tcPr>
            <w:tcW w:w="0" w:type="auto"/>
            <w:shd w:val="clear" w:color="auto" w:fill="auto"/>
            <w:vAlign w:val="center"/>
          </w:tcPr>
          <w:p w14:paraId="1E805561" w14:textId="77777777" w:rsidR="00F20ABF" w:rsidRDefault="00F20ABF">
            <w:pPr>
              <w:rPr>
                <w:rFonts w:ascii="宋体"/>
              </w:rPr>
            </w:pPr>
          </w:p>
        </w:tc>
      </w:tr>
    </w:tbl>
    <w:p w14:paraId="1E805563" w14:textId="77777777" w:rsidR="00F20ABF" w:rsidRDefault="00F20A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0ABF" w14:paraId="1E805565" w14:textId="77777777">
        <w:trPr>
          <w:tblCellSpacing w:w="15" w:type="dxa"/>
        </w:trPr>
        <w:tc>
          <w:tcPr>
            <w:tcW w:w="0" w:type="auto"/>
            <w:shd w:val="clear" w:color="auto" w:fill="auto"/>
            <w:vAlign w:val="center"/>
          </w:tcPr>
          <w:p w14:paraId="1E805564" w14:textId="77777777" w:rsidR="00F20ABF" w:rsidRDefault="00F20ABF">
            <w:pPr>
              <w:rPr>
                <w:rFonts w:ascii="宋体"/>
              </w:rPr>
            </w:pPr>
          </w:p>
        </w:tc>
      </w:tr>
    </w:tbl>
    <w:p w14:paraId="1E805566" w14:textId="77777777" w:rsidR="00F20ABF" w:rsidRDefault="00F20A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0ABF" w14:paraId="1E805568" w14:textId="77777777">
        <w:trPr>
          <w:tblCellSpacing w:w="15" w:type="dxa"/>
        </w:trPr>
        <w:tc>
          <w:tcPr>
            <w:tcW w:w="0" w:type="auto"/>
            <w:shd w:val="clear" w:color="auto" w:fill="auto"/>
            <w:vAlign w:val="center"/>
          </w:tcPr>
          <w:p w14:paraId="1E805567" w14:textId="77777777" w:rsidR="00F20ABF" w:rsidRDefault="00F20ABF">
            <w:pPr>
              <w:rPr>
                <w:rFonts w:ascii="宋体"/>
              </w:rPr>
            </w:pPr>
          </w:p>
        </w:tc>
      </w:tr>
    </w:tbl>
    <w:p w14:paraId="1E805569" w14:textId="77777777" w:rsidR="00F20ABF" w:rsidRDefault="00CA4D2F">
      <w:r>
        <w:rPr>
          <w:rFonts w:ascii="宋体" w:eastAsia="宋体" w:hAnsi="宋体" w:cs="宋体"/>
        </w:rPr>
        <w:t xml:space="preserve">Previous Next </w:t>
      </w:r>
    </w:p>
    <w:p w14:paraId="1E80556A" w14:textId="77777777" w:rsidR="00F20ABF" w:rsidRDefault="00CA4D2F">
      <w:pPr>
        <w:pStyle w:val="a3"/>
      </w:pPr>
      <w:r>
        <w:t xml:space="preserve">Nested Facts / </w:t>
      </w:r>
    </w:p>
    <w:p w14:paraId="1E80556B" w14:textId="77777777" w:rsidR="00F20ABF" w:rsidRDefault="00CA4D2F">
      <w:r>
        <w:rPr>
          <w:rFonts w:ascii="宋体" w:eastAsia="宋体" w:hAnsi="宋体" w:cs="宋体"/>
        </w:rPr>
        <w:t xml:space="preserve">Previous Next </w:t>
      </w:r>
    </w:p>
    <w:p w14:paraId="1E80556C" w14:textId="77777777" w:rsidR="00F20ABF" w:rsidRDefault="00CA4D2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E8055B8" wp14:editId="1E8055B9">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0ABF" w14:paraId="1E80556E" w14:textId="77777777">
        <w:trPr>
          <w:tblCellSpacing w:w="15" w:type="dxa"/>
        </w:trPr>
        <w:tc>
          <w:tcPr>
            <w:tcW w:w="0" w:type="auto"/>
            <w:shd w:val="clear" w:color="auto" w:fill="auto"/>
            <w:vAlign w:val="center"/>
          </w:tcPr>
          <w:p w14:paraId="1E80556D" w14:textId="77777777" w:rsidR="00F20ABF" w:rsidRDefault="00F20ABF">
            <w:pPr>
              <w:rPr>
                <w:rFonts w:ascii="宋体"/>
              </w:rPr>
            </w:pPr>
          </w:p>
        </w:tc>
      </w:tr>
    </w:tbl>
    <w:p w14:paraId="1E80556F" w14:textId="77777777" w:rsidR="00F20ABF" w:rsidRDefault="00F20A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0ABF" w14:paraId="1E805571" w14:textId="77777777">
        <w:trPr>
          <w:tblCellSpacing w:w="15" w:type="dxa"/>
        </w:trPr>
        <w:tc>
          <w:tcPr>
            <w:tcW w:w="0" w:type="auto"/>
            <w:shd w:val="clear" w:color="auto" w:fill="auto"/>
            <w:vAlign w:val="center"/>
          </w:tcPr>
          <w:p w14:paraId="1E805570" w14:textId="77777777" w:rsidR="00F20ABF" w:rsidRDefault="00F20ABF">
            <w:pPr>
              <w:rPr>
                <w:rFonts w:ascii="宋体"/>
              </w:rPr>
            </w:pPr>
          </w:p>
        </w:tc>
      </w:tr>
    </w:tbl>
    <w:p w14:paraId="1E805572" w14:textId="77777777" w:rsidR="00F20ABF" w:rsidRDefault="00F20A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0ABF" w14:paraId="1E805574" w14:textId="77777777">
        <w:trPr>
          <w:tblCellSpacing w:w="15" w:type="dxa"/>
        </w:trPr>
        <w:tc>
          <w:tcPr>
            <w:tcW w:w="0" w:type="auto"/>
            <w:shd w:val="clear" w:color="auto" w:fill="auto"/>
            <w:vAlign w:val="center"/>
          </w:tcPr>
          <w:p w14:paraId="1E805573" w14:textId="77777777" w:rsidR="00F20ABF" w:rsidRDefault="00F20ABF">
            <w:pPr>
              <w:rPr>
                <w:rFonts w:ascii="宋体"/>
              </w:rPr>
            </w:pPr>
          </w:p>
        </w:tc>
      </w:tr>
    </w:tbl>
    <w:p w14:paraId="1E805575" w14:textId="77777777" w:rsidR="00F20ABF" w:rsidRDefault="00F20A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0ABF" w14:paraId="1E805577" w14:textId="77777777">
        <w:trPr>
          <w:tblCellSpacing w:w="15" w:type="dxa"/>
        </w:trPr>
        <w:tc>
          <w:tcPr>
            <w:tcW w:w="0" w:type="auto"/>
            <w:shd w:val="clear" w:color="auto" w:fill="auto"/>
            <w:vAlign w:val="center"/>
          </w:tcPr>
          <w:p w14:paraId="1E805576" w14:textId="77777777" w:rsidR="00F20ABF" w:rsidRDefault="00F20ABF">
            <w:pPr>
              <w:rPr>
                <w:rFonts w:ascii="宋体"/>
              </w:rPr>
            </w:pPr>
          </w:p>
        </w:tc>
      </w:tr>
    </w:tbl>
    <w:p w14:paraId="1E805578" w14:textId="77777777" w:rsidR="00F20ABF" w:rsidRDefault="00CA4D2F">
      <w:r>
        <w:rPr>
          <w:rFonts w:ascii="宋体" w:eastAsia="宋体" w:hAnsi="宋体" w:cs="宋体"/>
        </w:rPr>
        <w:t xml:space="preserve">Previous Next </w:t>
      </w:r>
    </w:p>
    <w:p w14:paraId="1E805579" w14:textId="77777777" w:rsidR="00F20ABF" w:rsidRDefault="00F20ABF"/>
    <w:sectPr w:rsidR="00F20ABF">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599DC" w14:textId="77777777" w:rsidR="00CA4D2F" w:rsidRDefault="00CA4D2F" w:rsidP="00CA4D2F">
      <w:r>
        <w:separator/>
      </w:r>
    </w:p>
  </w:endnote>
  <w:endnote w:type="continuationSeparator" w:id="0">
    <w:p w14:paraId="3D2087C0" w14:textId="77777777" w:rsidR="00CA4D2F" w:rsidRDefault="00CA4D2F" w:rsidP="00CA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2E6B6" w14:textId="77777777" w:rsidR="00CA4D2F" w:rsidRDefault="00CA4D2F" w:rsidP="00CA4D2F">
      <w:r>
        <w:separator/>
      </w:r>
    </w:p>
  </w:footnote>
  <w:footnote w:type="continuationSeparator" w:id="0">
    <w:p w14:paraId="781BC228" w14:textId="77777777" w:rsidR="00CA4D2F" w:rsidRDefault="00CA4D2F" w:rsidP="00CA4D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3A5DFB8"/>
    <w:rsid w:val="D3A5DFB8"/>
    <w:rsid w:val="00CA4D2F"/>
    <w:rsid w:val="00F20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80380E"/>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CA4D2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A4D2F"/>
    <w:rPr>
      <w:rFonts w:asciiTheme="minorEastAsia" w:hAnsiTheme="minorEastAsia" w:cs="Times New Roman"/>
      <w:sz w:val="18"/>
      <w:szCs w:val="18"/>
    </w:rPr>
  </w:style>
  <w:style w:type="paragraph" w:styleId="a8">
    <w:name w:val="footer"/>
    <w:basedOn w:val="a"/>
    <w:link w:val="a9"/>
    <w:rsid w:val="00CA4D2F"/>
    <w:pPr>
      <w:tabs>
        <w:tab w:val="center" w:pos="4153"/>
        <w:tab w:val="right" w:pos="8306"/>
      </w:tabs>
      <w:snapToGrid w:val="0"/>
    </w:pPr>
    <w:rPr>
      <w:sz w:val="18"/>
      <w:szCs w:val="18"/>
    </w:rPr>
  </w:style>
  <w:style w:type="character" w:customStyle="1" w:styleId="a9">
    <w:name w:val="页脚 字符"/>
    <w:basedOn w:val="a0"/>
    <w:link w:val="a8"/>
    <w:rsid w:val="00CA4D2F"/>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c.gov/ix?doc=/Archives/edgar/data/0001045810/000104581020000189/nvda-20201025.htm" TargetMode="External"/><Relationship Id="rId18" Type="http://schemas.openxmlformats.org/officeDocument/2006/relationships/hyperlink" Target="https://www.sec.gov/ix?doc=/Archives/edgar/data/0001045810/000104581020000189/nvda-20201025.htm" TargetMode="External"/><Relationship Id="rId26" Type="http://schemas.openxmlformats.org/officeDocument/2006/relationships/hyperlink" Target="https://www.sec.gov/ix?doc=/Archives/edgar/data/0001045810/000104581020000189/nvda-20201025.htm" TargetMode="External"/><Relationship Id="rId39" Type="http://schemas.openxmlformats.org/officeDocument/2006/relationships/theme" Target="theme/theme1.xml"/><Relationship Id="rId21" Type="http://schemas.openxmlformats.org/officeDocument/2006/relationships/hyperlink" Target="https://www.sec.gov/ix?doc=/Archives/edgar/data/0001045810/000104581020000189/nvda-20201025.htm" TargetMode="External"/><Relationship Id="rId34" Type="http://schemas.openxmlformats.org/officeDocument/2006/relationships/hyperlink" Target="https://www.sec.gov/Archives/edgar/data/0001045810/000104581020000189/nvda2021q3ex311.htm" TargetMode="External"/><Relationship Id="rId7" Type="http://schemas.openxmlformats.org/officeDocument/2006/relationships/hyperlink" Target="https://www.sec.gov/ix?doc=/Archives/edgar/data/0001045810/000104581020000189/nvda-20201025.htm" TargetMode="External"/><Relationship Id="rId12" Type="http://schemas.openxmlformats.org/officeDocument/2006/relationships/hyperlink" Target="https://www.sec.gov/ix?doc=/Archives/edgar/data/0001045810/000104581020000189/nvda-20201025.htm" TargetMode="External"/><Relationship Id="rId17" Type="http://schemas.openxmlformats.org/officeDocument/2006/relationships/hyperlink" Target="https://www.sec.gov/ix?doc=/Archives/edgar/data/0001045810/000104581020000189/nvda-20201025.htm" TargetMode="External"/><Relationship Id="rId25" Type="http://schemas.openxmlformats.org/officeDocument/2006/relationships/hyperlink" Target="https://www.sec.gov/ix?doc=/Archives/edgar/data/0001045810/000104581020000189/nvda-20201025.htm" TargetMode="External"/><Relationship Id="rId33" Type="http://schemas.openxmlformats.org/officeDocument/2006/relationships/hyperlink" Target="http://www.sec.gov/Archives/edgar/data/1045810/000119312520244601/d13958dex21.ht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ec.gov/ix?doc=/Archives/edgar/data/0001045810/000104581020000189/nvda-20201025.htm" TargetMode="External"/><Relationship Id="rId20" Type="http://schemas.openxmlformats.org/officeDocument/2006/relationships/hyperlink" Target="https://www.sec.gov/ix?doc=/Archives/edgar/data/0001045810/000104581020000189/nvda-20201025.htm" TargetMode="External"/><Relationship Id="rId29" Type="http://schemas.openxmlformats.org/officeDocument/2006/relationships/hyperlink" Target="https://www.sec.gov/ix?doc=/Archives/edgar/data/0001045810/000104581020000189/nvda-20201025.htm" TargetMode="External"/><Relationship Id="rId1" Type="http://schemas.openxmlformats.org/officeDocument/2006/relationships/styles" Target="styles.xml"/><Relationship Id="rId11" Type="http://schemas.openxmlformats.org/officeDocument/2006/relationships/hyperlink" Target="https://www.sec.gov/ix?doc=/Archives/edgar/data/0001045810/000104581020000189/nvda-20201025.htm" TargetMode="External"/><Relationship Id="rId24" Type="http://schemas.openxmlformats.org/officeDocument/2006/relationships/hyperlink" Target="https://www.sec.gov/ix?doc=/Archives/edgar/data/0001045810/000104581020000189/nvda-20201025.htm" TargetMode="External"/><Relationship Id="rId32" Type="http://schemas.openxmlformats.org/officeDocument/2006/relationships/hyperlink" Target="http://www.sec.gov/Archives/edgar/data/1045810/000119312520244601/d13958dex21.htm" TargetMode="External"/><Relationship Id="rId37" Type="http://schemas.openxmlformats.org/officeDocument/2006/relationships/hyperlink" Target="https://www.sec.gov/Archives/edgar/data/0001045810/000104581020000189/nvda2021q3ex322.htm" TargetMode="External"/><Relationship Id="rId5" Type="http://schemas.openxmlformats.org/officeDocument/2006/relationships/endnotes" Target="endnotes.xml"/><Relationship Id="rId15" Type="http://schemas.openxmlformats.org/officeDocument/2006/relationships/hyperlink" Target="https://www.sec.gov/ix?doc=/Archives/edgar/data/0001045810/000104581020000189/nvda-20201025.htm" TargetMode="External"/><Relationship Id="rId23" Type="http://schemas.openxmlformats.org/officeDocument/2006/relationships/hyperlink" Target="https://www.sec.gov/ix?doc=/Archives/edgar/data/0001045810/000104581020000189/nvda-20201025.htm" TargetMode="External"/><Relationship Id="rId28" Type="http://schemas.openxmlformats.org/officeDocument/2006/relationships/hyperlink" Target="https://www.sec.gov/ix?doc=/Archives/edgar/data/0001045810/000104581020000189/nvda-20201025.htm" TargetMode="External"/><Relationship Id="rId36" Type="http://schemas.openxmlformats.org/officeDocument/2006/relationships/hyperlink" Target="https://www.sec.gov/Archives/edgar/data/0001045810/000104581020000189/nvda2021q3ex321.htm" TargetMode="External"/><Relationship Id="rId10" Type="http://schemas.openxmlformats.org/officeDocument/2006/relationships/hyperlink" Target="https://www.sec.gov/ix?doc=/Archives/edgar/data/0001045810/000104581020000189/nvda-20201025.htm" TargetMode="External"/><Relationship Id="rId19" Type="http://schemas.openxmlformats.org/officeDocument/2006/relationships/hyperlink" Target="https://www.sec.gov/ix?doc=/Archives/edgar/data/0001045810/000104581020000189/nvda-20201025.htm" TargetMode="External"/><Relationship Id="rId31" Type="http://schemas.openxmlformats.org/officeDocument/2006/relationships/hyperlink" Target="https://www.sec.gov/ix?doc=/Archives/edgar/data/0001045810/000104581020000189/nvda-20201025.htm" TargetMode="External"/><Relationship Id="rId4" Type="http://schemas.openxmlformats.org/officeDocument/2006/relationships/footnotes" Target="footnotes.xml"/><Relationship Id="rId9" Type="http://schemas.openxmlformats.org/officeDocument/2006/relationships/hyperlink" Target="https://www.sec.gov/ix?doc=/Archives/edgar/data/0001045810/000104581020000189/nvda-20201025.htm" TargetMode="External"/><Relationship Id="rId14" Type="http://schemas.openxmlformats.org/officeDocument/2006/relationships/hyperlink" Target="https://www.sec.gov/ix?doc=/Archives/edgar/data/0001045810/000104581020000189/nvda-20201025.htm" TargetMode="External"/><Relationship Id="rId22" Type="http://schemas.openxmlformats.org/officeDocument/2006/relationships/hyperlink" Target="https://www.sec.gov/ix?doc=/Archives/edgar/data/0001045810/000104581020000189/nvda-20201025.htm" TargetMode="External"/><Relationship Id="rId27" Type="http://schemas.openxmlformats.org/officeDocument/2006/relationships/hyperlink" Target="https://www.sec.gov/ix?doc=/Archives/edgar/data/0001045810/000104581020000189/nvda-20201025.htm" TargetMode="External"/><Relationship Id="rId30" Type="http://schemas.openxmlformats.org/officeDocument/2006/relationships/hyperlink" Target="https://www.sec.gov/ix?doc=/Archives/edgar/data/0001045810/000104581020000189/nvda-20201025.htm" TargetMode="External"/><Relationship Id="rId35" Type="http://schemas.openxmlformats.org/officeDocument/2006/relationships/hyperlink" Target="https://www.sec.gov/Archives/edgar/data/0001045810/000104581020000189/nvda2021q3ex312.htm" TargetMode="External"/><Relationship Id="rId8" Type="http://schemas.openxmlformats.org/officeDocument/2006/relationships/hyperlink" Target="https://www.sec.gov/ix?doc=/Archives/edgar/data/0001045810/000104581020000189/nvda-20201025.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22201</Words>
  <Characters>126549</Characters>
  <Application>Microsoft Office Word</Application>
  <DocSecurity>0</DocSecurity>
  <Lines>1054</Lines>
  <Paragraphs>296</Paragraphs>
  <ScaleCrop>false</ScaleCrop>
  <Company/>
  <LinksUpToDate>false</LinksUpToDate>
  <CharactersWithSpaces>148454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2023-02-11T22:27:00Z</dcterms:created>
  <dcterms:modified xsi:type="dcterms:W3CDTF">2023-02-13T11:27:00Z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4B5D0079E208E694EBA5E763BB3B7A09</vt:lpwstr>
  </property>
</Properties>
</file>